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06</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G4705A100</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4813933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4827558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4827558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7.84%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G4705A100</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4813933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4827558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4827558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7.84%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 , BD</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G4705A100</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Management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4299413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4299413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7"/>
        </w:numPr>
        <w:rPr>
          <w:rFonts w:ascii="Arial" w:cs="Arial" w:eastAsia="Arial" w:hAnsi="Arial"/>
          <w:sz w:val="32"/>
          <w:szCs w:val="32"/>
          <w:b w:val="1"/>
          <w:bCs w:val="1"/>
          <w:color w:val="auto"/>
        </w:rPr>
      </w:pPr>
      <w:r>
        <w:rPr>
          <w:rFonts w:ascii="Arial" w:cs="Arial" w:eastAsia="Arial" w:hAnsi="Arial"/>
          <w:sz w:val="18"/>
          <w:szCs w:val="18"/>
          <w:color w:val="auto"/>
        </w:rPr>
        <w:t>4299413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6.98%</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7"/>
          <w:szCs w:val="17"/>
          <w:color w:val="auto"/>
        </w:rPr>
        <w:t>BD</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G4705A100</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Equity Funds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3846676</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3846676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3846676</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6.25%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IV</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ICON PLC</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SOUTH COUNTY BUSINESS PARKLEOPARDSTOWN DUBLIN 18 L2 00000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160" w:hanging="644"/>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Person Filing Neuberger Berman Group LLC Neuberger Berman LLC Neuberger Berman Management LLC Neuberger Berman Equity Funds</w:t>
      </w:r>
    </w:p>
    <w:p>
      <w:pPr>
        <w:spacing w:after="0" w:line="215"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605 Third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10158</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G4705A100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4,827,558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7.84%</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4,813,933</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4,827,558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No one client (other than clients otherwise disclosed herein) has an interest of more than 5% of the issuer.</w:t>
      </w:r>
    </w:p>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each of Neuberger Berman LLC and Neuberger Berman Management LLC serve as a sub-adviser and investment manager, respectively, of Neuberger Berman Group LLC’s various registered mutual funds which hold such shares. The holdings belonging to clients of Neuberger Berman Trust Co N.A., Neuberger Berman Trust Co of Delaware N.A., NB Alternatives Advisers LLC, Neuberger Berman Fixed Income LLC and NB Alternative Investment Management LLC, affiliates of Neuberger Berman LLC, are also aggregated to comprise the holdings referenced herein.</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In addition to the shares set forth under Item 4(c)(ii) for which Neuberger entities also have shared power to dispose of the shares, item 4(c)(iv) also includes shares from individual client accounts over which Neuberger Berman LLC has shared power to dispose but does not have voting power over these shares. The holdings of Neuberger Berman Trust Co N.A., Neuberger Berman Trust Co of Delaware N.A., NB Alternatives Advisers LLC, Neuberger Berman Fixed Income LLC and NB Alternative Investment Management LLC, affiliates of Neuberger Berman LLC, are also aggregated to comprise the holdings referenced herein.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7" w:name="page8"/>
    <w:bookmarkEnd w:id="7"/>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360"/>
          </w:cols>
          <w:pgMar w:left="240" w:top="756" w:right="2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2015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5000" w:space="720"/>
            <w:col w:w="260" w:space="100"/>
            <w:col w:w="5280"/>
          </w:cols>
          <w:pgMar w:left="240" w:top="75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LLC</w:t>
      </w:r>
    </w:p>
    <w:p>
      <w:pPr>
        <w:sectPr>
          <w:pgSz w:w="11900" w:h="16838" w:orient="portrait"/>
          <w:cols w:equalWidth="0" w:num="1">
            <w:col w:w="11360"/>
          </w:cols>
          <w:pgMar w:left="240" w:top="756" w:right="2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2015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5000" w:space="720"/>
            <w:col w:w="260" w:space="100"/>
            <w:col w:w="5280"/>
          </w:cols>
          <w:pgMar w:left="240" w:top="75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Management LLC</w:t>
      </w:r>
    </w:p>
    <w:p>
      <w:pPr>
        <w:sectPr>
          <w:pgSz w:w="11900" w:h="16838" w:orient="portrait"/>
          <w:cols w:equalWidth="0" w:num="1">
            <w:col w:w="11360"/>
          </w:cols>
          <w:pgMar w:left="240" w:top="756" w:right="2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2015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Robert Conti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3">
            <w:col w:w="5000" w:space="720"/>
            <w:col w:w="260" w:space="100"/>
            <w:col w:w="5280"/>
          </w:cols>
          <w:pgMar w:left="240" w:top="75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Equity Funds</w:t>
      </w:r>
    </w:p>
    <w:p>
      <w:pPr>
        <w:sectPr>
          <w:pgSz w:w="11900" w:h="16838" w:orient="portrait"/>
          <w:cols w:equalWidth="0" w:num="1">
            <w:col w:w="11360"/>
          </w:cols>
          <w:pgMar w:left="240" w:top="756" w:right="2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2015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Robert Conti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Chief Executive Officer</w:t>
      </w:r>
    </w:p>
    <w:p>
      <w:pPr>
        <w:spacing w:after="0" w:line="200" w:lineRule="exact"/>
        <w:rPr>
          <w:sz w:val="20"/>
          <w:szCs w:val="20"/>
          <w:color w:val="auto"/>
        </w:rPr>
      </w:pPr>
    </w:p>
    <w:p>
      <w:pPr>
        <w:sectPr>
          <w:pgSz w:w="11900" w:h="16838" w:orient="portrait"/>
          <w:cols w:equalWidth="0" w:num="3">
            <w:col w:w="5000" w:space="720"/>
            <w:col w:w="260" w:space="100"/>
            <w:col w:w="5280"/>
          </w:cols>
          <w:pgMar w:left="240" w:top="756" w:right="299" w:bottom="1440" w:gutter="0" w:footer="0" w:header="0"/>
          <w:type w:val="continuous"/>
        </w:sectPr>
      </w:pPr>
    </w:p>
    <w:p>
      <w:pPr>
        <w:spacing w:after="0" w:line="273" w:lineRule="exact"/>
        <w:rPr>
          <w:sz w:val="20"/>
          <w:szCs w:val="20"/>
          <w:color w:val="auto"/>
        </w:rPr>
      </w:pPr>
    </w:p>
    <w:p>
      <w:pPr>
        <w:ind w:left="860" w:hanging="850"/>
        <w:spacing w:after="0" w:line="295" w:lineRule="auto"/>
        <w:rPr>
          <w:sz w:val="20"/>
          <w:szCs w:val="20"/>
          <w:color w:val="auto"/>
        </w:rPr>
      </w:pPr>
      <w:r>
        <w:rPr>
          <w:rFonts w:ascii="Arial" w:cs="Arial" w:eastAsia="Arial" w:hAnsi="Arial"/>
          <w:sz w:val="16"/>
          <w:szCs w:val="16"/>
          <w:b w:val="1"/>
          <w:bCs w:val="1"/>
          <w:color w:val="auto"/>
        </w:rPr>
        <w:t xml:space="preserve">Footnotes: </w:t>
      </w:r>
      <w:r>
        <w:rPr>
          <w:rFonts w:ascii="Arial" w:cs="Arial" w:eastAsia="Arial" w:hAnsi="Arial"/>
          <w:sz w:val="16"/>
          <w:szCs w:val="16"/>
          <w:color w:val="auto"/>
        </w:rPr>
        <w:t>Neuberger Berman LLC, Neuberger Berman Management LLC, Neuberger Berman Trust Co N.A., Neuberger Berman Trust Co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N.A., NB Alternatives Advisers LLC, Neuberger Berman Fixed Income LLC and NB Alternative Investment Management and certain affiliated persons may be deemed to beneficially own the securities covered by this report in their various fiduciary capacities by virtue of the provisions of Exchange Act Rule 13d-3. Neuberger Berman Group LLC, through its subsidiary Neuberger Berman Holdings LLC, controls Neuberger Berman LLC, Neuberger Berman Management LLC, Neuberger Berman Trust Co N.A., Neuberger Berman Trust Co of Delaware N.A., NB Alternatives Advisers LLC, Neuberger Berman Fixed Income LLC, NB Alternative Investment Management LLC and certain affiliated persons.</w:t>
      </w:r>
    </w:p>
    <w:p>
      <w:pPr>
        <w:spacing w:after="0" w:line="160" w:lineRule="exact"/>
        <w:rPr>
          <w:sz w:val="20"/>
          <w:szCs w:val="20"/>
          <w:color w:val="auto"/>
        </w:rPr>
      </w:pPr>
    </w:p>
    <w:p>
      <w:pPr>
        <w:ind w:left="860" w:right="80"/>
        <w:spacing w:after="0" w:line="257" w:lineRule="auto"/>
        <w:rPr>
          <w:sz w:val="20"/>
          <w:szCs w:val="20"/>
          <w:color w:val="auto"/>
        </w:rPr>
      </w:pPr>
      <w:r>
        <w:rPr>
          <w:rFonts w:ascii="Arial" w:cs="Arial" w:eastAsia="Arial" w:hAnsi="Arial"/>
          <w:sz w:val="18"/>
          <w:szCs w:val="18"/>
          <w:color w:val="auto"/>
        </w:rPr>
        <w:t>This report is not an admission that any of these entities are the beneficial owner of the securities covered by this report and each of Neuberger Berman Group LLC, Neuberger Berman Holdings LLC, Neuberger Berman LLC, Neuberger Berman Management LLC, Neuberger Berman Trust Co N.A., Neuberger Berman Trust Co of Delaware N.A., NB Alternatives Advisers LLC, Neuberger Berman Fixed Income LLC and NB Alternative Investment Management LLC and certain affiliated persons disclaim beneficial ownership of the securities covered by this statement pursuant to Exchange Act Rule 13d-4.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60"/>
      </w:cols>
      <w:pgMar w:left="240" w:top="75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x"/>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2019-12-07T04:41:49Z</dcterms:created>
  <dcterms:modified xsi:type="dcterms:W3CDTF">2019-12-07T04:41:49Z</dcterms:modified>
</cp:coreProperties>
</file>