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144780</wp:posOffset>
            </wp:positionH>
            <wp:positionV relativeFrom="page">
              <wp:posOffset>102235</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200" w:lineRule="exact"/>
        <w:rPr>
          <w:sz w:val="24"/>
          <w:szCs w:val="24"/>
          <w:color w:val="auto"/>
        </w:rPr>
      </w:pPr>
    </w:p>
    <w:p>
      <w:pPr>
        <w:spacing w:after="0" w:line="29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19"/>
        <w:spacing w:after="0"/>
        <w:tabs>
          <w:tab w:leader="none" w:pos="260" w:val="left"/>
          <w:tab w:leader="none" w:pos="180" w:val="left"/>
        </w:tabs>
        <w:rPr>
          <w:sz w:val="20"/>
          <w:szCs w:val="20"/>
          <w:color w:val="auto"/>
        </w:rPr>
      </w:pPr>
      <w:r>
        <w:rPr>
          <w:rFonts w:ascii="Arial" w:cs="Arial" w:eastAsia="Arial" w:hAnsi="Arial"/>
          <w:sz w:val="22"/>
          <w:szCs w:val="22"/>
          <w:b w:val="1"/>
          <w:bCs w:val="1"/>
          <w:color w:val="auto"/>
        </w:rPr>
        <w:t>(Amendment No.</w:t>
        <w:tab/>
        <w:t>06</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3881120</wp:posOffset>
            </wp:positionH>
            <wp:positionV relativeFrom="paragraph">
              <wp:posOffset>-12065</wp:posOffset>
            </wp:positionV>
            <wp:extent cx="41148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11480" cy="8890"/>
                    </a:xfrm>
                    <a:prstGeom prst="rect">
                      <a:avLst/>
                    </a:prstGeom>
                    <a:noFill/>
                  </pic:spPr>
                </pic:pic>
              </a:graphicData>
            </a:graphic>
          </wp:anchor>
        </w:drawing>
      </w:r>
    </w:p>
    <w:p>
      <w:pPr>
        <w:spacing w:after="0" w:line="185" w:lineRule="exact"/>
        <w:rPr>
          <w:sz w:val="24"/>
          <w:szCs w:val="24"/>
          <w:color w:val="auto"/>
        </w:rPr>
      </w:pPr>
    </w:p>
    <w:p>
      <w:pPr>
        <w:jc w:val="center"/>
        <w:ind w:right="20"/>
        <w:spacing w:after="0"/>
        <w:rPr>
          <w:sz w:val="20"/>
          <w:szCs w:val="20"/>
          <w:color w:val="auto"/>
        </w:rPr>
      </w:pPr>
      <w:r>
        <w:rPr>
          <w:rFonts w:ascii="Arial" w:cs="Arial" w:eastAsia="Arial" w:hAnsi="Arial"/>
          <w:sz w:val="43"/>
          <w:szCs w:val="43"/>
          <w:color w:val="auto"/>
        </w:rPr>
        <w:t>ICON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79375</wp:posOffset>
            </wp:positionV>
            <wp:extent cx="7276465"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(Name of Issuer)</w:t>
      </w: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G4705A100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55880</wp:posOffset>
            </wp:positionV>
            <wp:extent cx="727646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ind w:left="3680"/>
        <w:spacing w:after="0"/>
        <w:rPr>
          <w:sz w:val="20"/>
          <w:szCs w:val="20"/>
          <w:color w:val="auto"/>
        </w:rPr>
      </w:pPr>
      <w:r>
        <w:rPr>
          <w:rFonts w:ascii="Arial" w:cs="Arial" w:eastAsia="Arial" w:hAnsi="Arial"/>
          <w:sz w:val="18"/>
          <w:szCs w:val="18"/>
          <w:color w:val="auto"/>
        </w:rPr>
        <w:t>(Date of Event Which Requires Filing of this Statement)</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jc w:val="both"/>
        <w:ind w:left="240" w:right="9980" w:hanging="7"/>
        <w:spacing w:after="0" w:line="598" w:lineRule="auto"/>
        <w:tabs>
          <w:tab w:leader="none" w:pos="420" w:val="left"/>
        </w:tabs>
        <w:numPr>
          <w:ilvl w:val="1"/>
          <w:numId w:val="1"/>
        </w:numPr>
        <w:rPr>
          <w:rFonts w:ascii="Arial" w:cs="Arial" w:eastAsia="Arial" w:hAnsi="Arial"/>
          <w:sz w:val="16"/>
          <w:szCs w:val="16"/>
          <w:color w:val="auto"/>
        </w:rPr>
      </w:pPr>
      <w:r>
        <w:rPr>
          <w:rFonts w:ascii="Arial" w:cs="Arial" w:eastAsia="Arial" w:hAnsi="Arial"/>
          <w:sz w:val="16"/>
          <w:szCs w:val="16"/>
          <w:color w:val="auto"/>
        </w:rPr>
        <w:t>Rule 13d-1(b) o Rule 13d-1(c) o Rule 13d-1(d)</w:t>
      </w:r>
    </w:p>
    <w:p>
      <w:pPr>
        <w:spacing w:after="0" w:line="2" w:lineRule="exact"/>
        <w:rPr>
          <w:rFonts w:ascii="Arial" w:cs="Arial" w:eastAsia="Arial" w:hAnsi="Arial"/>
          <w:sz w:val="16"/>
          <w:szCs w:val="16"/>
          <w:color w:val="auto"/>
        </w:rPr>
      </w:pPr>
    </w:p>
    <w:p>
      <w:pPr>
        <w:ind w:right="180"/>
        <w:spacing w:after="0" w:line="277" w:lineRule="auto"/>
        <w:rPr>
          <w:rFonts w:ascii="Arial" w:cs="Arial" w:eastAsia="Arial" w:hAnsi="Arial"/>
          <w:sz w:val="16"/>
          <w:szCs w:val="16"/>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97"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15240</wp:posOffset>
            </wp:positionV>
            <wp:extent cx="727202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685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375285</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549" w:right="25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ind w:left="100"/>
              <w:spacing w:after="0"/>
              <w:rPr>
                <w:sz w:val="20"/>
                <w:szCs w:val="20"/>
                <w:color w:val="auto"/>
              </w:rPr>
            </w:pPr>
            <w:r>
              <w:rPr>
                <w:rFonts w:ascii="Arial" w:cs="Arial" w:eastAsia="Arial" w:hAnsi="Arial"/>
                <w:sz w:val="18"/>
                <w:szCs w:val="18"/>
                <w:color w:val="auto"/>
              </w:rPr>
              <w:t>G4705A100</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Neuberger Berman Group LLC</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2"/>
        </w:numPr>
        <w:rPr>
          <w:rFonts w:ascii="Arial" w:cs="Arial" w:eastAsia="Arial" w:hAnsi="Arial"/>
          <w:sz w:val="32"/>
          <w:szCs w:val="32"/>
          <w:b w:val="1"/>
          <w:bCs w:val="1"/>
          <w:color w:val="auto"/>
        </w:rPr>
      </w:pPr>
      <w:r>
        <w:rPr>
          <w:rFonts w:ascii="Arial" w:cs="Arial" w:eastAsia="Arial" w:hAnsi="Arial"/>
          <w:sz w:val="18"/>
          <w:szCs w:val="18"/>
          <w:color w:val="auto"/>
        </w:rPr>
        <w:t>Delaware</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4813933</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5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4827558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3"/>
        </w:numPr>
        <w:rPr>
          <w:rFonts w:ascii="Arial" w:cs="Arial" w:eastAsia="Arial" w:hAnsi="Arial"/>
          <w:sz w:val="32"/>
          <w:szCs w:val="32"/>
          <w:b w:val="1"/>
          <w:bCs w:val="1"/>
          <w:color w:val="auto"/>
        </w:rPr>
      </w:pPr>
      <w:r>
        <w:rPr>
          <w:rFonts w:ascii="Arial" w:cs="Arial" w:eastAsia="Arial" w:hAnsi="Arial"/>
          <w:sz w:val="18"/>
          <w:szCs w:val="18"/>
          <w:color w:val="auto"/>
        </w:rPr>
        <w:t>4827558</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6"/>
          <w:szCs w:val="16"/>
          <w:color w:val="auto"/>
        </w:rPr>
        <w:t>x</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7.84%</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HC</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ind w:left="100"/>
              <w:spacing w:after="0"/>
              <w:rPr>
                <w:sz w:val="20"/>
                <w:szCs w:val="20"/>
                <w:color w:val="auto"/>
              </w:rPr>
            </w:pPr>
            <w:r>
              <w:rPr>
                <w:rFonts w:ascii="Arial" w:cs="Arial" w:eastAsia="Arial" w:hAnsi="Arial"/>
                <w:sz w:val="18"/>
                <w:szCs w:val="18"/>
                <w:color w:val="auto"/>
              </w:rPr>
              <w:t>G4705A100</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Neuberger Berman Group LLC</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4"/>
        </w:numPr>
        <w:rPr>
          <w:rFonts w:ascii="Arial" w:cs="Arial" w:eastAsia="Arial" w:hAnsi="Arial"/>
          <w:sz w:val="32"/>
          <w:szCs w:val="32"/>
          <w:b w:val="1"/>
          <w:bCs w:val="1"/>
          <w:color w:val="auto"/>
        </w:rPr>
      </w:pPr>
      <w:r>
        <w:rPr>
          <w:rFonts w:ascii="Arial" w:cs="Arial" w:eastAsia="Arial" w:hAnsi="Arial"/>
          <w:sz w:val="18"/>
          <w:szCs w:val="18"/>
          <w:color w:val="auto"/>
        </w:rPr>
        <w:t>Delaware</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4813933</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5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4827558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5"/>
        </w:numPr>
        <w:rPr>
          <w:rFonts w:ascii="Arial" w:cs="Arial" w:eastAsia="Arial" w:hAnsi="Arial"/>
          <w:sz w:val="32"/>
          <w:szCs w:val="32"/>
          <w:b w:val="1"/>
          <w:bCs w:val="1"/>
          <w:color w:val="auto"/>
        </w:rPr>
      </w:pPr>
      <w:r>
        <w:rPr>
          <w:rFonts w:ascii="Arial" w:cs="Arial" w:eastAsia="Arial" w:hAnsi="Arial"/>
          <w:sz w:val="18"/>
          <w:szCs w:val="18"/>
          <w:color w:val="auto"/>
        </w:rPr>
        <w:t>4827558</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6"/>
          <w:szCs w:val="16"/>
          <w:color w:val="auto"/>
        </w:rPr>
        <w:t>x</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7.84%</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IA , BD</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ind w:left="100"/>
              <w:spacing w:after="0"/>
              <w:rPr>
                <w:sz w:val="20"/>
                <w:szCs w:val="20"/>
                <w:color w:val="auto"/>
              </w:rPr>
            </w:pPr>
            <w:r>
              <w:rPr>
                <w:rFonts w:ascii="Arial" w:cs="Arial" w:eastAsia="Arial" w:hAnsi="Arial"/>
                <w:sz w:val="18"/>
                <w:szCs w:val="18"/>
                <w:color w:val="auto"/>
              </w:rPr>
              <w:t>G4705A100</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Neuberger Berman Management LLC</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6"/>
        </w:numPr>
        <w:rPr>
          <w:rFonts w:ascii="Arial" w:cs="Arial" w:eastAsia="Arial" w:hAnsi="Arial"/>
          <w:sz w:val="32"/>
          <w:szCs w:val="32"/>
          <w:b w:val="1"/>
          <w:bCs w:val="1"/>
          <w:color w:val="auto"/>
        </w:rPr>
      </w:pPr>
      <w:r>
        <w:rPr>
          <w:rFonts w:ascii="Arial" w:cs="Arial" w:eastAsia="Arial" w:hAnsi="Arial"/>
          <w:sz w:val="18"/>
          <w:szCs w:val="18"/>
          <w:color w:val="auto"/>
        </w:rPr>
        <w:t>Delaware</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4299413</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5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4299413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7"/>
        </w:numPr>
        <w:rPr>
          <w:rFonts w:ascii="Arial" w:cs="Arial" w:eastAsia="Arial" w:hAnsi="Arial"/>
          <w:sz w:val="32"/>
          <w:szCs w:val="32"/>
          <w:b w:val="1"/>
          <w:bCs w:val="1"/>
          <w:color w:val="auto"/>
        </w:rPr>
      </w:pPr>
      <w:r>
        <w:rPr>
          <w:rFonts w:ascii="Arial" w:cs="Arial" w:eastAsia="Arial" w:hAnsi="Arial"/>
          <w:sz w:val="18"/>
          <w:szCs w:val="18"/>
          <w:color w:val="auto"/>
        </w:rPr>
        <w:t>4299413</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6.98%</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7"/>
          <w:szCs w:val="17"/>
          <w:color w:val="auto"/>
        </w:rPr>
        <w:t>BD</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ind w:left="100"/>
              <w:spacing w:after="0"/>
              <w:rPr>
                <w:sz w:val="20"/>
                <w:szCs w:val="20"/>
                <w:color w:val="auto"/>
              </w:rPr>
            </w:pPr>
            <w:r>
              <w:rPr>
                <w:rFonts w:ascii="Arial" w:cs="Arial" w:eastAsia="Arial" w:hAnsi="Arial"/>
                <w:sz w:val="18"/>
                <w:szCs w:val="18"/>
                <w:color w:val="auto"/>
              </w:rPr>
              <w:t>G4705A100</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Neuberger Berman Equity Funds</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8"/>
        </w:numPr>
        <w:rPr>
          <w:rFonts w:ascii="Arial" w:cs="Arial" w:eastAsia="Arial" w:hAnsi="Arial"/>
          <w:sz w:val="32"/>
          <w:szCs w:val="32"/>
          <w:b w:val="1"/>
          <w:bCs w:val="1"/>
          <w:color w:val="auto"/>
        </w:rPr>
      </w:pPr>
      <w:r>
        <w:rPr>
          <w:rFonts w:ascii="Arial" w:cs="Arial" w:eastAsia="Arial" w:hAnsi="Arial"/>
          <w:sz w:val="18"/>
          <w:szCs w:val="18"/>
          <w:color w:val="auto"/>
        </w:rPr>
        <w:t>Delaware</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3846676</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5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3846676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9"/>
        </w:numPr>
        <w:rPr>
          <w:rFonts w:ascii="Arial" w:cs="Arial" w:eastAsia="Arial" w:hAnsi="Arial"/>
          <w:sz w:val="32"/>
          <w:szCs w:val="32"/>
          <w:b w:val="1"/>
          <w:bCs w:val="1"/>
          <w:color w:val="auto"/>
        </w:rPr>
      </w:pPr>
      <w:r>
        <w:rPr>
          <w:rFonts w:ascii="Arial" w:cs="Arial" w:eastAsia="Arial" w:hAnsi="Arial"/>
          <w:sz w:val="18"/>
          <w:szCs w:val="18"/>
          <w:color w:val="auto"/>
        </w:rPr>
        <w:t>3846676</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6.25%</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IV</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Item 1.</w:t>
      </w:r>
    </w:p>
    <w:p>
      <w:pPr>
        <w:spacing w:after="0" w:line="256" w:lineRule="exact"/>
        <w:rPr>
          <w:sz w:val="20"/>
          <w:szCs w:val="20"/>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Name of Issuer</w:t>
      </w:r>
    </w:p>
    <w:p>
      <w:pPr>
        <w:spacing w:after="0" w:line="23"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ICON PLC</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Address of Issuer’s Principal Executive Offices</w:t>
      </w:r>
    </w:p>
    <w:p>
      <w:pPr>
        <w:spacing w:after="0" w:line="23"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SOUTH COUNTY BUSINESS PARKLEOPARDSTOWN DUBLIN 18 L2 00000</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56" w:lineRule="exact"/>
        <w:rPr>
          <w:sz w:val="20"/>
          <w:szCs w:val="20"/>
          <w:color w:val="auto"/>
        </w:rPr>
      </w:pPr>
    </w:p>
    <w:p>
      <w:pPr>
        <w:ind w:left="1300" w:right="7160" w:hanging="644"/>
        <w:spacing w:after="0" w:line="257"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Name of Person Filing Neuberger Berman Group LLC Neuberger Berman LLC Neuberger Berman Management LLC Neuberger Berman Equity Funds</w:t>
      </w:r>
    </w:p>
    <w:p>
      <w:pPr>
        <w:spacing w:after="0" w:line="215" w:lineRule="exact"/>
        <w:rPr>
          <w:rFonts w:ascii="Arial" w:cs="Arial" w:eastAsia="Arial" w:hAnsi="Arial"/>
          <w:sz w:val="18"/>
          <w:szCs w:val="18"/>
          <w:color w:val="auto"/>
        </w:rPr>
      </w:pPr>
    </w:p>
    <w:p>
      <w:pPr>
        <w:ind w:left="1300" w:right="5620" w:hanging="644"/>
        <w:spacing w:after="0" w:line="258"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 605 Third Avenue</w:t>
      </w:r>
    </w:p>
    <w:p>
      <w:pPr>
        <w:spacing w:after="0" w:line="1"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New York, NY 10158</w:t>
      </w:r>
    </w:p>
    <w:p>
      <w:pPr>
        <w:spacing w:after="0" w:line="237" w:lineRule="exact"/>
        <w:rPr>
          <w:rFonts w:ascii="Arial" w:cs="Arial" w:eastAsia="Arial" w:hAnsi="Arial"/>
          <w:sz w:val="18"/>
          <w:szCs w:val="18"/>
          <w:color w:val="auto"/>
        </w:rPr>
      </w:pPr>
    </w:p>
    <w:p>
      <w:pPr>
        <w:ind w:left="1300" w:right="9080" w:hanging="644"/>
        <w:spacing w:after="0" w:line="342" w:lineRule="auto"/>
        <w:tabs>
          <w:tab w:leader="none" w:pos="13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Citizenship Delaware</w:t>
      </w:r>
    </w:p>
    <w:p>
      <w:pPr>
        <w:spacing w:after="0" w:line="150" w:lineRule="exact"/>
        <w:rPr>
          <w:rFonts w:ascii="Arial" w:cs="Arial" w:eastAsia="Arial" w:hAnsi="Arial"/>
          <w:sz w:val="16"/>
          <w:szCs w:val="16"/>
          <w:color w:val="auto"/>
        </w:rPr>
      </w:pPr>
    </w:p>
    <w:p>
      <w:pPr>
        <w:ind w:left="1300" w:right="7980" w:hanging="644"/>
        <w:spacing w:after="0" w:line="277"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Title of Class of Securities Common</w:t>
      </w:r>
    </w:p>
    <w:p>
      <w:pPr>
        <w:spacing w:after="0" w:line="197" w:lineRule="exact"/>
        <w:rPr>
          <w:rFonts w:ascii="Arial" w:cs="Arial" w:eastAsia="Arial" w:hAnsi="Arial"/>
          <w:sz w:val="18"/>
          <w:szCs w:val="18"/>
          <w:color w:val="auto"/>
        </w:rPr>
      </w:pPr>
    </w:p>
    <w:p>
      <w:pPr>
        <w:ind w:left="1300" w:right="8760" w:hanging="644"/>
        <w:spacing w:after="0" w:line="342" w:lineRule="auto"/>
        <w:tabs>
          <w:tab w:leader="none" w:pos="13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CUSIP Number G4705A100</w:t>
      </w:r>
    </w:p>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§§240.13d-1(b) or 240.13d-2(b) or (c), check whether the person filing is a:</w:t>
      </w:r>
    </w:p>
    <w:p>
      <w:pPr>
        <w:spacing w:after="0" w:line="256" w:lineRule="exact"/>
        <w:rPr>
          <w:sz w:val="20"/>
          <w:szCs w:val="20"/>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Broker or dealer registered under section 15 of the Act (15 U.S.C. 78o).</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Bank as defined in section 3(a)(6)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Insurance company as defined in section 3(a)(19)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Investment company registered under section 8 of the Investment Company Act of 1940 (15 U.S.C 80a-8).</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investment adviser in accordance with §240.13d-1(b)(1)(ii)(E);</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employee benefit plan or endowment fund in accordance with §240.13d-1(b)(1)(ii)(F);</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parent holding company or control person in accordance with § 240.13d-1(b)(1)(ii)(G);</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savings associations as defined in Section 3(b) of the Federal Deposit Insurance Act (12 U.S.C. 1813);</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2"/>
        </w:numPr>
        <w:rPr>
          <w:rFonts w:ascii="Arial" w:cs="Arial" w:eastAsia="Arial" w:hAnsi="Arial"/>
          <w:sz w:val="18"/>
          <w:szCs w:val="18"/>
          <w:color w:val="auto"/>
        </w:rPr>
      </w:pPr>
      <w:r>
        <w:rPr>
          <w:rFonts w:ascii="Arial" w:cs="Arial" w:eastAsia="Arial" w:hAnsi="Arial"/>
          <w:sz w:val="18"/>
          <w:szCs w:val="18"/>
          <w:color w:val="auto"/>
        </w:rPr>
        <w:t>oA church plan that is excluded from the definition of an investment company under section 3(c)(14) of the Investment Company Act of 1940 (15 U.S.C. 80a-3);</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non-U.S. institution in accordance with § 240.13d-1(b)(1)(ii)(J).</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2"/>
        </w:numPr>
        <w:rPr>
          <w:rFonts w:ascii="Arial" w:cs="Arial" w:eastAsia="Arial" w:hAnsi="Arial"/>
          <w:sz w:val="18"/>
          <w:szCs w:val="18"/>
          <w:color w:val="auto"/>
        </w:rPr>
      </w:pPr>
      <w:r>
        <w:rPr>
          <w:rFonts w:ascii="Arial" w:cs="Arial" w:eastAsia="Arial" w:hAnsi="Arial"/>
          <w:sz w:val="18"/>
          <w:szCs w:val="18"/>
          <w:color w:val="auto"/>
        </w:rPr>
        <w:t>xA group, in accordance with § 240.13d-1(b)(1)(ii)(K). If filing as a non-U.S. institution in accordance with § 240.13d-1(b)(1)(ii) (J),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533400</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00"/>
          </w:cols>
          <w:pgMar w:left="240" w:top="513" w:right="45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Item 4. Ownership.</w:t>
      </w: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252" w:lineRule="exact"/>
        <w:rPr>
          <w:sz w:val="20"/>
          <w:szCs w:val="20"/>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Amount beneficially owned: 4,827,558</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Percent of class: 7.84%</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Sole power to vote or to direct the vote: 0</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Shared power to vote or to direct the vote: 4,813,933</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4,827,558</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o .</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249" w:lineRule="exact"/>
        <w:rPr>
          <w:sz w:val="20"/>
          <w:szCs w:val="20"/>
          <w:color w:val="auto"/>
        </w:rPr>
      </w:pPr>
    </w:p>
    <w:p>
      <w:pPr>
        <w:ind w:right="20" w:firstLine="648"/>
        <w:spacing w:after="0" w:line="235" w:lineRule="auto"/>
        <w:rPr>
          <w:sz w:val="20"/>
          <w:szCs w:val="20"/>
          <w:color w:val="auto"/>
        </w:rPr>
      </w:pPr>
      <w:r>
        <w:rPr>
          <w:rFonts w:ascii="Arial" w:cs="Arial" w:eastAsia="Arial" w:hAnsi="Arial"/>
          <w:sz w:val="22"/>
          <w:szCs w:val="22"/>
          <w:color w:val="auto"/>
        </w:rPr>
        <w:t>Neuberger Berman Group LLC and its affiliates may be deemed to be beneficial owners of securities for purposes of Exchange Act Rule 13d-3 because they or certain affiliated persons have shared power to retain, dispose of or vote the securities of unrelated clients. Neuberger Berman Group LLC or its affiliated persons do not, however, have any economic interest in the securities of those clients. The clients have the sole right to receive and the power to direct the receipt of dividends from or proceeds from the sale of such securities. No one client (other than clients otherwise disclosed herein) has an interest of more than 5% of the issuer.</w:t>
      </w:r>
    </w:p>
    <w:p>
      <w:pPr>
        <w:spacing w:after="0" w:line="215" w:lineRule="exact"/>
        <w:rPr>
          <w:sz w:val="20"/>
          <w:szCs w:val="20"/>
          <w:color w:val="auto"/>
        </w:rPr>
      </w:pPr>
    </w:p>
    <w:p>
      <w:pPr>
        <w:ind w:right="120"/>
        <w:spacing w:after="0" w:line="277" w:lineRule="auto"/>
        <w:rPr>
          <w:sz w:val="20"/>
          <w:szCs w:val="20"/>
          <w:color w:val="auto"/>
        </w:rPr>
      </w:pPr>
      <w:r>
        <w:rPr>
          <w:rFonts w:ascii="Arial" w:cs="Arial" w:eastAsia="Arial" w:hAnsi="Arial"/>
          <w:sz w:val="19"/>
          <w:szCs w:val="19"/>
          <w:color w:val="auto"/>
        </w:rPr>
        <w:t>With regard to the shares set forth under item 4(c)(ii), Neuberger Berman Group LLC may be deemed to be the beneficial owner for purposes of Rule 13d-3 because certain affiliated persons have shared power to retain, dispose of and vote the securities. In addition to the holdings of individual advisory clients, each of Neuberger Berman LLC and Neuberger Berman Management LLC serve as a sub-adviser and investment manager, respectively, of Neuberger Berman Group LLC’s various registered mutual funds which hold such shares. The holdings belonging to clients of Neuberger Berman Trust Co N.A., Neuberger Berman Trust Co of Delaware N.A., NB Alternatives Advisers LLC, Neuberger Berman Fixed Income LLC and NB Alternative Investment Management LLC, affiliates of Neuberger Berman LLC, are also aggregated to comprise the holdings referenced herein.</w:t>
      </w:r>
    </w:p>
    <w:p>
      <w:pPr>
        <w:spacing w:after="0" w:line="180" w:lineRule="exact"/>
        <w:rPr>
          <w:sz w:val="20"/>
          <w:szCs w:val="20"/>
          <w:color w:val="auto"/>
        </w:rPr>
      </w:pPr>
    </w:p>
    <w:p>
      <w:pPr>
        <w:ind w:right="80"/>
        <w:spacing w:after="0" w:line="282" w:lineRule="auto"/>
        <w:rPr>
          <w:sz w:val="20"/>
          <w:szCs w:val="20"/>
          <w:color w:val="auto"/>
        </w:rPr>
      </w:pPr>
      <w:r>
        <w:rPr>
          <w:rFonts w:ascii="Arial" w:cs="Arial" w:eastAsia="Arial" w:hAnsi="Arial"/>
          <w:sz w:val="19"/>
          <w:szCs w:val="19"/>
          <w:color w:val="auto"/>
        </w:rPr>
        <w:t>In addition to the shares set forth under Item 4(c)(ii) for which Neuberger entities also have shared power to dispose of the shares, item 4(c)(iv) also includes shares from individual client accounts over which Neuberger Berman LLC has shared power to dispose but does not have voting power over these shares. The holdings of Neuberger Berman Trust Co N.A., Neuberger Berman Trust Co of Delaware N.A., NB Alternatives Advisers LLC, Neuberger Berman Fixed Income LLC and NB Alternative Investment Management LLC, affiliates of Neuberger Berman LLC, are also aggregated to comprise the holdings referenced herein.</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7. Identification and Classification of the Subsidiary Which Acquired the Security Being Reported on By the Parent Holding Company</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725170</wp:posOffset>
            </wp:positionV>
            <wp:extent cx="72720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513" w:right="299" w:bottom="1440" w:gutter="0" w:footer="0" w:header="0"/>
        </w:sectPr>
      </w:pPr>
    </w:p>
    <w:bookmarkStart w:id="7" w:name="page8"/>
    <w:bookmarkEnd w:id="7"/>
    <w:p>
      <w:pPr>
        <w:spacing w:after="0"/>
        <w:tabs>
          <w:tab w:leader="none" w:pos="580" w:val="left"/>
        </w:tabs>
        <w:rPr>
          <w:sz w:val="20"/>
          <w:szCs w:val="20"/>
          <w:color w:val="auto"/>
        </w:rPr>
      </w:pPr>
      <w:r>
        <w:rPr>
          <w:rFonts w:ascii="Arial" w:cs="Arial" w:eastAsia="Arial" w:hAnsi="Arial"/>
          <w:sz w:val="18"/>
          <w:szCs w:val="18"/>
          <w:b w:val="1"/>
          <w:bCs w:val="1"/>
          <w:color w:val="auto"/>
        </w:rPr>
        <w:t>Item</w:t>
        <w:tab/>
        <w:t>Certification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w:t>
      </w:r>
    </w:p>
    <w:p>
      <w:pPr>
        <w:spacing w:after="0" w:line="211" w:lineRule="exact"/>
        <w:rPr>
          <w:sz w:val="20"/>
          <w:szCs w:val="20"/>
          <w:color w:val="auto"/>
        </w:rPr>
      </w:pPr>
    </w:p>
    <w:p>
      <w:pPr>
        <w:ind w:left="600" w:right="20"/>
        <w:spacing w:after="0" w:line="259"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00" w:lineRule="exact"/>
        <w:rPr>
          <w:sz w:val="20"/>
          <w:szCs w:val="20"/>
          <w:color w:val="auto"/>
        </w:rPr>
      </w:pPr>
    </w:p>
    <w:p>
      <w:pPr>
        <w:spacing w:after="0" w:line="27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Neuberger Berman Group LLC</w:t>
      </w:r>
    </w:p>
    <w:p>
      <w:pPr>
        <w:sectPr>
          <w:pgSz w:w="11900" w:h="16838" w:orient="portrait"/>
          <w:cols w:equalWidth="0" w:num="1">
            <w:col w:w="11360"/>
          </w:cols>
          <w:pgMar w:left="240" w:top="756" w:right="29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10, 2015</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/s/ Brad Cetron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Brad Cetron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Title: Deputy General Counsel</w:t>
      </w:r>
    </w:p>
    <w:p>
      <w:pPr>
        <w:spacing w:after="0" w:line="200" w:lineRule="exact"/>
        <w:rPr>
          <w:sz w:val="20"/>
          <w:szCs w:val="20"/>
          <w:color w:val="auto"/>
        </w:rPr>
      </w:pPr>
    </w:p>
    <w:p>
      <w:pPr>
        <w:sectPr>
          <w:pgSz w:w="11900" w:h="16838" w:orient="portrait"/>
          <w:cols w:equalWidth="0" w:num="3">
            <w:col w:w="5000" w:space="720"/>
            <w:col w:w="260" w:space="100"/>
            <w:col w:w="5280"/>
          </w:cols>
          <w:pgMar w:left="240" w:top="756" w:right="2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Neuberger Berman LLC</w:t>
      </w:r>
    </w:p>
    <w:p>
      <w:pPr>
        <w:sectPr>
          <w:pgSz w:w="11900" w:h="16838" w:orient="portrait"/>
          <w:cols w:equalWidth="0" w:num="1">
            <w:col w:w="11360"/>
          </w:cols>
          <w:pgMar w:left="240" w:top="756" w:right="29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10, 2015</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 Brad Cetron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Brad Cetron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Title: Deputy General Counsel</w:t>
      </w:r>
    </w:p>
    <w:p>
      <w:pPr>
        <w:spacing w:after="0" w:line="200" w:lineRule="exact"/>
        <w:rPr>
          <w:sz w:val="20"/>
          <w:szCs w:val="20"/>
          <w:color w:val="auto"/>
        </w:rPr>
      </w:pPr>
    </w:p>
    <w:p>
      <w:pPr>
        <w:sectPr>
          <w:pgSz w:w="11900" w:h="16838" w:orient="portrait"/>
          <w:cols w:equalWidth="0" w:num="3">
            <w:col w:w="5000" w:space="720"/>
            <w:col w:w="260" w:space="100"/>
            <w:col w:w="5280"/>
          </w:cols>
          <w:pgMar w:left="240" w:top="756" w:right="2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Neuberger Berman Management LLC</w:t>
      </w:r>
    </w:p>
    <w:p>
      <w:pPr>
        <w:sectPr>
          <w:pgSz w:w="11900" w:h="16838" w:orient="portrait"/>
          <w:cols w:equalWidth="0" w:num="1">
            <w:col w:w="11360"/>
          </w:cols>
          <w:pgMar w:left="240" w:top="756" w:right="29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10, 2015</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 Robert Conti</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Name: Robert Conti</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Title: President</w:t>
      </w:r>
    </w:p>
    <w:p>
      <w:pPr>
        <w:spacing w:after="0" w:line="200" w:lineRule="exact"/>
        <w:rPr>
          <w:sz w:val="20"/>
          <w:szCs w:val="20"/>
          <w:color w:val="auto"/>
        </w:rPr>
      </w:pPr>
    </w:p>
    <w:p>
      <w:pPr>
        <w:sectPr>
          <w:pgSz w:w="11900" w:h="16838" w:orient="portrait"/>
          <w:cols w:equalWidth="0" w:num="3">
            <w:col w:w="5000" w:space="720"/>
            <w:col w:w="260" w:space="100"/>
            <w:col w:w="5280"/>
          </w:cols>
          <w:pgMar w:left="240" w:top="756" w:right="2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Neuberger Berman Equity Funds</w:t>
      </w:r>
    </w:p>
    <w:p>
      <w:pPr>
        <w:sectPr>
          <w:pgSz w:w="11900" w:h="16838" w:orient="portrait"/>
          <w:cols w:equalWidth="0" w:num="1">
            <w:col w:w="11360"/>
          </w:cols>
          <w:pgMar w:left="240" w:top="756" w:right="29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10, 2015</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 Robert Conti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Robert Conti</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Title: President and Chief Executive Officer</w:t>
      </w:r>
    </w:p>
    <w:p>
      <w:pPr>
        <w:spacing w:after="0" w:line="200" w:lineRule="exact"/>
        <w:rPr>
          <w:sz w:val="20"/>
          <w:szCs w:val="20"/>
          <w:color w:val="auto"/>
        </w:rPr>
      </w:pPr>
    </w:p>
    <w:p>
      <w:pPr>
        <w:sectPr>
          <w:pgSz w:w="11900" w:h="16838" w:orient="portrait"/>
          <w:cols w:equalWidth="0" w:num="3">
            <w:col w:w="5000" w:space="720"/>
            <w:col w:w="260" w:space="100"/>
            <w:col w:w="5280"/>
          </w:cols>
          <w:pgMar w:left="240" w:top="756" w:right="299" w:bottom="1440" w:gutter="0" w:footer="0" w:header="0"/>
          <w:type w:val="continuous"/>
        </w:sectPr>
      </w:pPr>
    </w:p>
    <w:p>
      <w:pPr>
        <w:spacing w:after="0" w:line="273" w:lineRule="exact"/>
        <w:rPr>
          <w:sz w:val="20"/>
          <w:szCs w:val="20"/>
          <w:color w:val="auto"/>
        </w:rPr>
      </w:pPr>
    </w:p>
    <w:p>
      <w:pPr>
        <w:ind w:left="860" w:hanging="850"/>
        <w:spacing w:after="0" w:line="295" w:lineRule="auto"/>
        <w:rPr>
          <w:sz w:val="20"/>
          <w:szCs w:val="20"/>
          <w:color w:val="auto"/>
        </w:rPr>
      </w:pPr>
      <w:r>
        <w:rPr>
          <w:rFonts w:ascii="Arial" w:cs="Arial" w:eastAsia="Arial" w:hAnsi="Arial"/>
          <w:sz w:val="16"/>
          <w:szCs w:val="16"/>
          <w:b w:val="1"/>
          <w:bCs w:val="1"/>
          <w:color w:val="auto"/>
        </w:rPr>
        <w:t xml:space="preserve">Footnotes: </w:t>
      </w:r>
      <w:r>
        <w:rPr>
          <w:rFonts w:ascii="Arial" w:cs="Arial" w:eastAsia="Arial" w:hAnsi="Arial"/>
          <w:sz w:val="16"/>
          <w:szCs w:val="16"/>
          <w:color w:val="auto"/>
        </w:rPr>
        <w:t>Neuberger Berman LLC, Neuberger Berman Management LLC, Neuberger Berman Trust Co N.A., Neuberger Berman Trust Co of Delaware</w:t>
      </w:r>
      <w:r>
        <w:rPr>
          <w:rFonts w:ascii="Arial" w:cs="Arial" w:eastAsia="Arial" w:hAnsi="Arial"/>
          <w:sz w:val="16"/>
          <w:szCs w:val="16"/>
          <w:b w:val="1"/>
          <w:bCs w:val="1"/>
          <w:color w:val="auto"/>
        </w:rPr>
        <w:t xml:space="preserve"> </w:t>
      </w:r>
      <w:r>
        <w:rPr>
          <w:rFonts w:ascii="Arial" w:cs="Arial" w:eastAsia="Arial" w:hAnsi="Arial"/>
          <w:sz w:val="16"/>
          <w:szCs w:val="16"/>
          <w:color w:val="auto"/>
        </w:rPr>
        <w:t>N.A., NB Alternatives Advisers LLC, Neuberger Berman Fixed Income LLC and NB Alternative Investment Management and certain affiliated persons may be deemed to beneficially own the securities covered by this report in their various fiduciary capacities by virtue of the provisions of Exchange Act Rule 13d-3. Neuberger Berman Group LLC, through its subsidiary Neuberger Berman Holdings LLC, controls Neuberger Berman LLC, Neuberger Berman Management LLC, Neuberger Berman Trust Co N.A., Neuberger Berman Trust Co of Delaware N.A., NB Alternatives Advisers LLC, Neuberger Berman Fixed Income LLC, NB Alternative Investment Management LLC and certain affiliated persons.</w:t>
      </w:r>
    </w:p>
    <w:p>
      <w:pPr>
        <w:spacing w:after="0" w:line="160" w:lineRule="exact"/>
        <w:rPr>
          <w:sz w:val="20"/>
          <w:szCs w:val="20"/>
          <w:color w:val="auto"/>
        </w:rPr>
      </w:pPr>
    </w:p>
    <w:p>
      <w:pPr>
        <w:ind w:left="860" w:right="80"/>
        <w:spacing w:after="0" w:line="257" w:lineRule="auto"/>
        <w:rPr>
          <w:sz w:val="20"/>
          <w:szCs w:val="20"/>
          <w:color w:val="auto"/>
        </w:rPr>
      </w:pPr>
      <w:r>
        <w:rPr>
          <w:rFonts w:ascii="Arial" w:cs="Arial" w:eastAsia="Arial" w:hAnsi="Arial"/>
          <w:sz w:val="18"/>
          <w:szCs w:val="18"/>
          <w:color w:val="auto"/>
        </w:rPr>
        <w:t>This report is not an admission that any of these entities are the beneficial owner of the securities covered by this report and each of Neuberger Berman Group LLC, Neuberger Berman Holdings LLC, Neuberger Berman LLC, Neuberger Berman Management LLC, Neuberger Berman Trust Co N.A., Neuberger Berman Trust Co of Delaware N.A., NB Alternatives Advisers LLC, Neuberger Berman Fixed Income LLC and NB Alternative Investment Management LLC and certain affiliated persons disclaim beneficial ownership of the securities covered by this statement pursuant to Exchange Act Rule 13d-4.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Attention: Intentional misstatements or omissions of fact constitute Federal criminal violations (See 18 U.S.C. 1001)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365125</wp:posOffset>
            </wp:positionV>
            <wp:extent cx="728916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sectPr>
      <w:pgSz w:w="11900" w:h="16838" w:orient="portrait"/>
      <w:cols w:equalWidth="0" w:num="1">
        <w:col w:w="11360"/>
      </w:cols>
      <w:pgMar w:left="240" w:top="756" w:right="2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lvl w:ilvl="1">
      <w:lvlJc w:val="left"/>
      <w:lvlText w:val="x"/>
      <w:numFmt w:val="bullet"/>
      <w:start w:val="1"/>
    </w:lvl>
  </w:abstractNum>
  <w:abstractNum w:abstractNumId="1">
    <w:nsid w:val="79E2A9E3"/>
    <w:multiLevelType w:val="hybridMultilevel"/>
    <w:lvl w:ilvl="0">
      <w:lvlJc w:val="left"/>
      <w:lvlText w:val="4"/>
      <w:numFmt w:val="bullet"/>
      <w:start w:val="1"/>
    </w:lvl>
  </w:abstractNum>
  <w:abstractNum w:abstractNumId="2">
    <w:nsid w:val="7545E146"/>
    <w:multiLevelType w:val="hybridMultilevel"/>
    <w:lvl w:ilvl="0">
      <w:lvlJc w:val="left"/>
      <w:lvlText w:val="9"/>
      <w:numFmt w:val="bullet"/>
      <w:start w:val="1"/>
    </w:lvl>
  </w:abstractNum>
  <w:abstractNum w:abstractNumId="3">
    <w:nsid w:val="515F007C"/>
    <w:multiLevelType w:val="hybridMultilevel"/>
    <w:lvl w:ilvl="0">
      <w:lvlJc w:val="left"/>
      <w:lvlText w:val="4"/>
      <w:numFmt w:val="bullet"/>
      <w:start w:val="1"/>
    </w:lvl>
  </w:abstractNum>
  <w:abstractNum w:abstractNumId="4">
    <w:nsid w:val="5BD062C2"/>
    <w:multiLevelType w:val="hybridMultilevel"/>
    <w:lvl w:ilvl="0">
      <w:lvlJc w:val="left"/>
      <w:lvlText w:val="9"/>
      <w:numFmt w:val="bullet"/>
      <w:start w:val="1"/>
    </w:lvl>
  </w:abstractNum>
  <w:abstractNum w:abstractNumId="5">
    <w:nsid w:val="12200854"/>
    <w:multiLevelType w:val="hybridMultilevel"/>
    <w:lvl w:ilvl="0">
      <w:lvlJc w:val="left"/>
      <w:lvlText w:val="4"/>
      <w:numFmt w:val="bullet"/>
      <w:start w:val="1"/>
    </w:lvl>
  </w:abstractNum>
  <w:abstractNum w:abstractNumId="6">
    <w:nsid w:val="4DB127F8"/>
    <w:multiLevelType w:val="hybridMultilevel"/>
    <w:lvl w:ilvl="0">
      <w:lvlJc w:val="left"/>
      <w:lvlText w:val="9"/>
      <w:numFmt w:val="bullet"/>
      <w:start w:val="1"/>
    </w:lvl>
  </w:abstractNum>
  <w:abstractNum w:abstractNumId="7">
    <w:nsid w:val="216231B"/>
    <w:multiLevelType w:val="hybridMultilevel"/>
    <w:lvl w:ilvl="0">
      <w:lvlJc w:val="left"/>
      <w:lvlText w:val="4"/>
      <w:numFmt w:val="bullet"/>
      <w:start w:val="1"/>
    </w:lvl>
  </w:abstractNum>
  <w:abstractNum w:abstractNumId="8">
    <w:nsid w:val="1F16E9E8"/>
    <w:multiLevelType w:val="hybridMultilevel"/>
    <w:lvl w:ilvl="0">
      <w:lvlJc w:val="left"/>
      <w:lvlText w:val="9"/>
      <w:numFmt w:val="bullet"/>
      <w:start w:val="1"/>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lowerLetter"/>
      <w:start w:val="1"/>
    </w:lvl>
  </w:abstractNum>
  <w:abstractNum w:abstractNumId="11">
    <w:nsid w:val="140E0F76"/>
    <w:multiLevelType w:val="hybridMultilevel"/>
    <w:lvl w:ilvl="0">
      <w:lvlJc w:val="left"/>
      <w:lvlText w:val="(%1)"/>
      <w:numFmt w:val="lowerLetter"/>
      <w:start w:val="1"/>
    </w:lvl>
  </w:abstractNum>
  <w:abstractNum w:abstractNumId="12">
    <w:nsid w:val="3352255A"/>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2019-12-07T04:41:49Z</dcterms:created>
  <dcterms:modified xsi:type="dcterms:W3CDTF">2019-12-07T04:41:49Z</dcterms:modified>
</cp:coreProperties>
</file>