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South County Business Park</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Leopardstown, Dublin 18, Ireland</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June 16, 2016</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Craig Arakawa</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Accounting Branch Chief</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Beverages, Apparel and Mining</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56" w:lineRule="exact"/>
        <w:rPr>
          <w:sz w:val="24"/>
          <w:szCs w:val="24"/>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ICON plc − Form 20-F for the Fiscal Year Ended December 31, 2015</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Arakawa:</w:t>
      </w:r>
    </w:p>
    <w:p>
      <w:pPr>
        <w:spacing w:after="0" w:line="252" w:lineRule="exact"/>
        <w:rPr>
          <w:sz w:val="24"/>
          <w:szCs w:val="24"/>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ICON plc (the ‘Company’) is in receipt of your letter dated June 8, 2016 (the ‘Comment Letter’) setting forth the comments of the staff (the ‘Staff’) of the Securities and Exchange Commission (the ‘Commission’) relating to the Form 20-F for the fiscal year ended December 31, 2015 (File no. 333-08704) filed by the Company with the Commission (the ‘Annual Statement’) on March 23, 2016.</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your convenience, we have reproduced the comment from the Comment Letter (in bold) immediately before the Company’s response.</w:t>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19. Financial Statements and Exhibits</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 of ICON plc and subsidiaries, page 80</w:t>
      </w:r>
    </w:p>
    <w:p>
      <w:pPr>
        <w:spacing w:after="0" w:line="230" w:lineRule="exact"/>
        <w:rPr>
          <w:sz w:val="24"/>
          <w:szCs w:val="24"/>
          <w:color w:val="auto"/>
        </w:rPr>
      </w:pPr>
    </w:p>
    <w:p>
      <w:pPr>
        <w:ind w:left="660" w:hanging="652"/>
        <w:spacing w:after="0" w:line="286" w:lineRule="auto"/>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disclosure that the consent of KPMG, Independent Registered Public Accounting Firm is filed herewith. However the consent is not included as Exhibit 23.1. Please amend your filing to include the consent of KPMG.</w:t>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RESPONSE</w:t>
      </w:r>
      <w:r>
        <w:rPr>
          <w:rFonts w:ascii="Times New Roman" w:cs="Times New Roman" w:eastAsia="Times New Roman" w:hAnsi="Times New Roman"/>
          <w:sz w:val="18"/>
          <w:szCs w:val="18"/>
          <w:color w:val="auto"/>
        </w:rPr>
        <w:t>:</w:t>
      </w:r>
    </w:p>
    <w:p>
      <w:pPr>
        <w:spacing w:after="0" w:line="31" w:lineRule="exact"/>
        <w:rPr>
          <w:sz w:val="24"/>
          <w:szCs w:val="24"/>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acknowledge the Staff’s comment and have filed with the Commission on June 16, 2016 an amendment to the Annual Report on Form 20-F for the fiscal year ended December 31, 2015 filed on March 23, 2016, solely to include Exhibit 23.1 Consent of KPMG, Independent Registered Public Accounting Firm, as this consent was inadvertently omitted in the Annual Report on Form 20-F for the fiscal year ended December 31, 2015 filed on March 23, 2016.</w:t>
      </w:r>
    </w:p>
    <w:p>
      <w:pPr>
        <w:spacing w:after="0" w:line="213"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acknowledges that it is responsible for the adequacy and accuracy of the disclosure in the Form 20-F and in its other filings under the Securities Exchange Act of 1934, as amended. The Company acknowledges that comments of the Staff regarding the Form 20-F or changes to disclosure in response to the Staff’s comments do not foreclose the Commission from taking any action with respect to such filings. The Company also acknowledges that the Staff’s comments may not be asserted by the Company as a defense in any proceeding initiated by the Commission or any person under the federal securities laws of the United States.</w:t>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 have also included the Form 20-F/A (Amendment No. 1) as an Appendix to this letter for your convenience.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711" w:right="279" w:bottom="1440" w:gutter="0" w:footer="0" w:header="0"/>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t>I believe that I have fully responded to your comment. However, if you have any questions about my response to your comment or require further explanation, please do not hesitate to call me at (011)-353-1-291-2000.</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ICON plc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/s/Brendan Brennan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Brendan Brennan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Encl: Form 20-F/A (Amendment No. 1) filed with the Commission on June 16,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560"/>
          </w:cols>
          <w:pgMar w:left="240" w:top="121" w:right="109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D.C.20549</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u w:val="single" w:color="auto"/>
          <w:color w:val="auto"/>
        </w:rPr>
        <w:t>____________</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20-F/A</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___</w:t>
      </w:r>
      <w:r>
        <w:rPr>
          <w:rFonts w:ascii="Times New Roman" w:cs="Times New Roman" w:eastAsia="Times New Roman" w:hAnsi="Times New Roman"/>
          <w:sz w:val="18"/>
          <w:szCs w:val="18"/>
          <w:b w:val="1"/>
          <w:bCs w:val="1"/>
          <w:color w:val="auto"/>
        </w:rPr>
        <w:t xml:space="preserve"> Registration statement pursuant to Section 12(b) or (g) of the Securities Exchange Act of 1934</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_X_</w:t>
      </w:r>
      <w:r>
        <w:rPr>
          <w:rFonts w:ascii="Times New Roman" w:cs="Times New Roman" w:eastAsia="Times New Roman" w:hAnsi="Times New Roman"/>
          <w:sz w:val="18"/>
          <w:szCs w:val="18"/>
          <w:b w:val="1"/>
          <w:bCs w:val="1"/>
          <w:color w:val="auto"/>
        </w:rPr>
        <w:t xml:space="preserve"> Annual report pursuant to Section 13 or 15 (d) of the Securities Exchange Act of 1934</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2015</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___</w:t>
      </w:r>
      <w:r>
        <w:rPr>
          <w:rFonts w:ascii="Times New Roman" w:cs="Times New Roman" w:eastAsia="Times New Roman" w:hAnsi="Times New Roman"/>
          <w:sz w:val="18"/>
          <w:szCs w:val="18"/>
          <w:b w:val="1"/>
          <w:bCs w:val="1"/>
          <w:color w:val="auto"/>
        </w:rPr>
        <w:t xml:space="preserve"> Transition report pursuant to Section 13 or 15(d) of the Securities Exchange Act of 1934</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___</w:t>
      </w:r>
      <w:r>
        <w:rPr>
          <w:rFonts w:ascii="Times New Roman" w:cs="Times New Roman" w:eastAsia="Times New Roman" w:hAnsi="Times New Roman"/>
          <w:sz w:val="18"/>
          <w:szCs w:val="18"/>
          <w:b w:val="1"/>
          <w:bCs w:val="1"/>
          <w:color w:val="auto"/>
        </w:rPr>
        <w:t xml:space="preserve"> Shell company report pursuant to section 13 or 15(d) of the Securities Exchange Act of 1934.</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u w:val="single" w:color="auto"/>
          <w:color w:val="auto"/>
        </w:rPr>
        <w:t>__________________________</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333-08704</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ICON PUBLIC LIMITED COMPANY</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u w:val="single" w:color="auto"/>
          <w:color w:val="auto"/>
        </w:rPr>
        <w:t>__________________________</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ICON PUBLIC LIMITED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1781810</wp:posOffset>
            </wp:positionH>
            <wp:positionV relativeFrom="paragraph">
              <wp:posOffset>-31115</wp:posOffset>
            </wp:positionV>
            <wp:extent cx="369379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93795" cy="17145"/>
                    </a:xfrm>
                    <a:prstGeom prst="rect">
                      <a:avLst/>
                    </a:prstGeom>
                    <a:noFill/>
                  </pic:spPr>
                </pic:pic>
              </a:graphicData>
            </a:graphic>
          </wp:anchor>
        </w:drawing>
      </w:r>
    </w:p>
    <w:p>
      <w:pPr>
        <w:ind w:left="40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2176780</wp:posOffset>
            </wp:positionH>
            <wp:positionV relativeFrom="paragraph">
              <wp:posOffset>-19050</wp:posOffset>
            </wp:positionV>
            <wp:extent cx="29032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03220" cy="8890"/>
                    </a:xfrm>
                    <a:prstGeom prst="rect">
                      <a:avLst/>
                    </a:prstGeom>
                    <a:noFill/>
                  </pic:spPr>
                </pic:pic>
              </a:graphicData>
            </a:graphic>
          </wp:anchor>
        </w:drawing>
      </w:r>
    </w:p>
    <w:p>
      <w:pPr>
        <w:ind w:left="4040"/>
        <w:spacing w:after="0"/>
        <w:rPr>
          <w:sz w:val="20"/>
          <w:szCs w:val="20"/>
          <w:color w:val="auto"/>
        </w:rPr>
      </w:pPr>
      <w:r>
        <w:rPr>
          <w:rFonts w:ascii="Times New Roman" w:cs="Times New Roman" w:eastAsia="Times New Roman" w:hAnsi="Times New Roman"/>
          <w:sz w:val="18"/>
          <w:szCs w:val="18"/>
          <w:color w:val="auto"/>
        </w:rPr>
        <w:t>(Jurisdiction of Incorporation or Organization)</w:t>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SOUTH COUNTY BUSINESS PARK,</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LEOPARDSTOWN,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DUBLIN 18, IRELAND</w:t>
      </w:r>
    </w:p>
    <w:p>
      <w:pPr>
        <w:spacing w:after="0" w:line="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u w:val="single" w:color="auto"/>
          <w:color w:val="auto"/>
        </w:rPr>
        <w:t>_____________________ __________________</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Brendan Brennan, Chief Financial Officer</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South County Business Park Leopardstown, Dublin 18, Ireland.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Brendan.Brennan@iconplc.com</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011-353-1-291-2000</w:t>
      </w:r>
    </w:p>
    <w:p>
      <w:pPr>
        <w:spacing w:after="0" w:line="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u w:val="single" w:color="auto"/>
          <w:color w:val="auto"/>
        </w:rPr>
        <w:t>___________________________________</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telephone number, email and/or facsimile number and address of Company contact person)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232" w:lineRule="exact"/>
        <w:rPr>
          <w:sz w:val="20"/>
          <w:szCs w:val="20"/>
          <w:color w:val="auto"/>
        </w:rPr>
      </w:pPr>
    </w:p>
    <w:p>
      <w:pPr>
        <w:ind w:left="1440"/>
        <w:spacing w:after="0"/>
        <w:tabs>
          <w:tab w:leader="none" w:pos="9200" w:val="left"/>
        </w:tabs>
        <w:rPr>
          <w:sz w:val="20"/>
          <w:szCs w:val="20"/>
          <w:color w:val="auto"/>
        </w:rPr>
      </w:pPr>
      <w:r>
        <w:rPr>
          <w:rFonts w:ascii="Times New Roman" w:cs="Times New Roman" w:eastAsia="Times New Roman" w:hAnsi="Times New Roman"/>
          <w:sz w:val="18"/>
          <w:szCs w:val="18"/>
          <w:i w:val="1"/>
          <w:iCs w:val="1"/>
          <w:color w:val="auto"/>
        </w:rPr>
        <w:t>Title of each class</w:t>
      </w:r>
      <w:r>
        <w:rPr>
          <w:sz w:val="20"/>
          <w:szCs w:val="20"/>
          <w:color w:val="auto"/>
        </w:rPr>
        <w:tab/>
      </w:r>
      <w:r>
        <w:rPr>
          <w:rFonts w:ascii="Times New Roman" w:cs="Times New Roman" w:eastAsia="Times New Roman" w:hAnsi="Times New Roman"/>
          <w:sz w:val="18"/>
          <w:szCs w:val="18"/>
          <w:i w:val="1"/>
          <w:iCs w:val="1"/>
          <w:color w:val="auto"/>
        </w:rPr>
        <w:t>Name of exchange on which</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registered</w:t>
      </w:r>
    </w:p>
    <w:p>
      <w:pPr>
        <w:spacing w:after="0" w:line="9" w:lineRule="exact"/>
        <w:rPr>
          <w:sz w:val="20"/>
          <w:szCs w:val="20"/>
          <w:color w:val="auto"/>
        </w:rPr>
      </w:pPr>
    </w:p>
    <w:p>
      <w:pPr>
        <w:ind w:right="700"/>
        <w:spacing w:after="0" w:line="250" w:lineRule="auto"/>
        <w:rPr>
          <w:sz w:val="20"/>
          <w:szCs w:val="20"/>
          <w:color w:val="auto"/>
        </w:rPr>
      </w:pPr>
      <w:r>
        <w:rPr>
          <w:rFonts w:ascii="Times New Roman" w:cs="Times New Roman" w:eastAsia="Times New Roman" w:hAnsi="Times New Roman"/>
          <w:sz w:val="18"/>
          <w:szCs w:val="18"/>
          <w:b w:val="1"/>
          <w:bCs w:val="1"/>
          <w:color w:val="auto"/>
        </w:rPr>
        <w:t>ORDINARY SHARES, PAR VALUE €0.06 EACH NASDAQ GLOBAL SELECT MARKET</w:t>
      </w:r>
    </w:p>
    <w:p>
      <w:pPr>
        <w:spacing w:after="0" w:line="21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12(g) of the Act:</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i w:val="1"/>
          <w:iCs w:val="1"/>
          <w:color w:val="auto"/>
        </w:rPr>
        <w:t>Title of each class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NONE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Securities for which there is a reporting obligation pursuant to Section 15(d) of the Act: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NONE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(Title of class)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annual report: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54,958,912 Ordinary Shares.</w:t>
      </w:r>
    </w:p>
    <w:p>
      <w:pPr>
        <w:spacing w:after="0" w:line="9" w:lineRule="exact"/>
        <w:rPr>
          <w:sz w:val="20"/>
          <w:szCs w:val="20"/>
          <w:color w:val="auto"/>
        </w:rPr>
      </w:pPr>
    </w:p>
    <w:p>
      <w:pPr>
        <w:spacing w:after="0"/>
        <w:tabs>
          <w:tab w:leader="none" w:pos="9420" w:val="left"/>
        </w:tabs>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determined in Rule 405 of the Securities Act. Yes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ab/>
        <w:t>No__</w:t>
      </w:r>
    </w:p>
    <w:p>
      <w:pPr>
        <w:spacing w:after="0" w:line="9" w:lineRule="exact"/>
        <w:rPr>
          <w:sz w:val="20"/>
          <w:szCs w:val="20"/>
          <w:color w:val="auto"/>
        </w:rPr>
      </w:pPr>
    </w:p>
    <w:p>
      <w:pPr>
        <w:ind w:right="460"/>
        <w:spacing w:after="0" w:line="250" w:lineRule="auto"/>
        <w:rPr>
          <w:sz w:val="20"/>
          <w:szCs w:val="20"/>
          <w:color w:val="auto"/>
        </w:rPr>
      </w:pPr>
      <w:r>
        <w:rPr>
          <w:rFonts w:ascii="Times New Roman" w:cs="Times New Roman" w:eastAsia="Times New Roman" w:hAnsi="Times New Roman"/>
          <w:sz w:val="18"/>
          <w:szCs w:val="18"/>
          <w:color w:val="auto"/>
        </w:rPr>
        <w:t xml:space="preserve">If this report is an annual or transition report, indicate by check mark if the registrant is not required to file reports pursuant to section 13 or 15(d) of the Securities Exchange Act of 1934. Yes __ No </w:t>
      </w:r>
      <w:r>
        <w:rPr>
          <w:rFonts w:ascii="Times New Roman" w:cs="Times New Roman" w:eastAsia="Times New Roman" w:hAnsi="Times New Roman"/>
          <w:sz w:val="18"/>
          <w:szCs w:val="18"/>
          <w:u w:val="single" w:color="auto"/>
          <w:color w:val="auto"/>
        </w:rPr>
        <w:t>X</w:t>
      </w:r>
    </w:p>
    <w:p>
      <w:pPr>
        <w:spacing w:after="0" w:line="1" w:lineRule="exact"/>
        <w:rPr>
          <w:sz w:val="20"/>
          <w:szCs w:val="20"/>
          <w:color w:val="auto"/>
        </w:rPr>
      </w:pPr>
    </w:p>
    <w:p>
      <w:pPr>
        <w:jc w:val="both"/>
        <w:ind w:right="140"/>
        <w:spacing w:after="0" w:line="250"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1934 during the preceding 12 months (or for such shorter period that the registrant was required to file such reports), and (2) has been subject to such filing requirements for the past 90 days: Yes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No__</w:t>
      </w:r>
    </w:p>
    <w:p>
      <w:pPr>
        <w:spacing w:after="0" w:line="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Yes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No__ Indicate by check mark whether the registrant is a large accelerated filer, an accelerated filer, or a non- accelerated filer.</w:t>
      </w:r>
    </w:p>
    <w:tbl>
      <w:tblPr>
        <w:tblLayout w:type="fixed"/>
        <w:tblInd w:w="0" w:type="dxa"/>
        <w:tblCellMar>
          <w:top w:w="0" w:type="dxa"/>
          <w:left w:w="0" w:type="dxa"/>
          <w:bottom w:w="0" w:type="dxa"/>
          <w:right w:w="0" w:type="dxa"/>
        </w:tblCellMar>
      </w:tblPr>
      <w:tr>
        <w:trPr>
          <w:trHeight w:val="177"/>
        </w:trPr>
        <w:tc>
          <w:tcPr>
            <w:tcW w:w="184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Large accelerated filer X</w:t>
            </w:r>
          </w:p>
        </w:tc>
        <w:tc>
          <w:tcPr>
            <w:tcW w:w="5980" w:type="dxa"/>
            <w:vAlign w:val="bottom"/>
          </w:tcPr>
          <w:p>
            <w:pPr>
              <w:ind w:left="4540"/>
              <w:spacing w:after="0" w:line="177" w:lineRule="exact"/>
              <w:rPr>
                <w:sz w:val="20"/>
                <w:szCs w:val="20"/>
                <w:color w:val="auto"/>
              </w:rPr>
            </w:pPr>
            <w:r>
              <w:rPr>
                <w:rFonts w:ascii="Times New Roman" w:cs="Times New Roman" w:eastAsia="Times New Roman" w:hAnsi="Times New Roman"/>
                <w:sz w:val="18"/>
                <w:szCs w:val="18"/>
                <w:color w:val="auto"/>
                <w:w w:val="99"/>
              </w:rPr>
              <w:t>Accelerated filer __</w:t>
            </w:r>
          </w:p>
        </w:tc>
      </w:tr>
      <w:tr>
        <w:trPr>
          <w:trHeight w:val="20"/>
        </w:trPr>
        <w:tc>
          <w:tcPr>
            <w:tcW w:w="1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r>
        <w:trPr>
          <w:trHeight w:val="237"/>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Non-accelerated filer __</w:t>
            </w:r>
          </w:p>
        </w:tc>
        <w:tc>
          <w:tcPr>
            <w:tcW w:w="5980" w:type="dxa"/>
            <w:vAlign w:val="bottom"/>
          </w:tcPr>
          <w:p>
            <w:pPr>
              <w:spacing w:after="0"/>
              <w:rPr>
                <w:sz w:val="20"/>
                <w:szCs w:val="20"/>
                <w:color w:val="auto"/>
              </w:rPr>
            </w:pPr>
          </w:p>
        </w:tc>
      </w:tr>
    </w:tbl>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tbl>
      <w:tblPr>
        <w:tblLayout w:type="fixed"/>
        <w:tblInd w:w="0" w:type="dxa"/>
        <w:tblCellMar>
          <w:top w:w="0" w:type="dxa"/>
          <w:left w:w="0" w:type="dxa"/>
          <w:bottom w:w="0" w:type="dxa"/>
          <w:right w:w="0" w:type="dxa"/>
        </w:tblCellMar>
      </w:tblPr>
      <w:tr>
        <w:trPr>
          <w:trHeight w:val="185"/>
        </w:trPr>
        <w:tc>
          <w:tcPr>
            <w:tcW w:w="108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U.S. GAAP X</w:t>
            </w:r>
          </w:p>
        </w:tc>
        <w:tc>
          <w:tcPr>
            <w:tcW w:w="8160" w:type="dxa"/>
            <w:vAlign w:val="bottom"/>
          </w:tcPr>
          <w:p>
            <w:pPr>
              <w:ind w:left="3240"/>
              <w:spacing w:after="0" w:line="185" w:lineRule="exact"/>
              <w:rPr>
                <w:sz w:val="20"/>
                <w:szCs w:val="20"/>
                <w:color w:val="auto"/>
              </w:rPr>
            </w:pPr>
            <w:r>
              <w:rPr>
                <w:rFonts w:ascii="Times New Roman" w:cs="Times New Roman" w:eastAsia="Times New Roman" w:hAnsi="Times New Roman"/>
                <w:sz w:val="18"/>
                <w:szCs w:val="18"/>
                <w:color w:val="auto"/>
              </w:rPr>
              <w:t>International Financial Reporting Standards as issued __   Other __</w:t>
            </w:r>
          </w:p>
        </w:tc>
      </w:tr>
      <w:tr>
        <w:trPr>
          <w:trHeight w:val="237"/>
        </w:trPr>
        <w:tc>
          <w:tcPr>
            <w:tcW w:w="9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16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by the International Accounting Standards Board</w:t>
            </w:r>
          </w:p>
        </w:tc>
      </w:tr>
    </w:tbl>
    <w:p>
      <w:pPr>
        <w:ind w:right="140"/>
        <w:spacing w:after="0" w:line="250" w:lineRule="auto"/>
        <w:rPr>
          <w:sz w:val="20"/>
          <w:szCs w:val="20"/>
          <w:color w:val="auto"/>
        </w:rPr>
      </w:pPr>
      <w:r>
        <w:rPr>
          <w:rFonts w:ascii="Times New Roman" w:cs="Times New Roman" w:eastAsia="Times New Roman" w:hAnsi="Times New Roman"/>
          <w:sz w:val="18"/>
          <w:szCs w:val="18"/>
          <w:color w:val="auto"/>
        </w:rPr>
        <w:t>If “Other” has been checked in response to the previous question, indicate by check mark which financial statement item the registrant has elected to follow. Item 17 __ Item 18__</w:t>
      </w:r>
    </w:p>
    <w:p>
      <w:pPr>
        <w:spacing w:after="0" w:line="1" w:lineRule="exact"/>
        <w:rPr>
          <w:sz w:val="20"/>
          <w:szCs w:val="20"/>
          <w:color w:val="auto"/>
        </w:rPr>
      </w:pPr>
    </w:p>
    <w:p>
      <w:pPr>
        <w:spacing w:after="0"/>
        <w:tabs>
          <w:tab w:leader="none" w:pos="10720" w:val="left"/>
        </w:tabs>
        <w:rPr>
          <w:sz w:val="20"/>
          <w:szCs w:val="20"/>
          <w:color w:val="auto"/>
        </w:rPr>
      </w:pPr>
      <w:r>
        <w:rPr>
          <w:rFonts w:ascii="Times New Roman" w:cs="Times New Roman" w:eastAsia="Times New Roman" w:hAnsi="Times New Roman"/>
          <w:sz w:val="18"/>
          <w:szCs w:val="18"/>
          <w:color w:val="auto"/>
        </w:rPr>
        <w:t>If this is an annual report, indicate by check mark whether the registrant is a shell company (as defined in Rule 12b-2 of the Exchange Act) Yes __</w:t>
        <w:tab/>
        <w:t xml:space="preserve">No </w:t>
      </w:r>
      <w:r>
        <w:rPr>
          <w:rFonts w:ascii="Times New Roman" w:cs="Times New Roman" w:eastAsia="Times New Roman" w:hAnsi="Times New Roman"/>
          <w:sz w:val="18"/>
          <w:szCs w:val="18"/>
          <w:u w:val="single" w:color="auto"/>
          <w:color w:val="auto"/>
        </w:rPr>
        <w:t>X</w:t>
      </w:r>
    </w:p>
    <w:p>
      <w:pPr>
        <w:sectPr>
          <w:pgSz w:w="11900" w:h="16838" w:orient="portrait"/>
          <w:cols w:equalWidth="0" w:num="1">
            <w:col w:w="11400"/>
          </w:cols>
          <w:pgMar w:left="240" w:top="117" w:right="259" w:bottom="947"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7" w:right="259" w:bottom="947"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Amendment No. 1 (the “Amendment No. 1”) to the Annual Report on Form 20-F for the fiscal year ended December 31, 2015 originally filed with the Securities and Exchange Commission (the “SEC”) on March 23, 2016 (the “2015 Form 20-F”) is being filed solely to include Exhibit 23.1 Consent of KPMG, Independent Registered Public Accounting Firm, as this consent was inadvertantly omitted in the 2015 Form 20-F. The inclusion of this consent is the only change to the 2015 Form 20-F.</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Amendment No. 1 speaks as of the filing date of the 2015 Form 20-F on March 23, 2016. Other than as expressly set forth above, this Amendment No. 1 does not, and does not purport to, amend, update or restate the information in the 2015 Form 20-F, or reflect any events that have occurred after the 2015 Form 20-F was originally filed.</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required by Rule 12b-15 of the Securities and Exchange Act of 1934, as amended, we are also filing the certifications required under Section 302 of the Sarbanes Oxley Act of 2002 as exhibits to this Amendment No. 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1420" w:type="dxa"/>
            <w:vAlign w:val="bottom"/>
          </w:tcPr>
          <w:p>
            <w:pPr>
              <w:spacing w:after="0"/>
              <w:rPr>
                <w:sz w:val="20"/>
                <w:szCs w:val="20"/>
                <w:color w:val="auto"/>
              </w:rPr>
            </w:pPr>
          </w:p>
        </w:tc>
        <w:tc>
          <w:tcPr>
            <w:tcW w:w="9780" w:type="dxa"/>
            <w:vAlign w:val="bottom"/>
          </w:tcPr>
          <w:p>
            <w:pPr>
              <w:ind w:left="340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630"/>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Exhibit</w:t>
            </w:r>
          </w:p>
        </w:tc>
        <w:tc>
          <w:tcPr>
            <w:tcW w:w="9780" w:type="dxa"/>
            <w:vAlign w:val="bottom"/>
          </w:tcPr>
          <w:p>
            <w:pPr>
              <w:spacing w:after="0"/>
              <w:rPr>
                <w:sz w:val="24"/>
                <w:szCs w:val="24"/>
                <w:color w:val="auto"/>
              </w:rPr>
            </w:pPr>
          </w:p>
        </w:tc>
      </w:tr>
      <w:tr>
        <w:trPr>
          <w:trHeight w:val="23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Number</w:t>
            </w:r>
          </w:p>
        </w:tc>
        <w:tc>
          <w:tcPr>
            <w:tcW w:w="97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Title</w:t>
            </w:r>
          </w:p>
        </w:tc>
      </w:tr>
      <w:tr>
        <w:trPr>
          <w:trHeight w:val="41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978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9"/>
              </w:rPr>
              <w:t>Description of the Memorandum and Articles of Association of the Company (incorporated by reference to exhibit 3.1 to the</w:t>
            </w:r>
          </w:p>
        </w:tc>
      </w:tr>
      <w:tr>
        <w:trPr>
          <w:trHeight w:val="234"/>
        </w:trPr>
        <w:tc>
          <w:tcPr>
            <w:tcW w:w="1420" w:type="dxa"/>
            <w:vAlign w:val="bottom"/>
          </w:tcPr>
          <w:p>
            <w:pPr>
              <w:spacing w:after="0"/>
              <w:rPr>
                <w:sz w:val="20"/>
                <w:szCs w:val="20"/>
                <w:color w:val="auto"/>
              </w:rPr>
            </w:pPr>
          </w:p>
        </w:tc>
        <w:tc>
          <w:tcPr>
            <w:tcW w:w="97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Form 20F (File No. 333-08704) filed on March 6, 2013).</w:t>
            </w:r>
          </w:p>
        </w:tc>
      </w:tr>
      <w:tr>
        <w:trPr>
          <w:trHeight w:val="432"/>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97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Section 302 certifications.</w:t>
            </w:r>
          </w:p>
        </w:tc>
      </w:tr>
      <w:tr>
        <w:trPr>
          <w:trHeight w:val="432"/>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12.2**</w:t>
            </w:r>
          </w:p>
        </w:tc>
        <w:tc>
          <w:tcPr>
            <w:tcW w:w="97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Section 906 certifications.</w:t>
            </w:r>
          </w:p>
        </w:tc>
      </w:tr>
      <w:tr>
        <w:trPr>
          <w:trHeight w:val="432"/>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97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List of Subsidiaries (incorporated by reference to Item 4 of Form 20-F) (File No. 333-08704) filed on March 23, 2016).</w:t>
            </w:r>
          </w:p>
        </w:tc>
      </w:tr>
      <w:tr>
        <w:trPr>
          <w:trHeight w:val="432"/>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7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Consent of KPMG, Independent Registered Public Accounting Firm</w:t>
            </w:r>
          </w:p>
        </w:tc>
      </w:tr>
      <w:tr>
        <w:trPr>
          <w:trHeight w:val="432"/>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97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Interactive Data Files (XBRL – Related Documents)</w:t>
            </w:r>
          </w:p>
        </w:tc>
      </w:tr>
    </w:tbl>
    <w:p>
      <w:pPr>
        <w:spacing w:after="0" w:line="225"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Company’s Annual Report on Form 20-F, filed with the Securities and Exchange Commission on March 23, 2016.</w:t>
      </w:r>
    </w:p>
    <w:p>
      <w:pPr>
        <w:spacing w:after="0" w:line="200" w:lineRule="exact"/>
        <w:rPr>
          <w:sz w:val="20"/>
          <w:szCs w:val="20"/>
          <w:color w:val="auto"/>
        </w:rPr>
      </w:pPr>
    </w:p>
    <w:p>
      <w:pPr>
        <w:spacing w:after="0" w:line="2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240" w:top="117"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Amendment No. 1 to its annual report on its behalf.</w:t>
      </w:r>
    </w:p>
    <w:p>
      <w:pPr>
        <w:spacing w:after="0" w:line="185"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4885055</wp:posOffset>
            </wp:positionH>
            <wp:positionV relativeFrom="paragraph">
              <wp:posOffset>17145</wp:posOffset>
            </wp:positionV>
            <wp:extent cx="236664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6664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16, 2016</w:t>
      </w:r>
    </w:p>
    <w:p>
      <w:pPr>
        <w:spacing w:after="0" w:line="27"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Brendan Brennan</w:t>
      </w:r>
    </w:p>
    <w:p>
      <w:pPr>
        <w:spacing w:after="0" w:line="9"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0" w:right="25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Brendan Brennan, certify that:</w:t>
      </w:r>
    </w:p>
    <w:p>
      <w:pPr>
        <w:spacing w:after="0" w:line="252"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annual report on Form 20-F of ICON plc (“the registrant”).</w:t>
      </w:r>
    </w:p>
    <w:p>
      <w:pPr>
        <w:spacing w:after="0" w:line="252"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ind w:left="660" w:right="20" w:hanging="4"/>
        <w:spacing w:after="0" w:line="266" w:lineRule="auto"/>
        <w:tabs>
          <w:tab w:leader="none" w:pos="84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660" w:right="240" w:hanging="4"/>
        <w:spacing w:after="0" w:line="266" w:lineRule="auto"/>
        <w:tabs>
          <w:tab w:leader="none" w:pos="85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660" w:right="900" w:hanging="4"/>
        <w:spacing w:after="0" w:line="313" w:lineRule="auto"/>
        <w:tabs>
          <w:tab w:leader="none" w:pos="845"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Times New Roman" w:cs="Times New Roman" w:eastAsia="Times New Roman" w:hAnsi="Times New Roman"/>
          <w:sz w:val="17"/>
          <w:szCs w:val="17"/>
          <w:color w:val="auto"/>
        </w:rPr>
      </w:pPr>
    </w:p>
    <w:p>
      <w:pPr>
        <w:ind w:left="660" w:right="480" w:hanging="4"/>
        <w:spacing w:after="0" w:line="313" w:lineRule="auto"/>
        <w:tabs>
          <w:tab w:leader="none" w:pos="855"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period covered by the annual report that has materially affected, or is reasonably likely to materially affect, the company’s internal control over financial reporting.</w:t>
      </w:r>
    </w:p>
    <w:p>
      <w:pPr>
        <w:spacing w:after="0" w:line="165" w:lineRule="exact"/>
        <w:rPr>
          <w:rFonts w:ascii="Times New Roman" w:cs="Times New Roman" w:eastAsia="Times New Roman" w:hAnsi="Times New Roman"/>
          <w:sz w:val="17"/>
          <w:szCs w:val="17"/>
          <w:color w:val="auto"/>
        </w:rPr>
      </w:pPr>
    </w:p>
    <w:p>
      <w:pPr>
        <w:ind w:right="660" w:firstLine="8"/>
        <w:spacing w:after="0" w:line="282" w:lineRule="auto"/>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280" w:firstLine="8"/>
        <w:spacing w:after="0" w:line="282" w:lineRule="auto"/>
        <w:tabs>
          <w:tab w:leader="none" w:pos="1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520" w:firstLine="8"/>
        <w:spacing w:after="0" w:line="282" w:lineRule="auto"/>
        <w:tabs>
          <w:tab w:leader="none" w:pos="1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16, 2016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4490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Brendan Brennan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Ciaran Murray, certify that:</w:t>
      </w:r>
    </w:p>
    <w:p>
      <w:pPr>
        <w:spacing w:after="0" w:line="252"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annual report on Form 20-F of ICON plc (“the registrant”).</w:t>
      </w:r>
    </w:p>
    <w:p>
      <w:pPr>
        <w:spacing w:after="0" w:line="252" w:lineRule="exact"/>
        <w:rPr>
          <w:rFonts w:ascii="Times New Roman" w:cs="Times New Roman" w:eastAsia="Times New Roman" w:hAnsi="Times New Roman"/>
          <w:sz w:val="18"/>
          <w:szCs w:val="18"/>
          <w:color w:val="auto"/>
        </w:rPr>
      </w:pPr>
    </w:p>
    <w:p>
      <w:pPr>
        <w:ind w:right="420" w:firstLine="8"/>
        <w:spacing w:after="0" w:line="282" w:lineRule="auto"/>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40" w:firstLine="8"/>
        <w:spacing w:after="0" w:line="282" w:lineRule="auto"/>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firstLine="8"/>
        <w:spacing w:after="0" w:line="266" w:lineRule="auto"/>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ind w:left="660" w:hanging="4"/>
        <w:spacing w:after="0" w:line="266" w:lineRule="auto"/>
        <w:tabs>
          <w:tab w:leader="none" w:pos="84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660" w:right="220" w:hanging="4"/>
        <w:spacing w:after="0" w:line="266" w:lineRule="auto"/>
        <w:tabs>
          <w:tab w:leader="none" w:pos="85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660" w:right="880" w:hanging="4"/>
        <w:spacing w:after="0" w:line="313" w:lineRule="auto"/>
        <w:tabs>
          <w:tab w:leader="none" w:pos="845"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Times New Roman" w:cs="Times New Roman" w:eastAsia="Times New Roman" w:hAnsi="Times New Roman"/>
          <w:sz w:val="17"/>
          <w:szCs w:val="17"/>
          <w:color w:val="auto"/>
        </w:rPr>
      </w:pPr>
    </w:p>
    <w:p>
      <w:pPr>
        <w:ind w:left="660" w:right="460" w:hanging="4"/>
        <w:spacing w:after="0" w:line="313" w:lineRule="auto"/>
        <w:tabs>
          <w:tab w:leader="none" w:pos="855"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period covered by the annual report that has materially affected, or is reasonably likely to materially affect, the company’s internal control over financial reporting.</w:t>
      </w:r>
    </w:p>
    <w:p>
      <w:pPr>
        <w:spacing w:after="0" w:line="165" w:lineRule="exact"/>
        <w:rPr>
          <w:rFonts w:ascii="Times New Roman" w:cs="Times New Roman" w:eastAsia="Times New Roman" w:hAnsi="Times New Roman"/>
          <w:sz w:val="17"/>
          <w:szCs w:val="17"/>
          <w:color w:val="auto"/>
        </w:rPr>
      </w:pPr>
    </w:p>
    <w:p>
      <w:pPr>
        <w:ind w:right="640" w:firstLine="8"/>
        <w:spacing w:after="0" w:line="282" w:lineRule="auto"/>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260" w:firstLine="8"/>
        <w:spacing w:after="0" w:line="282" w:lineRule="auto"/>
        <w:tabs>
          <w:tab w:leader="none" w:pos="1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500" w:firstLine="8"/>
        <w:spacing w:after="0" w:line="282" w:lineRule="auto"/>
        <w:tabs>
          <w:tab w:leader="none" w:pos="1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16, 2016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Ciaran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4490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Ciaran Murray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ICON plc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333-204153 and 333-190068) each on Form S-8 of ICON plc of our reports dated March 23, 2016, with respect to the consolidated balance sheets of ICON plc as of December 31, 2015 and 2014 and the related consolidated statements of operations, comprehensive income, shareholders’ equity and comprehensive income, and cash flows for each of the years in the three-year period ended December 31, 2015, and the effectiveness of internal control over financial reporting as of December 31, 2015, which reports appear in the December 31, 2015 Annual Report on Form 20-F of ICON plc.</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KPMG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Dublin, Ireland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23, 2016</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2019-12-06T21:53:41Z</dcterms:created>
  <dcterms:modified xsi:type="dcterms:W3CDTF">2019-12-06T21:53:41Z</dcterms:modified>
</cp:coreProperties>
</file>