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D.C.20549</w:t>
      </w:r>
    </w:p>
    <w:p>
      <w:pPr>
        <w:spacing w:after="0" w:line="4" w:lineRule="exact"/>
        <w:rPr>
          <w:sz w:val="24"/>
          <w:szCs w:val="24"/>
          <w:color w:val="auto"/>
        </w:rPr>
      </w:pPr>
    </w:p>
    <w:p>
      <w:pPr>
        <w:ind w:left="2820"/>
        <w:spacing w:after="0"/>
        <w:rPr>
          <w:sz w:val="20"/>
          <w:szCs w:val="20"/>
          <w:color w:val="auto"/>
        </w:rPr>
      </w:pPr>
      <w:r>
        <w:rPr>
          <w:rFonts w:ascii="Arial" w:cs="Arial" w:eastAsia="Arial" w:hAnsi="Arial"/>
          <w:sz w:val="14"/>
          <w:szCs w:val="14"/>
          <w:u w:val="single" w:color="auto"/>
          <w:color w:val="auto"/>
        </w:rPr>
        <w:t>______________________________________________________________________</w:t>
      </w:r>
    </w:p>
    <w:p>
      <w:pPr>
        <w:spacing w:after="0" w:line="11"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20-F</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(Mark One)</w:t>
      </w:r>
    </w:p>
    <w:p>
      <w:pPr>
        <w:spacing w:after="0" w:line="13" w:lineRule="exact"/>
        <w:rPr>
          <w:sz w:val="24"/>
          <w:szCs w:val="24"/>
          <w:color w:val="auto"/>
        </w:rPr>
      </w:pPr>
    </w:p>
    <w:p>
      <w:pPr>
        <w:ind w:left="2500" w:hanging="184"/>
        <w:spacing w:after="0"/>
        <w:tabs>
          <w:tab w:leader="none" w:pos="25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0" w:lineRule="exact"/>
        <w:rPr>
          <w:sz w:val="24"/>
          <w:szCs w:val="24"/>
          <w:color w:val="auto"/>
        </w:rPr>
      </w:pPr>
    </w:p>
    <w:p>
      <w:pPr>
        <w:ind w:left="4080" w:right="2520" w:hanging="1464"/>
        <w:spacing w:after="0" w:line="296" w:lineRule="auto"/>
        <w:tabs>
          <w:tab w:leader="none" w:pos="28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 (d) of the Securities Exchange Act of 1934 For the fiscal year ended: December 31, 2022</w:t>
      </w:r>
    </w:p>
    <w:p>
      <w:pPr>
        <w:spacing w:after="0" w:line="135" w:lineRule="exact"/>
        <w:rPr>
          <w:sz w:val="24"/>
          <w:szCs w:val="24"/>
          <w:color w:val="auto"/>
        </w:rPr>
      </w:pPr>
    </w:p>
    <w:p>
      <w:pPr>
        <w:ind w:left="2720" w:hanging="184"/>
        <w:spacing w:after="0"/>
        <w:tabs>
          <w:tab w:leader="none" w:pos="2720" w:val="left"/>
        </w:tabs>
        <w:numPr>
          <w:ilvl w:val="1"/>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540" w:hanging="180"/>
        <w:spacing w:after="0"/>
        <w:tabs>
          <w:tab w:leader="none" w:pos="2540" w:val="left"/>
        </w:tabs>
        <w:numPr>
          <w:ilvl w:val="0"/>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38"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Arial" w:cs="Arial" w:eastAsia="Arial" w:hAnsi="Arial"/>
          <w:sz w:val="14"/>
          <w:szCs w:val="14"/>
          <w:b w:val="1"/>
          <w:bCs w:val="1"/>
          <w:u w:val="single" w:color="auto"/>
          <w:color w:val="auto"/>
        </w:rPr>
        <w:t>_____________________________________</w:t>
      </w:r>
    </w:p>
    <w:p>
      <w:pPr>
        <w:spacing w:after="0" w:line="23"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333-08704</w:t>
      </w:r>
    </w:p>
    <w:p>
      <w:pPr>
        <w:spacing w:after="0" w:line="177"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52070</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0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52070</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07"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(Translation of Registrant’s name into English)</w:t>
      </w:r>
    </w:p>
    <w:p>
      <w:pPr>
        <w:spacing w:after="0" w:line="78" w:lineRule="exact"/>
        <w:rPr>
          <w:sz w:val="24"/>
          <w:szCs w:val="24"/>
          <w:color w:val="auto"/>
        </w:rPr>
      </w:pPr>
    </w:p>
    <w:p>
      <w:pPr>
        <w:ind w:left="538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52070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07"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(Jurisdiction of Incorporation or Organization)</w:t>
      </w:r>
    </w:p>
    <w:p>
      <w:pPr>
        <w:spacing w:after="0" w:line="78"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South County Business Park,</w:t>
      </w:r>
    </w:p>
    <w:p>
      <w:pPr>
        <w:spacing w:after="0" w:line="42"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Leopardstown, Dublin 18, D18 X5R3</w:t>
      </w:r>
    </w:p>
    <w:p>
      <w:pPr>
        <w:spacing w:after="0" w:line="42" w:lineRule="exact"/>
        <w:rPr>
          <w:sz w:val="24"/>
          <w:szCs w:val="24"/>
          <w:color w:val="auto"/>
        </w:rPr>
      </w:pPr>
    </w:p>
    <w:p>
      <w:pPr>
        <w:ind w:left="538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52070</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07"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(Address of principal executive offices)</w:t>
      </w:r>
    </w:p>
    <w:p>
      <w:pPr>
        <w:spacing w:after="0" w:line="105"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Brendan Brennan, Chief Financial Officer</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County Business Park, Leopardstown, Dublin 18, D18 X5R3, Ireland.</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Brendan.Brennan@iconplc.com</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+353-1-291-2000</w:t>
      </w:r>
    </w:p>
    <w:p>
      <w:pPr>
        <w:spacing w:after="0" w:line="15" w:lineRule="exact"/>
        <w:rPr>
          <w:sz w:val="24"/>
          <w:szCs w:val="24"/>
          <w:color w:val="auto"/>
        </w:rPr>
      </w:pPr>
    </w:p>
    <w:p>
      <w:pPr>
        <w:ind w:left="4140"/>
        <w:spacing w:after="0"/>
        <w:rPr>
          <w:sz w:val="20"/>
          <w:szCs w:val="20"/>
          <w:color w:val="auto"/>
        </w:rPr>
      </w:pPr>
      <w:r>
        <w:rPr>
          <w:rFonts w:ascii="Arial" w:cs="Arial" w:eastAsia="Arial" w:hAnsi="Arial"/>
          <w:sz w:val="14"/>
          <w:szCs w:val="14"/>
          <w:b w:val="1"/>
          <w:bCs w:val="1"/>
          <w:u w:val="single" w:color="auto"/>
          <w:color w:val="auto"/>
        </w:rPr>
        <w:t>_____________________________________</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telephone number, email and/or facsimile number and address of Company contact person)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132"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32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1"/>
        </w:trPr>
        <w:tc>
          <w:tcPr>
            <w:tcW w:w="432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rPr>
              <w:t>ORDINARY SHARES, PAR VALUE €0.06 EACH</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ICLR</w:t>
            </w:r>
          </w:p>
        </w:tc>
        <w:tc>
          <w:tcPr>
            <w:tcW w:w="13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NONE</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156" w:lineRule="exact"/>
        <w:rPr>
          <w:sz w:val="24"/>
          <w:szCs w:val="24"/>
          <w:color w:val="auto"/>
        </w:rPr>
      </w:pPr>
    </w:p>
    <w:p>
      <w:pPr>
        <w:ind w:right="420"/>
        <w:spacing w:after="0" w:line="258"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81,723,555 Ordinary Shares.</w:t>
      </w:r>
    </w:p>
    <w:p>
      <w:pPr>
        <w:spacing w:after="0" w:line="161" w:lineRule="exact"/>
        <w:tabs>
          <w:tab w:leader="none" w:pos="820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69"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 accelerated filer or an emerging growth company.</w:t>
      </w:r>
    </w:p>
    <w:p>
      <w:pPr>
        <w:sectPr>
          <w:pgSz w:w="11900" w:h="16838" w:orient="portrait"/>
          <w:cols w:equalWidth="0" w:num="1">
            <w:col w:w="11160"/>
          </w:cols>
          <w:pgMar w:left="320" w:top="801" w:right="419" w:bottom="1440" w:gutter="0" w:footer="0" w:header="0"/>
        </w:sectPr>
      </w:pPr>
    </w:p>
    <w:p>
      <w:pPr>
        <w:spacing w:after="0" w:line="1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5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31" w:lineRule="exact"/>
        <w:rPr>
          <w:sz w:val="24"/>
          <w:szCs w:val="24"/>
          <w:color w:val="auto"/>
        </w:rPr>
      </w:pPr>
    </w:p>
    <w:p>
      <w:pPr>
        <w:sectPr>
          <w:pgSz w:w="11900" w:h="16838" w:orient="portrait"/>
          <w:cols w:equalWidth="0" w:num="3">
            <w:col w:w="3040" w:space="720"/>
            <w:col w:w="3220" w:space="720"/>
            <w:col w:w="3460"/>
          </w:cols>
          <w:pgMar w:left="320" w:top="801" w:right="41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160"/>
          </w:cols>
          <w:pgMar w:left="320" w:top="801" w:right="419" w:bottom="1440" w:gutter="0" w:footer="0" w:header="0"/>
          <w:type w:val="continuous"/>
        </w:sectPr>
      </w:pPr>
    </w:p>
    <w:p>
      <w:pPr>
        <w:spacing w:after="0" w:line="1" w:lineRule="exact"/>
        <w:rPr>
          <w:sz w:val="24"/>
          <w:szCs w:val="24"/>
          <w:color w:val="auto"/>
        </w:rPr>
      </w:pPr>
    </w:p>
    <w:p>
      <w:pPr>
        <w:ind w:right="80"/>
        <w:spacing w:after="0" w:line="239"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6" w:lineRule="exact"/>
        <w:rPr>
          <w:sz w:val="24"/>
          <w:szCs w:val="24"/>
          <w:color w:val="auto"/>
        </w:rPr>
      </w:pPr>
    </w:p>
    <w:p>
      <w:pPr>
        <w:ind w:right="480"/>
        <w:spacing w:after="0" w:line="17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which basis of accounting the registrant has used to prepare the financial statements included in this filing:</w:t>
      </w:r>
    </w:p>
    <w:p>
      <w:pPr>
        <w:spacing w:after="0" w:line="1" w:lineRule="exact"/>
        <w:rPr>
          <w:sz w:val="24"/>
          <w:szCs w:val="24"/>
          <w:color w:val="auto"/>
        </w:rPr>
      </w:pPr>
    </w:p>
    <w:p>
      <w:pPr>
        <w:ind w:left="2960" w:right="2480" w:hanging="2955"/>
        <w:spacing w:after="0" w:line="170" w:lineRule="exact"/>
        <w:tabs>
          <w:tab w:leader="none" w:pos="294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3"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0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00" w:type="dxa"/>
            <w:vAlign w:val="bottom"/>
            <w:gridSpan w:val="6"/>
          </w:tcPr>
          <w:p>
            <w:pPr>
              <w:jc w:val="center"/>
              <w:ind w:right="4040"/>
              <w:spacing w:after="0"/>
              <w:rPr>
                <w:sz w:val="20"/>
                <w:szCs w:val="20"/>
                <w:color w:val="auto"/>
              </w:rPr>
            </w:pPr>
            <w:r>
              <w:rPr>
                <w:rFonts w:ascii="Arial" w:cs="Arial" w:eastAsia="Arial" w:hAnsi="Arial"/>
                <w:sz w:val="16"/>
                <w:szCs w:val="16"/>
                <w:b w:val="1"/>
                <w:bCs w:val="1"/>
                <w:color w:val="auto"/>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6"/>
                <w:szCs w:val="16"/>
                <w:b w:val="1"/>
                <w:bCs w:val="1"/>
                <w:color w:val="auto"/>
              </w:rPr>
              <w:t>Page</w:t>
            </w:r>
          </w:p>
        </w:tc>
      </w:tr>
      <w:tr>
        <w:trPr>
          <w:trHeight w:val="412"/>
        </w:trPr>
        <w:tc>
          <w:tcPr>
            <w:tcW w:w="20" w:type="dxa"/>
            <w:vAlign w:val="bottom"/>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General Information</w:t>
            </w:r>
          </w:p>
        </w:tc>
        <w:tc>
          <w:tcPr>
            <w:tcW w:w="9340" w:type="dxa"/>
            <w:vAlign w:val="bottom"/>
            <w:gridSpan w:val="23"/>
          </w:tcPr>
          <w:p>
            <w:pPr>
              <w:spacing w:after="0"/>
              <w:rPr>
                <w:sz w:val="24"/>
                <w:szCs w:val="24"/>
                <w:color w:val="auto"/>
              </w:rPr>
            </w:pPr>
          </w:p>
        </w:tc>
        <w:tc>
          <w:tcPr>
            <w:tcW w:w="300" w:type="dxa"/>
            <w:vAlign w:val="bottom"/>
            <w:tcBorders>
              <w:top w:val="single" w:sz="8" w:color="auto"/>
            </w:tcBorders>
            <w:gridSpan w:val="3"/>
          </w:tcPr>
          <w:p>
            <w:pPr>
              <w:spacing w:after="0"/>
              <w:rPr>
                <w:sz w:val="24"/>
                <w:szCs w:val="24"/>
                <w:color w:val="auto"/>
              </w:rPr>
            </w:pPr>
          </w:p>
        </w:tc>
        <w:tc>
          <w:tcPr>
            <w:tcW w:w="100" w:type="dxa"/>
            <w:vAlign w:val="bottom"/>
            <w:tcBorders>
              <w:top w:val="single" w:sz="8" w:color="auto"/>
              <w:bottom w:val="single" w:sz="8" w:color="0000FF"/>
            </w:tcBorders>
          </w:tcPr>
          <w:p>
            <w:pPr>
              <w:jc w:val="right"/>
              <w:spacing w:after="0"/>
              <w:rPr>
                <w:sz w:val="20"/>
                <w:szCs w:val="20"/>
                <w:color w:val="auto"/>
              </w:rPr>
            </w:pPr>
            <w:r>
              <w:rPr>
                <w:rFonts w:ascii="Arial" w:cs="Arial" w:eastAsia="Arial" w:hAnsi="Arial"/>
                <w:sz w:val="16"/>
                <w:szCs w:val="16"/>
                <w:color w:val="0000FF"/>
                <w:w w:val="89"/>
              </w:rPr>
              <w:t>1</w:t>
            </w: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Cautionary Statement</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40" w:type="dxa"/>
            <w:vAlign w:val="bottom"/>
          </w:tcPr>
          <w:p>
            <w:pPr>
              <w:spacing w:after="0"/>
              <w:rPr>
                <w:sz w:val="24"/>
                <w:szCs w:val="24"/>
                <w:color w:val="auto"/>
              </w:rPr>
            </w:pPr>
          </w:p>
        </w:tc>
      </w:tr>
      <w:tr>
        <w:trPr>
          <w:trHeight w:val="501"/>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4"/>
          </w:tcPr>
          <w:p>
            <w:pPr>
              <w:jc w:val="center"/>
              <w:ind w:right="4680"/>
              <w:spacing w:after="0"/>
              <w:rPr>
                <w:sz w:val="20"/>
                <w:szCs w:val="20"/>
                <w:color w:val="auto"/>
              </w:rPr>
            </w:pPr>
            <w:r>
              <w:rPr>
                <w:rFonts w:ascii="Arial" w:cs="Arial" w:eastAsia="Arial" w:hAnsi="Arial"/>
                <w:sz w:val="16"/>
                <w:szCs w:val="16"/>
                <w:b w:val="1"/>
                <w:bCs w:val="1"/>
                <w:color w:val="auto"/>
                <w:w w:val="99"/>
              </w:rPr>
              <w:t>PART 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92"/>
        </w:trPr>
        <w:tc>
          <w:tcPr>
            <w:tcW w:w="20" w:type="dxa"/>
            <w:vAlign w:val="bottom"/>
          </w:tcPr>
          <w:p>
            <w:pPr>
              <w:spacing w:after="0"/>
              <w:rPr>
                <w:sz w:val="24"/>
                <w:szCs w:val="24"/>
                <w:color w:val="auto"/>
              </w:rPr>
            </w:pPr>
          </w:p>
        </w:tc>
        <w:tc>
          <w:tcPr>
            <w:tcW w:w="448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Item 1. Identity of Directors, Senior Management and Advisors</w:t>
            </w:r>
          </w:p>
        </w:tc>
        <w:tc>
          <w:tcPr>
            <w:tcW w:w="6300" w:type="dxa"/>
            <w:vAlign w:val="bottom"/>
            <w:gridSpan w:val="6"/>
          </w:tcPr>
          <w:p>
            <w:pPr>
              <w:spacing w:after="0"/>
              <w:rPr>
                <w:sz w:val="24"/>
                <w:szCs w:val="24"/>
                <w:color w:val="auto"/>
              </w:rPr>
            </w:pPr>
          </w:p>
        </w:tc>
        <w:tc>
          <w:tcPr>
            <w:tcW w:w="30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2</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2. Offer Statistics and Expected Timetable</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Item 3. Key Information</w:t>
            </w:r>
          </w:p>
        </w:tc>
        <w:tc>
          <w:tcPr>
            <w:tcW w:w="7400" w:type="dxa"/>
            <w:vAlign w:val="bottom"/>
            <w:gridSpan w:val="13"/>
          </w:tcPr>
          <w:p>
            <w:pPr>
              <w:spacing w:after="0"/>
              <w:rPr>
                <w:sz w:val="17"/>
                <w:szCs w:val="17"/>
                <w:color w:val="auto"/>
              </w:rPr>
            </w:pPr>
          </w:p>
        </w:tc>
        <w:tc>
          <w:tcPr>
            <w:tcW w:w="300" w:type="dxa"/>
            <w:vAlign w:val="bottom"/>
            <w:gridSpan w:val="3"/>
          </w:tcPr>
          <w:p>
            <w:pPr>
              <w:spacing w:after="0"/>
              <w:rPr>
                <w:sz w:val="17"/>
                <w:szCs w:val="17"/>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11"/>
          </w:tcPr>
          <w:p>
            <w:pPr>
              <w:spacing w:after="0"/>
              <w:rPr>
                <w:sz w:val="20"/>
                <w:szCs w:val="20"/>
                <w:color w:val="auto"/>
              </w:rPr>
            </w:pPr>
            <w:r>
              <w:rPr>
                <w:rFonts w:ascii="Arial" w:cs="Arial" w:eastAsia="Arial" w:hAnsi="Arial"/>
                <w:sz w:val="16"/>
                <w:szCs w:val="16"/>
                <w:color w:val="0000FF"/>
              </w:rPr>
              <w:t>Item 4. Information on the Company</w:t>
            </w:r>
          </w:p>
        </w:tc>
        <w:tc>
          <w:tcPr>
            <w:tcW w:w="8180" w:type="dxa"/>
            <w:vAlign w:val="bottom"/>
            <w:gridSpan w:val="16"/>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22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gridSpan w:val="12"/>
          </w:tcPr>
          <w:p>
            <w:pPr>
              <w:spacing w:after="0"/>
              <w:rPr>
                <w:sz w:val="20"/>
                <w:szCs w:val="20"/>
                <w:color w:val="auto"/>
              </w:rPr>
            </w:pPr>
            <w:r>
              <w:rPr>
                <w:rFonts w:ascii="Arial" w:cs="Arial" w:eastAsia="Arial" w:hAnsi="Arial"/>
                <w:sz w:val="16"/>
                <w:szCs w:val="16"/>
                <w:color w:val="0000FF"/>
              </w:rPr>
              <w:t>Item 4A. Unresolved Staff Comments</w:t>
            </w:r>
          </w:p>
        </w:tc>
        <w:tc>
          <w:tcPr>
            <w:tcW w:w="8100" w:type="dxa"/>
            <w:vAlign w:val="bottom"/>
            <w:gridSpan w:val="15"/>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55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5. Operating and Financial Review and Prospects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56</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16"/>
          </w:tcPr>
          <w:p>
            <w:pPr>
              <w:spacing w:after="0"/>
              <w:rPr>
                <w:sz w:val="20"/>
                <w:szCs w:val="20"/>
                <w:color w:val="auto"/>
              </w:rPr>
            </w:pPr>
            <w:r>
              <w:rPr>
                <w:rFonts w:ascii="Arial" w:cs="Arial" w:eastAsia="Arial" w:hAnsi="Arial"/>
                <w:sz w:val="16"/>
                <w:szCs w:val="16"/>
                <w:color w:val="0000FF"/>
              </w:rPr>
              <w:t>Item 6. Directors, Senior Management and Employees</w:t>
            </w:r>
          </w:p>
        </w:tc>
        <w:tc>
          <w:tcPr>
            <w:tcW w:w="6880" w:type="dxa"/>
            <w:vAlign w:val="bottom"/>
            <w:gridSpan w:val="11"/>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65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7. Major Shareholders and Related Party Transactions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79</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19"/>
          </w:tcPr>
          <w:p>
            <w:pPr>
              <w:spacing w:after="0"/>
              <w:rPr>
                <w:sz w:val="20"/>
                <w:szCs w:val="20"/>
                <w:color w:val="auto"/>
              </w:rPr>
            </w:pPr>
            <w:r>
              <w:rPr>
                <w:rFonts w:ascii="Arial" w:cs="Arial" w:eastAsia="Arial" w:hAnsi="Arial"/>
                <w:sz w:val="16"/>
                <w:szCs w:val="16"/>
                <w:color w:val="0000FF"/>
              </w:rPr>
              <w:t>Item 8. Financial Information</w:t>
            </w:r>
          </w:p>
        </w:tc>
        <w:tc>
          <w:tcPr>
            <w:tcW w:w="6520" w:type="dxa"/>
            <w:vAlign w:val="bottom"/>
            <w:gridSpan w:val="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gridSpan w:val="7"/>
          </w:tcPr>
          <w:p>
            <w:pPr>
              <w:spacing w:after="0"/>
              <w:rPr>
                <w:sz w:val="20"/>
                <w:szCs w:val="20"/>
                <w:color w:val="auto"/>
              </w:rPr>
            </w:pPr>
            <w:r>
              <w:rPr>
                <w:rFonts w:ascii="Arial" w:cs="Arial" w:eastAsia="Arial" w:hAnsi="Arial"/>
                <w:sz w:val="16"/>
                <w:szCs w:val="16"/>
                <w:color w:val="0000FF"/>
                <w:w w:val="98"/>
              </w:rPr>
              <w:t>Item 9. The Offer and Listing</w:t>
            </w:r>
          </w:p>
        </w:tc>
        <w:tc>
          <w:tcPr>
            <w:tcW w:w="8740" w:type="dxa"/>
            <w:vAlign w:val="bottom"/>
            <w:gridSpan w:val="20"/>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10. Additional Information</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2"/>
          </w:tcPr>
          <w:p>
            <w:pPr>
              <w:spacing w:after="0"/>
              <w:rPr>
                <w:sz w:val="20"/>
                <w:szCs w:val="20"/>
                <w:color w:val="auto"/>
              </w:rPr>
            </w:pPr>
            <w:r>
              <w:rPr>
                <w:rFonts w:ascii="Arial" w:cs="Arial" w:eastAsia="Arial" w:hAnsi="Arial"/>
                <w:sz w:val="16"/>
                <w:szCs w:val="16"/>
                <w:color w:val="0000FF"/>
              </w:rPr>
              <w:t>Item 11. Quantitative and Qualitative Disclosures about Market Risk</w:t>
            </w:r>
          </w:p>
        </w:tc>
        <w:tc>
          <w:tcPr>
            <w:tcW w:w="5920" w:type="dxa"/>
            <w:vAlign w:val="bottom"/>
            <w:gridSpan w:val="5"/>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89</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gridSpan w:val="22"/>
          </w:tcPr>
          <w:p>
            <w:pPr>
              <w:spacing w:after="0"/>
              <w:rPr>
                <w:sz w:val="20"/>
                <w:szCs w:val="20"/>
                <w:color w:val="auto"/>
              </w:rPr>
            </w:pPr>
            <w:r>
              <w:rPr>
                <w:rFonts w:ascii="Arial" w:cs="Arial" w:eastAsia="Arial" w:hAnsi="Arial"/>
                <w:sz w:val="16"/>
                <w:szCs w:val="16"/>
                <w:color w:val="0000FF"/>
              </w:rPr>
              <w:t>Item 12. Description of Securities Other than Equity Securities</w:t>
            </w:r>
          </w:p>
        </w:tc>
        <w:tc>
          <w:tcPr>
            <w:tcW w:w="5920" w:type="dxa"/>
            <w:vAlign w:val="bottom"/>
            <w:gridSpan w:val="5"/>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90</w:t>
            </w:r>
          </w:p>
        </w:tc>
        <w:tc>
          <w:tcPr>
            <w:tcW w:w="40" w:type="dxa"/>
            <w:vAlign w:val="bottom"/>
          </w:tcPr>
          <w:p>
            <w:pPr>
              <w:spacing w:after="0"/>
              <w:rPr>
                <w:sz w:val="17"/>
                <w:szCs w:val="17"/>
                <w:color w:val="auto"/>
              </w:rPr>
            </w:pPr>
          </w:p>
        </w:tc>
      </w:tr>
      <w:tr>
        <w:trPr>
          <w:trHeight w:val="501"/>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4"/>
          </w:tcPr>
          <w:p>
            <w:pPr>
              <w:ind w:left="200"/>
              <w:spacing w:after="0"/>
              <w:rPr>
                <w:sz w:val="20"/>
                <w:szCs w:val="20"/>
                <w:color w:val="auto"/>
              </w:rPr>
            </w:pPr>
            <w:r>
              <w:rPr>
                <w:rFonts w:ascii="Arial" w:cs="Arial" w:eastAsia="Arial" w:hAnsi="Arial"/>
                <w:sz w:val="16"/>
                <w:szCs w:val="16"/>
                <w:b w:val="1"/>
                <w:bCs w:val="1"/>
                <w:color w:val="auto"/>
              </w:rPr>
              <w:t>PART 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33"/>
        </w:trPr>
        <w:tc>
          <w:tcPr>
            <w:tcW w:w="20" w:type="dxa"/>
            <w:vAlign w:val="bottom"/>
          </w:tcPr>
          <w:p>
            <w:pPr>
              <w:spacing w:after="0"/>
              <w:rPr>
                <w:sz w:val="24"/>
                <w:szCs w:val="24"/>
                <w:color w:val="auto"/>
              </w:rPr>
            </w:pPr>
          </w:p>
        </w:tc>
        <w:tc>
          <w:tcPr>
            <w:tcW w:w="4180" w:type="dxa"/>
            <w:vAlign w:val="bottom"/>
            <w:gridSpan w:val="18"/>
          </w:tcPr>
          <w:p>
            <w:pPr>
              <w:spacing w:after="0"/>
              <w:rPr>
                <w:sz w:val="20"/>
                <w:szCs w:val="20"/>
                <w:color w:val="auto"/>
              </w:rPr>
            </w:pPr>
            <w:r>
              <w:rPr>
                <w:rFonts w:ascii="Arial" w:cs="Arial" w:eastAsia="Arial" w:hAnsi="Arial"/>
                <w:sz w:val="16"/>
                <w:szCs w:val="16"/>
                <w:color w:val="0000FF"/>
              </w:rPr>
              <w:t>Item 13. Defaults, Dividend Arrearages and Delinquencies</w:t>
            </w:r>
          </w:p>
        </w:tc>
        <w:tc>
          <w:tcPr>
            <w:tcW w:w="6600" w:type="dxa"/>
            <w:vAlign w:val="bottom"/>
            <w:gridSpan w:val="9"/>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gridSpan w:val="26"/>
          </w:tcPr>
          <w:p>
            <w:pPr>
              <w:spacing w:after="0"/>
              <w:rPr>
                <w:sz w:val="20"/>
                <w:szCs w:val="20"/>
                <w:color w:val="auto"/>
              </w:rPr>
            </w:pPr>
            <w:r>
              <w:rPr>
                <w:rFonts w:ascii="Arial" w:cs="Arial" w:eastAsia="Arial" w:hAnsi="Arial"/>
                <w:sz w:val="16"/>
                <w:szCs w:val="16"/>
                <w:color w:val="0000FF"/>
              </w:rPr>
              <w:t>Item 15. Controls and Procedures</w:t>
            </w:r>
          </w:p>
        </w:tc>
        <w:tc>
          <w:tcPr>
            <w:tcW w:w="4660" w:type="dxa"/>
            <w:vAlign w:val="bottom"/>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9"/>
          </w:tcPr>
          <w:p>
            <w:pPr>
              <w:spacing w:after="0"/>
              <w:rPr>
                <w:sz w:val="20"/>
                <w:szCs w:val="20"/>
                <w:color w:val="auto"/>
              </w:rPr>
            </w:pPr>
            <w:r>
              <w:rPr>
                <w:rFonts w:ascii="Arial" w:cs="Arial" w:eastAsia="Arial" w:hAnsi="Arial"/>
                <w:sz w:val="16"/>
                <w:szCs w:val="16"/>
                <w:color w:val="0000FF"/>
              </w:rPr>
              <w:t>Item 16. Reserved</w:t>
            </w:r>
          </w:p>
        </w:tc>
        <w:tc>
          <w:tcPr>
            <w:tcW w:w="8380" w:type="dxa"/>
            <w:vAlign w:val="bottom"/>
            <w:gridSpan w:val="1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16A. Audit Committee Financial Expert</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gridSpan w:val="10"/>
          </w:tcPr>
          <w:p>
            <w:pPr>
              <w:spacing w:after="0"/>
              <w:rPr>
                <w:sz w:val="20"/>
                <w:szCs w:val="20"/>
                <w:color w:val="auto"/>
              </w:rPr>
            </w:pPr>
            <w:r>
              <w:rPr>
                <w:rFonts w:ascii="Arial" w:cs="Arial" w:eastAsia="Arial" w:hAnsi="Arial"/>
                <w:sz w:val="16"/>
                <w:szCs w:val="16"/>
                <w:color w:val="0000FF"/>
              </w:rPr>
              <w:t>Item 16B. Code of Ethical Conduct</w:t>
            </w:r>
          </w:p>
        </w:tc>
        <w:tc>
          <w:tcPr>
            <w:tcW w:w="640" w:type="dxa"/>
            <w:vAlign w:val="bottom"/>
            <w:gridSpan w:val="3"/>
          </w:tcPr>
          <w:p>
            <w:pPr>
              <w:spacing w:after="0"/>
              <w:rPr>
                <w:sz w:val="17"/>
                <w:szCs w:val="17"/>
                <w:color w:val="auto"/>
              </w:rPr>
            </w:pPr>
          </w:p>
        </w:tc>
        <w:tc>
          <w:tcPr>
            <w:tcW w:w="7640" w:type="dxa"/>
            <w:vAlign w:val="bottom"/>
            <w:gridSpan w:val="14"/>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gridSpan w:val="15"/>
          </w:tcPr>
          <w:p>
            <w:pPr>
              <w:spacing w:after="0"/>
              <w:rPr>
                <w:sz w:val="20"/>
                <w:szCs w:val="20"/>
                <w:color w:val="auto"/>
              </w:rPr>
            </w:pPr>
            <w:r>
              <w:rPr>
                <w:rFonts w:ascii="Arial" w:cs="Arial" w:eastAsia="Arial" w:hAnsi="Arial"/>
                <w:sz w:val="16"/>
                <w:szCs w:val="16"/>
                <w:color w:val="0000FF"/>
              </w:rPr>
              <w:t>Item 16C. Principal Accountant Fees and Services</w:t>
            </w:r>
          </w:p>
        </w:tc>
        <w:tc>
          <w:tcPr>
            <w:tcW w:w="7160" w:type="dxa"/>
            <w:vAlign w:val="bottom"/>
            <w:gridSpan w:val="1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3"/>
          </w:tcPr>
          <w:p>
            <w:pPr>
              <w:spacing w:after="0"/>
              <w:rPr>
                <w:sz w:val="20"/>
                <w:szCs w:val="20"/>
                <w:color w:val="auto"/>
              </w:rPr>
            </w:pPr>
            <w:r>
              <w:rPr>
                <w:rFonts w:ascii="Arial" w:cs="Arial" w:eastAsia="Arial" w:hAnsi="Arial"/>
                <w:sz w:val="16"/>
                <w:szCs w:val="16"/>
                <w:color w:val="0000FF"/>
              </w:rPr>
              <w:t>Item 16D. Exemptions from the Listing Standards for Audit Committees</w:t>
            </w:r>
          </w:p>
        </w:tc>
        <w:tc>
          <w:tcPr>
            <w:tcW w:w="5680" w:type="dxa"/>
            <w:vAlign w:val="bottom"/>
            <w:gridSpan w:val="4"/>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5"/>
          </w:tcPr>
          <w:p>
            <w:pPr>
              <w:spacing w:after="0"/>
              <w:rPr>
                <w:sz w:val="20"/>
                <w:szCs w:val="20"/>
                <w:color w:val="auto"/>
              </w:rPr>
            </w:pPr>
            <w:r>
              <w:rPr>
                <w:rFonts w:ascii="Arial" w:cs="Arial" w:eastAsia="Arial" w:hAnsi="Arial"/>
                <w:sz w:val="16"/>
                <w:szCs w:val="16"/>
                <w:color w:val="0000FF"/>
              </w:rPr>
              <w:t>Item 16E. Purchases of Equity Securities by the Issuer and Affiliated Purchasers</w:t>
            </w:r>
          </w:p>
        </w:tc>
        <w:tc>
          <w:tcPr>
            <w:tcW w:w="5020" w:type="dxa"/>
            <w:vAlign w:val="bottom"/>
            <w:gridSpan w:val="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Borders>
              <w:left w:val="single" w:sz="8" w:color="0000FF"/>
            </w:tcBorders>
            <w:gridSpan w:val="8"/>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17"/>
          </w:tcPr>
          <w:p>
            <w:pPr>
              <w:spacing w:after="0"/>
              <w:rPr>
                <w:sz w:val="20"/>
                <w:szCs w:val="20"/>
                <w:color w:val="auto"/>
              </w:rPr>
            </w:pPr>
            <w:r>
              <w:rPr>
                <w:rFonts w:ascii="Arial" w:cs="Arial" w:eastAsia="Arial" w:hAnsi="Arial"/>
                <w:sz w:val="16"/>
                <w:szCs w:val="16"/>
                <w:color w:val="0000FF"/>
              </w:rPr>
              <w:t>Item 16F. Changes in Registrant’s Certifying Accountant</w:t>
            </w:r>
          </w:p>
        </w:tc>
        <w:tc>
          <w:tcPr>
            <w:tcW w:w="1740" w:type="dxa"/>
            <w:vAlign w:val="bottom"/>
            <w:gridSpan w:val="8"/>
          </w:tcPr>
          <w:p>
            <w:pPr>
              <w:spacing w:after="0"/>
              <w:rPr>
                <w:sz w:val="17"/>
                <w:szCs w:val="17"/>
                <w:color w:val="auto"/>
              </w:rPr>
            </w:pPr>
          </w:p>
        </w:tc>
        <w:tc>
          <w:tcPr>
            <w:tcW w:w="5020" w:type="dxa"/>
            <w:vAlign w:val="bottom"/>
            <w:gridSpan w:val="2"/>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9"/>
          </w:tcPr>
          <w:p>
            <w:pPr>
              <w:spacing w:after="0"/>
              <w:rPr>
                <w:sz w:val="20"/>
                <w:szCs w:val="20"/>
                <w:color w:val="auto"/>
              </w:rPr>
            </w:pPr>
            <w:r>
              <w:rPr>
                <w:rFonts w:ascii="Arial" w:cs="Arial" w:eastAsia="Arial" w:hAnsi="Arial"/>
                <w:sz w:val="16"/>
                <w:szCs w:val="16"/>
                <w:color w:val="0000FF"/>
                <w:w w:val="99"/>
              </w:rPr>
              <w:t>Item 16G. Corporate Governance</w:t>
            </w:r>
          </w:p>
        </w:tc>
        <w:tc>
          <w:tcPr>
            <w:tcW w:w="1620" w:type="dxa"/>
            <w:vAlign w:val="bottom"/>
            <w:gridSpan w:val="8"/>
          </w:tcPr>
          <w:p>
            <w:pPr>
              <w:spacing w:after="0"/>
              <w:rPr>
                <w:sz w:val="17"/>
                <w:szCs w:val="17"/>
                <w:color w:val="auto"/>
              </w:rPr>
            </w:pPr>
          </w:p>
        </w:tc>
        <w:tc>
          <w:tcPr>
            <w:tcW w:w="6760" w:type="dxa"/>
            <w:vAlign w:val="bottom"/>
            <w:gridSpan w:val="10"/>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9"/>
          </w:tcPr>
          <w:p>
            <w:pPr>
              <w:spacing w:after="0"/>
              <w:rPr>
                <w:sz w:val="20"/>
                <w:szCs w:val="20"/>
                <w:color w:val="auto"/>
              </w:rPr>
            </w:pPr>
            <w:r>
              <w:rPr>
                <w:rFonts w:ascii="Arial" w:cs="Arial" w:eastAsia="Arial" w:hAnsi="Arial"/>
                <w:sz w:val="16"/>
                <w:szCs w:val="16"/>
                <w:color w:val="0000FF"/>
                <w:w w:val="99"/>
              </w:rPr>
              <w:t>Item 16H. Mine Safety Disclosure</w:t>
            </w:r>
          </w:p>
        </w:tc>
        <w:tc>
          <w:tcPr>
            <w:tcW w:w="8380" w:type="dxa"/>
            <w:vAlign w:val="bottom"/>
            <w:gridSpan w:val="18"/>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gridSpan w:val="15"/>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16I. Disclosure Regarding Foreign Jurisdictions that Prevent Inspections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4"/>
          </w:tcPr>
          <w:p>
            <w:pPr>
              <w:jc w:val="center"/>
              <w:ind w:right="4680"/>
              <w:spacing w:after="0"/>
              <w:rPr>
                <w:sz w:val="20"/>
                <w:szCs w:val="20"/>
                <w:color w:val="auto"/>
              </w:rPr>
            </w:pPr>
            <w:r>
              <w:rPr>
                <w:rFonts w:ascii="Arial" w:cs="Arial" w:eastAsia="Arial" w:hAnsi="Arial"/>
                <w:sz w:val="16"/>
                <w:szCs w:val="16"/>
                <w:b w:val="1"/>
                <w:bCs w:val="1"/>
                <w:color w:val="auto"/>
                <w:w w:val="97"/>
              </w:rPr>
              <w:t>PART III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2"/>
        </w:trPr>
        <w:tc>
          <w:tcPr>
            <w:tcW w:w="20" w:type="dxa"/>
            <w:vAlign w:val="bottom"/>
          </w:tcPr>
          <w:p>
            <w:pPr>
              <w:spacing w:after="0"/>
              <w:rPr>
                <w:sz w:val="24"/>
                <w:szCs w:val="24"/>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17. Financial Statements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780" w:type="dxa"/>
            <w:vAlign w:val="bottom"/>
            <w:gridSpan w:val="27"/>
          </w:tcPr>
          <w:p>
            <w:pPr>
              <w:spacing w:after="0"/>
              <w:rPr>
                <w:sz w:val="20"/>
                <w:szCs w:val="20"/>
                <w:color w:val="auto"/>
              </w:rPr>
            </w:pPr>
            <w:r>
              <w:rPr>
                <w:rFonts w:ascii="Arial" w:cs="Arial" w:eastAsia="Arial" w:hAnsi="Arial"/>
                <w:sz w:val="16"/>
                <w:szCs w:val="16"/>
                <w:color w:val="0000FF"/>
              </w:rPr>
              <w:t>Item 18. Financial Statements</w:t>
            </w: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94</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gridSpan w:val="8"/>
          </w:tcPr>
          <w:p>
            <w:pPr>
              <w:spacing w:after="0"/>
              <w:rPr>
                <w:sz w:val="20"/>
                <w:szCs w:val="20"/>
                <w:color w:val="auto"/>
              </w:rPr>
            </w:pPr>
            <w:r>
              <w:rPr>
                <w:rFonts w:ascii="Arial" w:cs="Arial" w:eastAsia="Arial" w:hAnsi="Arial"/>
                <w:sz w:val="16"/>
                <w:szCs w:val="16"/>
                <w:color w:val="0000FF"/>
              </w:rPr>
              <w:t>Item 19. Exhibits</w:t>
            </w:r>
          </w:p>
        </w:tc>
        <w:tc>
          <w:tcPr>
            <w:tcW w:w="8640" w:type="dxa"/>
            <w:vAlign w:val="bottom"/>
            <w:gridSpan w:val="19"/>
          </w:tcPr>
          <w:p>
            <w:pPr>
              <w:spacing w:after="0"/>
              <w:rPr>
                <w:sz w:val="17"/>
                <w:szCs w:val="17"/>
                <w:color w:val="auto"/>
              </w:rPr>
            </w:pPr>
          </w:p>
        </w:tc>
        <w:tc>
          <w:tcPr>
            <w:tcW w:w="400" w:type="dxa"/>
            <w:vAlign w:val="bottom"/>
            <w:gridSpan w:val="4"/>
          </w:tcPr>
          <w:p>
            <w:pPr>
              <w:jc w:val="right"/>
              <w:spacing w:after="0"/>
              <w:rPr>
                <w:sz w:val="20"/>
                <w:szCs w:val="20"/>
                <w:color w:val="auto"/>
              </w:rPr>
            </w:pPr>
            <w:r>
              <w:rPr>
                <w:rFonts w:ascii="Arial" w:cs="Arial" w:eastAsia="Arial" w:hAnsi="Arial"/>
                <w:sz w:val="16"/>
                <w:szCs w:val="16"/>
                <w:color w:val="0000FF"/>
              </w:rPr>
              <w:t>147</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Signatures</w:t>
            </w:r>
          </w:p>
        </w:tc>
        <w:tc>
          <w:tcPr>
            <w:tcW w:w="958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FF"/>
            </w:tcBorders>
            <w:gridSpan w:val="3"/>
          </w:tcPr>
          <w:p>
            <w:pPr>
              <w:jc w:val="right"/>
              <w:spacing w:after="0"/>
              <w:rPr>
                <w:sz w:val="20"/>
                <w:szCs w:val="20"/>
                <w:color w:val="auto"/>
              </w:rPr>
            </w:pPr>
            <w:r>
              <w:rPr>
                <w:rFonts w:ascii="Arial" w:cs="Arial" w:eastAsia="Arial" w:hAnsi="Arial"/>
                <w:sz w:val="16"/>
                <w:szCs w:val="16"/>
                <w:color w:val="0000FF"/>
                <w:w w:val="97"/>
              </w:rPr>
              <w:t>148</w:t>
            </w:r>
          </w:p>
        </w:tc>
        <w:tc>
          <w:tcPr>
            <w:tcW w:w="40" w:type="dxa"/>
            <w:vAlign w:val="bottom"/>
          </w:tcPr>
          <w:p>
            <w:pPr>
              <w:spacing w:after="0"/>
              <w:rPr>
                <w:sz w:val="17"/>
                <w:szCs w:val="17"/>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 Information</w:t>
      </w:r>
    </w:p>
    <w:p>
      <w:pPr>
        <w:spacing w:after="0" w:line="2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As used herein, “ICON plc”, “ICON”, "ICON Group", the “Company” and “we”, "our" or “us” refer to ICON public limited company and its consolidated subsidiaries, unless the context requires otherwise.</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this Form 20-F, references to "U.S. dollars", "U.S.$" or "$" are to the lawful currency of the United States, references to “euro” or “€” are to the European single currency adopted by nineteen members of the European Union, references to "pound sterling", "sterling", "£", "pence" or "p" are to the lawful currency of the United Kingdom. ICON publishes its consolidated financial statements in U.S. dollars.</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Acquisition" and "the Merger"). Upon completion of the Acquisition, PRA and its subsidiaries became wholly owned subsidiaries within the ICON Group. The financial information presented in this Form 20-F reflect the results of the combined Company for the year ended December 31, 2022. The financial information presented for the years ended December 31, 2021 and December 31, 2020 are as previously reported and do not reflect the pre-Merger results of PRA before July 1, 2021, other than where clearly stated and required by GAAP.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our expectations concerning the ongoing impact of the novel coronavirus identified as 'COVID-19' on our operational results, the challenges associated with the integration of PRA, competition and the continuing consolidation of the industry, the dependence on certain key executives, changes in the regulatory environment, exchange rate fluctuations, inflation and rising labor costs, the conflict in Ukraine, and other factors identified in the Company’s United States Securities and Exchange Commission filings and in the “Risk Factors” included on pages 3 through 21. The Company has no obligation under the PSLRA to update any forward looking statements and does not intend to do so.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Part 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Identity of Directors, Senior Management and Advisers.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Offer Statistics and Expected Timetable.</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r>
        <w:rPr>
          <w:rFonts w:ascii="Arial" w:cs="Arial" w:eastAsia="Arial" w:hAnsi="Arial"/>
          <w:sz w:val="16"/>
          <w:szCs w:val="16"/>
          <w:b w:val="1"/>
          <w:bCs w:val="1"/>
          <w:i w:val="1"/>
          <w:iCs w:val="1"/>
          <w:color w:val="auto"/>
        </w:rPr>
        <w:t>. Key Information.</w:t>
      </w:r>
    </w:p>
    <w:p>
      <w:pPr>
        <w:spacing w:after="0" w:line="24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261"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capitalization as of December 31, 2022 and December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4,701,213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r>
      <w:tr>
        <w:trPr>
          <w:trHeight w:val="21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w:t>
            </w:r>
          </w:p>
        </w:tc>
      </w:tr>
      <w:tr>
        <w:trPr>
          <w:trHeight w:val="237"/>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4,654,187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5,436,312</w:t>
            </w: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6,840,306</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6,733,910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undenominated capital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(90,937)</w:t>
            </w:r>
          </w:p>
        </w:tc>
      </w:tr>
      <w:tr>
        <w:trPr>
          <w:trHeight w:val="21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r>
      <w:tr>
        <w:trPr>
          <w:trHeight w:val="212"/>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8,497,963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8,066,827</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r>
      <w:tr>
        <w:trPr>
          <w:trHeight w:val="209"/>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Capitalization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13,152,150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13,503,139</w:t>
            </w: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The Company drew down debt of $6,015 million in order to finance the cash portion of the Merger consideration. ICON entered into a credit agreement providing for a senior secured term loan facility of $5,515 million and a senior secured revolving loan facility in an initial aggregate principal amount of $300 million (the "Senior Secured Credit Facilities") of which, $1,314 million has been repaid as of December 31, 2022 from cash generated by the Company in the period since the completion of the Merger. In addition to the Senior Secured Credit Facilities, the Company, issued $500 million in aggregate principal amount of 2.875% senior secured notes in a private offering ("Senior Secured Notes").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Risk Factors</w:t>
      </w:r>
    </w:p>
    <w:p>
      <w:pPr>
        <w:spacing w:after="0" w:line="282" w:lineRule="exact"/>
        <w:rPr>
          <w:sz w:val="20"/>
          <w:szCs w:val="20"/>
          <w:color w:val="auto"/>
        </w:rPr>
      </w:pPr>
    </w:p>
    <w:p>
      <w:pPr>
        <w:jc w:val="both"/>
        <w:ind w:right="20" w:firstLine="282"/>
        <w:spacing w:after="0" w:line="260" w:lineRule="auto"/>
        <w:rPr>
          <w:sz w:val="20"/>
          <w:szCs w:val="20"/>
          <w:color w:val="auto"/>
        </w:rPr>
      </w:pPr>
      <w:r>
        <w:rPr>
          <w:rFonts w:ascii="Arial" w:cs="Arial" w:eastAsia="Arial" w:hAnsi="Arial"/>
          <w:sz w:val="16"/>
          <w:szCs w:val="16"/>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Summary of Risk Factors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some of the principal risks that could adversely affect our business, operations and financial results: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loss or delay of our large contracts, or of multiple contracts, could adversely affect our results.</w:t>
      </w:r>
    </w:p>
    <w:p>
      <w:pPr>
        <w:spacing w:after="0" w:line="18"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a limited number of customers and a loss of, or significant decrease in, business from one or more of them could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inability of biotechnology customers to raise adequate financing or funding could affect our business.</w:t>
      </w:r>
    </w:p>
    <w:p>
      <w:pPr>
        <w:spacing w:after="0" w:line="18"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financial results may be adversely impacted if we underprice our contracts, overrun our cost estimates or fail to receive approval for, or experience delays in, documenting change orders.</w:t>
      </w:r>
    </w:p>
    <w:p>
      <w:pPr>
        <w:ind w:left="660" w:right="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successfully develop and market new services or enter new markets, our growth, results of operations or financial condition could be adversely affected.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fail to attract or retain key personnel, our performance may suffer.</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face challenges retaining employees which could cause disruption to our integration plans and day-to-day activities which may result in additional costs to the business.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the ability to recruit suitable willing patients.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perform clinical trials is dependent upon our ability to recruit suitable willing investigators.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Climate change, extreme weather events, earthquakes and other natural disasters could adversely affect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disease outbreak, epidemic or pandemic such as COVID-19, could adversely affect our business performance.</w:t>
      </w:r>
    </w:p>
    <w:p>
      <w:pPr>
        <w:spacing w:after="0" w:line="18"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Upgrading the information systems that support our operating processes and evolving the technology platform for our services pose risks to our business.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meet productivity objectives under our business improvement objectives could adversely impact our competitiveness and therefore our operating results.</w:t>
      </w:r>
    </w:p>
    <w:p>
      <w:pPr>
        <w:ind w:left="66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our interactive response technologies to provide accurate information regarding the randomization of patients and the dosage required for patients enrolled in the trials.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failure to identify and successfully close and integrate strategic acquisition targets could adversely impact our ongoing business and financial results.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realize anticipated cost and tax synergies and expect to incur substantial expenses related to the Merger.</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Improper performance of our services could adversely impact our reputation and our financial results.</w:t>
      </w:r>
    </w:p>
    <w:p>
      <w:pPr>
        <w:spacing w:after="0" w:line="5"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only a limited ability to protect our intellectual property rights and these rights are important to our success.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biopharmaceutical industry has a history of patent and other intellectual property litigation and we might be involved in costly intellectual property lawsuits.</w:t>
      </w: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jc w:val="both"/>
        <w:ind w:left="6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5" w:lineRule="exact"/>
        <w:rPr>
          <w:sz w:val="20"/>
          <w:szCs w:val="20"/>
          <w:color w:val="auto"/>
        </w:rPr>
      </w:pPr>
    </w:p>
    <w:p>
      <w:pPr>
        <w:ind w:left="66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Outsourcing trends in the pharmaceutical, biotechnology and medical device industries and changes in spending on research and development could adversely affect our operating results and growth rates.</w:t>
      </w:r>
    </w:p>
    <w:p>
      <w:pPr>
        <w:ind w:left="660" w:hanging="328"/>
        <w:spacing w:after="0" w:line="25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Large pharmaceutical companies are increasingly consolidating their vendor base and entering strategic partnership arrangements with a limited number of outsource providers.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collaboration amongst pharmaceutical companies in research and development activities may lead to fewer research opportunities.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operate in a highly competitive and dynamic market.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adversely affected by industry, customer or therapeutic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5" w:lineRule="exact"/>
        <w:rPr>
          <w:sz w:val="20"/>
          <w:szCs w:val="20"/>
          <w:color w:val="auto"/>
        </w:rPr>
      </w:pPr>
    </w:p>
    <w:p>
      <w:pPr>
        <w:ind w:left="660" w:right="20" w:hanging="328"/>
        <w:spacing w:after="0" w:line="25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exposure to exchange rate fluctuations could adversely affect our future results of operations.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Inflation and rising labor costs could adversely affect our future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effective tax rate may fluctuate from quarter-to-quarter, which may adversely affect 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unsatisfied performance obligation may not convert to revenue and the rate of conversion may slow.</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exposed to various risks in relation to our cash and cash equivalents and short term investments.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accounting standards may adversely affect our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5" w:lineRule="exact"/>
        <w:rPr>
          <w:sz w:val="20"/>
          <w:szCs w:val="20"/>
          <w:color w:val="auto"/>
        </w:rPr>
      </w:pPr>
    </w:p>
    <w:p>
      <w:pPr>
        <w:ind w:left="660" w:right="20" w:hanging="328"/>
        <w:spacing w:after="0" w:line="25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ind w:left="66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ind w:left="660" w:hanging="328"/>
        <w:spacing w:after="0" w:line="25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rate fluctuations may materially adversely affect our results of operations and financial conditions due to the variable interest rate on the unhedged balance of our senior secured term loan facility, our revolving credit facility or in respect of any future issuances of debt.</w:t>
      </w:r>
    </w:p>
    <w:p>
      <w:pPr>
        <w:jc w:val="both"/>
        <w:ind w:left="660" w:hanging="328"/>
        <w:spacing w:after="0" w:line="26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Borrowings under our Senior Secured Credit Facilities bear interest at a variable rate that is based on the Secured Overnight Financing Rate (“SOFR”), which may have consequences for us that cannot be reasonably predicted and may adversely affect our liquidity,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3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lose business opportunities as a result of health care reform and the expansion of managed care organizations.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Healthcare reform legislation, other changes in the healthcare industry and in healthcare spending could adversely affect our business model, financial condition or results of operations.</w:t>
      </w: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conflict in Ukraine could adversely affect our future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lose business as a result of changes in the regulatory environment.</w:t>
      </w:r>
    </w:p>
    <w:p>
      <w:pPr>
        <w:spacing w:after="0" w:line="18"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comply with the regulations and requirements of the U.S. Food and Drug Administration and other regulatory authorities could result in substantial penalties and/or loss of business.</w:t>
      </w:r>
    </w:p>
    <w:p>
      <w:pPr>
        <w:jc w:val="both"/>
        <w:ind w:left="66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subject to political, regulatory, operational and legal risks associated with our international operations and any changes or uncertainty in the regulatory regime (including changes in trade compliance laws and regulations as a result of the ongoing conflict in Ukraine) could disrupt our business in the region or the results of our operations as a result of increased compliance costs.</w:t>
      </w:r>
    </w:p>
    <w:p>
      <w:pPr>
        <w:jc w:val="both"/>
        <w:ind w:left="660" w:hanging="328"/>
        <w:spacing w:after="0" w:line="25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ind w:left="66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Current and proposed laws and regulations regarding the protection of personal data could result in increased risks of liability or increased costs to us or could limit our service offerings.</w:t>
      </w:r>
    </w:p>
    <w:p>
      <w:pPr>
        <w:ind w:left="660" w:hanging="328"/>
        <w:spacing w:after="0" w:line="24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including noncompliance with regulatory standards and requirements, which could have a material adverse effect on our business.</w:t>
      </w:r>
    </w:p>
    <w:p>
      <w:pPr>
        <w:ind w:left="660" w:right="20" w:hanging="328"/>
        <w:spacing w:after="0" w:line="25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Liability claims brought against us could result in payment of substantial damages, costs and liabilities and decrease our profitability.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Environmental, social and governance matters may impact our business and reputation.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5"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Volatility in the market price of our common stock could lead to losses by investors.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investor's return may be reduced if we lose our foreign private issuer status.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expect to pay any cash dividends for the foreseeable future.</w:t>
      </w:r>
    </w:p>
    <w:p>
      <w:pPr>
        <w:spacing w:after="0" w:line="1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future transfer of ICON ordinary shares, other than one effected by means of the transfer of book entry interests in the Depositary Trust Company ("DTC"), may be subject to Irish stamp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potential loss or delay of our large contracts, or of multiple contracts, could adversely affect our results.</w:t>
      </w:r>
    </w:p>
    <w:p>
      <w:pPr>
        <w:spacing w:after="0" w:line="2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6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enrollment or investigator recruitment;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While no customers individually contributed more than 10% of our revenues during the years ended December 31, 2022 and December 31, 2021, our top five customers represented 28.3% and 31.6% of our revenues, respectively. The loss of, or a significant decrease in, business from one or more of these key customers could have a material adverse impact on our results of operations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of biotechnology customers to raise adequate financing or funding could affect our business.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 portion of our revenue is generated from sales and services to the biotechnology industry. The clients we serve are commonly subject to financial pressures, including, but not limited to, the ability to obtain adequate financing or generate sufficient funding. To the extent our clients face such pressures, or they change how they utilize our offerings, the demand for our services, or the prices our clients are willing to pay for those services, may decline. Any such decline could have a material adverse effect on our business, operating results and financial condition.</w:t>
      </w:r>
    </w:p>
    <w:p>
      <w:pPr>
        <w:spacing w:after="0" w:line="191"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b w:val="1"/>
          <w:bCs w:val="1"/>
          <w:i w:val="1"/>
          <w:iCs w:val="1"/>
          <w:color w:val="auto"/>
        </w:rPr>
        <w:t>Our financial results may be adversely impacted if we underprice our contracts, overrun our cost estimates or fail to receive approval for, or experience delays in, documenting change orders.</w:t>
      </w:r>
    </w:p>
    <w:p>
      <w:pPr>
        <w:spacing w:after="0" w:line="1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successfully develop and market new services or enter new markets, our growth, results of operations or financial condition could be adversely affected.</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 key element of our growth strategy is the successful development and marketing of new services or entering new markets that complement or expand our existing business. As we develop new services or enter new markets, we may not have or be able to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or retain key personnel, our performance may suffer.</w:t>
      </w:r>
    </w:p>
    <w:p>
      <w:pPr>
        <w:spacing w:after="0" w:line="22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may face challenges retaining employees which could cause disruption to our integration plans and day-to-day activities, which may result in additional costs to the business.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attraction, development and retention of our talent is critical to the success of the Company, and we are working to strengthen processes around these areas to minimize retention risk and support a successful integration. The Company, led by the Chief Human Resource Officer, is taking meaningful action to retain employees. Through our annual Talent Review process we have identified opportunities for improvement as it relates to employee retention. Our People Plans have set specific goals for each functional area in terms of three critical areas: talent attraction, development and retention. However, we can provide no assurances that our efforts in this respect will be successful.</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 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Our success depends on the knowledge, capabilities, and quality of our people.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enrollment in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is focused on continuing to develop its expertise in patient recruitment with the establishment in 2020 of Accellacare, a global clinical research network, offering patients easier and faster access to innovative treatments and offering customers the option to deploy decentralized trials.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Improved site selection is achieved through:</w:t>
      </w:r>
    </w:p>
    <w:p>
      <w:pPr>
        <w:spacing w:after="0" w:line="24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leading technology to identify where the patients are that match the protocol;</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assessment of the qualification of sites based on real data;</w:t>
      </w:r>
    </w:p>
    <w:p>
      <w:pPr>
        <w:spacing w:after="0" w:line="5"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partnerships with leading technology vendors and developing the capability to enable EMR interrogation into clinical insights such as sub-populations and larger pre-screened pool where the technology and regulations are enabled.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firstLine="648"/>
        <w:spacing w:after="0" w:line="254" w:lineRule="auto"/>
        <w:rPr>
          <w:sz w:val="20"/>
          <w:szCs w:val="20"/>
          <w:color w:val="auto"/>
        </w:rPr>
      </w:pPr>
      <w:r>
        <w:rPr>
          <w:rFonts w:ascii="Arial" w:cs="Arial" w:eastAsia="Arial" w:hAnsi="Arial"/>
          <w:sz w:val="16"/>
          <w:szCs w:val="16"/>
          <w:color w:val="auto"/>
        </w:rPr>
        <w:t>The burden on the site, in ensuring patient enrollment and engagement, is achieved through integrated site networks. ICON has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CRN. In 2020, ICON announced the launch of Accellacare, a global clinical research network offering patients easier and faster access to innovative treatments and offering customers the option to deploy decentralized trials. The site network includes previously acquired PMG Research, MeDiNova and CRN. Also in 2020, we entered into an agreement to jointly establish a new company, Oncacare Limited ("Oncacare"), with a third party. Oncacare operates as a specialized oncology site network in the US and EMEA regions. The new site network is focused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 We also use digital solutions to drive site performance, including pre-screening, eConsent, learning management, document tracking and management with key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extreme weather events, earthquakes and other natural disasters could adversely affect our business.</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disease outbreak, epidemic or pandemic such as COVID-19, could adversely affect our business performance.</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 disease outbreak, such as influenza or coronavirus,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 COVID-19 has affected, and may continue to affect, our business performance and could adversely affect the economies and financial markets worldwide, resulting in an economic downturn that could impact our business, financial condition and results of operations. We may be required, or choose, to take temporary measures intended to help minimize the risk of infection from the virus for our employees, which could negatively affect our business and cannot presently be predicted with confidence.</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 attacks to these systems may materially limit our operations or have a material adverse effect on our results of operations.</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2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disruption or failure of data centers, telecommunications facilities or other key infrastructure platforms;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breaches, cyber attacks or other failures or malfunctions in our application or information systems or their associated hardware or other systems that we have access to, or that we rely upon, or that have access to our systems;</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breaches, cyber attacks or malfunctions with key suppliers or partners who we rely on to provide services to customers; 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 w:name="page10"/>
    <w:bookmarkEnd w:id="9"/>
    <w:p>
      <w:pPr>
        <w:jc w:val="both"/>
        <w:ind w:firstLine="648"/>
        <w:spacing w:after="0" w:line="262"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While we have cybersecurity controls and disaster recovery plans in place, they might not adequately protect us in the event of a system failure, security breach or cyber attack. To date, no cyber attacks have had a material impact on operations or financial reporting. Additionally, despite any precautions we take, damage from fire, floods, hurricanes, power loss, telecommunications failures, computer viruses, information system security breaches, cyber attacks and similar events that impact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 attacks, natural disasters, the outbreak of war, the escalation of hostilities and acts of terrorism, particularly involving cities in which we have offices, could adversely affect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our information systems or those we develop for our clients, whether by our employees or third parties, including a cyber 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 attacks and other related breaches.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Additionally, ICON completed the Merger with PRA on July 1, 2021 and, as a result, the IT landscape and physical footprint of the Company has increased significantly. As the organization invests in the consolidation of offices, data centers, IT systems and business services a significant amount of due diligence has been completed to understand the IT landscape and increased attack surface. While the organization continues with substantial integration efforts, a failure to effectively manage these activities in a timely and cost-effective manner may result in disruption to our business and negatively affect our operations.</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Upgrading the information systems that support our operating processes and evolving the technology platform for our services pose risks to our business.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22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To remain competitive within our industry and keep pace with the rapid evolution of the technological landscape, it is critical that we continue to innovate and expand the capabilities of our current technologies. This applies in particular to our ICONIK, Firecrest, ADDPLAN, Integrated Dataverse (IDV®) and One Search services. Also, increased requirements for investment in information technology may negatively impact our financial condition, including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b w:val="1"/>
          <w:bCs w:val="1"/>
          <w:i w:val="1"/>
          <w:iCs w:val="1"/>
          <w:color w:val="auto"/>
        </w:rPr>
        <w:t>Failure to meet productivity objectives under our business improvement objectives could adversely impact our competitiveness and therefore our operating results.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A failure to identify and successfully close and integrate strategic acquisition targets could adversely impact our ongoing business and financial results.</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have made a number of acquisitions, including the Merger,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67"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minimize the diversion of management's attention from other business concerns.</w:t>
      </w:r>
    </w:p>
    <w:p>
      <w:pPr>
        <w:spacing w:after="0" w:line="24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realize anticipated cost and tax synergies and expect to incur substantial expenses related to the Merger.</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expect to generate run rate cost synergies of approximately $150 million and tax savings from the combined target effective tax rate; both to be realized within approximately four years after completion of the Merger. Since completion of the Merger, we have progressed many of our key integration plans including rationalization of our office footprint, targeted headcount reductions to improve efficiency and key system integrations. The actions completed to date are ahead of our original plan such that we now anticipate realizing our run rate cost synergies by the end of 2023. Our ability to achieve such cost and tax synergies in the timeframe described, is subject to various assumptions by management, which may or may not prove to be accurate, as well as the incurrence of costs in our operations that offset all or a portion of such cost synergies. As a consequence, we may not be able to realize all of these cost and tax synergies within the timeframe expected. Failure to achieve the expected cost and tax synergies could significantly reduce the expected benefits associated with the Merger.</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expect to continue to incur non-recurring costs associated with the combination of the two companies and achieving the desired cost synergies. These fees and costs have been, and will continue to be, substantial. Such costs, as well as other unanticipated costs and expenses, could have a material adverse effect on our financial condition and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performance of our services could adversely impact our reputation and our financial results.</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biopharmaceutical industry has a history of patent and other intellectual property litigation and we might be involved in costly intellectual property lawsuits.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38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i w:val="1"/>
          <w:iCs w:val="1"/>
          <w:color w:val="auto"/>
        </w:rPr>
        <w:t>We act as authorized representative or legal representative for some clients pursuant to certain jurisdictional requirements for sponsors of clinical trials to appoint an authorized representative or legal representative with a local presence within the relevant jurisdiction.</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act as authorized representative pursuant to Medical Devices Directive 93/42/EEC (“MDD”), Medical Devices Regulation 2017/745 (“MDR”) and Active Implantable Medical Devices Directive 90/385/EEC (“AIMD”) for certain clients who are located outside of the European Union. As authorized representative, we act on behalf of medical device manufacturers in relation to specified tasks with regard to their obligations under MDR.</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also act as legal representative pursuant to European Clinical Trials Directive (2021/20/EC) (“CTD”), EU Clinical Trials Regulation (No.536/2014) (“CTR”), MDD, MDR and AIMD, for certain clients who are located outside of the European Union with respect to clinical trials being carried out by those clients in the European Union. We also perform similar legal representative services for certain clients in other non-EU jurisdictions where client is located outside the relevant local jurisdiction, ICON has an established local legal entity and analogous local regulations have a similar requirement for a local legal representative for clinical trials being carried out in those jurisdictions. As legal representative, we are responsible for ensuring compliance with the client’s obligations pursuant to CTD, CTR and MDR or analogous local legislation and we are the addressee for all communications with the client provided for under CTD, CTR and MDR or analogous local legislation.</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provide these services subject to certain terms and conditions which are contained in our agreements with clients pertaining to these services. We aim to reduce any potential liability associated with these activities by seeking contractual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ind w:right="20"/>
        <w:spacing w:after="0" w:line="260" w:lineRule="auto"/>
        <w:rPr>
          <w:sz w:val="20"/>
          <w:szCs w:val="20"/>
          <w:color w:val="auto"/>
        </w:rPr>
      </w:pPr>
      <w:r>
        <w:rPr>
          <w:rFonts w:ascii="Arial" w:cs="Arial" w:eastAsia="Arial" w:hAnsi="Arial"/>
          <w:sz w:val="16"/>
          <w:szCs w:val="16"/>
          <w:color w:val="auto"/>
        </w:rPr>
        <w:t>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2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 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We rely on third parties for important products, services and licenses to certain technology and intellectual property rights. If there was failure in delivery by these parties, we might not be able to continue to obtain such products, services and licenses.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Outsourcing trends in the pharmaceutical, biotechnology and medical device industries and changes in spending on research and development could adversely affect our operating results and growth rates.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41" w:lineRule="exact"/>
        <w:rPr>
          <w:sz w:val="20"/>
          <w:szCs w:val="20"/>
          <w:color w:val="auto"/>
        </w:rPr>
      </w:pPr>
    </w:p>
    <w:p>
      <w:pPr>
        <w:ind w:left="660" w:hanging="328"/>
        <w:spacing w:after="0" w:line="24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utilize our services;</w:t>
      </w:r>
    </w:p>
    <w:p>
      <w:pPr>
        <w:ind w:left="660" w:right="20" w:hanging="328"/>
        <w:spacing w:after="0" w:line="25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unfavorable economic conditions or disruptions in the credit and capital markets negatively impacted our clients.</w:t>
      </w:r>
    </w:p>
    <w:p>
      <w:pPr>
        <w:spacing w:after="0" w:line="2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affected by industry, customer or therapeutic concentration.</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employee attrition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future results of operations.</w:t>
      </w:r>
    </w:p>
    <w:p>
      <w:pPr>
        <w:spacing w:after="0" w:line="2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we are also subject to translation exposures as our consolidated financial results are presented in U.S. dollars, while the local results of a certain number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Inflation and rising labor costs could adversely affect our future results of operations.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Inflation and rising labor costs may result in significant increases to the cost of our services, which we may not be able to recover from our customers. Our contracts with clients are often fixed price or fixed price-per-unit contracts. If macroeconomic forces, such as inflation, cause the cost of inputs required to deliver these contracts to increase significantly, we may be unable to pass along these cost to our customers. A sustained increase in these costs may require us to increase the price of future service offerings. These actions could adversely affect our future revenue, gross margin, or both.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quarter-to-quarter, which may adversely affect our results of operations.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(such as Ireland, United States and United Kingdom) in which we operate and the tax law in those jurisdictions. Changes in the geographic mix of our results of operations amongst these jurisdictions may have a significant impact on our effective tax rate from quarter-to-quarter.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time period before being resolved. The resolution of audit issues may lead to additional taxes, interest as well as fines and/or penalties being imposed which could have a material adverse impact on our effective tax rate and our consolidated financial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unsatisfied performance obligation may not convert to revenue and the rate of conversion may slow.</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unsatisfied performance obligation is the amount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233" w:lineRule="exact"/>
        <w:rPr>
          <w:sz w:val="20"/>
          <w:szCs w:val="20"/>
          <w:color w:val="auto"/>
        </w:rPr>
      </w:pPr>
    </w:p>
    <w:p>
      <w:pPr>
        <w:jc w:val="both"/>
        <w:ind w:firstLine="269"/>
        <w:spacing w:after="0" w:line="253" w:lineRule="auto"/>
        <w:rPr>
          <w:sz w:val="20"/>
          <w:szCs w:val="20"/>
          <w:color w:val="auto"/>
        </w:rPr>
      </w:pPr>
      <w:r>
        <w:rPr>
          <w:rFonts w:ascii="Arial" w:cs="Arial" w:eastAsia="Arial" w:hAnsi="Arial"/>
          <w:sz w:val="16"/>
          <w:szCs w:val="16"/>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may adversely affect our financial statements.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We have incurred substantial additional indebtedness in connection with the Merger, which could impair our flexibility and access to capital and could adversely affect the combined Company’s business, financial condition or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Following completion of the Merger and the other transactions contemplated by the Merger Agreement, the Company has a substantial amount of debt. ICON borrowed approximately $6,015 million in order to pay PRA stockholders the cash consideration due to them as merger consideration under the Merger Agreement, pay related fees and transaction costs in connection with the transactions, and refinance existing indebtedness. The total remaining transaction related debt balance at December 31, 2022 was $4,701 million. This level of borrowings could adversely affect the Company in a number of ways, including, but not limited to, by placing us at a competitive disadvantage compared to our competitors that have less debt, causing us to incur substantial fees from time to time in connection with debt amendments or refinancing, making it more difficult for the Company to satisfy its obligations with respect to its debt or to its trade or other creditors, requiring a substantial portion of the Company’s cash flows from operations for the payment of interest on the Company’s debt, reducing the Company’s flexibility to respond to changing business and economic conditions, and reducing funds available for the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3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Company in the future. No assurances can be made that ICON will be able to refinance any indebtedness incurred in connection with the Merger on terms acceptable to it or at all.</w:t>
      </w:r>
    </w:p>
    <w:p>
      <w:pPr>
        <w:spacing w:after="0" w:line="20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Covenants in our credit agreement and the indenture governing the Senior Secured Notes may restrict our business and operations. Our financial condition and results of operations could be adversely affected if we do not comply with those covenants.</w:t>
      </w:r>
    </w:p>
    <w:p>
      <w:pPr>
        <w:spacing w:after="0" w:line="18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The Senior Secured Credit Facilities and the indenture include certain customary covenants that limit our ability to, amongst other things, subject to certain exceptions:</w:t>
      </w:r>
    </w:p>
    <w:p>
      <w:pPr>
        <w:ind w:left="640" w:hanging="308"/>
        <w:spacing w:after="0" w:line="238"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make dividends, investments and other restricted payments;</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sale and leaseback transactions;</w:t>
      </w:r>
    </w:p>
    <w:p>
      <w:pPr>
        <w:spacing w:after="0" w:line="2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engage in share buybacks;</w:t>
      </w:r>
    </w:p>
    <w:p>
      <w:pPr>
        <w:spacing w:after="0" w:line="10" w:lineRule="exact"/>
        <w:rPr>
          <w:rFonts w:ascii="Arial" w:cs="Arial" w:eastAsia="Arial" w:hAnsi="Arial"/>
          <w:sz w:val="16"/>
          <w:szCs w:val="16"/>
          <w:color w:val="auto"/>
        </w:rPr>
      </w:pPr>
    </w:p>
    <w:p>
      <w:pPr>
        <w:ind w:left="640" w:hanging="308"/>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incur or assume liens or additional debt;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engage in mergers or reorganizations; or</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16"/>
          <w:szCs w:val="16"/>
          <w:color w:val="auto"/>
        </w:rPr>
        <w:t>enter into certain types of transactions with affiliates.</w:t>
      </w:r>
    </w:p>
    <w:p>
      <w:pPr>
        <w:spacing w:after="0" w:line="251"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revolving credit facility also includes a financial covenant that requires us to comply with a maximum consolidated leverage ratio. Our ability to comply with this financial covenant may be affected by events beyond our control.</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conditions due to the variable interest rate on our senior secured term loan facility, our revolving credit facility or in respect of any future issuances of debt.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original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At December 31, 2022, no amounts were outstanding under the revolving loan facility with the exception of $4.5 million letters of credit given to landlords to guarantee lease arrangements.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ind w:firstLine="648"/>
        <w:spacing w:after="0" w:line="252" w:lineRule="auto"/>
        <w:rPr>
          <w:sz w:val="20"/>
          <w:szCs w:val="20"/>
          <w:color w:val="auto"/>
        </w:rPr>
      </w:pPr>
      <w:r>
        <w:rPr>
          <w:rFonts w:ascii="Arial" w:cs="Arial" w:eastAsia="Arial" w:hAnsi="Arial"/>
          <w:sz w:val="16"/>
          <w:szCs w:val="16"/>
          <w:color w:val="auto"/>
        </w:rPr>
        <w:t xml:space="preserve">Because the Company has variable rate debt, fluctuations in interest rates affect our business. We attempt to minimize interest rate risk and lower our overall borrowing costs through the utilization of interest rate cap and interest rate swap derivative financial instruments. We have entered into certain interest rate cap and interest rate swap agreements with three financial institutions with respect to a portion of our outstanding debt. Accordingly, any change in market value associated with these agreements is offset by the opposite market impact on the portion of the debt covered by such agreements. See </w:t>
      </w:r>
      <w:r>
        <w:rPr>
          <w:rFonts w:ascii="Arial" w:cs="Arial" w:eastAsia="Arial" w:hAnsi="Arial"/>
          <w:sz w:val="16"/>
          <w:szCs w:val="16"/>
          <w:i w:val="1"/>
          <w:iCs w:val="1"/>
          <w:color w:val="auto"/>
        </w:rPr>
        <w:t>Note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14 - Derivatives</w:t>
      </w:r>
      <w:r>
        <w:rPr>
          <w:rFonts w:ascii="Arial" w:cs="Arial" w:eastAsia="Arial" w:hAnsi="Arial"/>
          <w:sz w:val="16"/>
          <w:szCs w:val="16"/>
          <w:color w:val="auto"/>
        </w:rPr>
        <w:t>.</w:t>
      </w:r>
    </w:p>
    <w:p>
      <w:pPr>
        <w:spacing w:after="0" w:line="222"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Borrowings under our Senior Secured Credit Facilities bear interest at a variable rate that is based on the Secured Overnight Financing Rate (“SOFR”), which may have consequences for us that cannot be reasonably predicted and may adversely affect our liquidity, financial condition, and results of operations.</w:t>
      </w:r>
    </w:p>
    <w:p>
      <w:pPr>
        <w:spacing w:after="0" w:line="2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27, 2017, the U.K. Financial Conduct Authority (the “FCA”) announced that it intended to end the use of LIBOR effective after December 31, 2021 as the benchmark rate that many banks and issuers use to set interest rates for loans, securities, derivative contracts and other financial instruments. Recognizing the need to replace LIBOR, authorities in the United States convened the Alternative Reference Rates Committee (“ARRC”) in 2014 to identify a replacement for LIBOR with respect to indebtedness denominated in U.S. Dollars. In 2017, the ARRC identified SOFR, and in April 2018, the Federal Reserve Bank of New York began publishing SOFR.</w:t>
      </w: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SOFR is a measure of the cost of borrowing cash overnight, collateralized by U.S. Treasury securities, and is based on directly observable U.S. Treasury-backed repurchase transactions. Although the U.S. Treasury-backed overnight repo market is highly liquid, there is currently no robust market for determining forward-looking SOFR term rates. Because SOFR is an overnight risk-free rate, whereas LIBOR has various terms and an embedded credit charge, the transition from LIBOR to SOFR will require adjustments, which may continue to vary for certain forms of indebtedness and financial instruments as the relevant markets adapt to SOFR’s implementation. Similar alternative benchmark replacements will be required to be implemented in respect of indebtedness and other financial instruments that are currently based on LIBOR quotes for currencies other than the U.S. Dollar.</w:t>
      </w:r>
    </w:p>
    <w:p>
      <w:pPr>
        <w:spacing w:after="0" w:line="2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credit agreement governing the Senior Secured Credit Facilities provides that borrowings denominated in U.S. Dollars will bear interest based on LIBOR or other base rate (as elected by the borrower), plus an applicable margin. The credit agreement also provides that LIBOR may be replaced by a SOFR-based rate for borrowings in U.S. Dollars upon (i) the FCA ceasing to provide LIBOR for U.S. Dollars or announcing that LIBOR is no longer representative or (ii) an early election by the Company and the administrative agent under our credit agreement to transition from LIBOR. On November 29, 2022, the Company agreed with its lenders to the adoption of SOFR as the benchmark rate within the Credit Agreement. The possible volatility of and uncertainty around SOFR as a LIBOR replacement rate and the applicable credit adjustment could result in higher borrowing costs for us, which would adversely affect our liquidity,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healthcare reform and the expansion of managed care organizations.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Numerous governments, including the U.S. government, have undertaken efforts to control growing healthcare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to healthcare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healthcare sector, on our customers and ultimately on our financial condition or results of operations.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On August 16, 2022, the U.S. government enacted the Inflation Reduction Act of 2022, which, among other things, implements a 15% minimum tax on book income of certain large corporations, a 1% excise tax on net stock repurchases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several tax incentives to promote clean energy, which will go into effect in 2023. The Company is continuing to assess the potential impact of these changes.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conflict in Ukraine could adversely affect our future results of operations.</w:t>
      </w:r>
    </w:p>
    <w:p>
      <w:pPr>
        <w:spacing w:after="0" w:line="26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The current conflict in Ukraine has led to, among other things, hardship and the imposition of international economic sanctions aimed at the region. While the situation is subject to change, there remains the possibility of additional and harsher sanctions if the conflict intensifies. If that were to happen, our operations in the region may be severely curtailed or eliminated, which could adversely affect our results of operations. In addition, if the current unrest broadens or further escalates, our operations may be severely curtailed, which could adversely affect our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r>
        <w:rPr>
          <w:rFonts w:ascii="Arial" w:cs="Arial" w:eastAsia="Arial" w:hAnsi="Arial"/>
          <w:sz w:val="16"/>
          <w:szCs w:val="16"/>
          <w:color w:val="auto"/>
        </w:rPr>
        <w:t>.</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6"/>
          <w:szCs w:val="16"/>
          <w:b w:val="1"/>
          <w:bCs w:val="1"/>
          <w:color w:val="auto"/>
        </w:rPr>
        <w:t>.</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U.S. Food and Drug Administration, ("FDA"), and other regulatory and government authorities and agencies inspect and audit us from time to time to ensure that we comply with their regulations and guidelines, including environmental,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fail to comply with any of these requirements we could suffer some or all of:</w:t>
      </w:r>
    </w:p>
    <w:p>
      <w:pPr>
        <w:spacing w:after="0" w:line="11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penalties;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enforcement actions including debarment from government contracts;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5"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w:t>
      </w:r>
    </w:p>
    <w:p>
      <w:pPr>
        <w:spacing w:after="0" w:line="2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8" w:name="page19"/>
    <w:bookmarkEnd w:id="18"/>
    <w:p>
      <w:pPr>
        <w:jc w:val="both"/>
        <w:spacing w:after="0" w:line="260" w:lineRule="auto"/>
        <w:rPr>
          <w:sz w:val="20"/>
          <w:szCs w:val="20"/>
          <w:color w:val="auto"/>
        </w:rPr>
      </w:pPr>
      <w:r>
        <w:rPr>
          <w:rFonts w:ascii="Arial" w:cs="Arial" w:eastAsia="Arial" w:hAnsi="Arial"/>
          <w:sz w:val="16"/>
          <w:szCs w:val="16"/>
          <w:color w:val="auto"/>
        </w:rPr>
        <w:t>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materialize, our results of operations and financial condition could be materially adversely affected.</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FCPA, UK Bribery Act of 2010 and similar anti-corruption laws in other jurisdictions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His Majesty’s Treasury and other relevant trade compliance authorities.</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internal policies mandate compliance with these anti-corruption and trade compliance laws and regulations.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trade compliance laws and regulations committed by employees or other third parties associated with us and our continued expansion, including in developing countries, could increase such risk in the future. Violations of anti-corruption, economic sanctions and trade control laws and regulations, or even allegations of such violations, could disrupt our business and result in a material adverse effect on our financial condition, results of operations, cash flows and reputation. For example, violations of anti-corruption and trade compliance laws can result in restatements of, or irregularities in, our financial statements, disgorgement of profits, related stockholder lawsuits as well as severe criminal or civil sanctions. In some cases, companies that violate anti-corruption and trade compliance laws might be debarred by the U.S. government and/or lose their U.S. export privileges. In addition, the U.S. government or other governments may seek to hold us liable based on successor liability for violations of anti-corruption and trade compliance laws committed by companies that we acquire or in which we invest. Changes in anti-corruption and trade compliance laws or enforcement priorities could also result in increased compliance requirements and related costs which could materially adversely affect our business, financial condition, results of operations and cash flows. The recent increase in economic sanctions and trade controls, particularly relating to our ongoing operations in Russia, Ukraine and Belarus, has increased the amount of resources necessary to ensure compliance in this area.</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has a strong privacy posture, driven by the implementation of a core privacy governance strategy and the adoption of policies and procedures designed to help ensure that ICON, including our employees and contractors, can comply with applicable data protection laws (including, but not limited to, the General Data Protection Regulation (“GDPR”) (EU) 2016/679). Notwithstanding these measures, failure to comply with applicable data protection laws may occur and could result in increased risk of liability or increased costs to us or could limit our service offerings.</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u w:val="single" w:color="auto"/>
          <w:color w:val="auto"/>
        </w:rPr>
        <w:t>Administrative fines</w:t>
      </w:r>
      <w:r>
        <w:rPr>
          <w:rFonts w:ascii="Arial" w:cs="Arial" w:eastAsia="Arial" w:hAnsi="Arial"/>
          <w:sz w:val="16"/>
          <w:szCs w:val="16"/>
          <w:color w:val="auto"/>
          <w:highlight w:val="white"/>
        </w:rPr>
        <w:t>. The GDPR introduced a new regime of administrative fines for data protection infringements and provided for a tiered penalty</w:t>
      </w:r>
      <w:r>
        <w:rPr>
          <w:rFonts w:ascii="Arial" w:cs="Arial" w:eastAsia="Arial" w:hAnsi="Arial"/>
          <w:sz w:val="16"/>
          <w:szCs w:val="16"/>
          <w:color w:val="auto"/>
        </w:rPr>
        <w:t xml:space="preserve"> structure based on the nature of the infringement. The EU supervisory authorities for the GDPR can directly impose fines on organizations found to be in breach of the GDPR. Lower tier administrative fines allow for fines of up to 2% of worldwide turnover of the group in the preceding financial year. Higher tier administrative fines allow for fines of up to 4% of worldwide turnover of the group in the preceding financial year. Higher tier administrative fines are more likely to be levied for major infringements of the GDPR and core data protection principles (e.g. transparency, data retention, accountability).</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u w:val="single" w:color="auto"/>
          <w:color w:val="auto"/>
        </w:rPr>
        <w:t>Penalties</w:t>
      </w:r>
      <w:r>
        <w:rPr>
          <w:rFonts w:ascii="Arial" w:cs="Arial" w:eastAsia="Arial" w:hAnsi="Arial"/>
          <w:sz w:val="16"/>
          <w:szCs w:val="16"/>
          <w:color w:val="auto"/>
          <w:highlight w:val="white"/>
        </w:rPr>
        <w:t>. The GDPR also permits Member States to implement rules on other penalties applicable to infringements of the GDPR, in particular, for</w:t>
      </w:r>
      <w:r>
        <w:rPr>
          <w:rFonts w:ascii="Arial" w:cs="Arial" w:eastAsia="Arial" w:hAnsi="Arial"/>
          <w:sz w:val="16"/>
          <w:szCs w:val="16"/>
          <w:color w:val="auto"/>
        </w:rPr>
        <w:t xml:space="preserve"> infringements which are not subject to administrative fines under the GDPR itself. Therefore, Member States may legislate for further fines or penalties that may be criminal in nature.</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Any fines levied under the GDPR must be effective, proportionate, and dissuasive. Supervisory authorities have been strengthening enforcement activities across the EU in recent years in respect of breaches of GDPR. The risk of fines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penalties under the GDPR carries increased risk of liability to ICON and can result in increased costs and disruption to the delivery of our services.</w:t>
      </w:r>
    </w:p>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u w:val="single" w:color="auto"/>
          <w:color w:val="auto"/>
        </w:rPr>
        <w:t>Right to compensation of data subjects</w:t>
      </w:r>
      <w:r>
        <w:rPr>
          <w:rFonts w:ascii="Arial" w:cs="Arial" w:eastAsia="Arial" w:hAnsi="Arial"/>
          <w:sz w:val="16"/>
          <w:szCs w:val="16"/>
          <w:color w:val="auto"/>
        </w:rPr>
        <w:t>. In addition to the risk of administrative and criminal penalties, the GDPR also provides that any person who has suffered material or non-material damage as a result of an infringement of the GDPR shall have the right to receive compensation for the damage suffered, from the controller or processor responsible for the infringement. The level of award of damages is set by the competent court in the applicable EU Member State. This carries increased risk of liability for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131445</wp:posOffset>
            </wp:positionV>
            <wp:extent cx="442341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23410" cy="12001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u w:val="single" w:color="auto"/>
          <w:color w:val="auto"/>
        </w:rPr>
        <w:t>Corrective Powers of the supervisory authorities.</w:t>
      </w:r>
      <w:r>
        <w:rPr>
          <w:rFonts w:ascii="Arial" w:cs="Arial" w:eastAsia="Arial" w:hAnsi="Arial"/>
          <w:sz w:val="16"/>
          <w:szCs w:val="16"/>
          <w:color w:val="auto"/>
        </w:rPr>
        <w:t xml:space="preserve"> Each supervisory authority across the Member States of the EU also has corrective powers. Supervisory authorities have the power to order ICON to bring processing operations into compliance with the provisions of the GDPR in a specified manner within a specified time period, or to impose a temporary or definitive limitation including a ban on processing, and to order the suspension of data flows to a recipient in a third country or to an international organization. Supervisory authorities also have powers to conduct audits and investigations of ICON and instruct ICON to take certain actions. The exercise of these powers by supervisory authorities has the potential to increase costs for ICON and cause disruption to the business and delivery of our services.</w:t>
      </w:r>
    </w:p>
    <w:p>
      <w:pPr>
        <w:spacing w:after="0" w:line="2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From a US perspective, 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HIPAA specifies standards for de-identifications and for limited data sets. We are both directly and indirectly affected by the privacy provisions surrounding individual authorizations because many investigators and organizations with whom we are involved in clinical trials and in our services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to the covered entity contractually for mishandling protected health information and, under HIPAA’s enforcement scheme, we can be subject to up to $1.9 million per year in civil money penalties for identical HIPAA violations. The per violation penalties and calendar year cap on penalties are adjusted annually for inflation under the Federal Civil Penalties Inflation Adjustment Act.</w:t>
      </w:r>
    </w:p>
    <w:p>
      <w:pPr>
        <w:spacing w:after="0" w:line="23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foundational principles of the GDPR have helped shape the development of many other privacy laws globally. Internationally, data protection laws continue to be introduced at a rapid rate, with greater protections afforded to personal data than ever before, and greater risk of liability to organizations processing that personal data. As a global organization, ICON must ensure that our privacy posture continues to adapt to these new laws and regulations.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Additional legislation or regulation of this type might, among other things, require us to implement new security measures and processes which may require substantial expenditures or limit our ability to offer some of our services. Additionally, if we violate applicable laws, regulations or duties relating to the use, processing or security of personal data, we could be subject to civil liability or criminal prosecution, be forced to alter our business practices or suffer reputational harm.</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 xml:space="preserve">We may face legal claims involving stockholders, consumers, clinical trial subjects, competitors, regulators and other parties. See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in Part A, Item 8 of this Form 20-F. Litigation and other legal proceedings are inherently uncertain, and adverse rulings could occur,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damages, or an injunction stopping us from engaging in business practices, or requiring other remedies, including, but not limited to, compulsory licensing of patents. In addition, the combined Company may be exposed to increased litigation from stockholders, customers, suppliers, consumers and other third parties due to the combination of ICON’s business and PRA’s business following the Merger.</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Customer Claims</w:t>
      </w:r>
    </w:p>
    <w:p>
      <w:pPr>
        <w:spacing w:after="0" w:line="2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provide staff to deliver our services,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relating to Investigators</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These patients will generally have underlying health conditions and this testing creates the risk of liability for personal injury to the patient or the risk of a serious adverse event occurring.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Indemnification from Customers</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Insurance</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to Date</w:t>
      </w:r>
    </w:p>
    <w:p>
      <w:pPr>
        <w:spacing w:after="0" w:line="2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Customers may have specific ESG related requirements or targets and if we fail to meet these targets we may lose business.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23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market and economic conditions;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declines in the market prices of stocks generally;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5" w:lineRule="exact"/>
        <w:rPr>
          <w:sz w:val="20"/>
          <w:szCs w:val="20"/>
          <w:color w:val="auto"/>
        </w:rPr>
      </w:pPr>
    </w:p>
    <w:p>
      <w:pPr>
        <w:ind w:left="660" w:hanging="328"/>
        <w:spacing w:after="0" w:line="246" w:lineRule="auto"/>
        <w:tabs>
          <w:tab w:leader="none" w:pos="6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new products, acquisitions, joint marketing relationships, joint ventures, other strategic relationships or capital commitments;</w:t>
      </w:r>
    </w:p>
    <w:p>
      <w:pPr>
        <w:spacing w:after="0" w:line="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public's reaction to press releases, other public announcements by us or third parties, including our filings with the SEC;</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credit rating of our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 or anticipated sale, of large blocks of our stock;</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performance on ESG matters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changing economic conditions;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exchange rate fluctuations;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natural disasters, war, acts of terrorism or responses to those events.</w:t>
      </w:r>
    </w:p>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returns may be reduced if we lose our foreign private issuer status.</w:t>
      </w:r>
    </w:p>
    <w:p>
      <w:pPr>
        <w:spacing w:after="0" w:line="2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We do not expect to pay any cash dividends for the foreseeable future.</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currently do not expect to declare dividends on our common stock and have not done so in the past. We continue to anticipate that our earnings will be used to provide working capital, to support operations, to make debt repayments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4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A future transfer of ICON ordinary shares, other than one effected by means of the transfer of book entry interests in the Depositary Trust Company ("DTC"), may be subject to Irish stamp duty.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Transfers of ICON ordinary shares effected by means of the transfer of book entry interests in the Depositary Trust Company ("DTC") should not be subject to Irish stamp duty where ICON ordinary shares are traded through DTC, either directly or through brokers that hold such shares on behalf of customers through DTC. However, if ICON ordinary shares are held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ectPr>
          <w:pgSz w:w="11900" w:h="16838" w:orient="portrait"/>
          <w:cols w:equalWidth="0" w:num="1">
            <w:col w:w="11240"/>
          </w:cols>
          <w:pgMar w:left="320" w:top="891" w:right="339" w:bottom="10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044" w:gutter="0" w:footer="0" w:header="0"/>
          <w:type w:val="continuous"/>
        </w:sectPr>
      </w:pPr>
    </w:p>
    <w:bookmarkStart w:id="23" w:name="page24"/>
    <w:bookmarkEnd w:id="23"/>
    <w:p>
      <w:pPr>
        <w:jc w:val="center"/>
        <w:ind w:right="83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Information on the Company.</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History and development</w:t>
      </w: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public limited company (“ICON plc”) is a clinical research organization (“CRO”), founded in Dublin, Ireland in 1990.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224"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Since ICON was founded,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5055" cy="2417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50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Recent investments, which continue to strengthen our service offerings to meet the needs of our customers include:</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July 1, 2021, the Company completed the acquisition of PRA by means of a merger whereby Indigo Merger Sub, Inc., a Delaware corporation and subsidiary of ICON, merged with and into PRA Health Sciences, Inc., the parent of PRA Health Sciences ("the Acquisition" and "the Merger"). Upon completion of the Acquisition, PRA became a wholly owned subsidiary within the ICON Group. The Acquisition has transformed the scale and capabilities of the Company. The combined Company leverages its enhanced operations to transform clinical trials and accelerate biopharma customers’ commercial success through the development of much needed medicines and medical devices. The combined Company retained the name ICON and brought together approximately 38,000 (as at the Merger date) employees across the globe, creating one of the world’s most advanced healthcare intelligence and clinical research organizations.</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Acquisition has brought together two high-quality, innovative, growing organizations with similar cultures and values to create the world's leading clinical research organization with a singular focus on clinical research and commercialization. Under the terms of the Merger, PRA shareholders received per share $80 in cash and 0.4125 shares of ICON stock. The total value of the Merger consideration is $12.0 billion and has resulted in the recognition of goodwill of $8.1 billion, intangible assets of $4.9 billion and an associated deferred tax liability of $1.1 billion. The accounting for the Merger was final as of June 30, 2022.</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conjunction with the completion of the Merger, on July 1, 2021, ICON entered into a credit agreement providing for a senior secured term loan facility of $5,515 million and a senior secured revolving loan facility in an initial aggregate principal</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54" w:lineRule="auto"/>
        <w:rPr>
          <w:sz w:val="20"/>
          <w:szCs w:val="20"/>
          <w:color w:val="auto"/>
        </w:rPr>
      </w:pPr>
      <w:r>
        <w:rPr>
          <w:rFonts w:ascii="Arial" w:cs="Arial" w:eastAsia="Arial" w:hAnsi="Arial"/>
          <w:sz w:val="16"/>
          <w:szCs w:val="16"/>
          <w:color w:val="auto"/>
        </w:rPr>
        <w:t>amount of $300 million (the "Senior Secured Credit Facilities"). The proceeds of the senior secured term loan facility were used to repay the outstanding amount of (i) PRA’s existing credit facilities and (ii) the Company's private placement notes outstanding and fund, in part, the Merger. The senior secured term loan facility will mature in July 2028 and the revolving loan facility will mature in July 2026. The credit agreement governing the Senior Secured Credit Facilities provides that borrowings denominated in U.S. Dollars will bear interest based on the London Interbank Offered Rate ("LIBOR") or other base rate (as elected by the borrower), plus an applicable margin. On November 29, 2022, the Company agreed with its lenders to the adoption of the Secured Overnight Financing Rate ("SOFR") as the benchmark rate within the Senior Secured Credit Facilities, thus LIBOR is no longer the benchmark rate available to the Company under the terms of the Senior Secured Credit Facilities.</w:t>
      </w:r>
    </w:p>
    <w:p>
      <w:pPr>
        <w:spacing w:after="0" w:line="2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repaid $800 million and $513.8 million of the senior secured term loan facility for the years ended December 31, 2022 and 2021, respectively. At December 31, 2022 and 2021, no amounts were outstanding under the senior secured revolving loan facility with the exception of $4.5 million letters of credit given to landlords to guarantee lease arrangements.</w:t>
      </w: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financial information presented in this Form 20-F reflect the results of the combined Company for the year ended December 31, 2022. The financial information presented for the years ended December 31, 2021 and December 31, 2020 are as previously reported and do not reflect the pre-Merger results of PRA before July 1, 2021, other than where clearly stated and required by GAAP.</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During 2019, we further enhanced our site and patient recruitment abilities through the strategic acquisitions of MeDiNova and CRN. In 2020, ICON announced the launch of Accellacare, a global clinical research network offering patients easier and faster access to innovative treatments and offering customers the option to deploy decentralized trials. The site network includes previously acquired PMG Research, MeDiNova and CRN. Also in 2020, we entered into an agreement to jointly establish a new company, Oncacare Limited ("Oncacare"), with a third party. Oncacare operates as a specialized oncology site network in the US and EMEA regions.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With approximately 41,100 employees across the globe, the new ICON has established relationships with a majority of the world’s top pharmaceutical and biotech companies. We believe the Company now has the expertise, technology, and data assets to lead the industry into a new paradigm for bringing clinical research to more patients and enabling expanded capabilities for customers. We believe the Merger will deliver a transformational effect on ICON through:</w:t>
      </w:r>
    </w:p>
    <w:p>
      <w:pPr>
        <w:spacing w:after="0" w:line="218"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color w:val="auto"/>
        </w:rPr>
        <w:t xml:space="preserve">Scale: </w:t>
      </w:r>
      <w:r>
        <w:rPr>
          <w:rFonts w:ascii="Arial" w:cs="Arial" w:eastAsia="Arial" w:hAnsi="Arial"/>
          <w:sz w:val="16"/>
          <w:szCs w:val="16"/>
          <w:color w:val="auto"/>
        </w:rPr>
        <w:t>With a deeper clinical, commercialization and consulting services portfolio, a broader geographic footprint, depth in therapeutic expertise,</w:t>
      </w:r>
      <w:r>
        <w:rPr>
          <w:rFonts w:ascii="Arial" w:cs="Arial" w:eastAsia="Arial" w:hAnsi="Arial"/>
          <w:sz w:val="16"/>
          <w:szCs w:val="16"/>
          <w:b w:val="1"/>
          <w:bCs w:val="1"/>
          <w:color w:val="auto"/>
        </w:rPr>
        <w:t xml:space="preserve"> </w:t>
      </w:r>
      <w:r>
        <w:rPr>
          <w:rFonts w:ascii="Arial" w:cs="Arial" w:eastAsia="Arial" w:hAnsi="Arial"/>
          <w:sz w:val="16"/>
          <w:szCs w:val="16"/>
          <w:color w:val="auto"/>
        </w:rPr>
        <w:t>and data-driven healthcare technology, the Company can deliver enhanced globally scaled expertise &amp; solutions for all customers and patients.</w:t>
      </w:r>
    </w:p>
    <w:p>
      <w:pPr>
        <w:spacing w:after="0" w:line="196"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b w:val="1"/>
          <w:bCs w:val="1"/>
          <w:color w:val="auto"/>
        </w:rPr>
        <w:t xml:space="preserve">Focus: </w:t>
      </w:r>
      <w:r>
        <w:rPr>
          <w:rFonts w:ascii="Arial" w:cs="Arial" w:eastAsia="Arial" w:hAnsi="Arial"/>
          <w:sz w:val="16"/>
          <w:szCs w:val="16"/>
          <w:color w:val="auto"/>
        </w:rPr>
        <w:t>The Company will have a singular focus on clinical research and commercialization, leveraging transformational technology and innovation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execute clinical trials from Phase 1 to post-approval studies with the highest quality, expertise and speed.</w:t>
      </w:r>
    </w:p>
    <w:p>
      <w:pPr>
        <w:spacing w:after="0" w:line="183"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b w:val="1"/>
          <w:bCs w:val="1"/>
          <w:color w:val="auto"/>
        </w:rPr>
        <w:t>Speed to market</w:t>
      </w:r>
      <w:r>
        <w:rPr>
          <w:rFonts w:ascii="Arial" w:cs="Arial" w:eastAsia="Arial" w:hAnsi="Arial"/>
          <w:sz w:val="16"/>
          <w:szCs w:val="16"/>
          <w:color w:val="auto"/>
        </w:rPr>
        <w:t>: Our extensive services portfolio, digital and data technology capabilities, and enhanced access to more diverse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populations, have been combined with flexible delivery approaches and partnership models – all with the aim of reducing development time and costs.</w:t>
      </w:r>
    </w:p>
    <w:p>
      <w:pPr>
        <w:spacing w:after="0" w:line="191" w:lineRule="exact"/>
        <w:rPr>
          <w:sz w:val="20"/>
          <w:szCs w:val="20"/>
          <w:color w:val="auto"/>
        </w:rPr>
      </w:pPr>
    </w:p>
    <w:p>
      <w:pPr>
        <w:jc w:val="both"/>
        <w:ind w:left="660" w:right="20"/>
        <w:spacing w:after="0" w:line="304" w:lineRule="auto"/>
        <w:rPr>
          <w:sz w:val="20"/>
          <w:szCs w:val="20"/>
          <w:color w:val="auto"/>
        </w:rPr>
      </w:pPr>
      <w:r>
        <w:rPr>
          <w:rFonts w:ascii="Arial" w:cs="Arial" w:eastAsia="Arial" w:hAnsi="Arial"/>
          <w:sz w:val="16"/>
          <w:szCs w:val="16"/>
          <w:b w:val="1"/>
          <w:bCs w:val="1"/>
          <w:color w:val="auto"/>
        </w:rPr>
        <w:t xml:space="preserve">Flexible partnership models: </w:t>
      </w:r>
      <w:r>
        <w:rPr>
          <w:rFonts w:ascii="Arial" w:cs="Arial" w:eastAsia="Arial" w:hAnsi="Arial"/>
          <w:sz w:val="16"/>
          <w:szCs w:val="16"/>
          <w:color w:val="auto"/>
        </w:rPr>
        <w:t>ICON has partnerships with a majority of world’s top biopharma and biotech companies worldwide. ICON is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leader in Functional Service Provision and a top global provider of full service clinical research.</w:t>
      </w:r>
    </w:p>
    <w:p>
      <w:pPr>
        <w:spacing w:after="0" w:line="168"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b w:val="1"/>
          <w:bCs w:val="1"/>
          <w:color w:val="auto"/>
        </w:rPr>
        <w:t xml:space="preserve">Differentiated DCT platform, healthcare intelligence &amp; technology: </w:t>
      </w:r>
      <w:r>
        <w:rPr>
          <w:rFonts w:ascii="Arial" w:cs="Arial" w:eastAsia="Arial" w:hAnsi="Arial"/>
          <w:sz w:val="16"/>
          <w:szCs w:val="16"/>
          <w:color w:val="auto"/>
        </w:rPr>
        <w:t>The new ICON can deliver differentiated decentralized and hybrid trial</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through a suite of capabilities, including mobile health, commercial connected health platforms, real world data and information solutions, a global site network, home health services and wearables expertise.</w:t>
      </w:r>
    </w:p>
    <w:p>
      <w:pPr>
        <w:spacing w:after="0" w:line="191" w:lineRule="exact"/>
        <w:rPr>
          <w:sz w:val="20"/>
          <w:szCs w:val="20"/>
          <w:color w:val="auto"/>
        </w:rPr>
      </w:pPr>
    </w:p>
    <w:p>
      <w:pPr>
        <w:jc w:val="both"/>
        <w:ind w:left="660"/>
        <w:spacing w:after="0" w:line="275" w:lineRule="auto"/>
        <w:rPr>
          <w:sz w:val="20"/>
          <w:szCs w:val="20"/>
          <w:color w:val="auto"/>
        </w:rPr>
      </w:pPr>
      <w:r>
        <w:rPr>
          <w:rFonts w:ascii="Arial" w:cs="Arial" w:eastAsia="Arial" w:hAnsi="Arial"/>
          <w:sz w:val="16"/>
          <w:szCs w:val="16"/>
          <w:b w:val="1"/>
          <w:bCs w:val="1"/>
          <w:color w:val="auto"/>
        </w:rPr>
        <w:t xml:space="preserve">Access to patients: </w:t>
      </w:r>
      <w:r>
        <w:rPr>
          <w:rFonts w:ascii="Arial" w:cs="Arial" w:eastAsia="Arial" w:hAnsi="Arial"/>
          <w:sz w:val="16"/>
          <w:szCs w:val="16"/>
          <w:color w:val="auto"/>
        </w:rPr>
        <w:t>The new ICON offers customers enhanced access to a larger global pool of more diverse patients through its global site</w:t>
      </w:r>
      <w:r>
        <w:rPr>
          <w:rFonts w:ascii="Arial" w:cs="Arial" w:eastAsia="Arial" w:hAnsi="Arial"/>
          <w:sz w:val="16"/>
          <w:szCs w:val="16"/>
          <w:b w:val="1"/>
          <w:bCs w:val="1"/>
          <w:color w:val="auto"/>
        </w:rPr>
        <w:t xml:space="preserve"> </w:t>
      </w:r>
      <w:r>
        <w:rPr>
          <w:rFonts w:ascii="Arial" w:cs="Arial" w:eastAsia="Arial" w:hAnsi="Arial"/>
          <w:sz w:val="16"/>
          <w:szCs w:val="16"/>
          <w:color w:val="auto"/>
        </w:rPr>
        <w:t>network (Accellacare), specialized oncology network (Oncacare), a pediatric site network, in-home clinical services and a network of six Phase I clinical research units across the United States and Europe.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Interest Rate Risk Management</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entered into derivative financial instruments to manage exposures to interest rate fluctuations. On November 29, 2022, the Company entered into two interest rate cap agreements and one interest rate swap agreement with notional amounts of $2,100.6 million and $1,100.6 million, respectively. These derivative financial instruments are used to limit the Company's exposure to changes in the variable interest rate on its Senior Secured Credit Facilities by fixing the interest rates on approximately 48% of ICON's term loan facility at that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February 18, 2022, the Board authorized the repurchase of up to $100 million of the Company's common stock. The share repurchase program was completed during the year ended December 31, 2022 with a total of 420,530 ordinary shares redeemed by the Company for a total consideration of $100.0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Ukraine</w:t>
      </w:r>
    </w:p>
    <w:p>
      <w:pPr>
        <w:spacing w:after="0" w:line="2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has resulted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year ended December 31, 2022.</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Foreign exchange</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Company prepares its financial statements in United States dollars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could have a material adverse effect on the Company’s financial results. In the year ended December 31, 2022, the Company recorded foreign currency gains of $26.0 million.</w:t>
      </w:r>
    </w:p>
    <w:p>
      <w:pPr>
        <w:spacing w:after="0" w:line="20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Business Overview</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is a leading global provider of outsourced development and commercialization services to pharmaceutical, biotechnology, medical device, and government and public health organizations.</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offer a full range of clinical, consulting and commercial services that range from clinical development strategy, planning and trial design, to full study execution, and post-market commercialization.</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ICON provides its services across a range of clinical outsourcing operating models including strategic partnerships, preferred provider, full-service delivery to functional service provision and stand-alone services.</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5863590" cy="2931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are capitalizing on the enhanced scale, technology and data analytics capabilities that the recent acquisition of PRA Health Sciences delivered.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 maintains a sustained focus on research and development and developing industry-leading technologies and processes to support our clients. We continue to enhance our portfolio of data solutions and decentralized clinical trial technology. ICON is leading the industry transformation through four key levers: transforming clinical trials, site and patient centricity, healthcare intelligence and applied innovation, and seamless, integrated service delivery.</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At December 31, 2022, we employed approximately 41,100 employees in 111 locations in 53 countries. During the year ended December 31, 2022, we derived approximately 46.2%, 46.5% and 7.3% of our revenue in the United States, Europe and Rest of World,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ICON strategy</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 (see www.iconplc.com/awards).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jc w:val="both"/>
        <w:spacing w:after="0" w:line="256" w:lineRule="auto"/>
        <w:rPr>
          <w:sz w:val="20"/>
          <w:szCs w:val="20"/>
          <w:color w:val="auto"/>
        </w:rPr>
      </w:pPr>
      <w:r>
        <w:rPr>
          <w:rFonts w:ascii="Arial" w:cs="Arial" w:eastAsia="Arial" w:hAnsi="Arial"/>
          <w:sz w:val="16"/>
          <w:szCs w:val="16"/>
          <w:color w:val="auto"/>
        </w:rPr>
        <w:t>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Delivery of our mission and strategy is focused on our four strategic pillars, being (i) Patient Access &amp; Engagement (ii) Career Development &amp; Employer of choice (iii) Enduring Customer Partnerships and (iv) Healthcare Intelligence &amp; Applied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863590" cy="2854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 Access &amp; Engagement</w:t>
      </w:r>
    </w:p>
    <w:p>
      <w:pPr>
        <w:spacing w:after="0" w:line="264"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ICON has a focused patient, site and data strategy, which is helping us to improve site identification, study placement and patient recruitment and retention.</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Accellacare is ICON's global clinical research network offering customers a wide range of stand-alone and integrated solutions at the site or in patients' homes as part of decentralized trials. Our patient centric approach accelerates study start-up and increases patient recruitment and retention for pharmaceutical, biotechnology and medical device industries.</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Accellacare Site Network encompasses more than 76 sites across 6 countries covering the United States and Europe. Accellacare offers a quality focused clinical research infrastructure delivering value and benefits to sponsors. Accellacare supports customers with faster start-up. The time from site selected to site initiation visit is on average 30% faster when compared to other sites. Also, Accellacare achieves an average of 40% more patients per site when compared to other sites.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Accellacare In-Home Services takes study visits directly to patients where they live, work, study or play in all phases and therapeutic areas of clinical trials. By bringing trial visits directly to patients, we ease the burden of participating in clinical research to increase patient recruitment, retention and diversity. Accellacare In-Home Services has experience in more than 400 clinical trials, tailoring our services to fit each study's specific requirements across more than 55 countries.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It is also providing investigators with innovative treatments for their patients with a quality-focused clinical research infrastructure supported by experienced professionals globally.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8" w:name="page29"/>
    <w:bookmarkEnd w:id="28"/>
    <w:p>
      <w:pPr>
        <w:jc w:val="both"/>
        <w:ind w:firstLine="648"/>
        <w:spacing w:after="0" w:line="245" w:lineRule="auto"/>
        <w:rPr>
          <w:sz w:val="20"/>
          <w:szCs w:val="20"/>
          <w:color w:val="auto"/>
        </w:rPr>
      </w:pPr>
      <w:r>
        <w:rPr>
          <w:rFonts w:ascii="Arial" w:cs="Arial" w:eastAsia="Arial" w:hAnsi="Arial"/>
          <w:sz w:val="16"/>
          <w:szCs w:val="16"/>
          <w:color w:val="auto"/>
        </w:rPr>
        <w:t>In 2021, Accellacare entered new partnerships with six research sites across four countries, expanding its global footprint and capabilities. Agreements with Asclepes Research and Olympian Clinical Research in the U.S., Curiositas ad Sanum and Intermed in Germany, Quironsalud in Spain, and KO-MED in Poland. Through these new partnerships, Accellacare is also enhancing its capability in the central nervous system (CNS) and immune-inflammation therapeutic areas.</w:t>
      </w:r>
    </w:p>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2022 the continued expansion of the Accellacare Site Network increases access and engagement with investigative sites and its patients, with the goal of faster recruitment and reducing the overall time and cost associated with drug development for customers. Accellacare now has access to more than 9 million patients.</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Accellacare and Oncacare site network alliances enhances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Career development and employer of choice</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aim to be an industry leader: a company where talented people come to do important work, a place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2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Enduring customer partnerships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focus on expanding and deepening our partnerships with existing customers, while also developing new customer relationships.</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224"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To meet the evolving needs of both our existing and new clients we continue to enhance our capabilities through both organic service development and targeted acquisitions.</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we continued to enhance our scientific and therapeutic expertise to support our customers in specific areas including oncology, orphan and rare diseases, CNS, dermatology, infectious disease and women's health.</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29" w:name="page30"/>
    <w:bookmarkEnd w:id="29"/>
    <w:p>
      <w:pPr>
        <w:jc w:val="both"/>
        <w:ind w:right="20" w:firstLine="648"/>
        <w:spacing w:after="0" w:line="262" w:lineRule="auto"/>
        <w:rPr>
          <w:sz w:val="20"/>
          <w:szCs w:val="20"/>
          <w:color w:val="auto"/>
        </w:rPr>
      </w:pPr>
      <w:r>
        <w:rPr>
          <w:rFonts w:ascii="Arial" w:cs="Arial" w:eastAsia="Arial" w:hAnsi="Arial"/>
          <w:sz w:val="16"/>
          <w:szCs w:val="16"/>
          <w:color w:val="auto"/>
        </w:rPr>
        <w:t>ICON has extensive experience in vaccine clinical development for commercial businesses, governments and NGOs, having participated in over 160 vaccine studies in the past five years. This experience enabled us to play a significant role in the search for vaccines and treatments for COVID-19. ICON is currently or has already conducted a total of over 130 COVID-19 related trials.</w:t>
      </w:r>
    </w:p>
    <w:p>
      <w:pPr>
        <w:spacing w:after="0" w:line="207" w:lineRule="exact"/>
        <w:rPr>
          <w:sz w:val="20"/>
          <w:szCs w:val="20"/>
          <w:color w:val="auto"/>
        </w:rPr>
      </w:pPr>
    </w:p>
    <w:p>
      <w:pPr>
        <w:ind w:right="100" w:firstLine="648"/>
        <w:spacing w:after="0"/>
        <w:rPr>
          <w:sz w:val="20"/>
          <w:szCs w:val="20"/>
          <w:color w:val="auto"/>
        </w:rPr>
      </w:pPr>
      <w:r>
        <w:rPr>
          <w:rFonts w:ascii="Arial" w:cs="Arial" w:eastAsia="Arial" w:hAnsi="Arial"/>
          <w:sz w:val="16"/>
          <w:szCs w:val="16"/>
          <w:color w:val="auto"/>
        </w:rPr>
        <w:t>Of particular note was our work in partnering with Pfizer and BioNTech on their investigational COVID-19 vaccine program - the first to announce positive efficacy results from a Phase 3, late-stage study of a COVID-19 vaccine and to receive Emergency Use Authorization in individuals 16 years of age or older from the U.S. Food and Drug Administration.</w:t>
      </w:r>
    </w:p>
    <w:p>
      <w:pPr>
        <w:spacing w:after="0" w:line="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mobilized a large global team of therapeutic and operational specialists to partner on the implementation of Pfizer‘s and BioNTech’s strategic plan and framework for the monitoring of the trial, which included a high level of remote clinical monitoring and source data verification in addition to on-site monitoring, safeguarding data quality and integrity in the evolving pandemic environment. The team combined the benefits of full service and functional service provider clinical operating models to increase efficiency and ensure rapid study start-up.</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ICON worked with 153 sites in the US, Europe, South Africa and Latin America to ensure the recruitment of more than 44,000 trial participants over a four-month period in late 2020.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companies’ project teams.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ICON acquired MedPass which has further enhanced our value offering in this area.</w:t>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also invested significantly in our site and patient network (Accellacare), and consider our expertise and offering in this area as one of our strategic pillars effective from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Healthcare intelligence and applied innovation</w:t>
      </w:r>
    </w:p>
    <w:p>
      <w:pPr>
        <w:spacing w:after="0" w:line="2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213" w:lineRule="exact"/>
        <w:rPr>
          <w:sz w:val="20"/>
          <w:szCs w:val="20"/>
          <w:color w:val="auto"/>
        </w:rPr>
      </w:pPr>
    </w:p>
    <w:p>
      <w:pPr>
        <w:jc w:val="both"/>
        <w:ind w:right="500" w:firstLine="648"/>
        <w:spacing w:after="0" w:line="244" w:lineRule="auto"/>
        <w:rPr>
          <w:sz w:val="20"/>
          <w:szCs w:val="20"/>
          <w:color w:val="auto"/>
        </w:rPr>
      </w:pPr>
      <w:r>
        <w:rPr>
          <w:rFonts w:ascii="Arial" w:cs="Arial" w:eastAsia="Arial" w:hAnsi="Arial"/>
          <w:sz w:val="16"/>
          <w:szCs w:val="16"/>
          <w:color w:val="auto"/>
        </w:rPr>
        <w:t>ICON’s proprietary One Search tool helps identify optimum trial sites the first time.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has also developed a patient engagement platform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6"/>
          <w:szCs w:val="16"/>
          <w:color w:val="auto"/>
        </w:rPr>
        <w:t>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positively impact patients’ lives by understanding their journeys and how they can benefit from drugs currently in development and on the market. We do this by developing a holistic, global data environment across pharmaceutical and biotech companies (development to commercial) that gives insights into patients, and how best to serve them. Alongside the application of these technology solutions we are also focused on innovation through the redesign and where appropriate the automation of current clinical trial processes.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Operational excellence, quality and delivery</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2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and service offerings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1" w:name="page32"/>
    <w:bookmarkEnd w:id="31"/>
    <w:p>
      <w:pPr>
        <w:ind w:firstLine="648"/>
        <w:spacing w:after="0" w:line="257" w:lineRule="auto"/>
        <w:rPr>
          <w:sz w:val="20"/>
          <w:szCs w:val="20"/>
          <w:color w:val="auto"/>
        </w:rPr>
      </w:pPr>
      <w:r>
        <w:rPr>
          <w:rFonts w:ascii="Arial" w:cs="Arial" w:eastAsia="Arial" w:hAnsi="Arial"/>
          <w:sz w:val="16"/>
          <w:szCs w:val="16"/>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 selection to Phase I-IV clinical studies and post approval outcome research and market access consulting solutions, and can be adapted to suit local trials or large global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709285" cy="7397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7397750"/>
                    </a:xfrm>
                    <a:prstGeom prst="rect">
                      <a:avLst/>
                    </a:prstGeom>
                    <a:noFill/>
                  </pic:spPr>
                </pic:pic>
              </a:graphicData>
            </a:graphic>
          </wp:anchor>
        </w:drawing>
      </w:r>
    </w:p>
    <w:p>
      <w:pPr>
        <w:sectPr>
          <w:pgSz w:w="11900" w:h="16838" w:orient="portrait"/>
          <w:cols w:equalWidth="0" w:num="1">
            <w:col w:w="11060"/>
          </w:cols>
          <w:pgMar w:left="320" w:top="91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11" w:right="5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Industry overview</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 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3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drug development overview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ethical pharmaceuticals and biologics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Before a new drug or biologic may be marketed, it must undergo extensive testing and regulatory review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Preclinical Research </w:t>
      </w:r>
      <w:r>
        <w:rPr>
          <w:rFonts w:ascii="Arial" w:cs="Arial" w:eastAsia="Arial" w:hAnsi="Arial"/>
          <w:sz w:val="16"/>
          <w:szCs w:val="16"/>
          <w:color w:val="auto"/>
        </w:rPr>
        <w:t>“In vitro” (test tube) and animal studies must be conducted in accordance with applicable regulations to establish the relative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toxicity 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 Preclinical research is not commonly provided by ICON as a service to its customers.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(approximately 3.5 to 7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Exploratory development</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b w:val="1"/>
          <w:bCs w:val="1"/>
          <w:u w:val="single" w:color="auto"/>
          <w:color w:val="auto"/>
        </w:rPr>
        <w:t>Phase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highlight w:val="white"/>
        </w:rPr>
        <w:t>(approximately 6 months to 1 year)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basic safety and tolerability testing in small numbers of human subjects, initially in healthy</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Phase II</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(approximately 2 to 3 years) includes basic efficacy and dose-range testing in a limited patient population (usually) 100 to 200 patients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-1905</wp:posOffset>
            </wp:positionV>
            <wp:extent cx="128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help provide preliminary safety and evidence that the drug is likely to be effective in the target disease. If the Phase II results are satisfactory the sponsor may decide to proceed to Phase III studies.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Confirmatory development</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u w:val="single" w:color="auto"/>
          <w:color w:val="auto"/>
        </w:rPr>
        <w:t>Phase III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highlight w:val="white"/>
        </w:rPr>
        <w:t>(2 years or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efficacy and safety studies in several hundred to a few thousand patients at multiple investigational sites</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(hospitals and clinics), often in multiple geographies.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FDA approval, through submission of an IND, is necessary for all clinical trials, regardless of the phase of development. In addition, parallel independent committee approval is also required.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firstLine="648"/>
        <w:spacing w:after="0" w:line="265" w:lineRule="auto"/>
        <w:rPr>
          <w:sz w:val="20"/>
          <w:szCs w:val="20"/>
          <w:color w:val="auto"/>
        </w:rPr>
      </w:pPr>
      <w:r>
        <w:rPr>
          <w:rFonts w:ascii="Arial" w:cs="Arial" w:eastAsia="Arial" w:hAnsi="Arial"/>
          <w:sz w:val="16"/>
          <w:szCs w:val="16"/>
          <w:b w:val="1"/>
          <w:bCs w:val="1"/>
          <w:i w:val="1"/>
          <w:iCs w:val="1"/>
          <w:color w:val="auto"/>
        </w:rPr>
        <w:t xml:space="preserve">NDA or BLA Preparation and Submission. </w:t>
      </w:r>
      <w:r>
        <w:rPr>
          <w:rFonts w:ascii="Arial" w:cs="Arial" w:eastAsia="Arial" w:hAnsi="Arial"/>
          <w:sz w:val="16"/>
          <w:szCs w:val="16"/>
          <w:color w:val="auto"/>
        </w:rPr>
        <w:t>Upon completion of Phase III trials, the sponsor assembles the statistically analyzed data from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phases of development into a single large submission along with the Chemistry, Manufacturing and Controls (CMC) and preclinical data and the proposed labelling into the New Drug Application (NDA), or Biologics License Application (BLA) and submits them for assessment and approval by the relevant division of the FDA.</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b w:val="1"/>
          <w:bCs w:val="1"/>
          <w:i w:val="1"/>
          <w:iCs w:val="1"/>
          <w:color w:val="auto"/>
        </w:rPr>
        <w:t xml:space="preserve">Expanded Access Programs (EAPs). </w:t>
      </w:r>
      <w:r>
        <w:rPr>
          <w:rFonts w:ascii="Arial" w:cs="Arial" w:eastAsia="Arial" w:hAnsi="Arial"/>
          <w:sz w:val="16"/>
          <w:szCs w:val="16"/>
          <w:color w:val="auto"/>
        </w:rPr>
        <w:t>Sometimes a study drug may continue to be provided to subjects after completion of a clinical trial,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called 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13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is scrutinized to confirm that the applicant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commitments.</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Post-market surveillance, Phase IV studies and health outcomes. </w:t>
      </w:r>
      <w:r>
        <w:rPr>
          <w:rFonts w:ascii="Arial" w:cs="Arial" w:eastAsia="Arial" w:hAnsi="Arial"/>
          <w:sz w:val="16"/>
          <w:szCs w:val="16"/>
          <w:color w:val="auto"/>
        </w:rPr>
        <w:t>Once approved by the FDA, it requires the drug or biologic license holder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 and periodically report to them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the FDA and other regulatory agencies require license holders of drugs or biologics to prepare risk management plans that are aimed at assessing areas of product risk and actively managing such risks throughout the product lifecycle.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the CRO industry</w:t>
      </w:r>
    </w:p>
    <w:p>
      <w:pPr>
        <w:spacing w:after="0" w:line="2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CROs derive substantially all their revenue from the research and development expenditures of pharmaceutical, biotechnology and medical device companies. We believe that the following trends create further growth opportunities for global CROs, although there is no assurance that growth will materialize.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Continued innovation and development of enabling technologies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Innovation driving new drug development activity</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 or orphan diseases that currently have no effective treatments.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developments should lead to increased activity in both preclinical and Phase I development and in turn lead to more treatments in Phase II-</w:t>
      </w:r>
    </w:p>
    <w:p>
      <w:pPr>
        <w:spacing w:after="0" w:line="19" w:lineRule="exact"/>
        <w:rPr>
          <w:sz w:val="20"/>
          <w:szCs w:val="20"/>
          <w:color w:val="auto"/>
        </w:rPr>
      </w:pPr>
    </w:p>
    <w:p>
      <w:pPr>
        <w:jc w:val="both"/>
        <w:ind w:firstLine="8"/>
        <w:spacing w:after="0" w:line="262" w:lineRule="auto"/>
        <w:tabs>
          <w:tab w:leader="none" w:pos="1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Decentralized and hybrid trials</w:t>
      </w:r>
    </w:p>
    <w:p>
      <w:pPr>
        <w:spacing w:after="0" w:line="26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Decentralized and hybrid trials have existed for quite some time, but the coronavirus pandemic accelerated the demand when the pharma industry was challenged to move to remote models to protect patient safety and ensure data integrity for COVID-19 vaccine trials and other ongoing trials. The pandemic has provided an opportunity to move many technologies and remote patient care solutions from pilot phase to supporting patients and research.</w:t>
      </w:r>
    </w:p>
    <w:p>
      <w:pPr>
        <w:spacing w:after="0" w:line="23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6"/>
          <w:szCs w:val="16"/>
          <w:color w:val="auto"/>
        </w:rPr>
        <w:t>As an industry, we have an opportunity to make decentralized and hybrid the standard moving forward. The ways the industry have been conducting clinical research in a traditional site-based approach need to flex so we can implement these tools, techniques and processes in everyday research to bring about a more patient-centric approach. Each new element needs to be evaluated to assess the impact for the individual patients and study sites. Recent experiences in the industry have shown:</w:t>
      </w:r>
    </w:p>
    <w:p>
      <w:pPr>
        <w:spacing w:after="0" w:line="3" w:lineRule="exact"/>
        <w:rPr>
          <w:sz w:val="20"/>
          <w:szCs w:val="20"/>
          <w:color w:val="auto"/>
        </w:rPr>
      </w:pPr>
    </w:p>
    <w:p>
      <w:pPr>
        <w:ind w:left="980" w:hanging="324"/>
        <w:spacing w:after="0" w:line="255"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Using fewer countries and fewer sites can reduce costs, decrease timelines for start-up and minimize the risk of disruption during and post pandemic.</w:t>
      </w:r>
    </w:p>
    <w:p>
      <w:pPr>
        <w:ind w:left="980" w:hanging="324"/>
        <w:spacing w:after="0" w:line="255"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Hybrid studies, utilizing digital health, in-home health, and telehealth, can reduce the number and frequency of onsite patient visits and therefore reduce patient burden.</w:t>
      </w:r>
    </w:p>
    <w:p>
      <w:pPr>
        <w:ind w:left="980" w:hanging="324"/>
        <w:spacing w:after="0" w:line="260"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Home-based patient visits and direct-to-patient contacts can increase patient satisfaction, compliance and retention, providing greater trial resilience.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4" w:name="page35"/>
    <w:bookmarkEnd w:id="34"/>
    <w:p>
      <w:pPr>
        <w:ind w:left="980" w:hanging="324"/>
        <w:spacing w:after="0" w:line="260"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Harmonizing data from disparate data sources will provide real-time access and consistent data visibility, helping to improve safety monitoring and enabling the visualization of data trends.</w:t>
      </w:r>
    </w:p>
    <w:p>
      <w:pPr>
        <w:spacing w:after="0" w:line="2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Regulatory easement has resulted in a number of positive changes to clinical trial procedures, enabling studies to continue and in some case progress at a faster pace, and improvements to the process of CTA and IND approvals despite the restrictions imposed by the current COVID-19 pandemic. However, the regulatory authorities have been clear that regulatory easement will be discontinued once the pandemic recedes so it remains to be seen how many of these improvements will endure and become standard practice in the longer term. It is hoped that we can hold on to some of the improvements for the benefit of the patient and healthcare advancement.</w:t>
      </w: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Ultimately, we are trying to increase the speed at which drugs can meet approval guidelines and help treatable populations. By using decentralized tools, technologies and processes, we will reduce the burden on patients, increase satisfaction and provide them with the same standard of care during a virtual or home visit that they would receive in a clinic, thereby fulfilling the promise of clinical research as a care option. While reduced costs may not be seen in the early phase of adoption (in fact investment may be required initially) choosing the right solution for the specific study characteristics has the potential to increase patient recruitment and retention which can result in reduced overall research costs and quicker time to market. To find the best clinical trial design to suit their needs, sponsors will need to take patient centricity into consideration from the outset and at every step along the way, because what benefits the patient will ultimately benefit the sponsor in outcomes.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technology enabling more efficient development</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Technology innovation is playing an increasingly important role in helping to support more efficient drug development. Leveraging differentiated technology solutions and data collaborations drives better execution in clinical trials. The larger CROs have been at the forefront of this innovation developing technology solutions that support the integration of trial data across multiple systems, data repositories that enable sponsors to get real time clinical insights on the performance of their drugs and tools that support better trial designs and operation.</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emergence of modern healthcare technologies ("mHealth")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“decentralized and hybrid trials” based on remote monitoring of patients in their home environment which may drive further efficiencies in the trial process.</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Social media is also becoming an important platform for life sciences companies to strengthen patient engagement programs and collaborate with other stakeholders in the healthcare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the influence of technology on drug development grows, it broadens the potential number of partners that CROs will work with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Expanded use of new patient data sources</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Pharmaceutical companies are looking to access a variety of new healthcare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Improving productivity and operating efficiencies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focus on productivity within research and development programs</w:t>
      </w:r>
    </w:p>
    <w:p>
      <w:pPr>
        <w:spacing w:after="0" w:line="2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risk based clinical trial monitoring, decentralized and hybrid trials are enhancing development, allowing effective treatments to get to patients quicker at reduced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Cost containment pressures</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Global trends influencing the CRO industry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Pressure to accelerate time to markets and globalization of the marketplace</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within the biotechnology sector</w:t>
      </w:r>
    </w:p>
    <w:p>
      <w:pPr>
        <w:spacing w:after="0" w:line="2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sectors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 ICON has over 8,000 staff exclusively dedicated to working with biotech clients.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number of large long-term studies and an increasing requirement to show the economic value of new treatments</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rising costs of healthcare in most developed countries also means there is an increasing pressure to show that new medical treatments are more cost effective and deliver better patient outcomes than existing treatment regimes. This also means that sponsors need to increasingly generate outcome data both as part of the product approval submissions and as part of post-approval research programs. This is creating opportunities for CROs who can offer support in developing and interpreting this data.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A focus on long-term product safety</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regulatory demands</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Regulatory agencies increasingly require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 Social and Governance ('ESG')</w:t>
      </w:r>
    </w:p>
    <w:p>
      <w:pPr>
        <w:spacing w:after="0" w:line="2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mission is to improve the lives of patients by accelerating the development of our customers’ drugs and devices through innovative solutions. We are passionate about providing innovative solutions for customers, we are better together working as one team, we value diversity and care about the success of our people, and we care about doing the right thing. We are advancing clinical research while offering customers broader and deeper experience, scale, and focus, complemented by continuity of delivery and speed to market. Our business model is described in the preceding sections. Consistent with our values, we seek to not only operate in compliance with applicable laws but also to positively influence our global workforce, the communities that we operate in, the environment and society as a whole. Doing so makes us a stronger, more resilient organization by every measure.</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core values underpin our mission and drive a culture and mind-set of ownership at ICON. "OwnIt@ICON", as set out below, is a statement of values that has remained at the very heart of ICON’s culture, encouraging our people to seize the opportunity and bring flexibility, innovation, and determination to every situation. We believe our culture of ownership personifies who we are as a company — it also helps us apply our expertise, collaborate to get things done, and succeed at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-3810</wp:posOffset>
            </wp:positionV>
            <wp:extent cx="3737610" cy="383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37610" cy="38315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7" w:name="page38"/>
    <w:bookmarkEnd w:id="37"/>
    <w:p>
      <w:pPr>
        <w:jc w:val="both"/>
        <w:ind w:firstLine="648"/>
        <w:spacing w:after="0" w:line="257" w:lineRule="auto"/>
        <w:rPr>
          <w:sz w:val="20"/>
          <w:szCs w:val="20"/>
          <w:color w:val="auto"/>
        </w:rPr>
      </w:pPr>
      <w:r>
        <w:rPr>
          <w:rFonts w:ascii="Arial" w:cs="Arial" w:eastAsia="Arial" w:hAnsi="Arial"/>
          <w:sz w:val="16"/>
          <w:szCs w:val="16"/>
          <w:color w:val="auto"/>
        </w:rPr>
        <w:t>Our values underpin how we work together to deliver on our mission to improve the lives of patients by accelerating the development of our customers’ drugs and devices through innovative solutions. These values and our Code of Ethical Conduct, which underpins these values, form the core of what we do, and how we do it. It applies to all of our officers, directors, employees, consultants and agents globally. All employees and temporary workers are mandated to complete global ethics training.</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ICON, we care about conducting business sustainably. We care about our people, patients, and the communities in which we live. We care about doing the right thing and we are committed to working to the highest ethical standards and demonstrating our commitment to honesty, transparency, and quality. As a testament to our commitment, we launched our “ICON Cares” program at the start of 2023 which incorporates all our Environment, Social and Governance (ESG), Diversity, Inclusion and Belonging (DIB), and CSR initiatives into one program. ICON’s Environment, Social, and Governance Committee ('ESG Committee') brings together all these initiatives and efforts under one umbrella to ensure consistency, enhance monitoring, reveal areas for development and facilitate reporting to the Board. The ESG Committee is chaired by the Chief Administrative Officer and General Counsel (CAO), who is responsible for reporting to the ICON executive leadership team, the Nominating, Sustainability and Governance Committee and the Board on ESG matters. In February 2022, the Board delegated oversight responsibilities of the Company's strategies, activities, and risks in respect to ESG matters to the Nominating and Governance Committee, which was renamed the “Nominating, Sustainability and Governance Committee” in April 2022. Accordingly, the CAO reports on ESG matters to the Nominating, Sustainability and Governance Committee and reports to the Board on an annual basis whilst also providing periodic ESG updates to the executive leadership team.</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including representation from facilities, health and safety, corporate communications, finance, legal, investor relations, procurement, commercial, marketing, and human resources departments. The Committee assists and supports executive management and the Nominating, Sustainability and Governance Committee of the Company in:</w:t>
      </w:r>
    </w:p>
    <w:p>
      <w:pPr>
        <w:spacing w:after="0" w:line="24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determining and setting the strategy relating to ESG matters;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developing, implementing and monitoring initiatives and policies based on that strategy; and</w:t>
      </w:r>
    </w:p>
    <w:p>
      <w:pPr>
        <w:spacing w:after="0" w:line="18"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communicating these strategies, initiatives, and their results.</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committed to building and developing our ESG strategies and reporting. In 2020 we launched our ESG page on the ICON website and have an internal ESG page on our MyICON intranet portal to engage with our employees and provide information and updates relating to ESG matters and our commitment to sustainability. In 2021, as a testament to our commitment to managing ICON responsibly and sustainably, we became a participant in the United Nations Global Compact (UNGC), a set of Ten Principles covering the areas of human rights, labor, environment, and anti-corruption. In our 2021 ESG report, released in 2022, we reported under the newest Global Reporting Initiative (GRI) standards and the Task Force on Climate-Related Financial Disclosures (TCFD). Our report summarizes our current policies, priorities, and commitments in respect to ESG matters. During 2022, ICON received a silver medal from EcoVadis in recognition of our environment, social and governance efforts throughout ICON. The ESG page on our website is available at https://www.iconplc.com/about/esg/.</w:t>
      </w:r>
    </w:p>
    <w:p>
      <w:pPr>
        <w:spacing w:after="0" w:line="225"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global landscape in respect to regulatory and legislative requirements relating to ESG reporting and disclosure requirements is rapidly evolving, and we are monitoring potential requirements so that we are positioned to adhere to any additional requirements in due course.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Building a sustainable future – our commitment to the United Nations Sustainable Development Goals</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a global company, we maintain an ethical and sustainable presence in hundreds of locations worldwide. At its core, ICON’s mission is to improve health and lives. We are also committed to contributing to the 2030 United Nations Sustainable Development Goals (SDGs) and are proud that our work contributes to their advancement.</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research, our work with customers and patients and our on-the-ground efforts to meet the diverse needs across our communities align with the SDGs. These efforts, however, focus on a subset of themes where we have the greatest opportunity to effect change and further details are set out in our ESG Report.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 Conducting business sustainably</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is committed to delivering excellence in care to our communities. To improve our overall sustainability, this commitment means tracking and improving our environmental performance across all business activities. We achieve this by pursuing sustainability strategies that recognize the impact of our operations as a CRO on the environment, addressing greenhouse gas (GHG) emissions, energy use, waste generation and procurement-related activities. Our employees, directors, officers, contractors, and temporary workers are expected to support our sustainability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38" w:name="page39"/>
    <w:bookmarkEnd w:id="38"/>
    <w:p>
      <w:pPr>
        <w:jc w:val="both"/>
        <w:ind w:firstLine="648"/>
        <w:spacing w:after="0" w:line="245" w:lineRule="auto"/>
        <w:rPr>
          <w:sz w:val="20"/>
          <w:szCs w:val="20"/>
          <w:color w:val="auto"/>
        </w:rPr>
      </w:pPr>
      <w:r>
        <w:rPr>
          <w:rFonts w:ascii="Arial" w:cs="Arial" w:eastAsia="Arial" w:hAnsi="Arial"/>
          <w:sz w:val="16"/>
          <w:szCs w:val="16"/>
          <w:color w:val="auto"/>
        </w:rPr>
        <w:t>Our Global Environmental Management Policy and Environmental Management Plan is our program for managing environmental sustainability initiatives. The implementation of the program is led by our facilities team, reporting to our Chief Administrative Officer and General Counsel (CAO). The CAO is responsible for reporting on the program to the ICON executive leadership team and Nominating, Sustainability and Governance Committee and the Board.</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ICON set environmental goals around the use of renewable energy and carbon emissions in 2019 and we are working towards achieving these goals which are as follows:</w:t>
      </w:r>
    </w:p>
    <w:p>
      <w:pPr>
        <w:spacing w:after="0" w:line="1"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100% renewable electricity by 2025</w:t>
      </w:r>
    </w:p>
    <w:p>
      <w:pPr>
        <w:spacing w:after="0" w:line="5" w:lineRule="exact"/>
        <w:rPr>
          <w:rFonts w:ascii="Arial" w:cs="Arial" w:eastAsia="Arial" w:hAnsi="Arial"/>
          <w:sz w:val="16"/>
          <w:szCs w:val="16"/>
          <w:color w:val="auto"/>
        </w:rPr>
      </w:pPr>
    </w:p>
    <w:p>
      <w:pPr>
        <w:ind w:left="1300" w:hanging="320"/>
        <w:spacing w:after="0" w:line="228"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 reduction in kilowatt hours (kWh) of electricity by 2030</w:t>
      </w: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zero carbon emissions on Scope 1 &amp; 2 by 2030</w:t>
      </w:r>
    </w:p>
    <w:p>
      <w:pPr>
        <w:spacing w:after="0" w:line="2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have programs in place to manage and minimize climate impacts of business activities. To continue to improve processes and reduce our environmental impact, we track, calculate, and report our GHG footprint. We apply the GHG Protocol Corporate Standard, which is the global corporate accounting and reporting standard for calculating carbon emissions. Carbon Trust provides annual verification of our emissions data.</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line with carbon reduction targets, ICON’s combined Scope 1 and 2 GHG emissions, relative to revenue and the number of employees, have fallen year on year since 2018. Since 2018, following our reduction efforts, the pandemic-related closure of many of our facilities and a reduction in business travel, GHG emissions across our operations declined significantly. Since 2021, as more normal operations resumed, we have seen a decrease in combined Scope 1 and 2 emissions with an overall increase in our total GHG emissions due to an increase in business travel (Scope 3). As the pandemic recovery continues, and we have resumed more normal operations, we are evaluating additional opportunities to continue to reduce our carbon emissions across our organization to develop and improve our environment program.</w:t>
      </w:r>
    </w:p>
    <w:p>
      <w:pPr>
        <w:spacing w:after="0" w:line="2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CDP (formerly the Carbon Disclosure Project) provides a globally recognized system that enables companies to measure and manage their environmental impacts. ICON continues to be committed to improving its current scoring of a C.</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focused on reducing energy use across our global operations. For example, reducing energy use and shifting to renewable energy are components of our specific environment goals. Waste reduction is embedded into our environment policies and practices and is one of the objectives of ICON’s Environmental Management Policy. We will seek new opportunities to reduce waste by increasing recycling volumes, reducing consumption of primary materials, and decreasing use of disposable products in our offices and facilities.</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majority of our sites are leased, and we work closely with our landlords and leasing agents to implement measures to ensure we operate in an environmentally sustainable manner. The Acquisition of PRA expanded our global real estate footprint and our real estate group worked with other business leaders to understand the sustainability implications and opportunities of this new footprint and find ways to continue to advance our collective sustainability goals. During 2022, we continued to integrate offices and reduce our footprint which resulted in downsizing or closing 31 locations to align with new working styles and business needs. When selecting new locations for offices and planning building modifications, experts from our real estate team factor in environmental considerations. In addition, we have implemented a series of measures globally to reduce the local footprint of our offices, such as installing energy-efficient LED lighting, using motion detectors to reduce energy use, purchasing recycled office supplies, and reducing paper consumption by promoting paperless office processes, or where printing is necessary, enabling double-sided output.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office design has efficiency in mind, utilizing space to provide the maximum number of desks and functional provisions while still providing comfortable, safe spaces for our employees. Our strategies include:</w:t>
      </w:r>
    </w:p>
    <w:p>
      <w:pPr>
        <w:spacing w:after="0" w:line="1"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Perimeter glazing of meeting rooms, offices, and other spaces which allow in natural light.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Recycling areas built into business centers and kitchen/ canteens which reduce waste sent to landfills.</w:t>
      </w:r>
    </w:p>
    <w:p>
      <w:pPr>
        <w:spacing w:after="0" w:line="18"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Planted green spaces which contribute to internal air quality, temperature, and humidity.</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Building materials and vendors which we select for low environmental impact.</w:t>
      </w:r>
    </w:p>
    <w:p>
      <w:pPr>
        <w:spacing w:after="0" w:line="26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also require our suppliers to abide by our Global Supplier Code of Conduct which includes a commitment to comply with applicable environment laws and regulations, our expectations around waste management and sustainable use of resources.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 Engagement</w:t>
      </w:r>
    </w:p>
    <w:p>
      <w:pPr>
        <w:spacing w:after="0" w:line="26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are committed to making a positive impact on the communities in which we work and live and we have aligned our community efforts to a broader vision for social impact, including by aligning priorities with our organizational goals of diversity, inclusion, and belonging.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community engagement activities are focused on two core areas:</w:t>
      </w:r>
    </w:p>
    <w:p>
      <w:pPr>
        <w:spacing w:after="0" w:line="194"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Supporting education and building closer ties between industry and academia.</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Improving the welfare of people in the communities in which we live.</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Supporting education and building closer ties between industry and academia</w:t>
      </w:r>
    </w:p>
    <w:p>
      <w:pPr>
        <w:spacing w:after="0" w:line="2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 core area of community support includes building ties between industry and academia to inspire the next generation of leaders in business and science. Our existing partnerships continue with the following organizations:</w:t>
      </w:r>
    </w:p>
    <w:p>
      <w:pPr>
        <w:spacing w:after="0" w:line="216" w:lineRule="exact"/>
        <w:rPr>
          <w:sz w:val="20"/>
          <w:szCs w:val="20"/>
          <w:color w:val="auto"/>
        </w:rPr>
      </w:pPr>
    </w:p>
    <w:p>
      <w:pPr>
        <w:jc w:val="both"/>
        <w:ind w:left="660" w:hanging="328"/>
        <w:spacing w:after="0" w:line="265" w:lineRule="auto"/>
        <w:tabs>
          <w:tab w:leader="none" w:pos="663"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ICON-McKeon Research Fellowship in Motor Neuron Disease ('MND') </w:t>
      </w:r>
      <w:r>
        <w:rPr>
          <w:rFonts w:ascii="Arial" w:cs="Arial" w:eastAsia="Arial" w:hAnsi="Arial"/>
          <w:sz w:val="16"/>
          <w:szCs w:val="16"/>
          <w:color w:val="auto"/>
        </w:rPr>
        <w:t>in honor of Mr. Declan McKeon, former Board member, acting</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Lead Independent Director and Chair of the ICON Audit committee. The ICON-McKeon Research Fellow in MND carries out research in the areas of machine-learning and artificial intelligence to derive insights from multimodal clinical, imaging neuro-electric signaling, in the context of the neurodegenerative disease of ALS.</w:t>
      </w:r>
    </w:p>
    <w:p>
      <w:pPr>
        <w:spacing w:after="0" w:line="199" w:lineRule="exact"/>
        <w:rPr>
          <w:rFonts w:ascii="Arial" w:cs="Arial" w:eastAsia="Arial" w:hAnsi="Arial"/>
          <w:sz w:val="16"/>
          <w:szCs w:val="16"/>
          <w:b w:val="1"/>
          <w:bCs w:val="1"/>
          <w:color w:val="auto"/>
        </w:rPr>
      </w:pPr>
    </w:p>
    <w:p>
      <w:pPr>
        <w:jc w:val="both"/>
        <w:ind w:left="660" w:hanging="328"/>
        <w:spacing w:after="0" w:line="261" w:lineRule="auto"/>
        <w:tabs>
          <w:tab w:leader="none" w:pos="67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Partnership with Trinity Centre for People with Intellectual Disabilities ('TCPID') </w:t>
      </w:r>
      <w:r>
        <w:rPr>
          <w:rFonts w:ascii="Arial" w:cs="Arial" w:eastAsia="Arial" w:hAnsi="Arial"/>
          <w:sz w:val="16"/>
          <w:szCs w:val="16"/>
          <w:color w:val="auto"/>
        </w:rPr>
        <w:t>- TCPID situated within the School of Education, Trinity</w:t>
      </w:r>
      <w:r>
        <w:rPr>
          <w:rFonts w:ascii="Arial" w:cs="Arial" w:eastAsia="Arial" w:hAnsi="Arial"/>
          <w:sz w:val="16"/>
          <w:szCs w:val="16"/>
          <w:b w:val="1"/>
          <w:bCs w:val="1"/>
          <w:color w:val="auto"/>
        </w:rPr>
        <w:t xml:space="preserve"> </w:t>
      </w:r>
      <w:r>
        <w:rPr>
          <w:rFonts w:ascii="Arial" w:cs="Arial" w:eastAsia="Arial" w:hAnsi="Arial"/>
          <w:sz w:val="16"/>
          <w:szCs w:val="16"/>
          <w:color w:val="auto"/>
        </w:rPr>
        <w:t>College 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 In 2022, ICON facilitated a 12-month internship in our Laboratory and Facilities departments for one of the TCPID graduates and our aim is to continue to offer work placements and internships as part of this partnership in 2023.</w:t>
      </w:r>
    </w:p>
    <w:p>
      <w:pPr>
        <w:spacing w:after="0" w:line="203" w:lineRule="exact"/>
        <w:rPr>
          <w:sz w:val="20"/>
          <w:szCs w:val="20"/>
          <w:color w:val="auto"/>
        </w:rPr>
      </w:pPr>
    </w:p>
    <w:p>
      <w:pPr>
        <w:jc w:val="both"/>
        <w:ind w:left="660" w:hanging="328"/>
        <w:spacing w:after="0" w:line="265" w:lineRule="auto"/>
        <w:tabs>
          <w:tab w:leader="none" w:pos="649"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Partnership with Junior Achievement to inspire schoolchildren. </w:t>
      </w:r>
      <w:r>
        <w:rPr>
          <w:rFonts w:ascii="Arial" w:cs="Arial" w:eastAsia="Arial" w:hAnsi="Arial"/>
          <w:sz w:val="16"/>
          <w:szCs w:val="16"/>
          <w:color w:val="auto"/>
        </w:rPr>
        <w:t>Junior Achievement encourages young people to remain in education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teaches them the skills they need to succeed in a changing world. ICON volunteers take time out of their working day to deliver Junior Achievement programs, teaching primary and secondary-level students valuable business, STEM and entrepreneurship skills that will serve them throughout their professional lives. ICON expanded its partnership with Junior Achievement to include an additional three locations in the United States and the United Kingdom in 2022.</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2022, we further expanded our industry-academia partnerships through the creation of a new ICON scholarship program to provide increased opportunities for underrepresented groups to study STEM (Science, Technology, Engineering &amp; Mathematics) courses and to build a more diverse graduate pool of talented and ambitious STEM professionals who can help to ensure the future success of the life sciences industry. Through the program, ICON is partnering with three universities in Ireland – Dublin City University (DCU), Trinity College Dublin (TCD) and the University of Limerick (UL) – as well as with the Thurgood Marshall College Fund (TMCF) in the US, to fund 33 scholarships for students of STEM courses. TMCF is a not-for-profit organization that supports nearly 300,000 students attending its 47 member-schools that include publicly-supported Historically Black Colleges and Universities (HBCUs).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Improving the welfare of people in the communities in which we live</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Through volunteering, donations and other charitable initiatives, our employees across the world are making a positive difference to their communities. We support causes that are important to our employees and have several programs that support the welfare of people in our local communities. In 2022, 540 employees across the world participated in Run in the Dark, an annual event organized by the Mark Pollock Foundation to bring people together and fundraise to help find a cure for paralysis. ICON was the largest global corporate team to participate in the event and helped to raise $10,000 for the cause. A team of 90 ICON cyclists from 19 countries also participated in our annual ICON cycle challenge, which raised funds for the International Committee for the Red Cross.</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Since 2012, ICON’s annual employee-nominated charity donation program has supported over 90 charities, donating $10,000 to each organization. The selected organizations focus on a range of critical issues, from relieving poverty and homelessness to improving child welfare through education and enhancing the lives of people living with a variety of diseases. The organizations were chosen to align with our ESG goals. In addition, to support ongoing humanitarian efforts in Ukraine, we also made a donation to the Children of Heroes charity fund in Ukraine to support children who have been severely impacted by the war in that region.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Talent and People</w:t>
      </w:r>
    </w:p>
    <w:p>
      <w:pPr>
        <w:spacing w:after="0" w:line="2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people are core to our ability to deliver our services and drive better patient outcomes. Through diversity, inclusion and belonging, industry-leading talent management practices, a sincere attention to our employees’ needs, well-being and health and safety, we continue to power the potential of together.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the core of our strategy is our people</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People have long been central to our mission to improve the lives of patients by accelerating the development of our customers’ drugs and devices through innovative solutions. We encourage our people to bring flexibility, innovation, and determination to every situation. By doing so, our people can build exciting and rewarding careers, and deliver results to bring life-changing medicines to market and to maintain our success as an industry leader.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Learning and development of our staff is a key focus for us</w:t>
      </w:r>
    </w:p>
    <w:p>
      <w:pPr>
        <w:spacing w:after="0" w:line="2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aim to be an industry leader where talented people come to do important work and where our employees can shape the future of healthcare, grow their careers, and reach their full potential. We have long held a deep commitment to cultivating strong people practices. This includes competitive total rewards packages along with a focus on continuous learning. We nurture a culture of development and aim to boost engagement by supporting our people’s growth, both personally and professionally. We are dedicated to finding opportunities for our employees to grow and develop.</w:t>
      </w: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success depends on the knowledge, capabilities, and quality of our people. To improve their skills, we are committed to providing continuous learning. This commitment is underpinned by clearly defined competencies, which offer employees a clear path along which to develop skills and advance their careers.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To support employees at every stage of their career journeys, training and development programs are aimed at advancing scientific, technical, and business knowledge. Programs include tailored CRA academies and a range of project management curricula, therapeutic-focused programs, and people leader development programs. During 2022, this also included diversity, inclusion and belonging training for everyone on our talent acquisition team and many of our People Leaders.</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People Leader development program focuses on providing our People Leaders with the relevant skills to effectively manage themselves, their team and their business, including psychometrics to raise their awareness of their behavioral preferences and the preference of others. ICON also invested in Harvard Manage Mentor, an online learning platform providing People Leaders with access to learning available at any time with topics ranging from change management, diversity &amp; inclusion, retaining employees and developing employees.</w:t>
      </w:r>
    </w:p>
    <w:p>
      <w:pPr>
        <w:spacing w:after="0" w:line="2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provide our people with a personalized and flexible learning experience, delivered through a combination of in-person and technology-driven programs that suit their learning styles and can flex to suit their schedules. Through our industry leading CareerHub, ICON employees are encouraged to broaden their scientific, technical, leadership, and business knowledge. By tapping into development programs and partnerships with leading academic institutions, team members can use the hub to develop competencies that advance their careers. We also collaborate with UCD Smurfit School Executive Development to deliver customized leadership development programs for global employees.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an organization we are keen to hear directly from our employees</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To attract and retain the best talent, we must listen and respond to employees’ needs. This begins with a focus on diversity, inclusion and belonging, and extends to every aspect of our work, from recruitment and onboarding, to training, engagement, enablement, and reward. We pursue best-in-class approaches to building employee engagement and these include, among others:</w:t>
      </w:r>
    </w:p>
    <w:p>
      <w:pPr>
        <w:spacing w:after="0" w:line="288" w:lineRule="exact"/>
        <w:rPr>
          <w:sz w:val="20"/>
          <w:szCs w:val="20"/>
          <w:color w:val="auto"/>
        </w:rPr>
      </w:pPr>
    </w:p>
    <w:p>
      <w:pPr>
        <w:ind w:left="660" w:hanging="328"/>
        <w:spacing w:after="0" w:line="218"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6"/>
          <w:szCs w:val="16"/>
          <w:color w:val="auto"/>
        </w:rPr>
        <w:t>Comprehensive global employee surveys, which measure how people feel about their work and whether they feel they have the tools to do their jobs well. Feedback from these studies informs detailed action plans at the group, function, and team level.</w:t>
      </w: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6"/>
          <w:szCs w:val="16"/>
          <w:color w:val="auto"/>
        </w:rPr>
        <w:t>Pulse check surveys, which are smaller-scale studies designed to measure employee sentiment on specific topics and initiatives.</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6"/>
          <w:szCs w:val="16"/>
          <w:color w:val="auto"/>
        </w:rPr>
        <w:t>Fostering an environment of diversity, inclusion and belonging where everyone is valued.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6"/>
          <w:szCs w:val="16"/>
          <w:color w:val="auto"/>
        </w:rPr>
        <w:t>Stay interviews to help managers understand why staff stay and to uncover what might put them at risk of departing.</w:t>
      </w:r>
    </w:p>
    <w:p>
      <w:pPr>
        <w:spacing w:after="0" w:line="16"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6"/>
          <w:szCs w:val="16"/>
          <w:color w:val="auto"/>
        </w:rPr>
        <w:t>Skip-level meetings to develop trust and rapport between senior leaders and employees.</w:t>
      </w:r>
    </w:p>
    <w:p>
      <w:pPr>
        <w:spacing w:after="0" w:line="2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listening strategy supports our efforts to reduce employee turnover, which we monitor closely through analytics. Qualitative information is collected through formal exit interviews and, where we believe they’ll make an impact, we intervene via retention plans and related efforts.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well-being</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ICON’s commitment to improving health and enriching lives extends beyond the work we do with our customers. Employees across the globe have direct access to locally relevant information and resources to support every facet of their well-being, including physical, social, psychological, and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jc w:val="both"/>
        <w:ind w:firstLine="648"/>
        <w:spacing w:after="0" w:line="262" w:lineRule="auto"/>
        <w:rPr>
          <w:sz w:val="20"/>
          <w:szCs w:val="20"/>
          <w:color w:val="auto"/>
        </w:rPr>
      </w:pPr>
      <w:r>
        <w:rPr>
          <w:rFonts w:ascii="Arial" w:cs="Arial" w:eastAsia="Arial" w:hAnsi="Arial"/>
          <w:sz w:val="16"/>
          <w:szCs w:val="16"/>
          <w:color w:val="auto"/>
        </w:rPr>
        <w:t>Our global Employee Assistance Program (EAP) ensures that all employees, and their families, have access to a range of different, confidential resources and experts to help them better manage their working life and personal life. The EAP also delivers a web-based and mobile app platform with access to toolkits providing advice and resources in local languages.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safety</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At ICON, the health and safety of our employees, customers and clinical trial patients are our most important priorities. We take guidance from global and regional health authorities and governments to protect the safety and welfare of employees, as well as abide by government directives. Our global health and safety management system ensures we deliver on all local and national requirements. Our priority objectives are the safety of our staff, clinical trial patients, protecting the environment, maintaining business continuity, and ensuring all sensitive health and safety data is protected.</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committed to providing a safe working environment for our people. We achieve this goal by working in ways that protect the safety, health, and welfare of all our employees, clinical trial patients, and visitors. Risk assessment is the basis of the safety management system, and we work to identify, mitigate, and monitor existing and emerging health or environment risks that may be associated with our business activities. We work to identify, mitigate, and monitor existing and emerging health or environment risks that may be associated with our business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Fostering diversity, inclusion and belonging</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believe in a workplace culture that embraces diverse perspectives and empowers our team members to grow, whether at work, at home or in their communities. The diversity of our teams is critical to our success. As a global operation, we deliberately structure teams to be diverse to support the delivery of our customers’ clinical development programs across multiple geographies and communities.</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Diversity, inclusion, and belonging (DIB) are fundamental to our culture and values. Diversity makes us more innovative and more creative, which helps us better serve our patients, our customers, and our communities. We recognize the critical importance of diversity in clinical trials ensuring all types of patients who will eventually receive therapies are represented on clinical trials, as well as offering clinical trials as a care option for those who may not otherwise have access to medical treatment.</w:t>
      </w: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committed to being a workplace where all employees are included and feel a sense of belonging. To achieve this, we acknowledge and celebrate our differences in gender, ethnicity, culture, and abilities. As a values-driven organization, respect for diverse points is foundational to how we interact with each other, as well as with customers, patients, and suppliers.</w:t>
      </w:r>
    </w:p>
    <w:p>
      <w:pPr>
        <w:spacing w:after="0" w:line="22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ICON’s approach to DIB is a key focus area. To reflect this, inclusion is one of our core values and our DIB strategy is now organized into four key ambitions: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182880</wp:posOffset>
            </wp:positionV>
            <wp:extent cx="5863590" cy="2726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ICON’s DIB practices and programs are viewed through the lens of our four DIB ambitions. Each ambition has sponsors from our executive leadership team to support and drive the agenda and provide leadership.</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42" w:name="page43"/>
    <w:bookmarkEnd w:id="42"/>
    <w:p>
      <w:pPr>
        <w:jc w:val="both"/>
        <w:ind w:firstLine="648"/>
        <w:spacing w:after="0" w:line="262" w:lineRule="auto"/>
        <w:rPr>
          <w:sz w:val="20"/>
          <w:szCs w:val="20"/>
          <w:color w:val="auto"/>
        </w:rPr>
      </w:pPr>
      <w:r>
        <w:rPr>
          <w:rFonts w:ascii="Arial" w:cs="Arial" w:eastAsia="Arial" w:hAnsi="Arial"/>
          <w:sz w:val="16"/>
          <w:szCs w:val="16"/>
          <w:color w:val="auto"/>
        </w:rPr>
        <w:t>We believe in a workplace culture that embraces diverse perspectives and empowers our team members to grow — at work, at home and in their communities. The key areas of focus for our diversity, inclusion, and belonging agenda include talent management, country-level inclusion policies, rewards, training, and communications.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established a Diversity, Inclusion &amp; Belonging Steering Committee in 2019 which brings together individuals from across ICON to develop and execute work streams under each of the four ambitions, with a central team overseeing the overarching efforts. ICON has Diversity, Inclusion &amp; Belonging advocates from across our global employee population to better understand local needs, build local presence and awareness, and to give a voice to every corner of the company across the world. These individuals play a key role in supporting the Diversity, Inclusion &amp; Belonging Steering Committee and in aligning activities across the organization.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DIB community groups we have at ICON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216535</wp:posOffset>
            </wp:positionV>
            <wp:extent cx="659765" cy="659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330" w:lineRule="exact"/>
        <w:rPr>
          <w:sz w:val="20"/>
          <w:szCs w:val="20"/>
          <w:color w:val="auto"/>
        </w:rPr>
      </w:pPr>
    </w:p>
    <w:p>
      <w:pPr>
        <w:jc w:val="both"/>
        <w:ind w:left="3440" w:right="20" w:hanging="584"/>
        <w:spacing w:after="0" w:line="266" w:lineRule="auto"/>
        <w:rPr>
          <w:sz w:val="20"/>
          <w:szCs w:val="20"/>
          <w:color w:val="auto"/>
        </w:rPr>
      </w:pPr>
      <w:r>
        <w:rPr>
          <w:rFonts w:ascii="Arial" w:cs="Arial" w:eastAsia="Arial" w:hAnsi="Arial"/>
          <w:sz w:val="16"/>
          <w:szCs w:val="16"/>
          <w:b w:val="1"/>
          <w:bCs w:val="1"/>
          <w:color w:val="auto"/>
        </w:rPr>
        <w:t xml:space="preserve">DAWN: </w:t>
      </w:r>
      <w:r>
        <w:rPr>
          <w:rFonts w:ascii="Arial" w:cs="Arial" w:eastAsia="Arial" w:hAnsi="Arial"/>
          <w:sz w:val="16"/>
          <w:szCs w:val="16"/>
          <w:color w:val="auto"/>
        </w:rPr>
        <w:t>The Disability Awareness Network is a community group striving to develop and foster a mindset towards</w:t>
      </w:r>
      <w:r>
        <w:rPr>
          <w:rFonts w:ascii="Arial" w:cs="Arial" w:eastAsia="Arial" w:hAnsi="Arial"/>
          <w:sz w:val="16"/>
          <w:szCs w:val="16"/>
          <w:b w:val="1"/>
          <w:bCs w:val="1"/>
          <w:color w:val="auto"/>
        </w:rPr>
        <w:t xml:space="preserve"> </w:t>
      </w:r>
      <w:r>
        <w:rPr>
          <w:rFonts w:ascii="Arial" w:cs="Arial" w:eastAsia="Arial" w:hAnsi="Arial"/>
          <w:sz w:val="16"/>
          <w:szCs w:val="16"/>
          <w:color w:val="auto"/>
        </w:rPr>
        <w:t>creating an inclusive workplace and working environment where everyone is treated equally with respect and dignity, irrespective of any visible or hidden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325755</wp:posOffset>
            </wp:positionV>
            <wp:extent cx="659765" cy="659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65976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 xml:space="preserve">EmbRACE: </w:t>
      </w:r>
      <w:r>
        <w:rPr>
          <w:rFonts w:ascii="Arial" w:cs="Arial" w:eastAsia="Arial" w:hAnsi="Arial"/>
          <w:sz w:val="16"/>
          <w:szCs w:val="16"/>
          <w:color w:val="auto"/>
        </w:rPr>
        <w:t>Supporting all race and ethnic backgrounds in creating an inclusive workplace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597535</wp:posOffset>
            </wp:positionV>
            <wp:extent cx="659765" cy="660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40" w:right="40" w:hanging="1048"/>
        <w:spacing w:after="0" w:line="286" w:lineRule="auto"/>
        <w:rPr>
          <w:sz w:val="20"/>
          <w:szCs w:val="20"/>
          <w:color w:val="auto"/>
        </w:rPr>
      </w:pPr>
      <w:r>
        <w:rPr>
          <w:rFonts w:ascii="Arial" w:cs="Arial" w:eastAsia="Arial" w:hAnsi="Arial"/>
          <w:sz w:val="16"/>
          <w:szCs w:val="16"/>
          <w:b w:val="1"/>
          <w:bCs w:val="1"/>
          <w:color w:val="auto"/>
        </w:rPr>
        <w:t xml:space="preserve">NOW@ICON: </w:t>
      </w:r>
      <w:r>
        <w:rPr>
          <w:rFonts w:ascii="Arial" w:cs="Arial" w:eastAsia="Arial" w:hAnsi="Arial"/>
          <w:sz w:val="16"/>
          <w:szCs w:val="16"/>
          <w:color w:val="auto"/>
        </w:rPr>
        <w:t>Networking Organization for Women at ICON is committed to inspiring and connecting current and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leaders through an inclusive environment of targeted initiatives and supportive mentorship.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436245</wp:posOffset>
            </wp:positionV>
            <wp:extent cx="659765" cy="660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0" w:right="20" w:hanging="1057"/>
        <w:spacing w:after="0" w:line="286" w:lineRule="auto"/>
        <w:rPr>
          <w:sz w:val="20"/>
          <w:szCs w:val="20"/>
          <w:color w:val="auto"/>
        </w:rPr>
      </w:pPr>
      <w:r>
        <w:rPr>
          <w:rFonts w:ascii="Arial" w:cs="Arial" w:eastAsia="Arial" w:hAnsi="Arial"/>
          <w:sz w:val="16"/>
          <w:szCs w:val="16"/>
          <w:b w:val="1"/>
          <w:bCs w:val="1"/>
          <w:color w:val="auto"/>
        </w:rPr>
        <w:t xml:space="preserve">Pride@ICON: </w:t>
      </w:r>
      <w:r>
        <w:rPr>
          <w:rFonts w:ascii="Arial" w:cs="Arial" w:eastAsia="Arial" w:hAnsi="Arial"/>
          <w:sz w:val="16"/>
          <w:szCs w:val="16"/>
          <w:color w:val="auto"/>
        </w:rPr>
        <w:t>Supporting LGBTQ+ colleagues and allies, ensuring that no matter where employees are in the world, our</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are a safe space where they are welcomed, respected, and valued.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436245</wp:posOffset>
            </wp:positionV>
            <wp:extent cx="659765" cy="660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7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440" w:right="20" w:hanging="635"/>
        <w:spacing w:after="0" w:line="266" w:lineRule="auto"/>
        <w:rPr>
          <w:sz w:val="20"/>
          <w:szCs w:val="20"/>
          <w:color w:val="auto"/>
        </w:rPr>
      </w:pPr>
      <w:r>
        <w:rPr>
          <w:rFonts w:ascii="Arial" w:cs="Arial" w:eastAsia="Arial" w:hAnsi="Arial"/>
          <w:sz w:val="16"/>
          <w:szCs w:val="16"/>
          <w:b w:val="1"/>
          <w:bCs w:val="1"/>
          <w:color w:val="auto"/>
        </w:rPr>
        <w:t xml:space="preserve">SPACE: </w:t>
      </w:r>
      <w:r>
        <w:rPr>
          <w:rFonts w:ascii="Arial" w:cs="Arial" w:eastAsia="Arial" w:hAnsi="Arial"/>
          <w:sz w:val="16"/>
          <w:szCs w:val="16"/>
          <w:color w:val="auto"/>
        </w:rPr>
        <w:t>Supporting Parents and Carers Everywhere to create a workplace where stepping out of careers due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commitments for a period is wholly accepted and not career limiting, and where stepping back into their career is an organic and positive process.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As a testament to our commitment to diversity, ICON are aiming for gender parity at the VP level and above by 2025. As at February 24, 2023, women represent 44% of the positions at the VP level and above.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 is focused on building an inclusive culture where employees feel supported by a fair system supporting pay equity. We have a long track record of developing talent and filling vacancies through internal hires. Using best-in-class analysis, we conduct regular reviews of salary ranges to ensure fair pay, irrespective of gender, race, or ethnicity whilst considering legitimate business factors that explain differences such as performance, tenure, and experience.</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continuously monitor and seek to maintain pay equity for our employees. We have structured our pay principles so that individual differences not related to tenure, experience or performance criteria are not a factor in how we deliver rewards. ICON has made significant investments in organizational design structures, tools and education that uphold and support our pay principles.</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are committed to ensuring fair employment practices. For every jurisdiction in which we operate, we act in compliance with relevant laws relating to labor rights and labor relations as well as market competitive benefits. We believe in fair and equal treatment for all our people, without regard to gender, race, ethnicity, sexual orientation, marital status, physical or mental disability, age, pregnancy, veteran status, nationality, religion, or any other legally protected status. We do not tolerate our employees being subjected to physical, sexual, racial, psychological, verbal, or any other form of harassment. We encourage our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3" w:name="page44"/>
    <w:bookmarkEnd w:id="43"/>
    <w:p>
      <w:pPr>
        <w:jc w:val="both"/>
        <w:ind w:right="20"/>
        <w:spacing w:after="0" w:line="260" w:lineRule="auto"/>
        <w:rPr>
          <w:sz w:val="20"/>
          <w:szCs w:val="20"/>
          <w:color w:val="auto"/>
        </w:rPr>
      </w:pPr>
      <w:r>
        <w:rPr>
          <w:rFonts w:ascii="Arial" w:cs="Arial" w:eastAsia="Arial" w:hAnsi="Arial"/>
          <w:sz w:val="16"/>
          <w:szCs w:val="16"/>
          <w:color w:val="auto"/>
        </w:rPr>
        <w:t>employees to report any issues of harassment or discrimination. We prohibit retaliation against any employee who rejects, protests, or complains about unlawful discrimination or harassment.</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rights</w:t>
      </w:r>
    </w:p>
    <w:p>
      <w:pPr>
        <w:spacing w:after="0" w:line="31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ICON is committed to human rights and in 2021, ICON became a participant in the UN Global Compact (UNGC), signaling our commitment to uphold the UNGC’s 10 Principles, including those related to human rights across our global operations. Our business model and our policies, including our Global Code of Ethical Conduct and Global Supplier Code of Conduct, are intended to fully comply with applicable human rights legislation in the countries where we operate. Our zero-tolerance policy on forced labor, slavery, and human trafficking is defined clearly in these policies, which are available to employees, suppliers, customers, and the public.</w:t>
      </w:r>
    </w:p>
    <w:p>
      <w:pPr>
        <w:spacing w:after="0" w:line="226"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We are opposed to forced labor, slavery, and human trafficking. We will not knowingly support or conduct business with any organization involved in such activities. We do not employ anyone below the minimum employment age in the jurisdictions in which we operate.</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Global Supplier Code of Conduct incorporates the Pharmaceutical Supply Chain Initiative (PSCI) principles for responsible supply chain management, including for labor. Before doing business with ICON, suppliers must certify that they will comply with the ICON Global Supplier Code of Conduct or their own materially equivalent internal code, which includes human rights protections. We perform pre-engagement due diligence on our suppliers, including in relation to labor issues, which we support through periodic re-screening. We hold our suppliers accountable for meeting their contractual obligations. Contract non-compliance can result in termination of the business relationship with the supplier and exclusion from future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Ethics and Compliance</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ICON’s commitment to ethics and integrity is embedded in our company values. We act with integrity and integrate ethical principles into our business practices and culture. ICON’s Global Code of Ethical Conduct (the Code) establishes our core principles and standards for honest, fair, and ethical behavior. This Code addresses the core values expected of our people in our internal interactions with each other as well as in external dealings with patients, customers, healthcare professionals, regulators, investors, vendors and other third parties.</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Ethics and Compliance program builds on the principles established in the Code to define and drive business conduct consistent with company values and the laws, rules and regulations that apply to our business. The Ethics &amp; Compliance Team (E&amp;C) provides day-to-day independent oversight for the program. The team is independent of the business and reports to the Chief Administrative Officer and General Counsel (CAO). The CAO reports on the program to ICON’s executive leadership team, the Nominating, Sustainability and Governance Committee and the Board. The program supports all functional areas globally and is dedicated to the implementation of standardized global policies, procedures, training, guidance, communications, monitoring, investigations, issue management, assessing compliance-related risk and mitigations, and reporting to ensure the overall compliance program is effectively functioning.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has incorporated a third-party system, Ethics Line, for employees and third parties to confidentially report ethics and compliance questions, as well as concerns, and to track reports through follow-up and resolution. These tools also provide visibility into our risks while highlighting opportunities to address them. ICON’s compliance and ethics program will continue to grow and evolve in response to changes in our business and in the global business climate.</w:t>
      </w:r>
    </w:p>
    <w:p>
      <w:pPr>
        <w:spacing w:after="0" w:line="2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All employees are required to complete mandatory training in key areas which support our values and our ways of working. The training incorporates the key principles of our policies and codes and includes interactive scenarios where applicable.</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At ICON, we promote a Speak Up culture that encourages compliance, openness, and accountability without retaliation. The Speak Up Policy aims to support our culture and values and seeks to encourage the prompt reporting or surfacing of concerns or violations. Reported ethics concerns and other ethics and compliance-related data are reported via the CAO to the Board as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Anti-bribery and Corruption</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is guided by the foundational principle that we do not tolerate bribery or any other form of corruption or fraud. Our anti-bribery and anti-corruption (ABAC) program is a key element of our Ethics and Compliance Program. ICON and all ICON directors, employees, consultants, agents and all third parties acting on ICON's behalf must act in compliance with international laws and regulations relating to bribery, corruption, and illicit payments, including the US Foreign Corrupt Practices Act and the UK Bribery Act 2010.</w:t>
      </w:r>
    </w:p>
    <w:p>
      <w:pPr>
        <w:spacing w:after="0" w:line="2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maintains the ISO 37001:2016 certification for our Anti-Bribery Management System, which establishes the framework for the controls that prevent, detect and mitigate the risk of bribery. Our program is designed to ensure our compliance with anti-corruption laws, including due diligence, training, policies, procedures, and internal controls.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4" w:name="page45"/>
    <w:bookmarkEnd w:id="44"/>
    <w:p>
      <w:pPr>
        <w:jc w:val="both"/>
        <w:ind w:firstLine="648"/>
        <w:spacing w:after="0" w:line="256" w:lineRule="auto"/>
        <w:rPr>
          <w:sz w:val="20"/>
          <w:szCs w:val="20"/>
          <w:color w:val="auto"/>
        </w:rPr>
      </w:pPr>
      <w:r>
        <w:rPr>
          <w:rFonts w:ascii="Arial" w:cs="Arial" w:eastAsia="Arial" w:hAnsi="Arial"/>
          <w:sz w:val="16"/>
          <w:szCs w:val="16"/>
          <w:color w:val="auto"/>
        </w:rPr>
        <w:t>Bribery and corruption remain a business risk as we conduct our business across the globe and enter partnerships and collaborations. There is no certainty that all employees and third-party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ICON's internal audit teams conduct ABAC Program audits. Internal Audit focuses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Security and Privacy</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Data privacy and information security are fundamental to our business and key to retaining customers, building investors’ trust, protecting patients, and complying with global and regional regulations. We recognize and respect that our customers, employees, patients, and all those who do business with us expect that we will protect their personal information in accordance with our legal obligations and policy commitments.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cybersecurity strategy and program protect our systems and data from an evolving threat landscape. The cybersecurity program, overseen by the Chief Information Officer (CIO), has the support of executive leadership and the Board, and we have invested heavily in cybersecurity technologies to protect our environment. Our processes and range of information security policies are certified to ISO 27001 and are independently audited twice annually. ICON also maintains the Cyber Essentials certification. During an acquisition process, we conduct security and privacy due diligence and risk assessments, implement policies, deliver employee training, and securely integrate IT systems.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Global Data Protection Policy regulates the processing of personal data in accordance with the applicable data protection laws of the countries where we operate, including Europe’s General Data Protection Regulation (GDPR) framework. This policy governs ICON’s and its employees’ obligations concerning the processing of personal data, including core privacy issues such as how we address data subject rights, data protection impact assessments and our obligations to maintain records of processing activities (ROPAs).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has a separate Personal Data Incident and Breach Response Policy and Process that governs the management of personal data incidents and breaches within ICON. The policy requires incidents to be reported to ICON’s Global Data Protection Officer (DPO) and Privacy Team, who manage them in collaboration with relevant internal stakeholders (e.g., IT Security, Quality &amp; Compliance), to ensure we comply with our legal and contractual obligations, including our reporting obligations. Our privacy program is overseen by the CAO.</w:t>
      </w:r>
    </w:p>
    <w:p>
      <w:pPr>
        <w:spacing w:after="0" w:line="224"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Our people and partners play a critical role in safeguarding data. ICON has training in place for all employees and contingent workers on information security and privacy practices so that they understand their responsibilities with respect to data security and privacy.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Sustainable procurement</w:t>
      </w:r>
    </w:p>
    <w:p>
      <w:pPr>
        <w:spacing w:after="0" w:line="2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ICON maintains policies and practices to support responsible, sustainable, and ethical business practices. Our goal is to source from suppliers whose values align with our own, including suppliers who are committed to diversity and inclusion, and are socially and environmentally responsible and conscious.</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manage our suppliers through our Global Procurement department. The onboarding of new suppliers is completed through a centrally managed due diligence process. Environmental sustainability, bribery, and corruption risks are a focus of our collective third-party diligence and management process. We require our suppliers to abide by our Global Supplier Code of Conduct which incorporates the Pharmaceutical Supply Chain Initiative (PSCI) principles for Responsible Supply Chain Management and sets out our standards and expectations regarding:</w:t>
      </w:r>
    </w:p>
    <w:p>
      <w:pPr>
        <w:spacing w:after="0" w:line="3"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Ethics and compliance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Labor and human rights</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Health and safety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Environmental stewardship</w:t>
      </w:r>
    </w:p>
    <w:p>
      <w:pPr>
        <w:spacing w:after="0" w:line="2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performs pre-engagement due diligence on our suppliers. This includes screening of sanctions lists, debarment, and adverse media. Suppliers are continuously monitored against sanctions and debarment lists and are periodically re-screened. Suppliers deemed higher risk are subject to enhanced due diligence and controls, which may include periodic training, auditing, and assessments.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5" w:name="page46"/>
    <w:bookmarkEnd w:id="45"/>
    <w:p>
      <w:pPr>
        <w:jc w:val="both"/>
        <w:ind w:firstLine="648"/>
        <w:spacing w:after="0" w:line="262" w:lineRule="auto"/>
        <w:rPr>
          <w:sz w:val="20"/>
          <w:szCs w:val="20"/>
          <w:color w:val="auto"/>
        </w:rPr>
      </w:pPr>
      <w:r>
        <w:rPr>
          <w:rFonts w:ascii="Arial" w:cs="Arial" w:eastAsia="Arial" w:hAnsi="Arial"/>
          <w:sz w:val="16"/>
          <w:szCs w:val="16"/>
          <w:color w:val="auto"/>
        </w:rPr>
        <w:t>We hold our suppliers accountable for meeting their contractual obligations, including commitments relating to our Global Supplier Code of Conduct and regulatory compliance. Contract non-compliance can result in termination of the business relationship and exclusion from future business with our company.</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We have also engaged with EcoVadis, CDP and Supplier IO to assess our key suppliers and allow us to take ESG status into our decision making on vendor selection.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to gain repeat business and enable us new opportunities to penetrate into other therapeutic indications and adjacent service lines.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the PPD clinical research services brand of Thermo Fisher Scientific Inc., the Covance Drug Development business of LabCorp and Syneos Health. In some specific markets, for example biotech and mid-tier pharma, ICON may also compete against mid-tier CROs. Competition also exists for acquisition candidates in addition to competition for customers.</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future.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During the year ended December 31, 2022, revenue was earned from a wide range of clients. During the year ended December 31, 2022, 28.3% of our revenues were derived from our top five customers, with no one customer individually contributing more than 10% of our revenues during the period. Our largest customer represented a strategic partnership with a large global pharmaceutical company and contributed 8.8% of revenue for the year.</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2021, 31.6% of our revenues were derived from our top five customers, with no one customer individually contributing more than 10% of our revenues during the period. Our largest customer represented a strategic partnership with a large global pharmaceutical company and contributed 8.0% of revenue for the year ended December 31, 2022.</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2020, 39.1% of our revenues were derived from our top five customers, with one customers individually contributing more than 10% of our revenues during the period (12.1%). No other customer contributed more than 10% of our revenues during this period.</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loss of, or a significant decrease in business from one or more of these key customers could have a material adverse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Unsatisfied Performance Obligation</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unsatisfied performance obligation consists of contracted revenue yet to be earned from projects awarded by clients. At December 31, 2022 we had contracted unsatisfied performance obligations of $13.7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ICON utilizes an extensive range of both on premise and cloud based applications that support its services including clinical trial design and planning, site and patient identification and recruitment, site start-up, patient consent, site payments, content management, clinical data analysis and real world evidence generation, customer relationship management (CRM), performance management, compliance and safety reporting and master data management. These solutions are to allow healthcare companies to manage, optimize and execute their clinical and commercial strategies in an orchestrated manner while addressing their regulatory obligations.</w:t>
      </w:r>
    </w:p>
    <w:p>
      <w:pPr>
        <w:spacing w:after="0" w:line="2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ICON has developed an informatics strategy built around key platforms including ICONIK and Health Cloud, web-based information platforms that enable the management, reporting, analysis and visualization of all data relating to drug development. The ICONIK and Health Cloud platforms collect, manage and standardize study data from multiple sources, including Electronic Data Capture (EDC), patient engagement, EMR/EHR, mobile health, Telehealth, Wearables, central laboratories, Symphony Health and Imaging platforms to provide a single view of study information. ICONIK and Health Cloud enable ICON to deliver services such as Risk Based Monitoring (RBM) which uses near-real time clinical data to drive monitoring visit schedules, enabling better decision making and the successful implementation of clinical trial strategies that significantly improve efficiency in clinical trials thereby reducing overall cost and time to market whilst better protecting patient safety.</w:t>
      </w:r>
    </w:p>
    <w:p>
      <w:pPr>
        <w:spacing w:after="0" w:line="2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addition to managing clinical data, ICONIK and Health Cloud collect operational data, such as project management, clinical trials management system (CTMS) and metrics information to drive trial efficiency and transparency. Investigator data, such as payments, site details and performance, can also be incorporated. ICONIK and Health Cloud can be accessed via a portal that allows clients access to study-related information via a secure web-based environment. Data analysis from ICONIK and Health Cloud Informatics Hubs and CDRP allows us to enhance the design and delivery of our projects, through stronger engagement with investigators and patients.</w:t>
      </w:r>
    </w:p>
    <w:p>
      <w:pPr>
        <w:spacing w:after="0" w:line="22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Data management and collection is a key business process for Symphony Health through its Integrated Dataverse (IDV®) platform. Integrated Dataverse (IDV®) is a comprehensive and longitudinal source of healthcare data in the industry, bringing together our vast claims resources – medical, hospital, and prescription – with our rich point-of-sale prescription data, non-retail invoice data, and demographic data.</w:t>
      </w:r>
    </w:p>
    <w:p>
      <w:pPr>
        <w:spacing w:after="0" w:line="2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Veeva, Dassault, Salesforce and BOX. IT expenditure is authorized by strict IT governance policies requiring senior level approval of all strategic IT expenditure based on defined business strategy and measurable business benefits.</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both leading clinical data management solutions including EDC and Clinical Data Warehouse solutions from external vendors as well as our proprietary EDC capability NEXTrials Prism eClinical. This allows us to guarantee the integrity of client data and provide consolidated information across client studies.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Within Clinical Operations, we also provide the ICON Digital Platform enabling the delivery of Decentralized and Hybrid Clinical Trial services, maximizing patient recruitment and retention and at the same time expanding access to diverse and remote patient populations. We develop strategic, flexible approaches that leverage clinical informatics, state-of-the-art technologies, and our global reach to maximize safety and efficiency and make data-driven decisions for every study.</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our clinical trials management area, Firecrest Clinical provides a comprehensive site performance management system that improves compliance, consistency and efficient execution of activities at investigative sites. The web-based solution enables accurate study information, including protocol information, training manuals and case report forms, to be rolled out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69" w:lineRule="auto"/>
        <w:rPr>
          <w:sz w:val="20"/>
          <w:szCs w:val="20"/>
          <w:color w:val="auto"/>
        </w:rPr>
      </w:pPr>
      <w:r>
        <w:rPr>
          <w:rFonts w:ascii="Arial" w:cs="Arial" w:eastAsia="Arial" w:hAnsi="Arial"/>
          <w:sz w:val="16"/>
          <w:szCs w:val="16"/>
          <w:color w:val="auto"/>
        </w:rPr>
        <w:t>quickly and simultaneously to sites. Site behavior can then be tracked to ensure training is understood, procedures are being followed, timelines are met and study parameters are maintained. As well as meeting day to day operational requirements, this system feeds data into the ICONIK and Health Cloud platforms.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provide interactive response technology (IXR) to enable centralized patient randomization, drug inventory management, patient diary collection, providing our clients with a fully flexible multi-channel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 Our Laboratory also utilizes IMRA, a web based laboratory review application that allows global access to the latest laboratory data on a study. IMRA facilitates detailed analysis of any trends, signals, alerts or patient-specific data on a real-time basis. ICON provides imaging services through the use of its internally developed MIRA platform and also utilizes Medidata’s Rave Commercial Imaging for collecting, managing and processing data to support its imaging capabilities.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provides its Pharmacovigilance Services using Oracle’s ARGUS safety database. The system is FDA regulation 21 CFR Part 11 compliant and generates all the standard regulatory required reports, as well the periodic reports required to support operations.</w:t>
      </w: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supports Population Pharmacokinetics and Pharmacokinetic Pharmacodynamic modeling through the use of its proprietary software NONMEM®. NONMEM® is a nonlinear mixed effects modeling tool that can be used to fit models to many different types of data. Statistical analysis with NONMEM® using the appropriate model helps pharmaceutical companies determine appropriate dosing strategies for their products, and increase their understanding of drug mechanisms and interactions. NONMEM® can also be accompanied with PDx-Pop proprietary software. PDx-Pop software is a graphical interface for NONMEM® which has its own automation methodology which expedites the iterative process of population pharmacokinetic modeling and analysis. ICON also utilizes PREDPP, which is a powerful package of subroutines handling population PK data, as well as general linear and nonlinear models, which can free the user from coding standard kinetic-type equations while simultaneously allowing complicated patient-type data to be easily analyzed. Finally, ICON utilizes NM-TRAN, which is a preprocessor allowing control and other needed inputs to be specified in a user-friendly manner.</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ICON's configurable Real World Data “Evidence” platform is a fit-for-purpose solution to support and enhance observational research. The platform gathers disparate real world data assets into a common data model, provides analytics to support multiple audiences across the product lifecycle, and serves as a central repository and analytic platform for all Real World Data assets.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ICON’s Integrated Dataverse (IDV®) is one of the largest integrated repositories of healthcare data consisting of 280 million patient lives, 1.8 million prescribers and 16 thousand health plans provides powerful data, applications, analytics, and consulting to help companies gain deep insight into the pharmaceutical market. We transform data into decisions and give deeper insight into the relationships that sponsor brands have with the market by allowing a holistic view of the impacts of payer, prescriber, and patient behavior. Our proprietary Tokenisation technology Synoma® simplifies the anonymization, exchange and connection of industry data sources to provide an integrated view of a patient’s data.</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strategy of using technology to enhance our global processes is evident from our deployment of platforms like ICONIK, Health Cloud, Veeva EDMS/QMS (our global SOP Document Management system), iLearn and Cornerstone (our Web-based training delivery solution), ServiceNow (workflow and automation platform), Sailpoint (identity management and governance), and Pega and ARGUS (pharmacovigilance). The Electronic Trial Master File is delivered via ICON’s proprietary software ICOMaster or the Wingspan and PhlexGlobal software platforms.</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global finance operations utilize Oracle’s eBusiness suite, with the integrated Excel4Apps reporting tool, to serve the organization’s financial and project accounting requirements. Workday is used to fulfill our HR people management requirements. Our business development and contracting teams use Salesforce CRM.</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IT systems are operated from two data center hubs in Europe (Dublin, Ireland; Groningen, Netherlands), four in North America (Philadelphia, Pennsylvania; Lenexa, Kansas; Charlottesville, Virginia; Dallas, Texas) and one in Asia (Singapore). These hubs reside within purpose-built data center facility locations. Other offices are linked to these hubs through a network managed by Verizon, a tier one global telecommunications provider. This network provides global connectivity for our applications and allows collaboration and communication using tools like Microsoft Teams, Cisco Jabber,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biannually as part of maintaining ICON’s ISO27001:2013 certification.</w:t>
      </w:r>
    </w:p>
    <w:p>
      <w:pPr>
        <w:spacing w:after="0" w:line="23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ICON enables its patient site and data strategy through the services delivered via Accellacare and through our partnerships with Oncacare and Veradigm Allscripts. We also work with biopharmaceutical companies and other life science providers (e.g. medical devices companies) to develop and deploy bespoke stakeholder engagement solutions. ICON’s patient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16"/>
          <w:szCs w:val="16"/>
          <w:color w:val="auto"/>
        </w:rPr>
        <w:t>engagement services enable site staff to engage directly with patients to help improve their disease and medication understanding through interventional and non-interventional support.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 provides molecular diagnostic laboratory capabilities that enables the development and commercialization of precision medicines in oncology.</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is the leading provider of Functional Service Provision (FSP) globally. Our team of operational, functional and therapeutic specialists offer a range of FSP models. We offer FSP solutions across all major functions from clinical monitoring and project management through data management, statistical programming and beyond. Our teams leverage either Sponsor or ICON’s IT Infrastructure to deliver services. Our team has extensive experience managing the migration of systems and can support system upgrades as part of the ramp-up phase.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 provides molecular diagnostic laboratory capabilities that enables the development and commercialization of precision medicines in oncology.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key innovations and new technologies include:</w:t>
      </w:r>
    </w:p>
    <w:p>
      <w:pPr>
        <w:spacing w:after="0" w:line="262" w:lineRule="exact"/>
        <w:rPr>
          <w:sz w:val="20"/>
          <w:szCs w:val="20"/>
          <w:color w:val="auto"/>
        </w:rPr>
      </w:pPr>
    </w:p>
    <w:p>
      <w:pPr>
        <w:ind w:left="660" w:right="380" w:hanging="328"/>
        <w:spacing w:after="0" w:line="24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FLEX ADVANTAGE, our interactive response technology platform (accessible through the web and web-enabled mobile devices) for managing patient randomization, investigator sites and clinical suppliers.</w:t>
      </w:r>
    </w:p>
    <w:p>
      <w:pPr>
        <w:ind w:left="660" w:right="520" w:hanging="328"/>
        <w:spacing w:after="0" w:line="25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PubsHub brings speed and efficiency to medical teams by delivering easy-to-use, web-based solutions that bridge process gaps for system harmonization across companies. ICON utilizes PubsHub to automate medical and scientific communications and publications management.</w:t>
      </w:r>
    </w:p>
    <w:p>
      <w:pPr>
        <w:ind w:left="660" w:right="200" w:hanging="328"/>
        <w:spacing w:after="0" w:line="25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ICON Patient Engagement Platform features an easy to navigate, user friendly website enabling patients to explore new and ongoing studies available, opt-in and connect with their nearest clinical research site.</w:t>
      </w:r>
    </w:p>
    <w:p>
      <w:pPr>
        <w:ind w:left="660" w:right="540" w:hanging="328"/>
        <w:spacing w:after="0" w:line="252"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One Search, an intuitive, integrated workflow and interrogation tool from ICON,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ind w:left="660" w:right="20" w:hanging="328"/>
        <w:spacing w:after="0" w:line="25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ADDPLAN for simulation and design of exploratory/pilot and confirmatory/pivotal adaptive clinical trials (ADDPLAN® DF (Dose Finder), ADDPLAN® Base, ADDPLAN® MC (Multiple Comparison) and ADDPLAN® PE (Population Enrichment)).</w:t>
      </w:r>
    </w:p>
    <w:p>
      <w:pPr>
        <w:ind w:left="660" w:right="140" w:hanging="328"/>
        <w:spacing w:after="0" w:line="252"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AptivAdvantage which is an integrated 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ind w:left="660" w:right="80" w:hanging="328"/>
        <w:spacing w:after="0" w:line="25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Sample Inventory Management System (SIMS) is an interactive reporting module in ICOLabs for use by sponsors and study teams. It offers near real time, high level traceability of all patient samples in a clinical trial as they move from accessioning through disposition. SIMS provides detailed sample inventory reports and summaries of sample status and location with drill down capabilities. It helps locate samples more rapidly, particularly at critical study junctures.</w:t>
      </w:r>
    </w:p>
    <w:p>
      <w:pPr>
        <w:spacing w:after="0" w:line="1" w:lineRule="exact"/>
        <w:rPr>
          <w:rFonts w:ascii="Arial" w:cs="Arial" w:eastAsia="Arial" w:hAnsi="Arial"/>
          <w:sz w:val="16"/>
          <w:szCs w:val="16"/>
          <w:color w:val="auto"/>
        </w:rPr>
      </w:pPr>
    </w:p>
    <w:p>
      <w:pPr>
        <w:ind w:left="660" w:right="220" w:hanging="328"/>
        <w:spacing w:after="0" w:line="246"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APECS for Investigator Payments ensures timely and accurate payments to sites for the work performed in the care and management of patients as they participate within clinical trials.</w:t>
      </w:r>
    </w:p>
    <w:p>
      <w:pPr>
        <w:ind w:left="660" w:right="100" w:hanging="328"/>
        <w:spacing w:after="0" w:line="258"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PredictivvTM platform is a fully integrated solution for designing, planning, managing and optimizing the execution of global clinical studies. Designed around a unified Sales Force platform that harmonizes data, processes, and people across every aspect of a clinical study, PredictivvTM enables unprecedented adaptive intelligence and decision support for the ever-increasing complexities of the clinical development process.</w:t>
      </w:r>
    </w:p>
    <w:p>
      <w:pPr>
        <w:ind w:left="660" w:right="460" w:hanging="328"/>
        <w:spacing w:after="0" w:line="253"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EXACT™ allows users quickly to construct re-usable programs for data extraction, data transformation, statistical reporting and electronic publishing, in a visual environment with limited code writing. The EXACT™ system is used to simplify and automate the production of multiple Clinical Data Interchange Standards Consortium (CDISC) guidelines as well as tables, figures and listings in trial reports.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Arrangements</w:t>
      </w:r>
    </w:p>
    <w:p>
      <w:pPr>
        <w:spacing w:after="0" w:line="268"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We are generally awarded projects based upon our responses to requests for proposals received from companies in the pharmaceutical, biotechnology and medical device industries, or through strategic partnership agreements.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there are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9" w:name="page50"/>
    <w:bookmarkEnd w:id="49"/>
    <w:p>
      <w:pPr>
        <w:jc w:val="both"/>
        <w:ind w:firstLine="648"/>
        <w:spacing w:after="0" w:line="257" w:lineRule="auto"/>
        <w:rPr>
          <w:sz w:val="20"/>
          <w:szCs w:val="20"/>
          <w:color w:val="auto"/>
        </w:rPr>
      </w:pPr>
      <w:r>
        <w:rPr>
          <w:rFonts w:ascii="Arial" w:cs="Arial" w:eastAsia="Arial" w:hAnsi="Arial"/>
          <w:sz w:val="16"/>
          <w:szCs w:val="16"/>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progress or delivery of the study database.</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progress towards completion for clinical service contracts is measured based on total project costs (direct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the contract and are invoiced on a monthly basis based on actual expenses incurred. Expenses incurred are determined by reference to activity.</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2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Chief Executive Officer and other members of the executive management team are responsible for day-to-day risk management of the Company and our Board oversees management's activities through both the full Board and its committees. Our Chief Executive Officer and other members of the executive management team are members of ICON’s Quality and Risk Forum, which reviews risk. Our executive management team regularly reports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and our Compensation and Organization Committee oversees risk management with respect to our compensation plans, policies and procedures and our Nominating, Sustainability and Governance Committee oversees risks relating to ESG matters. Internal audit reports functionally and administratively to our Chief Financial Officer and directly to the Audit Committee. With respect to non-financial risk management, including cybersecurity, legal compliance, privacy and enterprise risk, the Board and its Committees receive updates from the appropriate executives on the primary risks facing the Company and the measures the Company is taking to mitigate such risks.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 addition, our activities in Europe are affected by the European Medicines Agency.</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Potential Liability and Insurance</w:t>
      </w:r>
    </w:p>
    <w:p>
      <w:pPr>
        <w:spacing w:after="0" w:line="241"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The nature of our business exposes us to potential liability including, but not limited to, potential liability for (i) breach of contract or negligence claims by our customers; and, (ii) third party (such as patients) claims in respect of our performance of services.</w:t>
      </w:r>
    </w:p>
    <w:p>
      <w:pPr>
        <w:spacing w:after="0" w:line="168"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try to reduce this potential liability by:</w:t>
      </w:r>
    </w:p>
    <w:p>
      <w:pPr>
        <w:spacing w:after="0" w:line="248" w:lineRule="exact"/>
        <w:rPr>
          <w:sz w:val="20"/>
          <w:szCs w:val="20"/>
          <w:color w:val="auto"/>
        </w:rPr>
      </w:pPr>
    </w:p>
    <w:p>
      <w:pPr>
        <w:jc w:val="both"/>
        <w:ind w:left="820" w:hanging="164"/>
        <w:spacing w:after="0" w:line="253" w:lineRule="auto"/>
        <w:tabs>
          <w:tab w:leader="none" w:pos="8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spacing w:after="0" w:line="2" w:lineRule="exact"/>
        <w:rPr>
          <w:rFonts w:ascii="Arial" w:cs="Arial" w:eastAsia="Arial" w:hAnsi="Arial"/>
          <w:sz w:val="16"/>
          <w:szCs w:val="16"/>
          <w:color w:val="auto"/>
        </w:rPr>
      </w:pPr>
    </w:p>
    <w:p>
      <w:pPr>
        <w:ind w:left="820" w:hanging="164"/>
        <w:spacing w:after="0" w:line="262" w:lineRule="auto"/>
        <w:tabs>
          <w:tab w:leader="none" w:pos="8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Maintaining worldwide professional liability insurance. While we maintain the types and amounts of insurance we view as customary in the industries and countries in which we operate, there is no guarantee that we will continue to be able to maintain such insurance coverage on terms acceptable to us, if at all, or that the relevant policy will respond and provide cover when we want it to.</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could be materially adversely affected if ICON is required to pay damages or bear the costs of defending or settling any claim which a) is outside the scope of or in excess of a contractual indemnification provision, b) an indemnifying party does not fulfill its indemnification obligations, c) the claim is in excess of the level of our insurance coverage or d) the relevant circumstances are not covered by our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Organizational Structure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Details of the Company’s significant subsidiaries or entities under the Company's control at December 31, 2022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7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b w:val="1"/>
                <w:bCs w:val="1"/>
                <w:i w:val="1"/>
                <w:iCs w:val="1"/>
                <w:color w:val="auto"/>
              </w:rPr>
              <w:t>Country</w:t>
            </w:r>
          </w:p>
        </w:tc>
        <w:tc>
          <w:tcPr>
            <w:tcW w:w="256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S.A.</w:t>
            </w:r>
          </w:p>
        </w:tc>
        <w:tc>
          <w:tcPr>
            <w:tcW w:w="3700" w:type="dxa"/>
            <w:vAlign w:val="bottom"/>
          </w:tcPr>
          <w:p>
            <w:pPr>
              <w:ind w:left="1420"/>
              <w:spacing w:after="0"/>
              <w:rPr>
                <w:sz w:val="20"/>
                <w:szCs w:val="20"/>
                <w:color w:val="auto"/>
              </w:rPr>
            </w:pPr>
            <w:r>
              <w:rPr>
                <w:rFonts w:ascii="Arial" w:cs="Arial" w:eastAsia="Arial" w:hAnsi="Arial"/>
                <w:sz w:val="16"/>
                <w:szCs w:val="16"/>
                <w:color w:val="auto"/>
              </w:rPr>
              <w:t>Argentina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S.A.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Argentina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PTY Limited</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Medpass International Pty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Pty Limited</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Australia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Austria GmbH</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Austria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Research Austria GmbH</w:t>
            </w:r>
          </w:p>
        </w:tc>
        <w:tc>
          <w:tcPr>
            <w:tcW w:w="3700" w:type="dxa"/>
            <w:vAlign w:val="bottom"/>
          </w:tcPr>
          <w:p>
            <w:pPr>
              <w:ind w:left="1420"/>
              <w:spacing w:after="0"/>
              <w:rPr>
                <w:sz w:val="20"/>
                <w:szCs w:val="20"/>
                <w:color w:val="auto"/>
              </w:rPr>
            </w:pPr>
            <w:r>
              <w:rPr>
                <w:rFonts w:ascii="Arial" w:cs="Arial" w:eastAsia="Arial" w:hAnsi="Arial"/>
                <w:sz w:val="16"/>
                <w:szCs w:val="16"/>
                <w:color w:val="auto"/>
              </w:rPr>
              <w:t>Austria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IMP-Logistics Bel, FLLC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Belarus</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DOCS International Belgium N.V.</w:t>
            </w:r>
          </w:p>
        </w:tc>
        <w:tc>
          <w:tcPr>
            <w:tcW w:w="3700" w:type="dxa"/>
            <w:vAlign w:val="bottom"/>
          </w:tcPr>
          <w:p>
            <w:pPr>
              <w:ind w:left="1420"/>
              <w:spacing w:after="0"/>
              <w:rPr>
                <w:sz w:val="20"/>
                <w:szCs w:val="20"/>
                <w:color w:val="auto"/>
              </w:rPr>
            </w:pPr>
            <w:r>
              <w:rPr>
                <w:rFonts w:ascii="Arial" w:cs="Arial" w:eastAsia="Arial" w:hAnsi="Arial"/>
                <w:sz w:val="16"/>
                <w:szCs w:val="16"/>
                <w:color w:val="auto"/>
              </w:rPr>
              <w:t>Belgium</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Belgium B.V.</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Belgium</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Bermuda, Ltd.</w:t>
            </w:r>
          </w:p>
        </w:tc>
        <w:tc>
          <w:tcPr>
            <w:tcW w:w="3700" w:type="dxa"/>
            <w:vAlign w:val="bottom"/>
          </w:tcPr>
          <w:p>
            <w:pPr>
              <w:ind w:left="1420"/>
              <w:spacing w:after="0"/>
              <w:rPr>
                <w:sz w:val="20"/>
                <w:szCs w:val="20"/>
                <w:color w:val="auto"/>
              </w:rPr>
            </w:pPr>
            <w:r>
              <w:rPr>
                <w:rFonts w:ascii="Arial" w:cs="Arial" w:eastAsia="Arial" w:hAnsi="Arial"/>
                <w:sz w:val="16"/>
                <w:szCs w:val="16"/>
                <w:color w:val="auto"/>
              </w:rPr>
              <w:t>Bermuda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46"/>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Pesquisas Clínicas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Ltda.</w:t>
            </w:r>
          </w:p>
        </w:tc>
        <w:tc>
          <w:tcPr>
            <w:tcW w:w="3700" w:type="dxa"/>
            <w:vAlign w:val="bottom"/>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do Brasil Serviços de Pesquisas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Brazil</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China Inc.</w:t>
            </w:r>
          </w:p>
        </w:tc>
        <w:tc>
          <w:tcPr>
            <w:tcW w:w="3700" w:type="dxa"/>
            <w:vAlign w:val="bottom"/>
          </w:tcPr>
          <w:p>
            <w:pPr>
              <w:ind w:left="1420"/>
              <w:spacing w:after="0"/>
              <w:rPr>
                <w:sz w:val="20"/>
                <w:szCs w:val="20"/>
                <w:color w:val="auto"/>
              </w:rPr>
            </w:pPr>
            <w:r>
              <w:rPr>
                <w:rFonts w:ascii="Arial" w:cs="Arial" w:eastAsia="Arial" w:hAnsi="Arial"/>
                <w:sz w:val="16"/>
                <w:szCs w:val="16"/>
                <w:color w:val="auto"/>
              </w:rPr>
              <w:t>British Virgin Islands</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EOOD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Bulgaria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Pharmaceutical Research Associates Bulgaria EOOD</w:t>
            </w:r>
          </w:p>
        </w:tc>
        <w:tc>
          <w:tcPr>
            <w:tcW w:w="3700" w:type="dxa"/>
            <w:vAlign w:val="bottom"/>
          </w:tcPr>
          <w:p>
            <w:pPr>
              <w:ind w:left="1420"/>
              <w:spacing w:after="0"/>
              <w:rPr>
                <w:sz w:val="20"/>
                <w:szCs w:val="20"/>
                <w:color w:val="auto"/>
              </w:rPr>
            </w:pPr>
            <w:r>
              <w:rPr>
                <w:rFonts w:ascii="Arial" w:cs="Arial" w:eastAsia="Arial" w:hAnsi="Arial"/>
                <w:sz w:val="16"/>
                <w:szCs w:val="16"/>
                <w:color w:val="auto"/>
              </w:rPr>
              <w:t>Bulgaria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(Canada) Inc.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3065613 Nova Scotia Company</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ULC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Services de Recherche Pharmaceutique Srl</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Oxford Outcomes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Life Sciences Canada Inc.</w:t>
            </w:r>
          </w:p>
        </w:tc>
        <w:tc>
          <w:tcPr>
            <w:tcW w:w="3700" w:type="dxa"/>
            <w:vAlign w:val="bottom"/>
          </w:tcPr>
          <w:p>
            <w:pPr>
              <w:ind w:left="1420"/>
              <w:spacing w:after="0"/>
              <w:rPr>
                <w:sz w:val="20"/>
                <w:szCs w:val="20"/>
                <w:color w:val="auto"/>
              </w:rPr>
            </w:pPr>
            <w:r>
              <w:rPr>
                <w:rFonts w:ascii="Arial" w:cs="Arial" w:eastAsia="Arial" w:hAnsi="Arial"/>
                <w:sz w:val="16"/>
                <w:szCs w:val="16"/>
                <w:color w:val="auto"/>
              </w:rPr>
              <w:t>Canada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Chile Limitada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Chile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PRA Health Sciences Chile SpA</w:t>
            </w:r>
          </w:p>
        </w:tc>
        <w:tc>
          <w:tcPr>
            <w:tcW w:w="3700" w:type="dxa"/>
            <w:vAlign w:val="bottom"/>
          </w:tcPr>
          <w:p>
            <w:pPr>
              <w:ind w:left="1420"/>
              <w:spacing w:after="0"/>
              <w:rPr>
                <w:sz w:val="20"/>
                <w:szCs w:val="20"/>
                <w:color w:val="auto"/>
              </w:rPr>
            </w:pPr>
            <w:r>
              <w:rPr>
                <w:rFonts w:ascii="Arial" w:cs="Arial" w:eastAsia="Arial" w:hAnsi="Arial"/>
                <w:sz w:val="16"/>
                <w:szCs w:val="16"/>
                <w:color w:val="auto"/>
              </w:rPr>
              <w:t>Chile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(Beijing No.2) Co., Ltd</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(Beijing) Co., Ltd</w:t>
            </w:r>
          </w:p>
        </w:tc>
        <w:tc>
          <w:tcPr>
            <w:tcW w:w="3700" w:type="dxa"/>
            <w:vAlign w:val="bottom"/>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China, Inc.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China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PRA Health Sciences Colombia Ltda.</w:t>
            </w:r>
          </w:p>
        </w:tc>
        <w:tc>
          <w:tcPr>
            <w:tcW w:w="3700" w:type="dxa"/>
            <w:vAlign w:val="bottom"/>
          </w:tcPr>
          <w:p>
            <w:pPr>
              <w:ind w:left="1420"/>
              <w:spacing w:after="0"/>
              <w:rPr>
                <w:sz w:val="20"/>
                <w:szCs w:val="20"/>
                <w:color w:val="auto"/>
              </w:rPr>
            </w:pPr>
            <w:r>
              <w:rPr>
                <w:rFonts w:ascii="Arial" w:cs="Arial" w:eastAsia="Arial" w:hAnsi="Arial"/>
                <w:sz w:val="16"/>
                <w:szCs w:val="16"/>
                <w:color w:val="auto"/>
              </w:rPr>
              <w:t>Colombia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Costa Rica, LTDA.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Costa Rica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177"/>
        </w:trPr>
        <w:tc>
          <w:tcPr>
            <w:tcW w:w="4960" w:type="dxa"/>
            <w:vAlign w:val="bottom"/>
          </w:tcPr>
          <w:p>
            <w:pPr>
              <w:ind w:left="360"/>
              <w:spacing w:after="0" w:line="178" w:lineRule="exact"/>
              <w:rPr>
                <w:sz w:val="20"/>
                <w:szCs w:val="20"/>
                <w:color w:val="auto"/>
              </w:rPr>
            </w:pPr>
            <w:r>
              <w:rPr>
                <w:rFonts w:ascii="Arial" w:cs="Arial" w:eastAsia="Arial" w:hAnsi="Arial"/>
                <w:sz w:val="16"/>
                <w:szCs w:val="16"/>
                <w:color w:val="auto"/>
              </w:rPr>
              <w:t>Ispitivanja ICON d.o.o</w:t>
            </w:r>
          </w:p>
        </w:tc>
        <w:tc>
          <w:tcPr>
            <w:tcW w:w="3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4960" w:type="dxa"/>
            <w:vAlign w:val="bottom"/>
          </w:tcPr>
          <w:p>
            <w:pPr>
              <w:ind w:left="360"/>
              <w:spacing w:after="0"/>
              <w:rPr>
                <w:sz w:val="20"/>
                <w:szCs w:val="20"/>
                <w:color w:val="auto"/>
              </w:rPr>
            </w:pPr>
            <w:r>
              <w:rPr>
                <w:rFonts w:ascii="Arial" w:cs="Arial" w:eastAsia="Arial" w:hAnsi="Arial"/>
                <w:sz w:val="16"/>
                <w:szCs w:val="16"/>
                <w:color w:val="auto"/>
              </w:rPr>
              <w:t>ICON Research Ltd.</w:t>
            </w:r>
          </w:p>
        </w:tc>
        <w:tc>
          <w:tcPr>
            <w:tcW w:w="3700" w:type="dxa"/>
            <w:vAlign w:val="bottom"/>
          </w:tcPr>
          <w:p>
            <w:pPr>
              <w:ind w:left="1420"/>
              <w:spacing w:after="0"/>
              <w:rPr>
                <w:sz w:val="20"/>
                <w:szCs w:val="20"/>
                <w:color w:val="auto"/>
              </w:rPr>
            </w:pPr>
            <w:r>
              <w:rPr>
                <w:rFonts w:ascii="Arial" w:cs="Arial" w:eastAsia="Arial" w:hAnsi="Arial"/>
                <w:sz w:val="16"/>
                <w:szCs w:val="16"/>
                <w:color w:val="auto"/>
              </w:rPr>
              <w:t>Croatia</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 Research Associates d.o.o. za klinicka ispitivanja</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Croatia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s.r.o.</w:t>
            </w:r>
          </w:p>
        </w:tc>
        <w:tc>
          <w:tcPr>
            <w:tcW w:w="3700" w:type="dxa"/>
            <w:vAlign w:val="bottom"/>
          </w:tcPr>
          <w:p>
            <w:pPr>
              <w:ind w:left="1420"/>
              <w:spacing w:after="0"/>
              <w:rPr>
                <w:sz w:val="20"/>
                <w:szCs w:val="20"/>
                <w:color w:val="auto"/>
              </w:rPr>
            </w:pPr>
            <w:r>
              <w:rPr>
                <w:rFonts w:ascii="Arial" w:cs="Arial" w:eastAsia="Arial" w:hAnsi="Arial"/>
                <w:sz w:val="16"/>
                <w:szCs w:val="16"/>
                <w:color w:val="auto"/>
              </w:rPr>
              <w:t>Czech Republic</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CZ, s.r.o.</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Czech Republic</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DOCS International Nordic Countries A/S</w:t>
            </w:r>
          </w:p>
        </w:tc>
        <w:tc>
          <w:tcPr>
            <w:tcW w:w="3700" w:type="dxa"/>
            <w:vAlign w:val="bottom"/>
          </w:tcPr>
          <w:p>
            <w:pPr>
              <w:ind w:left="1420"/>
              <w:spacing w:after="0"/>
              <w:rPr>
                <w:sz w:val="20"/>
                <w:szCs w:val="20"/>
                <w:color w:val="auto"/>
              </w:rPr>
            </w:pPr>
            <w:r>
              <w:rPr>
                <w:rFonts w:ascii="Arial" w:cs="Arial" w:eastAsia="Arial" w:hAnsi="Arial"/>
                <w:sz w:val="16"/>
                <w:szCs w:val="16"/>
                <w:color w:val="auto"/>
              </w:rPr>
              <w:t>Denmark</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Denmark ApS</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Denmark</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RPS Egypt (Limited Liability Company)</w:t>
            </w:r>
          </w:p>
        </w:tc>
        <w:tc>
          <w:tcPr>
            <w:tcW w:w="3700" w:type="dxa"/>
            <w:vAlign w:val="bottom"/>
          </w:tcPr>
          <w:p>
            <w:pPr>
              <w:ind w:left="1420"/>
              <w:spacing w:after="0"/>
              <w:rPr>
                <w:sz w:val="20"/>
                <w:szCs w:val="20"/>
                <w:color w:val="auto"/>
              </w:rPr>
            </w:pPr>
            <w:r>
              <w:rPr>
                <w:rFonts w:ascii="Arial" w:cs="Arial" w:eastAsia="Arial" w:hAnsi="Arial"/>
                <w:sz w:val="16"/>
                <w:szCs w:val="16"/>
                <w:color w:val="auto"/>
              </w:rPr>
              <w:t>Egypt</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Estonia OÜ</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Estonia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DOCS International Finland Oy</w:t>
            </w:r>
          </w:p>
        </w:tc>
        <w:tc>
          <w:tcPr>
            <w:tcW w:w="3700" w:type="dxa"/>
            <w:vAlign w:val="bottom"/>
          </w:tcPr>
          <w:p>
            <w:pPr>
              <w:ind w:left="1420"/>
              <w:spacing w:after="0"/>
              <w:rPr>
                <w:sz w:val="20"/>
                <w:szCs w:val="20"/>
                <w:color w:val="auto"/>
              </w:rPr>
            </w:pPr>
            <w:r>
              <w:rPr>
                <w:rFonts w:ascii="Arial" w:cs="Arial" w:eastAsia="Arial" w:hAnsi="Arial"/>
                <w:sz w:val="16"/>
                <w:szCs w:val="16"/>
                <w:color w:val="auto"/>
              </w:rPr>
              <w:t>Finland</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Finland Oy</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Finland</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ICON Clinical Research S.A.R.L.</w:t>
            </w:r>
          </w:p>
        </w:tc>
        <w:tc>
          <w:tcPr>
            <w:tcW w:w="3700" w:type="dxa"/>
            <w:vAlign w:val="bottom"/>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Research Trust*</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960" w:type="dxa"/>
            <w:vAlign w:val="bottom"/>
          </w:tcPr>
          <w:p>
            <w:pPr>
              <w:ind w:left="360"/>
              <w:spacing w:after="0"/>
              <w:rPr>
                <w:sz w:val="20"/>
                <w:szCs w:val="20"/>
                <w:color w:val="auto"/>
              </w:rPr>
            </w:pPr>
            <w:r>
              <w:rPr>
                <w:rFonts w:ascii="Arial" w:cs="Arial" w:eastAsia="Arial" w:hAnsi="Arial"/>
                <w:sz w:val="16"/>
                <w:szCs w:val="16"/>
                <w:color w:val="auto"/>
              </w:rPr>
              <w:t>ReSearch Pharmaceutical Services France S.A.S.</w:t>
            </w:r>
          </w:p>
        </w:tc>
        <w:tc>
          <w:tcPr>
            <w:tcW w:w="3700" w:type="dxa"/>
            <w:vAlign w:val="bottom"/>
          </w:tcPr>
          <w:p>
            <w:pPr>
              <w:ind w:left="1420"/>
              <w:spacing w:after="0"/>
              <w:rPr>
                <w:sz w:val="20"/>
                <w:szCs w:val="20"/>
                <w:color w:val="auto"/>
              </w:rPr>
            </w:pPr>
            <w:r>
              <w:rPr>
                <w:rFonts w:ascii="Arial" w:cs="Arial" w:eastAsia="Arial" w:hAnsi="Arial"/>
                <w:sz w:val="16"/>
                <w:szCs w:val="16"/>
                <w:color w:val="auto"/>
              </w:rPr>
              <w:t>France</w:t>
            </w:r>
          </w:p>
        </w:tc>
        <w:tc>
          <w:tcPr>
            <w:tcW w:w="2560" w:type="dxa"/>
            <w:vAlign w:val="bottom"/>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 Logistics Georgia LLC</w:t>
            </w:r>
          </w:p>
        </w:tc>
        <w:tc>
          <w:tcPr>
            <w:tcW w:w="370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Georgia</w:t>
            </w:r>
          </w:p>
        </w:tc>
        <w:tc>
          <w:tcPr>
            <w:tcW w:w="256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871"/>
        </w:trPr>
        <w:tc>
          <w:tcPr>
            <w:tcW w:w="4960" w:type="dxa"/>
            <w:vAlign w:val="bottom"/>
          </w:tcPr>
          <w:p>
            <w:pPr>
              <w:spacing w:after="0"/>
              <w:rPr>
                <w:sz w:val="24"/>
                <w:szCs w:val="24"/>
                <w:color w:val="auto"/>
              </w:rPr>
            </w:pPr>
          </w:p>
        </w:tc>
        <w:tc>
          <w:tcPr>
            <w:tcW w:w="3700" w:type="dxa"/>
            <w:vAlign w:val="bottom"/>
          </w:tcPr>
          <w:p>
            <w:pPr>
              <w:ind w:left="580"/>
              <w:spacing w:after="0"/>
              <w:rPr>
                <w:sz w:val="20"/>
                <w:szCs w:val="20"/>
                <w:color w:val="auto"/>
              </w:rPr>
            </w:pPr>
            <w:r>
              <w:rPr>
                <w:rFonts w:ascii="Arial" w:cs="Arial" w:eastAsia="Arial" w:hAnsi="Arial"/>
                <w:sz w:val="16"/>
                <w:szCs w:val="16"/>
                <w:color w:val="auto"/>
              </w:rPr>
              <w:t>50</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9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6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i w:val="1"/>
                <w:iCs w:val="1"/>
                <w:color w:val="auto"/>
              </w:rPr>
              <w:t>Country</w:t>
            </w:r>
          </w:p>
        </w:tc>
        <w:tc>
          <w:tcPr>
            <w:tcW w:w="284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Pharmaceutical Research Associates Georgia LLC</w:t>
            </w:r>
          </w:p>
        </w:tc>
        <w:tc>
          <w:tcPr>
            <w:tcW w:w="2180" w:type="dxa"/>
            <w:vAlign w:val="bottom"/>
          </w:tcPr>
          <w:p>
            <w:pPr>
              <w:ind w:left="180"/>
              <w:spacing w:after="0"/>
              <w:rPr>
                <w:sz w:val="20"/>
                <w:szCs w:val="20"/>
                <w:color w:val="auto"/>
              </w:rPr>
            </w:pPr>
            <w:r>
              <w:rPr>
                <w:rFonts w:ascii="Arial" w:cs="Arial" w:eastAsia="Arial" w:hAnsi="Arial"/>
                <w:sz w:val="16"/>
                <w:szCs w:val="16"/>
                <w:color w:val="auto"/>
              </w:rPr>
              <w:t>Georgia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Averion Europe GmbH</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Germany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Clinical Research Germany GmbH</w:t>
            </w:r>
          </w:p>
        </w:tc>
        <w:tc>
          <w:tcPr>
            <w:tcW w:w="2180" w:type="dxa"/>
            <w:vAlign w:val="bottom"/>
          </w:tcPr>
          <w:p>
            <w:pPr>
              <w:ind w:left="180"/>
              <w:spacing w:after="0"/>
              <w:rPr>
                <w:sz w:val="20"/>
                <w:szCs w:val="20"/>
                <w:color w:val="auto"/>
              </w:rPr>
            </w:pPr>
            <w:r>
              <w:rPr>
                <w:rFonts w:ascii="Arial" w:cs="Arial" w:eastAsia="Arial" w:hAnsi="Arial"/>
                <w:sz w:val="16"/>
                <w:szCs w:val="16"/>
                <w:color w:val="auto"/>
              </w:rPr>
              <w:t>Germany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GmbH</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Germany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Pharmaceutical Research Associates GmbH</w:t>
            </w:r>
          </w:p>
        </w:tc>
        <w:tc>
          <w:tcPr>
            <w:tcW w:w="2180" w:type="dxa"/>
            <w:vAlign w:val="bottom"/>
          </w:tcPr>
          <w:p>
            <w:pPr>
              <w:ind w:left="180"/>
              <w:spacing w:after="0"/>
              <w:rPr>
                <w:sz w:val="20"/>
                <w:szCs w:val="20"/>
                <w:color w:val="auto"/>
              </w:rPr>
            </w:pPr>
            <w:r>
              <w:rPr>
                <w:rFonts w:ascii="Arial" w:cs="Arial" w:eastAsia="Arial" w:hAnsi="Arial"/>
                <w:sz w:val="16"/>
                <w:szCs w:val="16"/>
                <w:color w:val="auto"/>
              </w:rPr>
              <w:t>Germany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Greece A.E.</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Greece</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RPS Guatemala, S.A.</w:t>
            </w:r>
          </w:p>
        </w:tc>
        <w:tc>
          <w:tcPr>
            <w:tcW w:w="2180" w:type="dxa"/>
            <w:vAlign w:val="bottom"/>
          </w:tcPr>
          <w:p>
            <w:pPr>
              <w:ind w:left="180"/>
              <w:spacing w:after="0"/>
              <w:rPr>
                <w:sz w:val="20"/>
                <w:szCs w:val="20"/>
                <w:color w:val="auto"/>
              </w:rPr>
            </w:pPr>
            <w:r>
              <w:rPr>
                <w:rFonts w:ascii="Arial" w:cs="Arial" w:eastAsia="Arial" w:hAnsi="Arial"/>
                <w:sz w:val="16"/>
                <w:szCs w:val="16"/>
                <w:color w:val="auto"/>
              </w:rPr>
              <w:t>Guatemala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Hong Kong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Hong Kong</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PRA Health Sciences (Hong Kong)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Hong Kong</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180"/>
        </w:trPr>
        <w:tc>
          <w:tcPr>
            <w:tcW w:w="620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ICON Klinikai Kutató Korlátolt Felelősségű Társaság (ICON Clinical Research</w:t>
            </w:r>
          </w:p>
        </w:tc>
        <w:tc>
          <w:tcPr>
            <w:tcW w:w="218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Limited Liability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Hungary</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177"/>
        </w:trPr>
        <w:tc>
          <w:tcPr>
            <w:tcW w:w="6200" w:type="dxa"/>
            <w:vAlign w:val="bottom"/>
          </w:tcPr>
          <w:p>
            <w:pPr>
              <w:ind w:left="360"/>
              <w:spacing w:after="0" w:line="178" w:lineRule="exact"/>
              <w:rPr>
                <w:sz w:val="20"/>
                <w:szCs w:val="20"/>
                <w:color w:val="auto"/>
              </w:rPr>
            </w:pPr>
            <w:r>
              <w:rPr>
                <w:rFonts w:ascii="Arial" w:cs="Arial" w:eastAsia="Arial" w:hAnsi="Arial"/>
                <w:sz w:val="16"/>
                <w:szCs w:val="16"/>
                <w:color w:val="auto"/>
              </w:rPr>
              <w:t>Pharmaceutical Research Associates Magyarország Kutatás-Fejlesztési</w:t>
            </w:r>
          </w:p>
        </w:tc>
        <w:tc>
          <w:tcPr>
            <w:tcW w:w="2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6200" w:type="dxa"/>
            <w:vAlign w:val="bottom"/>
          </w:tcPr>
          <w:p>
            <w:pPr>
              <w:ind w:left="360"/>
              <w:spacing w:after="0" w:line="162" w:lineRule="exact"/>
              <w:rPr>
                <w:sz w:val="20"/>
                <w:szCs w:val="20"/>
                <w:color w:val="auto"/>
              </w:rPr>
            </w:pPr>
            <w:r>
              <w:rPr>
                <w:rFonts w:ascii="Arial" w:cs="Arial" w:eastAsia="Arial" w:hAnsi="Arial"/>
                <w:sz w:val="16"/>
                <w:szCs w:val="16"/>
                <w:color w:val="auto"/>
              </w:rPr>
              <w:t>Korlátolt Felelősségű Társaság (Pharmaceutical Research Associates Hungary</w:t>
            </w:r>
          </w:p>
        </w:tc>
        <w:tc>
          <w:tcPr>
            <w:tcW w:w="2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6200" w:type="dxa"/>
            <w:vAlign w:val="bottom"/>
          </w:tcPr>
          <w:p>
            <w:pPr>
              <w:ind w:left="360"/>
              <w:spacing w:after="0"/>
              <w:rPr>
                <w:sz w:val="20"/>
                <w:szCs w:val="20"/>
                <w:color w:val="auto"/>
              </w:rPr>
            </w:pPr>
            <w:r>
              <w:rPr>
                <w:rFonts w:ascii="Arial" w:cs="Arial" w:eastAsia="Arial" w:hAnsi="Arial"/>
                <w:sz w:val="16"/>
                <w:szCs w:val="16"/>
                <w:color w:val="auto"/>
              </w:rPr>
              <w:t>Research and Development Ltd.)</w:t>
            </w:r>
          </w:p>
        </w:tc>
        <w:tc>
          <w:tcPr>
            <w:tcW w:w="2180" w:type="dxa"/>
            <w:vAlign w:val="bottom"/>
          </w:tcPr>
          <w:p>
            <w:pPr>
              <w:ind w:left="180"/>
              <w:spacing w:after="0"/>
              <w:rPr>
                <w:sz w:val="20"/>
                <w:szCs w:val="20"/>
                <w:color w:val="auto"/>
              </w:rPr>
            </w:pPr>
            <w:r>
              <w:rPr>
                <w:rFonts w:ascii="Arial" w:cs="Arial" w:eastAsia="Arial" w:hAnsi="Arial"/>
                <w:sz w:val="16"/>
                <w:szCs w:val="16"/>
                <w:color w:val="auto"/>
              </w:rPr>
              <w:t>Hungary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Iceland ehf.</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Iceland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Clinical Research India Private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India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India Private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India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Accellacare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Resourcing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(LR)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Global Holdings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Clinical International Unlimited Company</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Clinical Research Property Development (Ireland)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Property Holdings (Ireland)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Holdings Clinical Research International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Holdings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Investments Five Unlimited Company</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Four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Operational Financing Unlimited Company</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Operational Holdings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Research Pharmaceutical Services (Outsourcing Ireland)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Global Treasury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PRA Clinical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Holdings (Ireland) Unlimited Company</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Ireland</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Clinical Research Israel LTD.</w:t>
            </w:r>
          </w:p>
        </w:tc>
        <w:tc>
          <w:tcPr>
            <w:tcW w:w="2180" w:type="dxa"/>
            <w:vAlign w:val="bottom"/>
          </w:tcPr>
          <w:p>
            <w:pPr>
              <w:ind w:left="180"/>
              <w:spacing w:after="0"/>
              <w:rPr>
                <w:sz w:val="20"/>
                <w:szCs w:val="20"/>
                <w:color w:val="auto"/>
              </w:rPr>
            </w:pPr>
            <w:r>
              <w:rPr>
                <w:rFonts w:ascii="Arial" w:cs="Arial" w:eastAsia="Arial" w:hAnsi="Arial"/>
                <w:sz w:val="16"/>
                <w:szCs w:val="16"/>
                <w:color w:val="auto"/>
              </w:rPr>
              <w:t>Israel</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Israel Ltd.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Israel</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Pharmaceutical Research Associates Italy S.r.l.</w:t>
            </w:r>
          </w:p>
        </w:tc>
        <w:tc>
          <w:tcPr>
            <w:tcW w:w="2180" w:type="dxa"/>
            <w:vAlign w:val="bottom"/>
          </w:tcPr>
          <w:p>
            <w:pPr>
              <w:ind w:left="180"/>
              <w:spacing w:after="0"/>
              <w:rPr>
                <w:sz w:val="20"/>
                <w:szCs w:val="20"/>
                <w:color w:val="auto"/>
              </w:rPr>
            </w:pPr>
            <w:r>
              <w:rPr>
                <w:rFonts w:ascii="Arial" w:cs="Arial" w:eastAsia="Arial" w:hAnsi="Arial"/>
                <w:sz w:val="16"/>
                <w:szCs w:val="16"/>
                <w:color w:val="auto"/>
              </w:rPr>
              <w:t>Italy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Development Center KK</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Japan</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PRA Health Sciences KK</w:t>
            </w:r>
          </w:p>
        </w:tc>
        <w:tc>
          <w:tcPr>
            <w:tcW w:w="2180" w:type="dxa"/>
            <w:vAlign w:val="bottom"/>
          </w:tcPr>
          <w:p>
            <w:pPr>
              <w:ind w:left="180"/>
              <w:spacing w:after="0"/>
              <w:rPr>
                <w:sz w:val="20"/>
                <w:szCs w:val="20"/>
                <w:color w:val="auto"/>
              </w:rPr>
            </w:pPr>
            <w:r>
              <w:rPr>
                <w:rFonts w:ascii="Arial" w:cs="Arial" w:eastAsia="Arial" w:hAnsi="Arial"/>
                <w:sz w:val="16"/>
                <w:szCs w:val="16"/>
                <w:color w:val="auto"/>
              </w:rPr>
              <w:t>Japan</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Japan K.K.</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Japan</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Investments Limited</w:t>
            </w:r>
          </w:p>
        </w:tc>
        <w:tc>
          <w:tcPr>
            <w:tcW w:w="2180" w:type="dxa"/>
            <w:vAlign w:val="bottom"/>
          </w:tcPr>
          <w:p>
            <w:pPr>
              <w:ind w:left="180"/>
              <w:spacing w:after="0"/>
              <w:rPr>
                <w:sz w:val="20"/>
                <w:szCs w:val="20"/>
                <w:color w:val="auto"/>
              </w:rPr>
            </w:pPr>
            <w:r>
              <w:rPr>
                <w:rFonts w:ascii="Arial" w:cs="Arial" w:eastAsia="Arial" w:hAnsi="Arial"/>
                <w:sz w:val="16"/>
                <w:szCs w:val="16"/>
                <w:color w:val="auto"/>
              </w:rPr>
              <w:t>Jersey</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Health Sciences Kenya Limited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Kenya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RPS Latvia SIA</w:t>
            </w:r>
          </w:p>
        </w:tc>
        <w:tc>
          <w:tcPr>
            <w:tcW w:w="2180" w:type="dxa"/>
            <w:vAlign w:val="bottom"/>
          </w:tcPr>
          <w:p>
            <w:pPr>
              <w:ind w:left="180"/>
              <w:spacing w:after="0"/>
              <w:rPr>
                <w:sz w:val="20"/>
                <w:szCs w:val="20"/>
                <w:color w:val="auto"/>
              </w:rPr>
            </w:pPr>
            <w:r>
              <w:rPr>
                <w:rFonts w:ascii="Arial" w:cs="Arial" w:eastAsia="Arial" w:hAnsi="Arial"/>
                <w:sz w:val="16"/>
                <w:szCs w:val="16"/>
                <w:color w:val="auto"/>
              </w:rPr>
              <w:t>Latvia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UAB RPS Lithuania</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Lithuania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ICON Luxembourg S.à r.l.</w:t>
            </w:r>
          </w:p>
        </w:tc>
        <w:tc>
          <w:tcPr>
            <w:tcW w:w="2180" w:type="dxa"/>
            <w:vAlign w:val="bottom"/>
          </w:tcPr>
          <w:p>
            <w:pPr>
              <w:ind w:left="180"/>
              <w:spacing w:after="0"/>
              <w:rPr>
                <w:sz w:val="20"/>
                <w:szCs w:val="20"/>
                <w:color w:val="auto"/>
              </w:rPr>
            </w:pPr>
            <w:r>
              <w:rPr>
                <w:rFonts w:ascii="Arial" w:cs="Arial" w:eastAsia="Arial" w:hAnsi="Arial"/>
                <w:sz w:val="16"/>
                <w:szCs w:val="16"/>
                <w:color w:val="auto"/>
              </w:rPr>
              <w:t>Luxembourg</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CRO Malaysia SDN. BHD.</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Malaysia</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RPS Malaysia Sdn. Bhd.</w:t>
            </w:r>
          </w:p>
        </w:tc>
        <w:tc>
          <w:tcPr>
            <w:tcW w:w="2180" w:type="dxa"/>
            <w:vAlign w:val="bottom"/>
          </w:tcPr>
          <w:p>
            <w:pPr>
              <w:ind w:left="180"/>
              <w:spacing w:after="0"/>
              <w:rPr>
                <w:sz w:val="20"/>
                <w:szCs w:val="20"/>
                <w:color w:val="auto"/>
              </w:rPr>
            </w:pPr>
            <w:r>
              <w:rPr>
                <w:rFonts w:ascii="Arial" w:cs="Arial" w:eastAsia="Arial" w:hAnsi="Arial"/>
                <w:sz w:val="16"/>
                <w:szCs w:val="16"/>
                <w:color w:val="auto"/>
              </w:rPr>
              <w:t>Malaysia</w:t>
            </w:r>
          </w:p>
        </w:tc>
        <w:tc>
          <w:tcPr>
            <w:tcW w:w="2840" w:type="dxa"/>
            <w:vAlign w:val="bottom"/>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México, S.A. de C.V.</w:t>
            </w:r>
          </w:p>
        </w:tc>
        <w:tc>
          <w:tcPr>
            <w:tcW w:w="2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México</w:t>
            </w:r>
          </w:p>
        </w:tc>
        <w:tc>
          <w:tcPr>
            <w:tcW w:w="2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858"/>
        </w:trPr>
        <w:tc>
          <w:tcPr>
            <w:tcW w:w="6200" w:type="dxa"/>
            <w:vAlign w:val="bottom"/>
          </w:tcPr>
          <w:p>
            <w:pPr>
              <w:ind w:left="5540"/>
              <w:spacing w:after="0"/>
              <w:rPr>
                <w:sz w:val="20"/>
                <w:szCs w:val="20"/>
                <w:color w:val="auto"/>
              </w:rPr>
            </w:pPr>
            <w:r>
              <w:rPr>
                <w:rFonts w:ascii="Arial" w:cs="Arial" w:eastAsia="Arial" w:hAnsi="Arial"/>
                <w:sz w:val="16"/>
                <w:szCs w:val="16"/>
                <w:color w:val="auto"/>
              </w:rPr>
              <w:t>51</w:t>
            </w:r>
          </w:p>
        </w:tc>
        <w:tc>
          <w:tcPr>
            <w:tcW w:w="2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2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3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Country</w:t>
            </w:r>
          </w:p>
        </w:tc>
        <w:tc>
          <w:tcPr>
            <w:tcW w:w="28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Pharmaceutical Research Associates Mexico S. de R.L. de C. V.</w:t>
            </w:r>
          </w:p>
        </w:tc>
        <w:tc>
          <w:tcPr>
            <w:tcW w:w="2300" w:type="dxa"/>
            <w:vAlign w:val="bottom"/>
          </w:tcPr>
          <w:p>
            <w:pPr>
              <w:ind w:left="280"/>
              <w:spacing w:after="0"/>
              <w:rPr>
                <w:sz w:val="20"/>
                <w:szCs w:val="20"/>
                <w:color w:val="auto"/>
              </w:rPr>
            </w:pPr>
            <w:r>
              <w:rPr>
                <w:rFonts w:ascii="Arial" w:cs="Arial" w:eastAsia="Arial" w:hAnsi="Arial"/>
                <w:sz w:val="16"/>
                <w:szCs w:val="16"/>
                <w:color w:val="auto"/>
              </w:rPr>
              <w:t>México</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México, S. de R.L. de C.V.</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México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Research Servicios, S. de R.L. de C.V.</w:t>
            </w:r>
          </w:p>
        </w:tc>
        <w:tc>
          <w:tcPr>
            <w:tcW w:w="2300" w:type="dxa"/>
            <w:vAlign w:val="bottom"/>
          </w:tcPr>
          <w:p>
            <w:pPr>
              <w:ind w:left="280"/>
              <w:spacing w:after="0"/>
              <w:rPr>
                <w:sz w:val="20"/>
                <w:szCs w:val="20"/>
                <w:color w:val="auto"/>
              </w:rPr>
            </w:pPr>
            <w:r>
              <w:rPr>
                <w:rFonts w:ascii="Arial" w:cs="Arial" w:eastAsia="Arial" w:hAnsi="Arial"/>
                <w:sz w:val="16"/>
                <w:szCs w:val="16"/>
                <w:color w:val="auto"/>
              </w:rPr>
              <w:t>México</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B.V.</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Pharmaceutical Research Associates Group B.V.</w:t>
            </w:r>
          </w:p>
        </w:tc>
        <w:tc>
          <w:tcPr>
            <w:tcW w:w="2300" w:type="dxa"/>
            <w:vAlign w:val="bottom"/>
          </w:tcPr>
          <w:p>
            <w:pPr>
              <w:ind w:left="28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International Operations B.V.</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Netherlands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ReSearch Pharmaceutical Services Netherlands B.V.</w:t>
            </w:r>
          </w:p>
        </w:tc>
        <w:tc>
          <w:tcPr>
            <w:tcW w:w="2300" w:type="dxa"/>
            <w:vAlign w:val="bottom"/>
          </w:tcPr>
          <w:p>
            <w:pPr>
              <w:ind w:left="280"/>
              <w:spacing w:after="0"/>
              <w:rPr>
                <w:sz w:val="20"/>
                <w:szCs w:val="20"/>
                <w:color w:val="auto"/>
              </w:rPr>
            </w:pPr>
            <w:r>
              <w:rPr>
                <w:rFonts w:ascii="Arial" w:cs="Arial" w:eastAsia="Arial" w:hAnsi="Arial"/>
                <w:sz w:val="16"/>
                <w:szCs w:val="16"/>
                <w:color w:val="auto"/>
              </w:rPr>
              <w:t>Netherlands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(New Zealand) Limited</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New Zealand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Pharmaceutical Research Associates New Zealand Limited</w:t>
            </w:r>
          </w:p>
        </w:tc>
        <w:tc>
          <w:tcPr>
            <w:tcW w:w="2300" w:type="dxa"/>
            <w:vAlign w:val="bottom"/>
          </w:tcPr>
          <w:p>
            <w:pPr>
              <w:ind w:left="280"/>
              <w:spacing w:after="0"/>
              <w:rPr>
                <w:sz w:val="20"/>
                <w:szCs w:val="20"/>
                <w:color w:val="auto"/>
              </w:rPr>
            </w:pPr>
            <w:r>
              <w:rPr>
                <w:rFonts w:ascii="Arial" w:cs="Arial" w:eastAsia="Arial" w:hAnsi="Arial"/>
                <w:sz w:val="16"/>
                <w:szCs w:val="16"/>
                <w:color w:val="auto"/>
              </w:rPr>
              <w:t>New Zealand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Norway AS</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Norway</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Panama Inc.</w:t>
            </w:r>
          </w:p>
        </w:tc>
        <w:tc>
          <w:tcPr>
            <w:tcW w:w="2300" w:type="dxa"/>
            <w:vAlign w:val="bottom"/>
          </w:tcPr>
          <w:p>
            <w:pPr>
              <w:ind w:left="280"/>
              <w:spacing w:after="0"/>
              <w:rPr>
                <w:sz w:val="20"/>
                <w:szCs w:val="20"/>
                <w:color w:val="auto"/>
              </w:rPr>
            </w:pPr>
            <w:r>
              <w:rPr>
                <w:rFonts w:ascii="Arial" w:cs="Arial" w:eastAsia="Arial" w:hAnsi="Arial"/>
                <w:sz w:val="16"/>
                <w:szCs w:val="16"/>
                <w:color w:val="auto"/>
              </w:rPr>
              <w:t>Panama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Perú S.A.</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Perú</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Perú S.A.C.</w:t>
            </w:r>
          </w:p>
        </w:tc>
        <w:tc>
          <w:tcPr>
            <w:tcW w:w="2300" w:type="dxa"/>
            <w:vAlign w:val="bottom"/>
          </w:tcPr>
          <w:p>
            <w:pPr>
              <w:ind w:left="280"/>
              <w:spacing w:after="0"/>
              <w:rPr>
                <w:sz w:val="20"/>
                <w:szCs w:val="20"/>
                <w:color w:val="auto"/>
              </w:rPr>
            </w:pPr>
            <w:r>
              <w:rPr>
                <w:rFonts w:ascii="Arial" w:cs="Arial" w:eastAsia="Arial" w:hAnsi="Arial"/>
                <w:sz w:val="16"/>
                <w:szCs w:val="16"/>
                <w:color w:val="auto"/>
              </w:rPr>
              <w:t>Perú</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Services Philippines, Inc.</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Philippines</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Research Philippines, Inc.</w:t>
            </w:r>
          </w:p>
        </w:tc>
        <w:tc>
          <w:tcPr>
            <w:tcW w:w="2300" w:type="dxa"/>
            <w:vAlign w:val="bottom"/>
          </w:tcPr>
          <w:p>
            <w:pPr>
              <w:ind w:left="280"/>
              <w:spacing w:after="0"/>
              <w:rPr>
                <w:sz w:val="20"/>
                <w:szCs w:val="20"/>
                <w:color w:val="auto"/>
              </w:rPr>
            </w:pPr>
            <w:r>
              <w:rPr>
                <w:rFonts w:ascii="Arial" w:cs="Arial" w:eastAsia="Arial" w:hAnsi="Arial"/>
                <w:sz w:val="16"/>
                <w:szCs w:val="16"/>
                <w:color w:val="auto"/>
              </w:rPr>
              <w:t>Philippines</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Poland Sp. z o.o.</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Symphony Clinical Research Sp zoo</w:t>
            </w:r>
          </w:p>
        </w:tc>
        <w:tc>
          <w:tcPr>
            <w:tcW w:w="2300" w:type="dxa"/>
            <w:vAlign w:val="bottom"/>
          </w:tcPr>
          <w:p>
            <w:pPr>
              <w:ind w:left="280"/>
              <w:spacing w:after="0"/>
              <w:rPr>
                <w:sz w:val="20"/>
                <w:szCs w:val="20"/>
                <w:color w:val="auto"/>
              </w:rPr>
            </w:pPr>
            <w:r>
              <w:rPr>
                <w:rFonts w:ascii="Arial" w:cs="Arial" w:eastAsia="Arial" w:hAnsi="Arial"/>
                <w:sz w:val="16"/>
                <w:szCs w:val="16"/>
                <w:color w:val="auto"/>
              </w:rPr>
              <w:t>Poland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Sp. z o.o.</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PRA International Portugal, Unipessoal, Lda.</w:t>
            </w:r>
          </w:p>
        </w:tc>
        <w:tc>
          <w:tcPr>
            <w:tcW w:w="2300" w:type="dxa"/>
            <w:vAlign w:val="bottom"/>
          </w:tcPr>
          <w:p>
            <w:pPr>
              <w:ind w:left="280"/>
              <w:spacing w:after="0"/>
              <w:rPr>
                <w:sz w:val="20"/>
                <w:szCs w:val="20"/>
                <w:color w:val="auto"/>
              </w:rPr>
            </w:pPr>
            <w:r>
              <w:rPr>
                <w:rFonts w:ascii="Arial" w:cs="Arial" w:eastAsia="Arial" w:hAnsi="Arial"/>
                <w:sz w:val="16"/>
                <w:szCs w:val="16"/>
                <w:color w:val="auto"/>
              </w:rPr>
              <w:t>Portugal</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Puerto Rico, Inc.</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Puerto Rico</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S.R.L.</w:t>
            </w:r>
          </w:p>
        </w:tc>
        <w:tc>
          <w:tcPr>
            <w:tcW w:w="2300" w:type="dxa"/>
            <w:vAlign w:val="bottom"/>
          </w:tcPr>
          <w:p>
            <w:pPr>
              <w:ind w:left="280"/>
              <w:spacing w:after="0"/>
              <w:rPr>
                <w:sz w:val="20"/>
                <w:szCs w:val="20"/>
                <w:color w:val="auto"/>
              </w:rPr>
            </w:pPr>
            <w:r>
              <w:rPr>
                <w:rFonts w:ascii="Arial" w:cs="Arial" w:eastAsia="Arial" w:hAnsi="Arial"/>
                <w:sz w:val="16"/>
                <w:szCs w:val="16"/>
                <w:color w:val="auto"/>
              </w:rPr>
              <w:t>Romania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Romania S.R.L.</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Romania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(Rus) LLC</w:t>
            </w:r>
          </w:p>
        </w:tc>
        <w:tc>
          <w:tcPr>
            <w:tcW w:w="2300" w:type="dxa"/>
            <w:vAlign w:val="bottom"/>
          </w:tcPr>
          <w:p>
            <w:pPr>
              <w:ind w:left="280"/>
              <w:spacing w:after="0"/>
              <w:rPr>
                <w:sz w:val="20"/>
                <w:szCs w:val="20"/>
                <w:color w:val="auto"/>
              </w:rPr>
            </w:pPr>
            <w:r>
              <w:rPr>
                <w:rFonts w:ascii="Arial" w:cs="Arial" w:eastAsia="Arial" w:hAnsi="Arial"/>
                <w:sz w:val="16"/>
                <w:szCs w:val="16"/>
                <w:color w:val="auto"/>
              </w:rPr>
              <w:t>Russia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Joint Stock Company IMP Logistics</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Russia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d.o.o. Beograd</w:t>
            </w:r>
          </w:p>
        </w:tc>
        <w:tc>
          <w:tcPr>
            <w:tcW w:w="2300" w:type="dxa"/>
            <w:vAlign w:val="bottom"/>
          </w:tcPr>
          <w:p>
            <w:pPr>
              <w:ind w:left="280"/>
              <w:spacing w:after="0"/>
              <w:rPr>
                <w:sz w:val="20"/>
                <w:szCs w:val="20"/>
                <w:color w:val="auto"/>
              </w:rPr>
            </w:pPr>
            <w:r>
              <w:rPr>
                <w:rFonts w:ascii="Arial" w:cs="Arial" w:eastAsia="Arial" w:hAnsi="Arial"/>
                <w:sz w:val="16"/>
                <w:szCs w:val="16"/>
                <w:color w:val="auto"/>
              </w:rPr>
              <w:t>Serbia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doo Belgrade</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Serbia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(Pte) Limited</w:t>
            </w:r>
          </w:p>
        </w:tc>
        <w:tc>
          <w:tcPr>
            <w:tcW w:w="2300" w:type="dxa"/>
            <w:vAlign w:val="bottom"/>
          </w:tcPr>
          <w:p>
            <w:pPr>
              <w:ind w:left="28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Life Sciences Singapore Pte. Ltd.</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Singapore</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Pharmaceutical Research Associates Singapore Pte. Ltd.</w:t>
            </w:r>
          </w:p>
        </w:tc>
        <w:tc>
          <w:tcPr>
            <w:tcW w:w="2300" w:type="dxa"/>
            <w:vAlign w:val="bottom"/>
          </w:tcPr>
          <w:p>
            <w:pPr>
              <w:ind w:left="280"/>
              <w:spacing w:after="0"/>
              <w:rPr>
                <w:sz w:val="20"/>
                <w:szCs w:val="20"/>
                <w:color w:val="auto"/>
              </w:rPr>
            </w:pPr>
            <w:r>
              <w:rPr>
                <w:rFonts w:ascii="Arial" w:cs="Arial" w:eastAsia="Arial" w:hAnsi="Arial"/>
                <w:sz w:val="16"/>
                <w:szCs w:val="16"/>
                <w:color w:val="auto"/>
              </w:rPr>
              <w:t>Singapore</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Slovakia, s.r.o.</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Slovakia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Pharmaceutical Research Associates SK s.r.o.</w:t>
            </w:r>
          </w:p>
        </w:tc>
        <w:tc>
          <w:tcPr>
            <w:tcW w:w="2300" w:type="dxa"/>
            <w:vAlign w:val="bottom"/>
          </w:tcPr>
          <w:p>
            <w:pPr>
              <w:ind w:left="280"/>
              <w:spacing w:after="0"/>
              <w:rPr>
                <w:sz w:val="20"/>
                <w:szCs w:val="20"/>
                <w:color w:val="auto"/>
              </w:rPr>
            </w:pPr>
            <w:r>
              <w:rPr>
                <w:rFonts w:ascii="Arial" w:cs="Arial" w:eastAsia="Arial" w:hAnsi="Arial"/>
                <w:sz w:val="16"/>
                <w:szCs w:val="16"/>
                <w:color w:val="auto"/>
              </w:rPr>
              <w:t>Slovakia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Pharmaceutical S A (Proprietary) Limited</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South Africa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Research South Africa (Proprietary) Limited</w:t>
            </w:r>
          </w:p>
        </w:tc>
        <w:tc>
          <w:tcPr>
            <w:tcW w:w="2300" w:type="dxa"/>
            <w:vAlign w:val="bottom"/>
          </w:tcPr>
          <w:p>
            <w:pPr>
              <w:ind w:left="280"/>
              <w:spacing w:after="0"/>
              <w:rPr>
                <w:sz w:val="20"/>
                <w:szCs w:val="20"/>
                <w:color w:val="auto"/>
              </w:rPr>
            </w:pPr>
            <w:r>
              <w:rPr>
                <w:rFonts w:ascii="Arial" w:cs="Arial" w:eastAsia="Arial" w:hAnsi="Arial"/>
                <w:sz w:val="16"/>
                <w:szCs w:val="16"/>
                <w:color w:val="auto"/>
              </w:rPr>
              <w:t>South Africa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South Africa (PTY) LTD</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South Africa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177"/>
        </w:trPr>
        <w:tc>
          <w:tcPr>
            <w:tcW w:w="6100" w:type="dxa"/>
            <w:vAlign w:val="bottom"/>
          </w:tcPr>
          <w:p>
            <w:pPr>
              <w:ind w:left="360"/>
              <w:spacing w:after="0" w:line="178" w:lineRule="exact"/>
              <w:rPr>
                <w:sz w:val="20"/>
                <w:szCs w:val="20"/>
                <w:color w:val="auto"/>
              </w:rPr>
            </w:pPr>
            <w:r>
              <w:rPr>
                <w:rFonts w:ascii="Arial" w:cs="Arial" w:eastAsia="Arial" w:hAnsi="Arial"/>
                <w:sz w:val="16"/>
                <w:szCs w:val="16"/>
                <w:color w:val="auto"/>
              </w:rPr>
              <w:t>ICON Clinical Research Korea Yuhan Hoesa/ ICON Clinical Research Korea</w:t>
            </w:r>
          </w:p>
        </w:tc>
        <w:tc>
          <w:tcPr>
            <w:tcW w:w="23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6"/>
                <w:szCs w:val="16"/>
                <w:color w:val="auto"/>
              </w:rPr>
              <w:t>Ltd.</w:t>
            </w:r>
          </w:p>
        </w:tc>
        <w:tc>
          <w:tcPr>
            <w:tcW w:w="2300" w:type="dxa"/>
            <w:vAlign w:val="bottom"/>
          </w:tcPr>
          <w:p>
            <w:pPr>
              <w:ind w:left="280"/>
              <w:spacing w:after="0"/>
              <w:rPr>
                <w:sz w:val="20"/>
                <w:szCs w:val="20"/>
                <w:color w:val="auto"/>
              </w:rPr>
            </w:pPr>
            <w:r>
              <w:rPr>
                <w:rFonts w:ascii="Arial" w:cs="Arial" w:eastAsia="Arial" w:hAnsi="Arial"/>
                <w:sz w:val="16"/>
                <w:szCs w:val="16"/>
                <w:color w:val="auto"/>
              </w:rPr>
              <w:t>South Korea</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Korea Limited</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South Korea</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España, S.L.</w:t>
            </w:r>
          </w:p>
        </w:tc>
        <w:tc>
          <w:tcPr>
            <w:tcW w:w="2300" w:type="dxa"/>
            <w:vAlign w:val="bottom"/>
          </w:tcPr>
          <w:p>
            <w:pPr>
              <w:ind w:left="28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España, S.A.U.</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Spain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RPS ReSearch Ibérica, S.L.U.</w:t>
            </w:r>
          </w:p>
        </w:tc>
        <w:tc>
          <w:tcPr>
            <w:tcW w:w="2300" w:type="dxa"/>
            <w:vAlign w:val="bottom"/>
          </w:tcPr>
          <w:p>
            <w:pPr>
              <w:ind w:left="28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Spain S.L.</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Spain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Accellacare España S.L.</w:t>
            </w:r>
          </w:p>
        </w:tc>
        <w:tc>
          <w:tcPr>
            <w:tcW w:w="2300" w:type="dxa"/>
            <w:vAlign w:val="bottom"/>
          </w:tcPr>
          <w:p>
            <w:pPr>
              <w:ind w:left="280"/>
              <w:spacing w:after="0"/>
              <w:rPr>
                <w:sz w:val="20"/>
                <w:szCs w:val="20"/>
                <w:color w:val="auto"/>
              </w:rPr>
            </w:pPr>
            <w:r>
              <w:rPr>
                <w:rFonts w:ascii="Arial" w:cs="Arial" w:eastAsia="Arial" w:hAnsi="Arial"/>
                <w:sz w:val="16"/>
                <w:szCs w:val="16"/>
                <w:color w:val="auto"/>
              </w:rPr>
              <w:t>Spain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Sweden AB</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Sweden</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6100" w:type="dxa"/>
            <w:vAlign w:val="bottom"/>
          </w:tcPr>
          <w:p>
            <w:pPr>
              <w:ind w:left="360"/>
              <w:spacing w:after="0"/>
              <w:rPr>
                <w:sz w:val="20"/>
                <w:szCs w:val="20"/>
                <w:color w:val="auto"/>
              </w:rPr>
            </w:pPr>
            <w:r>
              <w:rPr>
                <w:rFonts w:ascii="Arial" w:cs="Arial" w:eastAsia="Arial" w:hAnsi="Arial"/>
                <w:sz w:val="16"/>
                <w:szCs w:val="16"/>
                <w:color w:val="auto"/>
              </w:rPr>
              <w:t>PRA International Sweden AB</w:t>
            </w:r>
          </w:p>
        </w:tc>
        <w:tc>
          <w:tcPr>
            <w:tcW w:w="2300" w:type="dxa"/>
            <w:vAlign w:val="bottom"/>
          </w:tcPr>
          <w:p>
            <w:pPr>
              <w:ind w:left="280"/>
              <w:spacing w:after="0"/>
              <w:rPr>
                <w:sz w:val="20"/>
                <w:szCs w:val="20"/>
                <w:color w:val="auto"/>
              </w:rPr>
            </w:pPr>
            <w:r>
              <w:rPr>
                <w:rFonts w:ascii="Arial" w:cs="Arial" w:eastAsia="Arial" w:hAnsi="Arial"/>
                <w:sz w:val="16"/>
                <w:szCs w:val="16"/>
                <w:color w:val="auto"/>
              </w:rPr>
              <w:t>Sweden</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Switzerland GmbH</w:t>
            </w:r>
          </w:p>
        </w:tc>
        <w:tc>
          <w:tcPr>
            <w:tcW w:w="2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Switzerland</w:t>
            </w:r>
          </w:p>
        </w:tc>
        <w:tc>
          <w:tcPr>
            <w:tcW w:w="28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0"/>
        </w:trPr>
        <w:tc>
          <w:tcPr>
            <w:tcW w:w="6100" w:type="dxa"/>
            <w:vAlign w:val="bottom"/>
          </w:tcPr>
          <w:p>
            <w:pPr>
              <w:ind w:left="360"/>
              <w:spacing w:after="0"/>
              <w:rPr>
                <w:sz w:val="20"/>
                <w:szCs w:val="20"/>
                <w:color w:val="auto"/>
              </w:rPr>
            </w:pPr>
            <w:r>
              <w:rPr>
                <w:rFonts w:ascii="Arial" w:cs="Arial" w:eastAsia="Arial" w:hAnsi="Arial"/>
                <w:sz w:val="16"/>
                <w:szCs w:val="16"/>
                <w:color w:val="auto"/>
              </w:rPr>
              <w:t>ICON Clinical Research (Switzerland) GmbH</w:t>
            </w:r>
          </w:p>
        </w:tc>
        <w:tc>
          <w:tcPr>
            <w:tcW w:w="2300" w:type="dxa"/>
            <w:vAlign w:val="bottom"/>
          </w:tcPr>
          <w:p>
            <w:pPr>
              <w:ind w:left="280"/>
              <w:spacing w:after="0"/>
              <w:rPr>
                <w:sz w:val="20"/>
                <w:szCs w:val="20"/>
                <w:color w:val="auto"/>
              </w:rPr>
            </w:pPr>
            <w:r>
              <w:rPr>
                <w:rFonts w:ascii="Arial" w:cs="Arial" w:eastAsia="Arial" w:hAnsi="Arial"/>
                <w:sz w:val="16"/>
                <w:szCs w:val="16"/>
                <w:color w:val="auto"/>
              </w:rPr>
              <w:t>Switzerland</w:t>
            </w:r>
          </w:p>
        </w:tc>
        <w:tc>
          <w:tcPr>
            <w:tcW w:w="2820" w:type="dxa"/>
            <w:vAlign w:val="bottom"/>
          </w:tcPr>
          <w:p>
            <w:pPr>
              <w:jc w:val="center"/>
              <w:ind w:left="5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4"/>
        </w:trPr>
        <w:tc>
          <w:tcPr>
            <w:tcW w:w="6100" w:type="dxa"/>
            <w:vAlign w:val="bottom"/>
          </w:tcPr>
          <w:p>
            <w:pPr>
              <w:ind w:left="5540"/>
              <w:spacing w:after="0"/>
              <w:rPr>
                <w:sz w:val="20"/>
                <w:szCs w:val="20"/>
                <w:color w:val="auto"/>
              </w:rPr>
            </w:pPr>
            <w:r>
              <w:rPr>
                <w:rFonts w:ascii="Arial" w:cs="Arial" w:eastAsia="Arial" w:hAnsi="Arial"/>
                <w:sz w:val="16"/>
                <w:szCs w:val="16"/>
                <w:color w:val="auto"/>
              </w:rPr>
              <w:t>52</w:t>
            </w:r>
          </w:p>
        </w:tc>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61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3"/>
        </w:trPr>
        <w:tc>
          <w:tcPr>
            <w:tcW w:w="5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110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72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Switzerland AG</w:t>
            </w:r>
          </w:p>
        </w:tc>
        <w:tc>
          <w:tcPr>
            <w:tcW w:w="1100" w:type="dxa"/>
            <w:vAlign w:val="bottom"/>
            <w:shd w:val="clear" w:color="auto" w:fill="CCEEFF"/>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Switzerland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Taiwan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Taiwan</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Taiwan, Inc.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Taiwan</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(Thailand)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Thailand</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Research (Thailand) Co., Ltd.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Thailand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Ankara Klinik Arastirma Dis Ticaret Anonim Sirketi</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Turkey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Turkey Sağlik Araştirma Ve Geliştirme Limited Şirketi</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Turkey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DOCS Ukraine LLC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IMP-Logistics Ukraine, LLC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Ukraine,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Accellacare UK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Aptiv Solutions (UK) Ltd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DOCS International UK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(LR)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2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No. 3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(U.K.) No. 4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No. 5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Development Solutions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Investments (UK) Ltd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Improving Treatments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Medeval Group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MeDiNova Lakeside Clinical Research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MeDiNova Merc (UK)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VSK (Kenilworth)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IMP Logistics UK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 Research Associates (UK)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Sterling Synergy Systems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Holdings (U.K.) Limited</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(U.K.) No. 6 Limited</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Global S.A.</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Uruguay</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RPS Latin America S.A</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Uruguay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Early Phase Services,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Pharmaceutical Research Associates, Inc.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ClinStar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Nextrials, Inc.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Pharmaceutical Research Associates CIS,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Pharmaceutical Research Associates Eastern Europe, LLC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CRN North America,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ICON Clinical Research, LP</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Addplan, Inc.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Beacon Bioscience, Inc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C4 MedSolutions, LLC</w:t>
            </w:r>
          </w:p>
        </w:tc>
        <w:tc>
          <w:tcPr>
            <w:tcW w:w="1100" w:type="dxa"/>
            <w:vAlign w:val="bottom"/>
            <w:shd w:val="clear" w:color="auto" w:fill="CCEEFF"/>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0"/>
        </w:trPr>
        <w:tc>
          <w:tcPr>
            <w:tcW w:w="5060" w:type="dxa"/>
            <w:vAlign w:val="bottom"/>
          </w:tcPr>
          <w:p>
            <w:pPr>
              <w:ind w:left="360"/>
              <w:spacing w:after="0"/>
              <w:rPr>
                <w:sz w:val="20"/>
                <w:szCs w:val="20"/>
                <w:color w:val="auto"/>
              </w:rPr>
            </w:pPr>
            <w:r>
              <w:rPr>
                <w:rFonts w:ascii="Arial" w:cs="Arial" w:eastAsia="Arial" w:hAnsi="Arial"/>
                <w:sz w:val="16"/>
                <w:szCs w:val="16"/>
                <w:color w:val="auto"/>
              </w:rPr>
              <w:t>CHC Group, LLC</w:t>
            </w:r>
          </w:p>
        </w:tc>
        <w:tc>
          <w:tcPr>
            <w:tcW w:w="110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4"/>
        </w:trPr>
        <w:tc>
          <w:tcPr>
            <w:tcW w:w="5060" w:type="dxa"/>
            <w:vAlign w:val="bottom"/>
          </w:tcPr>
          <w:p>
            <w:pPr>
              <w:spacing w:after="0"/>
              <w:rPr>
                <w:sz w:val="24"/>
                <w:szCs w:val="24"/>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53</w:t>
            </w:r>
          </w:p>
        </w:tc>
        <w:tc>
          <w:tcPr>
            <w:tcW w:w="2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50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3"/>
        </w:trPr>
        <w:tc>
          <w:tcPr>
            <w:tcW w:w="47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14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98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i w:val="1"/>
                <w:iCs w:val="1"/>
                <w:color w:val="auto"/>
              </w:rPr>
              <w:t>Group ownership</w:t>
            </w:r>
          </w:p>
        </w:tc>
        <w:tc>
          <w:tcPr>
            <w:tcW w:w="20" w:type="dxa"/>
            <w:vAlign w:val="bottom"/>
          </w:tcPr>
          <w:p>
            <w:pPr>
              <w:spacing w:after="0"/>
              <w:rPr>
                <w:sz w:val="19"/>
                <w:szCs w:val="19"/>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CRN Holdings, LLC</w:t>
            </w:r>
          </w:p>
        </w:tc>
        <w:tc>
          <w:tcPr>
            <w:tcW w:w="1460" w:type="dxa"/>
            <w:vAlign w:val="bottom"/>
            <w:shd w:val="clear" w:color="auto" w:fill="CCEEFF"/>
          </w:tcPr>
          <w:p>
            <w:pPr>
              <w:spacing w:after="0"/>
              <w:rPr>
                <w:sz w:val="18"/>
                <w:szCs w:val="18"/>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Global Pharmaceutical Strategies Group,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Investments,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ICON Clinical Research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Laboratory Services,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ICON Tennessee,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US Holdings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MMMM Consulting,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MMMM Group,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MolecularMD Corp.</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PriceSpective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PubsHub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Care Innovations,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Care Innovations,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CRI NewCo,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CRI Worldwide,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International Medical Technical Consultants,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Parallel 6, Inc.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Early Development Research,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PRA Health Sciences, Inc.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Holdings,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PRA International,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PRA Receivables,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ReSearch Pharmaceutical Services,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Pharmaceutical Services, Inc.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Roy RPS Holdings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RPS Global Holdings,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RPS Parent Holding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Source Healthcare Analytics,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Sunset Hills,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Symphony Health Solutions Corporation</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Christie Clinic,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Clinical Resource Network,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DOCS Global, Inc.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Care Strategic Solutions,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CRI International,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Charlotte,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Hickory,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Raleigh,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Rocky Mount,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Salisbury,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of Wilmington,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Winston-Salem,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3"/>
        </w:trPr>
        <w:tc>
          <w:tcPr>
            <w:tcW w:w="4700" w:type="dxa"/>
            <w:vAlign w:val="bottom"/>
          </w:tcPr>
          <w:p>
            <w:pPr>
              <w:ind w:left="360"/>
              <w:spacing w:after="0"/>
              <w:rPr>
                <w:sz w:val="20"/>
                <w:szCs w:val="20"/>
                <w:color w:val="auto"/>
              </w:rPr>
            </w:pPr>
            <w:r>
              <w:rPr>
                <w:rFonts w:ascii="Arial" w:cs="Arial" w:eastAsia="Arial" w:hAnsi="Arial"/>
                <w:sz w:val="16"/>
                <w:szCs w:val="16"/>
                <w:color w:val="auto"/>
              </w:rPr>
              <w:t>Accellacare US Inc.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219"/>
        </w:trPr>
        <w:tc>
          <w:tcPr>
            <w:tcW w:w="4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Complete Healthcare Communications LLC</w:t>
            </w:r>
          </w:p>
        </w:tc>
        <w:tc>
          <w:tcPr>
            <w:tcW w:w="1460" w:type="dxa"/>
            <w:vAlign w:val="bottom"/>
            <w:shd w:val="clear" w:color="auto" w:fill="CCEEFF"/>
          </w:tcPr>
          <w:p>
            <w:pPr>
              <w:spacing w:after="0"/>
              <w:rPr>
                <w:sz w:val="19"/>
                <w:szCs w:val="19"/>
                <w:color w:val="auto"/>
              </w:rPr>
            </w:pP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9"/>
                <w:szCs w:val="19"/>
                <w:color w:val="auto"/>
              </w:rPr>
            </w:pPr>
          </w:p>
        </w:tc>
      </w:tr>
      <w:tr>
        <w:trPr>
          <w:trHeight w:val="210"/>
        </w:trPr>
        <w:tc>
          <w:tcPr>
            <w:tcW w:w="4700" w:type="dxa"/>
            <w:vAlign w:val="bottom"/>
          </w:tcPr>
          <w:p>
            <w:pPr>
              <w:ind w:left="360"/>
              <w:spacing w:after="0"/>
              <w:rPr>
                <w:sz w:val="20"/>
                <w:szCs w:val="20"/>
                <w:color w:val="auto"/>
              </w:rPr>
            </w:pPr>
            <w:r>
              <w:rPr>
                <w:rFonts w:ascii="Arial" w:cs="Arial" w:eastAsia="Arial" w:hAnsi="Arial"/>
                <w:sz w:val="16"/>
                <w:szCs w:val="16"/>
                <w:color w:val="auto"/>
              </w:rPr>
              <w:t>Complete Publication Solutions, LLC</w:t>
            </w:r>
          </w:p>
        </w:tc>
        <w:tc>
          <w:tcPr>
            <w:tcW w:w="1460" w:type="dxa"/>
            <w:vAlign w:val="bottom"/>
          </w:tcPr>
          <w:p>
            <w:pPr>
              <w:spacing w:after="0"/>
              <w:rPr>
                <w:sz w:val="18"/>
                <w:szCs w:val="18"/>
                <w:color w:val="auto"/>
              </w:rPr>
            </w:pP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r>
      <w:tr>
        <w:trPr>
          <w:trHeight w:val="864"/>
        </w:trPr>
        <w:tc>
          <w:tcPr>
            <w:tcW w:w="4700" w:type="dxa"/>
            <w:vAlign w:val="bottom"/>
          </w:tcPr>
          <w:p>
            <w:pPr>
              <w:spacing w:after="0"/>
              <w:rPr>
                <w:sz w:val="24"/>
                <w:szCs w:val="24"/>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color w:val="auto"/>
              </w:rPr>
              <w:t>54</w:t>
            </w: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7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98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Accellacare of Charleston, LLC</w:t>
            </w: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Accellacare of Bristol, LLC</w:t>
            </w: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Lifetree Clinical Research, LC</w:t>
            </w:r>
          </w:p>
        </w:tc>
        <w:tc>
          <w:tcPr>
            <w:tcW w:w="2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98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100%</w:t>
            </w:r>
          </w:p>
        </w:tc>
      </w:tr>
      <w:tr>
        <w:trPr>
          <w:trHeight w:val="210"/>
        </w:trPr>
        <w:tc>
          <w:tcPr>
            <w:tcW w:w="6160" w:type="dxa"/>
            <w:vAlign w:val="bottom"/>
          </w:tcPr>
          <w:p>
            <w:pPr>
              <w:ind w:left="360"/>
              <w:spacing w:after="0"/>
              <w:rPr>
                <w:sz w:val="20"/>
                <w:szCs w:val="20"/>
                <w:color w:val="auto"/>
              </w:rPr>
            </w:pPr>
            <w:r>
              <w:rPr>
                <w:rFonts w:ascii="Arial" w:cs="Arial" w:eastAsia="Arial" w:hAnsi="Arial"/>
                <w:sz w:val="16"/>
                <w:szCs w:val="16"/>
                <w:color w:val="auto"/>
              </w:rPr>
              <w:t>ICON Government and Public Health Solutions, Inc.</w:t>
            </w:r>
          </w:p>
        </w:tc>
        <w:tc>
          <w:tcPr>
            <w:tcW w:w="2080" w:type="dxa"/>
            <w:vAlign w:val="bottom"/>
          </w:tcPr>
          <w:p>
            <w:pPr>
              <w:ind w:left="220"/>
              <w:spacing w:after="0"/>
              <w:rPr>
                <w:sz w:val="20"/>
                <w:szCs w:val="20"/>
                <w:color w:val="auto"/>
              </w:rPr>
            </w:pPr>
            <w:r>
              <w:rPr>
                <w:rFonts w:ascii="Arial" w:cs="Arial" w:eastAsia="Arial" w:hAnsi="Arial"/>
                <w:sz w:val="16"/>
                <w:szCs w:val="16"/>
                <w:color w:val="auto"/>
              </w:rPr>
              <w:t>USA</w:t>
            </w:r>
          </w:p>
        </w:tc>
        <w:tc>
          <w:tcPr>
            <w:tcW w:w="2980" w:type="dxa"/>
            <w:vAlign w:val="bottom"/>
          </w:tcPr>
          <w:p>
            <w:pPr>
              <w:jc w:val="center"/>
              <w:ind w:left="719"/>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*Mapi Research Trust is an association, its members are ICON Subsidiary entities.</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 Description of Property</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principal executive offices are located in South County Business Park, Leopardstown, Dublin, Republic of Ireland, where we own an office facility of approximately 15,000 square meters. We lease all other properties.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maintain fifty-three offices in Europe; ten of our offices are in the UK, seven in Germany, five in The Netherlands, four in Spain, two in each of the Czech Republic, France, Hungary, Ireland, Poland, Russia, Sweden, Turkey and Ukraine, and one in each of Belarus, Belgium, Bulgaria, Georgia, Israel, Italy, Latvia, Romania, and Slovakia. We maintain thirty-three offices in North America; twenty-nine in the United States, two in Canada and two in Mexico. We have sixteen offices in Asia; five in China (including one in Hong Kong), three in India, two in each of Japan and Singapore, and one in each of South Korea, Taiwan, Thailand and The Philippines. We have two offices in Australia and one in New Zealand. We have five offices in South America; one in each of Argentina, Brazil, Chile, Columbia and Peru. We maintain one office in South Africa.</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4A.  </w:t>
      </w:r>
      <w:r>
        <w:rPr>
          <w:rFonts w:ascii="Arial" w:cs="Arial" w:eastAsia="Arial" w:hAnsi="Arial"/>
          <w:sz w:val="16"/>
          <w:szCs w:val="16"/>
          <w:b w:val="1"/>
          <w:bCs w:val="1"/>
          <w:i w:val="1"/>
          <w:iCs w:val="1"/>
          <w:color w:val="auto"/>
        </w:rPr>
        <w:t>Unresolved Staff Comments.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031" w:right="339" w:bottom="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4"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Operating and Financial Review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2022 and December 31, 2021. Information related to the year ended December 31, 2020 has not been included. It can be found in the Company's filing of the form 20-F for the year ended December 31, 2021.</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2022, we employed approximately 41,100 employees, in 111 locations in 53 countries. During the year ended December 31, 2022 we derived approximately 46.2%, 46.5% and 7.3% of our revenue in the United States, Europe, and the rest of the world, respectively.</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unsatisfied performance obligation comprises our assessment of contracted revenue yet to be earned from projects awarded by clients. At December 31, 2022 we had unsatisfied performance obligations of approximately $13.7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1, 2021, ICON announced the completion of its Merger with PRA creating one of the world’s most advanced healthcare intelligence and clinical research organizations. The management's discussion and analysis below reflects the operating results of the Group for the year ended December 31, 2022 which incorporates the results of PRA and results in large variances when comparing to the year ended December 31, 2021. The results of PRA prior to July 1, 2021 are not reflected. Where applicable, management have included commentary on specific one-time charges related to the Merger in order to provide an understanding of the normal operations of the Group.</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both"/>
        <w:ind w:firstLine="648"/>
        <w:spacing w:after="0" w:line="256"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1"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99"/>
              <w:spacing w:after="0" w:line="156" w:lineRule="exact"/>
              <w:rPr>
                <w:sz w:val="20"/>
                <w:szCs w:val="20"/>
                <w:color w:val="auto"/>
              </w:rPr>
            </w:pPr>
            <w:r>
              <w:rPr>
                <w:rFonts w:ascii="Arial" w:cs="Arial" w:eastAsia="Arial" w:hAnsi="Arial"/>
                <w:sz w:val="16"/>
                <w:szCs w:val="16"/>
                <w:b w:val="1"/>
                <w:bCs w:val="1"/>
                <w:color w:val="auto"/>
              </w:rPr>
              <w:t>Percentage of Revenue</w:t>
            </w:r>
          </w:p>
        </w:tc>
        <w:tc>
          <w:tcPr>
            <w:tcW w:w="1200" w:type="dxa"/>
            <w:vAlign w:val="bottom"/>
            <w:shd w:val="clear" w:color="auto" w:fill="CCEEFF"/>
          </w:tcPr>
          <w:p>
            <w:pPr>
              <w:spacing w:after="0"/>
              <w:rPr>
                <w:sz w:val="13"/>
                <w:szCs w:val="13"/>
                <w:color w:val="auto"/>
              </w:rPr>
            </w:pPr>
          </w:p>
        </w:tc>
        <w:tc>
          <w:tcPr>
            <w:tcW w:w="1940" w:type="dxa"/>
            <w:vAlign w:val="bottom"/>
            <w:shd w:val="clear" w:color="auto" w:fill="CCEEFF"/>
          </w:tcPr>
          <w:p>
            <w:pPr>
              <w:jc w:val="right"/>
              <w:ind w:right="559"/>
              <w:spacing w:after="0" w:line="156"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100.0 %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100.0 %</w:t>
            </w:r>
          </w:p>
        </w:tc>
        <w:tc>
          <w:tcPr>
            <w:tcW w:w="1940" w:type="dxa"/>
            <w:vAlign w:val="bottom"/>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rPr>
              <w:t>Costs and expenses:</w:t>
            </w:r>
          </w:p>
        </w:tc>
        <w:tc>
          <w:tcPr>
            <w:tcW w:w="2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71.4 %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72.5 %</w:t>
            </w:r>
          </w:p>
        </w:tc>
        <w:tc>
          <w:tcPr>
            <w:tcW w:w="1940" w:type="dxa"/>
            <w:vAlign w:val="bottom"/>
          </w:tcPr>
          <w:p>
            <w:pPr>
              <w:jc w:val="right"/>
              <w:spacing w:after="0"/>
              <w:rPr>
                <w:sz w:val="20"/>
                <w:szCs w:val="20"/>
                <w:color w:val="auto"/>
              </w:rPr>
            </w:pPr>
            <w:r>
              <w:rPr>
                <w:rFonts w:ascii="Arial" w:cs="Arial" w:eastAsia="Arial" w:hAnsi="Arial"/>
                <w:sz w:val="16"/>
                <w:szCs w:val="16"/>
                <w:color w:val="auto"/>
              </w:rPr>
              <w:t>39.1 %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10.0 %</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10.7 %</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1.4 %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1.4 %</w:t>
            </w:r>
          </w:p>
        </w:tc>
        <w:tc>
          <w:tcPr>
            <w:tcW w:w="1940" w:type="dxa"/>
            <w:vAlign w:val="bottom"/>
          </w:tcPr>
          <w:p>
            <w:pPr>
              <w:jc w:val="right"/>
              <w:spacing w:after="0"/>
              <w:rPr>
                <w:sz w:val="20"/>
                <w:szCs w:val="20"/>
                <w:color w:val="auto"/>
              </w:rPr>
            </w:pPr>
            <w:r>
              <w:rPr>
                <w:rFonts w:ascii="Arial" w:cs="Arial" w:eastAsia="Arial" w:hAnsi="Arial"/>
                <w:sz w:val="16"/>
                <w:szCs w:val="16"/>
                <w:color w:val="auto"/>
              </w:rPr>
              <w:t>41.0 %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6.0 %</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4.4 %</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0.5 %</w:t>
            </w:r>
          </w:p>
        </w:tc>
        <w:tc>
          <w:tcPr>
            <w:tcW w:w="70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3.6 %</w:t>
            </w:r>
          </w:p>
        </w:tc>
        <w:tc>
          <w:tcPr>
            <w:tcW w:w="1940" w:type="dxa"/>
            <w:vAlign w:val="bottom"/>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0.4 %</w:t>
            </w: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0.5 %</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from operations</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10.3 %</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6.9 %</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110.1 %</w:t>
            </w:r>
          </w:p>
        </w:tc>
        <w:tc>
          <w:tcPr>
            <w:tcW w:w="0" w:type="dxa"/>
            <w:vAlign w:val="bottom"/>
          </w:tcPr>
          <w:p>
            <w:pPr>
              <w:spacing w:after="0"/>
              <w:rPr>
                <w:sz w:val="1"/>
                <w:szCs w:val="1"/>
                <w:color w:val="auto"/>
              </w:rPr>
            </w:pPr>
          </w:p>
        </w:tc>
      </w:tr>
      <w:tr>
        <w:trPr>
          <w:trHeight w:val="530"/>
        </w:trPr>
        <w:tc>
          <w:tcPr>
            <w:tcW w:w="610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Year ended December 31, 2022 compared to year ended December 31, 2021</w:t>
            </w: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9"/>
              </w:rPr>
              <w:t>Year Ended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140" w:type="dxa"/>
            <w:vAlign w:val="bottom"/>
            <w:gridSpan w:val="2"/>
            <w:vMerge w:val="restart"/>
            <w:shd w:val="clear" w:color="auto" w:fill="CCEEFF"/>
          </w:tcPr>
          <w:p>
            <w:pPr>
              <w:jc w:val="right"/>
              <w:ind w:right="15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7,741,386 $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5,480,826</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2,260,560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Revenue for the year ended December 31, 2022 increased by $2,260.6 million, or 41.2%, to $7,741.4 million, compared to $5,480.8 million for the year ended December 31, 2021. Revenue increased by 45.4% in constant currency terms. The increase in revenues in the year ended December 31, 2022 is due to the Merger and continued organic growth across the Company's markets.</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During the year ended December 31, 2022 the Company derived approximately 46.2%, 46.5% and 7.3% of our revenue in the United States, Europe and Rest of World respectively. Revenues from our top five customers amounted to $2,189.6 million in the year ended December 31, 2022 compared to $1,733.1 million in the year ended December 31, 2021 or 28.3% and 31.6% respectively.</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Revenue in Ireland increased by $618.7 million in the year ended December 31, 2022, to $1,984.6 million, compared to $1,365.9 million for the year ended December 31, 2021. Revenue in Ireland during the year ended December 31, 2022 increased by 45.3% compared to an overall increase in Group revenue of 41.2%. Revenue in Ireland is principally a function of our global contracting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9" w:name="page60"/>
    <w:bookmarkEnd w:id="59"/>
    <w:p>
      <w:pPr>
        <w:jc w:val="both"/>
        <w:ind w:firstLine="648"/>
        <w:spacing w:after="0" w:line="258" w:lineRule="auto"/>
        <w:rPr>
          <w:sz w:val="20"/>
          <w:szCs w:val="20"/>
          <w:color w:val="auto"/>
        </w:rPr>
      </w:pPr>
      <w:r>
        <w:rPr>
          <w:rFonts w:ascii="Arial" w:cs="Arial" w:eastAsia="Arial" w:hAnsi="Arial"/>
          <w:sz w:val="16"/>
          <w:szCs w:val="16"/>
          <w:color w:val="auto"/>
        </w:rPr>
        <w:t>Revenue in the Rest of Europe increased by $442.8 million or 37.7%, to $1,618.4 million, compared to $1,175.5 million for the year ended December 31, 2021. Revenue in the U.S. increased by $993.6 million or 38.5%, to $3,574.6 million, compared to $2,581.0 million for the year ended December 31, 2021. Revenue in our Rest of World (‘Other’) region increased by $205.5 million or 57.3%, to $563.9 million, compared to $358.4 million for the year ended December 31, 2021. Revenue has increased across all regions due to the completion of the Merger and continued organic growth across the Company's markets.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6"/>
        </w:trPr>
        <w:tc>
          <w:tcPr>
            <w:tcW w:w="5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5,527,045</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3,972,612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1,554,433</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71.4 %</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72.5 %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39.1 %</w:t>
            </w:r>
          </w:p>
        </w:tc>
      </w:tr>
    </w:tbl>
    <w:p>
      <w:pPr>
        <w:spacing w:after="0" w:line="3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Direct costs for the year ended December 31, 2022 increased by $1,554.4 million, or 39.1%, to $5,527.0 million, compared to $3,972.6 million for the year ended December 31, 2021. Direct costs consist primarily of investigator and other reimbursable costs, compensation, associated fringe benefits and share based compensation expense for project-related employees and other direct project driven costs. The increase in direct costs during the year ended December 31, 2022 arose due to an increase in headcount and an increase in personnel related expenditure of $926.5 million combined with an increase in other direct project related costs of $179.7 million, an increase in laboratory costs of $10.0 million and an increase in travel related costs of $5.6 million. There was an increase in third party investigator and other reimbursable costs of $434.5 million. The decrease in direct costs as a percentage of revenue reflect the different activity mix for the year ended December 31, 2022 compared to the year ended December 31, 2021, as well as the realization of integration synergies.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778,753</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585,330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193,423</w:t>
            </w: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33.0 %</w:t>
            </w:r>
          </w:p>
        </w:tc>
      </w:tr>
    </w:tbl>
    <w:p>
      <w:pPr>
        <w:spacing w:after="0" w:line="3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Selling, general and administrative expenses for the year ended December 31, 2022 increased by $193.4 million, or 33.0%, to $778.8 million, compared to $585.3 million for the year ended December 31, 2021. Selling, general and administrative expenses comprise primarily of compensation, related fringe benefits and routine share based compensation expense for non-project-related employees, recruitment expenditures, professional service costs, advertising costs and all costs related to facilities and information systems. As a percentage of revenue, selling, general and administrative expenses decreased to 10.0% of revenue during the year ended December 31, 2022, compared to 10.7% of revenue for the year ended December 31, 2021. During the year ended December 31, 2022, the increase in selling, general and administrative expenses relates to an increase in general overhead costs of $47.3 million, an increase of $42.9 million in facilities related costs, an increase of $88.0 million in personnel related expenditure, an increase of $24.0 million in professional fees and an increase of $3.7 million in marketing fees. These increases were partly offset by foreign exchange gains for the year ended December 31, 2022 of $26.0 million ($14.3 million for the year ended December 31, 2021) driven mainly by the movement in the Euro to U.S. dollar exchange rate. Finally, share based compensation expense recognized during the years ended December 31, 2022 and December 31, 2021 were $70.5 million and $133.8 million, respectively. Share based compensation expenses are part of personnel related expenditure in direct costs and selling, general and administrative expenses.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106,426</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75,484</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30,942</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41.0 %</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463,087</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239,503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223,584</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0" w:name="page61"/>
    <w:bookmarkEnd w:id="60"/>
    <w:p>
      <w:pPr>
        <w:jc w:val="both"/>
        <w:ind w:firstLine="648"/>
        <w:spacing w:after="0" w:line="258" w:lineRule="auto"/>
        <w:rPr>
          <w:sz w:val="20"/>
          <w:szCs w:val="20"/>
          <w:color w:val="auto"/>
        </w:rPr>
      </w:pPr>
      <w:r>
        <w:rPr>
          <w:rFonts w:ascii="Arial" w:cs="Arial" w:eastAsia="Arial" w:hAnsi="Arial"/>
          <w:sz w:val="16"/>
          <w:szCs w:val="16"/>
          <w:color w:val="auto"/>
        </w:rPr>
        <w:t>Depreciation expense for the year increased by $30.9 million or 41.0%, to $106.4 million, compared to $75.5 million for the year ended December 31, 2021. The depreciation charge reflects the impact of the acquisition and investments in facilities, information systems and equipment supporting the Company’s continued growth. As a percentage of revenue, the depreciation expense remained consistent at 1.4% of revenues, for the year ended December 31, 2022 and December 31, 2021. The increase in the depreciation charge for the years ended December 31, 2022 is due to the increase in our depreciable asset base acquired through the Merger as well as additional spend related to computer hardware and software.</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Amortization expense for the year ended December 31, 2022 increased by $223.6 million or 93.4%, to $463.1 million, compared to $239.5 million for the year ended December 31, 2021. The amortization expense represents the amortization of intangible assets acquired during business combinations. The increase in amortization expense for the year reflects the amortization of newly acquired intangibles resulting from the Merger. As a percentage of revenue, the amortization expense increased to 6.0% for the year ended December 31, 2022, compared to 4.4% of revenue for the year ended December 31, 2021.</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6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39,695</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198,263</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(158,568)</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31,143</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31,105</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0.1 %</w:t>
            </w:r>
          </w:p>
        </w:tc>
      </w:tr>
    </w:tbl>
    <w:p>
      <w:pPr>
        <w:spacing w:after="0" w:line="3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2022, the Company incurred $70.8 million for restructuring, transaction and integration-related expenses primarily associated with the Merger. The charge includes transaction and integration costs of $39.7 million associated with advisory costs, severance arrangements, retention agreements and ongoing integration activities.</w:t>
      </w:r>
    </w:p>
    <w:p>
      <w:pPr>
        <w:spacing w:after="0" w:line="2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optimize its locations to best fit the requirements of the Company and reorganize its workforce to drive future growth. This program has resulted in a charge of $31.1 million in the year ended December 31, 2022. In the year ended December 31, 2021, a restructuring charge of $31.1 million was recognized.</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expect to incur some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December 31,</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795,237</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378,529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416,708</w:t>
            </w: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10.3 %</w:t>
            </w:r>
          </w:p>
        </w:tc>
        <w:tc>
          <w:tcPr>
            <w:tcW w:w="8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110.1 %</w:t>
            </w:r>
          </w:p>
        </w:tc>
      </w:tr>
    </w:tbl>
    <w:p>
      <w:pPr>
        <w:spacing w:after="0" w:line="3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Income from operations increased by $416.7 million, or 110.1%, to $795.2 million, compared to $378.5 million for the year ended December 31, 2021. As a percentage of revenue, income from operations increased to 10.3% of revenues compared to 6.9% of revenues for year ended December 31, 2021.</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increased to $218.1 million compared to $132.0 million for the year ended December 31, 2021.</w:t>
      </w:r>
    </w:p>
    <w:p>
      <w:pPr>
        <w:spacing w:after="0" w:line="2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the Rest of Europe region, income from operations increased to $253.8 million compared to $177.9 million for the year ended December 31, 2021. As a percentage of revenues, income from operations in the Rest of Europe region increased to 15.7% compared to 15.1% for the year ended December 31, 2021.</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the U.S. region, income from operations increased by $215.7 million, to $254.8 million, compared to $39.1 million for the year ended December 31, 2021. As a percentage of revenues, income from operations in the U.S. region increased to 7.1% compared to 1.5%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1" w:name="page62"/>
    <w:bookmarkEnd w:id="61"/>
    <w:p>
      <w:pPr>
        <w:jc w:val="both"/>
        <w:ind w:firstLine="648"/>
        <w:spacing w:after="0" w:line="269" w:lineRule="auto"/>
        <w:rPr>
          <w:sz w:val="20"/>
          <w:szCs w:val="20"/>
          <w:color w:val="auto"/>
        </w:rPr>
      </w:pPr>
      <w:r>
        <w:rPr>
          <w:rFonts w:ascii="Arial" w:cs="Arial" w:eastAsia="Arial" w:hAnsi="Arial"/>
          <w:sz w:val="16"/>
          <w:szCs w:val="16"/>
          <w:color w:val="auto"/>
        </w:rPr>
        <w:t>In other regions, income from operations increased by $38.9 million to $68.5 million compared to $29.6 million for the year ended December 31, 2021. As percentage of revenues, income from operations in the other regions increased to 12.1% compared to 8.3% for the year ended December 31, 2021.</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Year Ended</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1,771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308.5 %</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(229,731)</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(182,423)</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739"/>
              <w:spacing w:after="0"/>
              <w:rPr>
                <w:sz w:val="20"/>
                <w:szCs w:val="20"/>
                <w:color w:val="auto"/>
              </w:rPr>
            </w:pPr>
            <w:r>
              <w:rPr>
                <w:rFonts w:ascii="Arial" w:cs="Arial" w:eastAsia="Arial" w:hAnsi="Arial"/>
                <w:sz w:val="16"/>
                <w:szCs w:val="16"/>
                <w:color w:val="auto"/>
              </w:rPr>
              <w:t>(47,308)</w:t>
            </w:r>
          </w:p>
        </w:tc>
        <w:tc>
          <w:tcPr>
            <w:tcW w:w="1060" w:type="dxa"/>
            <w:vAlign w:val="bottom"/>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Interest expense increased to $229.7 million compared to $182.4 million for the year ended December 31, 2021. The increase in the year reflects the impact of financing costs associated with the Merger and the average gross amount of outstanding borrowing and the impact of rising interest rates during the year. Interest income for the year ended December 31, 2022 increased to $2.3 million, compared to $0.6 million for the year ended December 31, 2021.</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left="27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59,411</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41,334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18,077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10.5 %</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21.0 %</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Provision for income taxes for the year increased to $59.4 million compared to $41.3 million for the year ended December 31, 2021. The Company’s effective tax rate for the year ended December 31, 2022 was 10.5% compared to 21.0% for the year ended December 31, 2021 primarily due to the full year amortization impact of acquired intangible assets and non-deductive expenditures incurred in 2021 related to the Merger. The Company’s effective tax rate remains principally a function of the distribution of pre-tax profits amongst the territories in which it operates.</w:t>
      </w:r>
    </w:p>
    <w:p>
      <w:pPr>
        <w:spacing w:after="0" w:line="218"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Balance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Net cash inflow/</w:t>
            </w:r>
          </w:p>
        </w:tc>
        <w:tc>
          <w:tcPr>
            <w:tcW w:w="1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207"/>
        </w:trPr>
        <w:tc>
          <w:tcPr>
            <w:tcW w:w="30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down)/</w:t>
            </w:r>
          </w:p>
        </w:tc>
        <w:tc>
          <w:tcPr>
            <w:tcW w:w="138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non-cash</w:t>
            </w:r>
          </w:p>
        </w:tc>
        <w:tc>
          <w:tcPr>
            <w:tcW w:w="1440" w:type="dxa"/>
            <w:vAlign w:val="bottom"/>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Effect of</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14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exchange rates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i w:val="1"/>
                <w:iCs w:val="1"/>
                <w:color w:val="auto"/>
              </w:rPr>
              <w:t>dollars in thousands</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equivalents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752,213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(446,725)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center"/>
              <w:ind w:left="399"/>
              <w:spacing w:after="0"/>
              <w:rPr>
                <w:sz w:val="20"/>
                <w:szCs w:val="20"/>
                <w:color w:val="auto"/>
              </w:rPr>
            </w:pPr>
            <w:r>
              <w:rPr>
                <w:rFonts w:ascii="Arial" w:cs="Arial" w:eastAsia="Arial" w:hAnsi="Arial"/>
                <w:sz w:val="16"/>
                <w:szCs w:val="16"/>
                <w:color w:val="auto"/>
              </w:rPr>
              <w:t>(16,720)</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288,768</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1,712</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1,713</w:t>
            </w:r>
          </w:p>
        </w:tc>
        <w:tc>
          <w:tcPr>
            <w:tcW w:w="0" w:type="dxa"/>
            <w:vAlign w:val="bottom"/>
          </w:tcPr>
          <w:p>
            <w:pPr>
              <w:spacing w:after="0"/>
              <w:rPr>
                <w:sz w:val="1"/>
                <w:szCs w:val="1"/>
                <w:color w:val="auto"/>
              </w:rPr>
            </w:pPr>
          </w:p>
        </w:tc>
      </w:tr>
      <w:tr>
        <w:trPr>
          <w:trHeight w:val="177"/>
        </w:trPr>
        <w:tc>
          <w:tcPr>
            <w:tcW w:w="3060" w:type="dxa"/>
            <w:vAlign w:val="bottom"/>
          </w:tcPr>
          <w:p>
            <w:pPr>
              <w:ind w:left="20"/>
              <w:spacing w:after="0" w:line="178" w:lineRule="exact"/>
              <w:rPr>
                <w:sz w:val="20"/>
                <w:szCs w:val="20"/>
                <w:color w:val="auto"/>
              </w:rPr>
            </w:pPr>
            <w:r>
              <w:rPr>
                <w:rFonts w:ascii="Arial" w:cs="Arial" w:eastAsia="Arial" w:hAnsi="Arial"/>
                <w:sz w:val="16"/>
                <w:szCs w:val="16"/>
                <w:color w:val="auto"/>
              </w:rPr>
              <w:t>Senior Secured Credit Facilities &amp; Senior</w:t>
            </w:r>
          </w:p>
        </w:tc>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(4,654,187)</w:t>
            </w:r>
          </w:p>
        </w:tc>
        <w:tc>
          <w:tcPr>
            <w:tcW w:w="0" w:type="dxa"/>
            <w:vAlign w:val="bottom"/>
          </w:tcPr>
          <w:p>
            <w:pPr>
              <w:spacing w:after="0"/>
              <w:rPr>
                <w:sz w:val="1"/>
                <w:szCs w:val="1"/>
                <w:color w:val="auto"/>
              </w:rPr>
            </w:pPr>
          </w:p>
        </w:tc>
      </w:tr>
      <w:tr>
        <w:trPr>
          <w:trHeight w:val="198"/>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Secured Notes</w:t>
            </w:r>
          </w:p>
        </w:tc>
        <w:tc>
          <w:tcPr>
            <w:tcW w:w="1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(5,436,312)</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800,000</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(17,875)</w:t>
            </w:r>
          </w:p>
        </w:tc>
        <w:tc>
          <w:tcPr>
            <w:tcW w:w="144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0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Net cash and cash equivalents and</w:t>
            </w:r>
          </w:p>
        </w:tc>
        <w:tc>
          <w:tcPr>
            <w:tcW w:w="170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(4,682,387)</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800,000</w:t>
            </w:r>
          </w:p>
        </w:tc>
        <w:tc>
          <w:tcPr>
            <w:tcW w:w="1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(446,724)</w:t>
            </w:r>
          </w:p>
        </w:tc>
        <w:tc>
          <w:tcPr>
            <w:tcW w:w="1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(17,875)</w:t>
            </w:r>
          </w:p>
        </w:tc>
        <w:tc>
          <w:tcPr>
            <w:tcW w:w="1440" w:type="dxa"/>
            <w:vAlign w:val="bottom"/>
            <w:vMerge w:val="restart"/>
            <w:shd w:val="clear" w:color="auto" w:fill="CCEEFF"/>
          </w:tcPr>
          <w:p>
            <w:pPr>
              <w:jc w:val="center"/>
              <w:ind w:left="399"/>
              <w:spacing w:after="0"/>
              <w:rPr>
                <w:sz w:val="20"/>
                <w:szCs w:val="20"/>
                <w:color w:val="auto"/>
              </w:rPr>
            </w:pPr>
            <w:r>
              <w:rPr>
                <w:rFonts w:ascii="Arial" w:cs="Arial" w:eastAsia="Arial" w:hAnsi="Arial"/>
                <w:sz w:val="16"/>
                <w:szCs w:val="16"/>
                <w:b w:val="1"/>
                <w:bCs w:val="1"/>
                <w:color w:val="auto"/>
              </w:rPr>
              <w:t>(16,720)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(4,363,706)</w:t>
            </w:r>
          </w:p>
        </w:tc>
        <w:tc>
          <w:tcPr>
            <w:tcW w:w="0" w:type="dxa"/>
            <w:vAlign w:val="bottom"/>
          </w:tcPr>
          <w:p>
            <w:pPr>
              <w:spacing w:after="0"/>
              <w:rPr>
                <w:sz w:val="1"/>
                <w:szCs w:val="1"/>
                <w:color w:val="auto"/>
              </w:rPr>
            </w:pPr>
          </w:p>
        </w:tc>
      </w:tr>
      <w:tr>
        <w:trPr>
          <w:trHeight w:val="235"/>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borrowings</w:t>
            </w:r>
          </w:p>
        </w:tc>
        <w:tc>
          <w:tcPr>
            <w:tcW w:w="17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cash and cash equivalents and available for sale investments at December 31, 2022 amounted to $290.5 million compared with cash and available for sale investments of $753.9 million at December 31, 2021. The Company’s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62" w:name="page63"/>
    <w:bookmarkEnd w:id="62"/>
    <w:p>
      <w:pPr>
        <w:jc w:val="both"/>
        <w:spacing w:after="0" w:line="262" w:lineRule="auto"/>
        <w:rPr>
          <w:sz w:val="20"/>
          <w:szCs w:val="20"/>
          <w:color w:val="auto"/>
        </w:rPr>
      </w:pPr>
      <w:r>
        <w:rPr>
          <w:rFonts w:ascii="Arial" w:cs="Arial" w:eastAsia="Arial" w:hAnsi="Arial"/>
          <w:sz w:val="16"/>
          <w:szCs w:val="16"/>
          <w:color w:val="auto"/>
        </w:rPr>
        <w:t>cash and available for sale investments at December 31, 2022 comprised cash and cash equivalents of $288.8 million and available for sale investments of $1.7 million. The Company’s cash and available for sale investments at December 31, 2021 comprised cash and cash equivalents of $752.2 million and available for sale investments of $1.7 million.</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conjunction with the completion of the Merger Agreement, on July 1, 2021, ICON entered into a Senior Secured Credit Facilities providing for a senior secured term loan facility of $5,515.0 million and a senior secured revolving loan facility in an initial aggregate principal amount of $300.0 million. The senior secured term loan facility will mature in July 2028 and the revolving loan facility will mature in July 2026. At December 31, 2022 and December 31, 2021, no amounts were outstanding under the revolving loan facility with the exception of $4.5 million letters of credit given to landlords to guarantee lease arrangements.</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addition to the Senior Secured Credit Facilities, on July 1, 2021, the Company, issued $500.0 million in aggregate principal amount of 2.875% senior secured notes in a private offering. The senior secured notes will mature on July 15, 2026.</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On June 30, 2022 the Company repaid $100.0 million of the senior secured term loan facility and made a quarterly interest payment of $39.4 million. On September 30, 2022 the Company repaid $200.0 million of the senior secured term loan facility and made a quarterly interest payment of $53.6 million. On December 30, 2022 the Company repaid $200.0 million of the senior secured term loan facility and made a quarterly interest payment of $66.1 million.</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contractual liabilities for lease arrangements of $189.7 million which will be predominantly settled over the next five year period through cash payments.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Net cash provided by operating activities decreased by $265.8 million to $563.3 million for the year ended December 31, 2022 as compared to net cash provided by operating activities of $829.1 million for the year ended December 31, 2021. The decrease in net cash provided by operating activities of $265.8 million is due to changes in working capital of $685.2 million, offset by increases in cash inflows from net income of $419.4 million.</w:t>
      </w:r>
    </w:p>
    <w:p>
      <w:pPr>
        <w:spacing w:after="0" w:line="2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change in working capital is primarily attributable to increases in Accounts Receivable of $534.2 million and Unbilled Revenue of $314.9 million, offset by increases in Unearned Revenue of $262.1 million. These changes result from differences in timing of revenue recognition and billing on clinical trials. The days’ revenue outstanding at December 31, 2022 was 54 days compared to 31 days at December 31, 2021. 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A decrease in the number of days’ revenue outstanding during a period will result in cash inflows to the Company while an increase in days revenue outstanding will lead to cash outflows.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Net cash used in investing activities was $145.9 million for the year ended December 31, 2022 compared to net cash used in investing activities of $6,024.2 million for the year ended December 31, 2021. Net cash used in investing activities for the year ended December 31, 2022 were primarily related to cash outflows of $142.2 million for capital expenditures made mainly relating to investment in facilities and IT infrastructure and $5.6 million in relation to investments in long-term equity.</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the year ended December 31, 2021, net cash used in investing activities of $6,024.2 million was largely attributable to the cash element of the Merger consideration of $5,914.5 million (net of cash acquired). During the year, capital expenditure of $93.8 million was made mainly related to the investment in facilities and IT infrastructure. Further cash outflow of $2.5 million was made in respect of the Company's investment in Oncacare, a loan of $10.0 million was provided to Oncacare and $4.1 million in relation to investments in long-term equity.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Net cash used in financing activities amounted to $864.2 million for the year ended December 31, 2022 compared with net cash provided by financing activities of $5,114.7 million for the year ended December 31, 2021. In the year ended December 31, 2022, the Company repaid external financing of $800.0 million and repurchased shares to the value of $100.0 million. This was offset by $35.8 million that was received by the Company from the exercise of share options.</w:t>
      </w:r>
    </w:p>
    <w:p>
      <w:pPr>
        <w:spacing w:after="0" w:line="2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the year ended December 31, 2021, the Company drew down external financing of $6,015.0 million to fund the completion of the Merger. This was offset by debt discount and certain debt issue costs of $109.9 million. As part of the external</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63" w:name="page64"/>
    <w:bookmarkEnd w:id="63"/>
    <w:p>
      <w:pPr>
        <w:jc w:val="both"/>
        <w:spacing w:after="0" w:line="262" w:lineRule="auto"/>
        <w:rPr>
          <w:sz w:val="20"/>
          <w:szCs w:val="20"/>
          <w:color w:val="auto"/>
        </w:rPr>
      </w:pPr>
      <w:r>
        <w:rPr>
          <w:rFonts w:ascii="Arial" w:cs="Arial" w:eastAsia="Arial" w:hAnsi="Arial"/>
          <w:sz w:val="16"/>
          <w:szCs w:val="16"/>
          <w:color w:val="auto"/>
        </w:rPr>
        <w:t>financing, the Company paid financing professional fees of $30.3 million and made payments of principal on the external debt of $513.8 million. The Company also repaid the 2020 Senior Notes on July 1, 2021, including early repayment charges, totaling $364.0 million. During the year ended December 31, 2021, $118.6 million was received by the Company from the exercise of share options.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these cash flows, cash and cash equivalents decreased by $463.4 million for the year ended December 31, 2022 compared to a decrease of $88.1 million for the year ended December 31, 2021.</w:t>
      </w:r>
    </w:p>
    <w:p>
      <w:pPr>
        <w:spacing w:after="0" w:line="202"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w:t>
      </w:r>
    </w:p>
    <w:p>
      <w:pPr>
        <w:spacing w:after="0" w:line="2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ICON plays a critical role in new drug development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205"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2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or commitments or events since December 31, 2022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222"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Note 2 to the audited consolidated financial statements provided elsewhere in this Form 20-F describes the significant accounting policies used in the preparation of the consolidated financial statements. The preparation of our consolidated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critical accounting estimates and judgments used by management. The application of these critical accounting estimates is discussed with the Audit Committee of the Board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 Clinical Trial Services</w:t>
      </w:r>
    </w:p>
    <w:p>
      <w:pPr>
        <w:spacing w:after="0" w:line="2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Revenue is recognized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use the acquisition method to account for business combinations, and accordingly, the identifiable assets acquired, the liabilities assumed and any non-controlling interest in the acquiree are recorded at their estimated fair values on the date of the acquisition. We use significant judgments, estimates and assumptions in determining the estimated fair value of assets acquired, liabilities assumed and non-controlling interest.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We have recorded and allocated to our reporting units the excess of the purchase price over the fair value of the net assets acquired, known as goodwill.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Recoverability of Goodwill and Long-Lived Assets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Goodwill</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 assesses its goodwill for impairment annually or when events or circumstances indicate a possible impairment.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w:t>
      </w:r>
    </w:p>
    <w:p>
      <w:pPr>
        <w:spacing w:after="0" w:line="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In performing a qualitative assessment, the Company considers relevant events and circumstances for each reporting unit, including (i) current year results, (ii) financial performance versus management’s annual and multi-year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terminal growth rates and discount rates.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market-based fair value methodology, judgment is required in evaluating market multiples and recent transactions.</w:t>
      </w:r>
    </w:p>
    <w:p>
      <w:pPr>
        <w:spacing w:after="0" w:line="24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completed its most recent annual goodwill impairment testing as of September 30, 2022, a date which is consistent with the prior year. For the years ended December 31, 2022 and 2021, the Company determined that there was no impairment of goodwill.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long lived assets</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assesses long-lived assets (such as intangible assets) for impairment whenever events or changes in circumstances indicate that the carrying amount of the asset group might not be recoverable. If indicators of impairment are present, we evaluate the carrying value of long-lived asset in relation to estimates of future undiscounted cash flows. Any future impairment could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Taxation</w:t>
      </w:r>
    </w:p>
    <w:p>
      <w:pPr>
        <w:spacing w:after="0" w:line="2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Given the global nature of our business and the multiple taxing jurisdictions in which we operate, the determination of the Company’s provision for income taxes requires significant judgments and estimates, the ultimate tax outcome of which may not be certain. Although we believe our estimates are reasonable, the final outcome of these matters may be different than those reflected in our historical income tax provisions and accruals.</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provision for income taxes includes federal, state, local and foreign taxes. We apply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We account for the impact of GILTI (“global intangible low-taxed income”) in the period it arises and therefore have not provided for deferred taxes in respect of this item. Recognition of deferred income tax assets is based on management’s belief that it is more likely than not that the income tax benefit associated with certain temporary differences, income tax operating loss, capital loss carryforwards, and income tax credits, would be realized. Deferred tax assets are reduced by a valuation allowance to the amount that is more likely than not to be realized. We recognize the effect of income tax positions only if those positions will more likely than not be sustained. We determined the amount of the valuation allowance based, in part, on our assessment of future taxable income and in light of our ongoing income tax strategies. If our estimate of future taxable income or tax strategies changes at any time in the future, we would record an adjustment to our valuation allowance. Recording such an adjustment could have a material effect on our financial condition or results of operations.</w:t>
      </w:r>
    </w:p>
    <w:p>
      <w:pPr>
        <w:sectPr>
          <w:pgSz w:w="11900" w:h="16838" w:orient="portrait"/>
          <w:cols w:equalWidth="0" w:num="1">
            <w:col w:w="11240"/>
          </w:cols>
          <w:pgMar w:left="320" w:top="891" w:right="339" w:bottom="3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382"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Directors and Senior Management</w:t>
      </w:r>
    </w:p>
    <w:p>
      <w:pPr>
        <w:spacing w:after="0" w:line="28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and accompanying biographies set forth certain information concerning each of ICON plc’s Directors, officers and other key employees as of February 24,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Name</w:t>
            </w:r>
          </w:p>
        </w:tc>
        <w:tc>
          <w:tcPr>
            <w:tcW w:w="17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Age</w:t>
            </w:r>
          </w:p>
        </w:tc>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Position</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Ciaran Murray</w:t>
            </w:r>
          </w:p>
        </w:tc>
        <w:tc>
          <w:tcPr>
            <w:tcW w:w="1720" w:type="dxa"/>
            <w:vAlign w:val="bottom"/>
          </w:tcPr>
          <w:p>
            <w:pPr>
              <w:ind w:left="1060"/>
              <w:spacing w:after="0"/>
              <w:rPr>
                <w:sz w:val="20"/>
                <w:szCs w:val="20"/>
                <w:color w:val="auto"/>
              </w:rPr>
            </w:pPr>
            <w:r>
              <w:rPr>
                <w:rFonts w:ascii="Arial" w:cs="Arial" w:eastAsia="Arial" w:hAnsi="Arial"/>
                <w:sz w:val="16"/>
                <w:szCs w:val="16"/>
                <w:color w:val="auto"/>
              </w:rPr>
              <w:t>60</w:t>
            </w:r>
          </w:p>
        </w:tc>
        <w:tc>
          <w:tcPr>
            <w:tcW w:w="6660" w:type="dxa"/>
            <w:vAlign w:val="bottom"/>
          </w:tcPr>
          <w:p>
            <w:pPr>
              <w:ind w:left="360"/>
              <w:spacing w:after="0"/>
              <w:rPr>
                <w:sz w:val="20"/>
                <w:szCs w:val="20"/>
                <w:color w:val="auto"/>
              </w:rPr>
            </w:pPr>
            <w:r>
              <w:rPr>
                <w:rFonts w:ascii="Arial" w:cs="Arial" w:eastAsia="Arial" w:hAnsi="Arial"/>
                <w:sz w:val="16"/>
                <w:szCs w:val="16"/>
                <w:color w:val="auto"/>
              </w:rPr>
              <w:t>Chair and Director</w:t>
            </w:r>
          </w:p>
        </w:tc>
      </w:tr>
      <w:tr>
        <w:trPr>
          <w:trHeight w:val="24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 (1)(5)</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62</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Executive Officer and Director</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Brendan Brennan (1)(5)</w:t>
            </w:r>
          </w:p>
        </w:tc>
        <w:tc>
          <w:tcPr>
            <w:tcW w:w="1720" w:type="dxa"/>
            <w:vAlign w:val="bottom"/>
          </w:tcPr>
          <w:p>
            <w:pPr>
              <w:ind w:left="1060"/>
              <w:spacing w:after="0"/>
              <w:rPr>
                <w:sz w:val="20"/>
                <w:szCs w:val="20"/>
                <w:color w:val="auto"/>
              </w:rPr>
            </w:pPr>
            <w:r>
              <w:rPr>
                <w:rFonts w:ascii="Arial" w:cs="Arial" w:eastAsia="Arial" w:hAnsi="Arial"/>
                <w:sz w:val="16"/>
                <w:szCs w:val="16"/>
                <w:color w:val="auto"/>
              </w:rPr>
              <w:t>44</w:t>
            </w:r>
          </w:p>
        </w:tc>
        <w:tc>
          <w:tcPr>
            <w:tcW w:w="6660" w:type="dxa"/>
            <w:vAlign w:val="bottom"/>
          </w:tcPr>
          <w:p>
            <w:pPr>
              <w:ind w:left="360"/>
              <w:spacing w:after="0"/>
              <w:rPr>
                <w:sz w:val="20"/>
                <w:szCs w:val="20"/>
                <w:color w:val="auto"/>
              </w:rPr>
            </w:pPr>
            <w:r>
              <w:rPr>
                <w:rFonts w:ascii="Arial" w:cs="Arial" w:eastAsia="Arial" w:hAnsi="Arial"/>
                <w:sz w:val="16"/>
                <w:szCs w:val="16"/>
                <w:color w:val="auto"/>
              </w:rPr>
              <w:t>Chief Financial Officer</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Rónán Murphy (2)(3)(5)</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65</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Lead Independent Director</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1720" w:type="dxa"/>
            <w:vAlign w:val="bottom"/>
          </w:tcPr>
          <w:p>
            <w:pPr>
              <w:ind w:left="1060"/>
              <w:spacing w:after="0"/>
              <w:rPr>
                <w:sz w:val="20"/>
                <w:szCs w:val="20"/>
                <w:color w:val="auto"/>
              </w:rPr>
            </w:pPr>
            <w:r>
              <w:rPr>
                <w:rFonts w:ascii="Arial" w:cs="Arial" w:eastAsia="Arial" w:hAnsi="Arial"/>
                <w:sz w:val="16"/>
                <w:szCs w:val="16"/>
                <w:color w:val="auto"/>
              </w:rPr>
              <w:t>70</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Joan Garahy (2)(4)</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60</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Eugene McCague (3)(4)</w:t>
            </w:r>
          </w:p>
        </w:tc>
        <w:tc>
          <w:tcPr>
            <w:tcW w:w="1720" w:type="dxa"/>
            <w:vAlign w:val="bottom"/>
          </w:tcPr>
          <w:p>
            <w:pPr>
              <w:ind w:left="1060"/>
              <w:spacing w:after="0"/>
              <w:rPr>
                <w:sz w:val="20"/>
                <w:szCs w:val="20"/>
                <w:color w:val="auto"/>
              </w:rPr>
            </w:pPr>
            <w:r>
              <w:rPr>
                <w:rFonts w:ascii="Arial" w:cs="Arial" w:eastAsia="Arial" w:hAnsi="Arial"/>
                <w:sz w:val="16"/>
                <w:szCs w:val="16"/>
                <w:color w:val="auto"/>
              </w:rPr>
              <w:t>64</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Julie O'Neill (3)(4)</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56</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40"/>
        </w:trPr>
        <w:tc>
          <w:tcPr>
            <w:tcW w:w="2820" w:type="dxa"/>
            <w:vAlign w:val="bottom"/>
          </w:tcPr>
          <w:p>
            <w:pPr>
              <w:ind w:left="20"/>
              <w:spacing w:after="0"/>
              <w:rPr>
                <w:sz w:val="20"/>
                <w:szCs w:val="20"/>
                <w:color w:val="auto"/>
              </w:rPr>
            </w:pPr>
            <w:r>
              <w:rPr>
                <w:rFonts w:ascii="Arial" w:cs="Arial" w:eastAsia="Arial" w:hAnsi="Arial"/>
                <w:sz w:val="16"/>
                <w:szCs w:val="16"/>
                <w:color w:val="auto"/>
              </w:rPr>
              <w:t>Dr. Linda Grais (2)</w:t>
            </w:r>
          </w:p>
        </w:tc>
        <w:tc>
          <w:tcPr>
            <w:tcW w:w="1720" w:type="dxa"/>
            <w:vAlign w:val="bottom"/>
          </w:tcPr>
          <w:p>
            <w:pPr>
              <w:ind w:left="1060"/>
              <w:spacing w:after="0"/>
              <w:rPr>
                <w:sz w:val="20"/>
                <w:szCs w:val="20"/>
                <w:color w:val="auto"/>
              </w:rPr>
            </w:pPr>
            <w:r>
              <w:rPr>
                <w:rFonts w:ascii="Arial" w:cs="Arial" w:eastAsia="Arial" w:hAnsi="Arial"/>
                <w:sz w:val="16"/>
                <w:szCs w:val="16"/>
                <w:color w:val="auto"/>
              </w:rPr>
              <w:t>66</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Diarmaid Cunningham</w:t>
            </w:r>
          </w:p>
        </w:tc>
        <w:tc>
          <w:tcPr>
            <w:tcW w:w="17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48</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Administrative Officer, General Counsel &amp; Company Secretary</w:t>
            </w:r>
          </w:p>
        </w:tc>
      </w:tr>
    </w:tbl>
    <w:p>
      <w:pPr>
        <w:spacing w:after="0" w:line="339"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Named Executive Officer of the Company.</w:t>
      </w:r>
    </w:p>
    <w:p>
      <w:pPr>
        <w:spacing w:after="0" w:line="18"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Nominating, Sustainability and Governance Committee.</w:t>
      </w:r>
    </w:p>
    <w:p>
      <w:pPr>
        <w:spacing w:after="0" w:line="18"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Ciaran Murray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 Mr. Murray has been the Chair of ICON plc since March 2017 and an outside Director since May 2018. Mr. Murray served as Chief Executive Officer from October 2011 until March 2017 and was Chief Financial Officer from joining ICON plc in 2005 until his appointment as Chief Executive Officer in 2011. During his time with ICON plc, Mr. Murray was recognized for his leadership of ICON and the CRO industry. Mr. Murray served as Chair of the Association of Clinical Research Organizations (ACRO) which represents the CRO industry globally. In addition, Mr. Murray was named as a leader in CRO Innovation by PharmaVOICE100, a listing of the most influential people in the bio pharma industry. 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Dr. Steve Cutler was appointed Chief Executive Officer of ICON plc in March 2017, having previously served as Chief Operating Officer from January 2014. Dr. Cutler served as Group President of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6"/>
          <w:szCs w:val="16"/>
          <w:i w:val="1"/>
          <w:iCs w:val="1"/>
          <w:color w:val="auto"/>
        </w:rPr>
        <w:t>Brendan Brennan</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Brendan Brennan has served as Chief Financial Officer since February 2012. Mr. Brennan has developed his career over the last 20+ years from experience in various industries.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also spent a number of years in public accounting with PwC. Mr. Brennan is a Fellow of the Institute of Chartered Accountants in Ireland and holds a bachelor’s degree in Accounting and Finance from Dublin City University. Over his years in the CRO industry, Mr. Brennan has been involved in many industry organizations and developments including ACRO (Association of Clinical Research Organizations) where he was the founding Chairman of the industry CFO round table group, a group formed to aid CROs dealing with the various industry challenges. Mr. Brennan held the position of Chairman of the round table from its foundation in 2017 to December 31, 2019.</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Rónán Murphy</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Mr. Rónán Murphy has served as an outside Director of the Company since October 2016. He was appointed as Lead Independent Director in January 2019. Mr. Murphy is the former Senior Partner of PwC Ireland. He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Mr. Murphy is presently Chairman of Greencoat Renewables PLC and a non-executive Director of Davy Stockbrokers. Mr. Murphy currently serves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and as Chief Executive Officer from June 1990 to October 2002. Since January 2010 he has held a position as an outside Director of the Company. Dr. Climax has over 30 years of experience in the clinical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Joan Garahy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Joan Garahy was appointed as an outside Director of ICON plc in November 2017. Ms. Garahy is a Non-Executive Director of UNICEF Ireland, Irish Residential Properties REIT plc, and IPB Insurance CLG. Ms. Garahy’s previous executive roles include founder and CEO of ClearView Investment &amp; Pensions Limited, a financial advisory company,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Senior Independent non-executive Director of Kerry Group plc and a non executive director at Galway University Foundation and she is currently a member of the board of The Irish Chamber Orchestra. Ms. Garahy is a Qualified Financial Advisor, she holds a Bachelor of Science degree from University College Galway, a Master of Science from University College Dublin and a Diploma in Accounting &amp; Finance from ACCA.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Eugene McCague</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the Irish branch of AON Insurance and he also serves as chairman of Ibec, Ireland’s leading business representative association. Mr. McCague’s previous board roles include the Health Service Executive, the Irish state body which administers public health service in Ireland, chairman of the governing body of the Dublin Institute of Technology, chairman of the Dublin Institute of Technology Foundation and chairman of the governing authority of University College Dublin and director of Fly Leasing Limited. Mr. McCague was also president of the Dublin Chamber of Commerce in 2006. Mr. McCague holds a Bachelor of Civil Law degree and a diploma in European Law from University College Dublin.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i w:val="1"/>
          <w:iCs w:val="1"/>
          <w:color w:val="auto"/>
        </w:rPr>
        <w:t>Julie O’Neill</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Julie O’Neill has served as an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Hookipa Pharma Inc.,ILC Dover, Achilles Therapeutics plc and Angus Chemical Company. She also chairs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 Ms. O'Neill is also a member of the Strategy Committee of the State Claims Agency.</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Dr. Linda Grais has served as an outside Director of ICON plc since July 2021 having previously served as a member of the PRA Health Sciences board from October 2015 to July 2021. Dr. Grais served as a member of the board of directors of Ocera Therapeutics, Inc. from January 2008 through December 2017 and as President and Chief Executive Officer of Ocera Therapeutics, Inc. from June 2012 to December 2017. Prior to her employment by Ocera, Dr. Grais served as a managing member at InterWest Partners, a venture capital firm from May 2005 until February 2011. From July 1998 to July 2003, Dr. Grais was a founder and executive vice president of SGX Pharmaceuticals Inc., a drug discovery company focusing on new treatments for cancer. Prior to that, she was a corporate attorney at Wilson Sonsini Goodrich &amp; Rosati, where she practiced in such areas as venture financings, public offerings and strategic partnerships. Before practicing law, Dr. Grais worked as an assistant clinical professor of Internal Medicine and Critical Care at the University of California, San Francisco. She currently serves on the boards of directors of Corvus Pharmaceuticals and Arca Biopharma, Inc. and sits on the compensation and audit committees of Arca Biopharma, Inc. Dr. Grais received a B.A. from Yale University, an M.D. from Yale Medical School and a J.D. from Stanford Law School.</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Diarmaid Cunningham</w:t>
      </w:r>
    </w:p>
    <w:p>
      <w:pPr>
        <w:spacing w:after="0" w:line="2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Diarmaid Cunningham is Chief Administrative Officer, General Counsel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This expansion of his role means Mr. Cunningham has responsibility to the Company’s Quality Assurance, Client Contracts Services, Facilities and Procurement groups in addition to his responsibility for the Company’s Legal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2014, 2020 and 2021.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 In January 2021, Mr. Cunningham was appointed as a non-executive director of the Irish charity The Jack &amp; Jill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4834890" cy="1440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34890" cy="1440180"/>
                    </a:xfrm>
                    <a:prstGeom prst="rect">
                      <a:avLst/>
                    </a:prstGeom>
                    <a:noFill/>
                  </pic:spPr>
                </pic:pic>
              </a:graphicData>
            </a:graphic>
          </wp:anchor>
        </w:drawing>
      </w:r>
    </w:p>
    <w:p>
      <w:pPr>
        <w:spacing w:after="0" w:line="278"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Board Diversity Matrix (As of February 24, 2023)</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Number of Directors</w:t>
            </w:r>
          </w:p>
        </w:tc>
        <w:tc>
          <w:tcPr>
            <w:tcW w:w="36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auto"/>
            </w:tcBorders>
          </w:tcPr>
          <w:p>
            <w:pPr>
              <w:spacing w:after="0"/>
              <w:rPr>
                <w:sz w:val="17"/>
                <w:szCs w:val="17"/>
                <w:color w:val="auto"/>
              </w:rPr>
            </w:pPr>
          </w:p>
        </w:tc>
      </w:tr>
      <w:tr>
        <w:trPr>
          <w:trHeight w:val="212"/>
        </w:trPr>
        <w:tc>
          <w:tcPr>
            <w:tcW w:w="2020" w:type="dxa"/>
            <w:vAlign w:val="bottom"/>
            <w:tcBorders>
              <w:left w:val="single" w:sz="8" w:color="CCEEFF"/>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Part I: Gender Identity</w:t>
            </w:r>
          </w:p>
        </w:tc>
        <w:tc>
          <w:tcPr>
            <w:tcW w:w="19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20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center"/>
              <w:ind w:left="2119"/>
              <w:spacing w:after="0"/>
              <w:rPr>
                <w:sz w:val="20"/>
                <w:szCs w:val="20"/>
                <w:color w:val="auto"/>
              </w:rPr>
            </w:pPr>
            <w:r>
              <w:rPr>
                <w:rFonts w:ascii="Arial" w:cs="Arial" w:eastAsia="Arial" w:hAnsi="Arial"/>
                <w:sz w:val="16"/>
                <w:szCs w:val="16"/>
                <w:b w:val="1"/>
                <w:bCs w:val="1"/>
                <w:color w:val="auto"/>
              </w:rPr>
              <w:t>Female</w:t>
            </w:r>
          </w:p>
        </w:tc>
        <w:tc>
          <w:tcPr>
            <w:tcW w:w="19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Male</w:t>
            </w:r>
          </w:p>
        </w:tc>
        <w:tc>
          <w:tcPr>
            <w:tcW w:w="20" w:type="dxa"/>
            <w:vAlign w:val="bottom"/>
            <w:tcBorders>
              <w:bottom w:val="single" w:sz="8" w:color="auto"/>
            </w:tcBorders>
          </w:tcPr>
          <w:p>
            <w:pPr>
              <w:spacing w:after="0"/>
              <w:rPr>
                <w:sz w:val="18"/>
                <w:szCs w:val="18"/>
                <w:color w:val="auto"/>
              </w:rPr>
            </w:pPr>
          </w:p>
        </w:tc>
      </w:tr>
      <w:tr>
        <w:trPr>
          <w:trHeight w:val="207"/>
        </w:trPr>
        <w:tc>
          <w:tcPr>
            <w:tcW w:w="202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Directors</w:t>
            </w:r>
          </w:p>
        </w:tc>
        <w:tc>
          <w:tcPr>
            <w:tcW w:w="3600" w:type="dxa"/>
            <w:vAlign w:val="bottom"/>
            <w:tcBorders>
              <w:bottom w:val="single" w:sz="8" w:color="auto"/>
            </w:tcBorders>
            <w:shd w:val="clear" w:color="auto" w:fill="CCEEFF"/>
          </w:tcPr>
          <w:p>
            <w:pPr>
              <w:jc w:val="center"/>
              <w:ind w:left="2119"/>
              <w:spacing w:after="0"/>
              <w:rPr>
                <w:sz w:val="20"/>
                <w:szCs w:val="20"/>
                <w:color w:val="auto"/>
              </w:rPr>
            </w:pPr>
            <w:r>
              <w:rPr>
                <w:rFonts w:ascii="Arial" w:cs="Arial" w:eastAsia="Arial" w:hAnsi="Arial"/>
                <w:sz w:val="16"/>
                <w:szCs w:val="16"/>
                <w:color w:val="auto"/>
                <w:w w:val="89"/>
              </w:rPr>
              <w:t>3</w:t>
            </w:r>
          </w:p>
        </w:tc>
        <w:tc>
          <w:tcPr>
            <w:tcW w:w="198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r>
      <w:tr>
        <w:trPr>
          <w:trHeight w:val="212"/>
        </w:trPr>
        <w:tc>
          <w:tcPr>
            <w:tcW w:w="20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Part II: Demographic Background</w:t>
            </w:r>
          </w:p>
        </w:tc>
        <w:tc>
          <w:tcPr>
            <w:tcW w:w="1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0"/>
        </w:trPr>
        <w:tc>
          <w:tcPr>
            <w:tcW w:w="20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Asian</w:t>
            </w:r>
          </w:p>
        </w:tc>
        <w:tc>
          <w:tcPr>
            <w:tcW w:w="36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13"/>
        </w:trPr>
        <w:tc>
          <w:tcPr>
            <w:tcW w:w="2020" w:type="dxa"/>
            <w:vAlign w:val="bottom"/>
          </w:tcPr>
          <w:p>
            <w:pPr>
              <w:ind w:left="40"/>
              <w:spacing w:after="0"/>
              <w:rPr>
                <w:sz w:val="20"/>
                <w:szCs w:val="20"/>
                <w:color w:val="auto"/>
              </w:rPr>
            </w:pPr>
            <w:r>
              <w:rPr>
                <w:rFonts w:ascii="Arial" w:cs="Arial" w:eastAsia="Arial" w:hAnsi="Arial"/>
                <w:sz w:val="16"/>
                <w:szCs w:val="16"/>
                <w:color w:val="auto"/>
              </w:rPr>
              <w:t>White</w:t>
            </w:r>
          </w:p>
        </w:tc>
        <w:tc>
          <w:tcPr>
            <w:tcW w:w="3600" w:type="dxa"/>
            <w:vAlign w:val="bottom"/>
          </w:tcPr>
          <w:p>
            <w:pPr>
              <w:jc w:val="center"/>
              <w:ind w:left="2119"/>
              <w:spacing w:after="0"/>
              <w:rPr>
                <w:sz w:val="20"/>
                <w:szCs w:val="20"/>
                <w:color w:val="auto"/>
              </w:rPr>
            </w:pPr>
            <w:r>
              <w:rPr>
                <w:rFonts w:ascii="Arial" w:cs="Arial" w:eastAsia="Arial" w:hAnsi="Arial"/>
                <w:sz w:val="16"/>
                <w:szCs w:val="16"/>
                <w:color w:val="auto"/>
                <w:w w:val="89"/>
              </w:rPr>
              <w:t>3</w:t>
            </w:r>
          </w:p>
        </w:tc>
        <w:tc>
          <w:tcPr>
            <w:tcW w:w="1980" w:type="dxa"/>
            <w:vAlign w:val="bottom"/>
          </w:tcPr>
          <w:p>
            <w:pPr>
              <w:jc w:val="center"/>
              <w:ind w:left="119"/>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9"/>
        </w:trPr>
        <w:tc>
          <w:tcPr>
            <w:tcW w:w="20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LGBTQ+</w:t>
            </w:r>
          </w:p>
        </w:tc>
        <w:tc>
          <w:tcPr>
            <w:tcW w:w="36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65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13"/>
        </w:trPr>
        <w:tc>
          <w:tcPr>
            <w:tcW w:w="5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Did Not Disclose Demographic Background</w:t>
            </w:r>
          </w:p>
        </w:tc>
        <w:tc>
          <w:tcPr>
            <w:tcW w:w="198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auto"/>
            </w:tcBorders>
          </w:tcPr>
          <w:p>
            <w:pPr>
              <w:spacing w:after="0"/>
              <w:rPr>
                <w:sz w:val="18"/>
                <w:szCs w:val="18"/>
                <w:color w:val="auto"/>
              </w:rPr>
            </w:pPr>
          </w:p>
        </w:tc>
      </w:tr>
      <w:tr>
        <w:trPr>
          <w:trHeight w:val="361"/>
        </w:trPr>
        <w:tc>
          <w:tcPr>
            <w:tcW w:w="2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9"/>
        </w:trPr>
        <w:tc>
          <w:tcPr>
            <w:tcW w:w="2020" w:type="dxa"/>
            <w:vAlign w:val="bottom"/>
            <w:tcBorders>
              <w:left w:val="single" w:sz="8" w:color="auto"/>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Board Diversity Matrix (As of July 27, 2022)</w:t>
            </w:r>
          </w:p>
        </w:tc>
        <w:tc>
          <w:tcPr>
            <w:tcW w:w="19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7"/>
        </w:trPr>
        <w:tc>
          <w:tcPr>
            <w:tcW w:w="20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Total Number of Directors</w:t>
            </w:r>
          </w:p>
        </w:tc>
        <w:tc>
          <w:tcPr>
            <w:tcW w:w="36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shd w:val="clear" w:color="auto" w:fill="000000"/>
          </w:tcPr>
          <w:p>
            <w:pPr>
              <w:spacing w:after="0"/>
              <w:rPr>
                <w:sz w:val="18"/>
                <w:szCs w:val="18"/>
                <w:color w:val="auto"/>
              </w:rPr>
            </w:pPr>
          </w:p>
        </w:tc>
      </w:tr>
      <w:tr>
        <w:trPr>
          <w:trHeight w:val="212"/>
        </w:trPr>
        <w:tc>
          <w:tcPr>
            <w:tcW w:w="2020" w:type="dxa"/>
            <w:vAlign w:val="bottom"/>
            <w:tcBorders>
              <w:left w:val="single" w:sz="8" w:color="auto"/>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Part I: Gender Identity</w:t>
            </w:r>
          </w:p>
        </w:tc>
        <w:tc>
          <w:tcPr>
            <w:tcW w:w="19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9"/>
        </w:trPr>
        <w:tc>
          <w:tcPr>
            <w:tcW w:w="202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tcBorders>
          </w:tcPr>
          <w:p>
            <w:pPr>
              <w:jc w:val="center"/>
              <w:ind w:left="2119"/>
              <w:spacing w:after="0"/>
              <w:rPr>
                <w:sz w:val="20"/>
                <w:szCs w:val="20"/>
                <w:color w:val="auto"/>
              </w:rPr>
            </w:pPr>
            <w:r>
              <w:rPr>
                <w:rFonts w:ascii="Arial" w:cs="Arial" w:eastAsia="Arial" w:hAnsi="Arial"/>
                <w:sz w:val="16"/>
                <w:szCs w:val="16"/>
                <w:b w:val="1"/>
                <w:bCs w:val="1"/>
                <w:color w:val="auto"/>
              </w:rPr>
              <w:t>Female</w:t>
            </w:r>
          </w:p>
        </w:tc>
        <w:tc>
          <w:tcPr>
            <w:tcW w:w="19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Male</w:t>
            </w:r>
          </w:p>
        </w:tc>
        <w:tc>
          <w:tcPr>
            <w:tcW w:w="20" w:type="dxa"/>
            <w:vAlign w:val="bottom"/>
            <w:tcBorders>
              <w:bottom w:val="single" w:sz="8" w:color="auto"/>
            </w:tcBorders>
            <w:shd w:val="clear" w:color="auto" w:fill="000000"/>
          </w:tcPr>
          <w:p>
            <w:pPr>
              <w:spacing w:after="0"/>
              <w:rPr>
                <w:sz w:val="18"/>
                <w:szCs w:val="18"/>
                <w:color w:val="auto"/>
              </w:rPr>
            </w:pPr>
          </w:p>
        </w:tc>
      </w:tr>
      <w:tr>
        <w:trPr>
          <w:trHeight w:val="207"/>
        </w:trPr>
        <w:tc>
          <w:tcPr>
            <w:tcW w:w="20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Directors</w:t>
            </w:r>
          </w:p>
        </w:tc>
        <w:tc>
          <w:tcPr>
            <w:tcW w:w="3600" w:type="dxa"/>
            <w:vAlign w:val="bottom"/>
            <w:tcBorders>
              <w:bottom w:val="single" w:sz="8" w:color="auto"/>
            </w:tcBorders>
            <w:shd w:val="clear" w:color="auto" w:fill="CCEEFF"/>
          </w:tcPr>
          <w:p>
            <w:pPr>
              <w:jc w:val="center"/>
              <w:ind w:left="2119"/>
              <w:spacing w:after="0"/>
              <w:rPr>
                <w:sz w:val="20"/>
                <w:szCs w:val="20"/>
                <w:color w:val="auto"/>
              </w:rPr>
            </w:pPr>
            <w:r>
              <w:rPr>
                <w:rFonts w:ascii="Arial" w:cs="Arial" w:eastAsia="Arial" w:hAnsi="Arial"/>
                <w:sz w:val="16"/>
                <w:szCs w:val="16"/>
                <w:color w:val="auto"/>
                <w:w w:val="89"/>
              </w:rPr>
              <w:t>3</w:t>
            </w:r>
          </w:p>
        </w:tc>
        <w:tc>
          <w:tcPr>
            <w:tcW w:w="1980" w:type="dxa"/>
            <w:vAlign w:val="bottom"/>
            <w:tcBorders>
              <w:bottom w:val="single" w:sz="8" w:color="auto"/>
            </w:tcBorders>
            <w:shd w:val="clear" w:color="auto" w:fill="CCEEFF"/>
          </w:tcPr>
          <w:p>
            <w:pPr>
              <w:jc w:val="center"/>
              <w:ind w:left="119"/>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shd w:val="clear" w:color="auto" w:fill="000000"/>
          </w:tcPr>
          <w:p>
            <w:pPr>
              <w:spacing w:after="0"/>
              <w:rPr>
                <w:sz w:val="18"/>
                <w:szCs w:val="18"/>
                <w:color w:val="auto"/>
              </w:rPr>
            </w:pPr>
          </w:p>
        </w:tc>
      </w:tr>
      <w:tr>
        <w:trPr>
          <w:trHeight w:val="212"/>
        </w:trPr>
        <w:tc>
          <w:tcPr>
            <w:tcW w:w="2020" w:type="dxa"/>
            <w:vAlign w:val="bottom"/>
            <w:tcBorders>
              <w:left w:val="single" w:sz="8" w:color="auto"/>
              <w:bottom w:val="single" w:sz="8" w:color="auto"/>
            </w:tcBorders>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Part II: Demographic Background</w:t>
            </w:r>
          </w:p>
        </w:tc>
        <w:tc>
          <w:tcPr>
            <w:tcW w:w="1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10"/>
        </w:trPr>
        <w:tc>
          <w:tcPr>
            <w:tcW w:w="20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Asian</w:t>
            </w:r>
          </w:p>
        </w:tc>
        <w:tc>
          <w:tcPr>
            <w:tcW w:w="36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1</w:t>
            </w:r>
          </w:p>
        </w:tc>
        <w:tc>
          <w:tcPr>
            <w:tcW w:w="20" w:type="dxa"/>
            <w:vAlign w:val="bottom"/>
            <w:shd w:val="clear" w:color="auto" w:fill="000000"/>
          </w:tcPr>
          <w:p>
            <w:pPr>
              <w:spacing w:after="0"/>
              <w:rPr>
                <w:sz w:val="18"/>
                <w:szCs w:val="18"/>
                <w:color w:val="auto"/>
              </w:rPr>
            </w:pPr>
          </w:p>
        </w:tc>
      </w:tr>
      <w:tr>
        <w:trPr>
          <w:trHeight w:val="213"/>
        </w:trPr>
        <w:tc>
          <w:tcPr>
            <w:tcW w:w="20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White</w:t>
            </w:r>
          </w:p>
        </w:tc>
        <w:tc>
          <w:tcPr>
            <w:tcW w:w="3600" w:type="dxa"/>
            <w:vAlign w:val="bottom"/>
          </w:tcPr>
          <w:p>
            <w:pPr>
              <w:jc w:val="center"/>
              <w:ind w:left="2119"/>
              <w:spacing w:after="0"/>
              <w:rPr>
                <w:sz w:val="20"/>
                <w:szCs w:val="20"/>
                <w:color w:val="auto"/>
              </w:rPr>
            </w:pPr>
            <w:r>
              <w:rPr>
                <w:rFonts w:ascii="Arial" w:cs="Arial" w:eastAsia="Arial" w:hAnsi="Arial"/>
                <w:sz w:val="16"/>
                <w:szCs w:val="16"/>
                <w:color w:val="auto"/>
                <w:w w:val="89"/>
              </w:rPr>
              <w:t>3</w:t>
            </w:r>
          </w:p>
        </w:tc>
        <w:tc>
          <w:tcPr>
            <w:tcW w:w="1980" w:type="dxa"/>
            <w:vAlign w:val="bottom"/>
          </w:tcPr>
          <w:p>
            <w:pPr>
              <w:jc w:val="center"/>
              <w:ind w:left="119"/>
              <w:spacing w:after="0"/>
              <w:rPr>
                <w:sz w:val="20"/>
                <w:szCs w:val="20"/>
                <w:color w:val="auto"/>
              </w:rPr>
            </w:pPr>
            <w:r>
              <w:rPr>
                <w:rFonts w:ascii="Arial" w:cs="Arial" w:eastAsia="Arial" w:hAnsi="Arial"/>
                <w:sz w:val="16"/>
                <w:szCs w:val="16"/>
                <w:color w:val="auto"/>
              </w:rPr>
              <w:t>5</w:t>
            </w:r>
          </w:p>
        </w:tc>
        <w:tc>
          <w:tcPr>
            <w:tcW w:w="20" w:type="dxa"/>
            <w:vAlign w:val="bottom"/>
            <w:shd w:val="clear" w:color="auto" w:fill="000000"/>
          </w:tcPr>
          <w:p>
            <w:pPr>
              <w:spacing w:after="0"/>
              <w:rPr>
                <w:sz w:val="18"/>
                <w:szCs w:val="18"/>
                <w:color w:val="auto"/>
              </w:rPr>
            </w:pPr>
          </w:p>
        </w:tc>
      </w:tr>
      <w:tr>
        <w:trPr>
          <w:trHeight w:val="219"/>
        </w:trPr>
        <w:tc>
          <w:tcPr>
            <w:tcW w:w="20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LGBTQ+</w:t>
            </w:r>
          </w:p>
        </w:tc>
        <w:tc>
          <w:tcPr>
            <w:tcW w:w="36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659"/>
              <w:spacing w:after="0"/>
              <w:rPr>
                <w:sz w:val="20"/>
                <w:szCs w:val="20"/>
                <w:color w:val="auto"/>
              </w:rPr>
            </w:pPr>
            <w:r>
              <w:rPr>
                <w:rFonts w:ascii="Arial" w:cs="Arial" w:eastAsia="Arial" w:hAnsi="Arial"/>
                <w:sz w:val="16"/>
                <w:szCs w:val="16"/>
                <w:color w:val="auto"/>
              </w:rPr>
              <w:t>1</w:t>
            </w:r>
          </w:p>
        </w:tc>
        <w:tc>
          <w:tcPr>
            <w:tcW w:w="20" w:type="dxa"/>
            <w:vAlign w:val="bottom"/>
            <w:shd w:val="clear" w:color="auto" w:fill="000000"/>
          </w:tcPr>
          <w:p>
            <w:pPr>
              <w:spacing w:after="0"/>
              <w:rPr>
                <w:sz w:val="19"/>
                <w:szCs w:val="19"/>
                <w:color w:val="auto"/>
              </w:rPr>
            </w:pPr>
          </w:p>
        </w:tc>
      </w:tr>
      <w:tr>
        <w:trPr>
          <w:trHeight w:val="213"/>
        </w:trPr>
        <w:tc>
          <w:tcPr>
            <w:tcW w:w="56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Did Not Disclose Demographic Background</w:t>
            </w:r>
          </w:p>
        </w:tc>
        <w:tc>
          <w:tcPr>
            <w:tcW w:w="198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31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&amp; Analysis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Remuneration policy</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its shareholders and other stakeholders.</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or euro.</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Outside Directors’ remuneration</w:t>
      </w:r>
    </w:p>
    <w:p>
      <w:pPr>
        <w:spacing w:after="0" w:line="2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Outside Directors are remunerated by way of Directors’ fees and are also eligible for participation in the share equity incentive schemes. During 2022, each outside Director (excluding the Board Chairman) was paid an annual retainer of $90,000 and additional fees for Board Committee service.</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Mr. Murray’s Executive Chairman term expired on May 12, 2018 and he transitioned to the outside Director role of Chair. The current arrangement with the Chair provides for payment of €330,000 (translated at average rate for the year: $346,891) annually.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Mr. Rónán Murphy was appointed as Lead Independent Director with effect from January 1, 2019 and receives an additional annual fee of $25,000 for this role.</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Outside Directors are not eligible for performance related bonuses and no pension contributions are made on their behalf. The Compensation and Organization Committee sets outside Directors' remuneration.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Total cash compensation is divided into a base salary portion and a bonus incentive portion.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60% and 125% with actual pay outs for 2022 ranging from 48% to 100%, of salary, based on Group and individual performance.</w:t>
      </w:r>
    </w:p>
    <w:p>
      <w:pPr>
        <w:spacing w:after="0" w:line="24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 total bonus of $1.5 million was awarded to the following individuals; Dr. Steve Cutler Chief Executive Officer ($1.2 million) and Mr. Brendan Brennan Chief Financial Officer ($0.3 million) to reflect their contribution to the performance of the Company during 2022. These amounts were approved by the Compensation and Organization Committee and will be paid during the year ended December 31, 2023.</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and value is determined by the Committee and the number of units granted is determined based on the closing price of the Company's shares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by the Committee at the start of each year based on peer group data, advice from independent compensation consultants, and Committee judgment.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party Agreements and Arrangements</w:t>
      </w:r>
    </w:p>
    <w:p>
      <w:pPr>
        <w:spacing w:after="0" w:line="2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2022</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700" w:type="dxa"/>
            <w:vAlign w:val="bottom"/>
            <w:tcBorders>
              <w:top w:val="single" w:sz="8" w:color="auto"/>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Salary</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Pension</w:t>
            </w:r>
          </w:p>
        </w:tc>
        <w:tc>
          <w:tcPr>
            <w:tcW w:w="1080" w:type="dxa"/>
            <w:vAlign w:val="bottom"/>
            <w:tcBorders>
              <w:top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All other</w:t>
            </w:r>
          </w:p>
        </w:tc>
        <w:tc>
          <w:tcPr>
            <w:tcW w:w="1000" w:type="dxa"/>
            <w:vAlign w:val="bottom"/>
            <w:tcBorders>
              <w:top w:val="single" w:sz="8" w:color="auto"/>
              <w:right w:val="single" w:sz="8" w:color="auto"/>
            </w:tcBorders>
            <w:gridSpan w:val="2"/>
            <w:vMerge w:val="restart"/>
            <w:shd w:val="clear" w:color="auto" w:fill="CCEEFF"/>
          </w:tcPr>
          <w:p>
            <w:pPr>
              <w:ind w:left="280"/>
              <w:spacing w:after="0"/>
              <w:rPr>
                <w:sz w:val="20"/>
                <w:szCs w:val="20"/>
                <w:color w:val="auto"/>
              </w:rPr>
            </w:pPr>
            <w:r>
              <w:rPr>
                <w:rFonts w:ascii="Arial" w:cs="Arial" w:eastAsia="Arial" w:hAnsi="Arial"/>
                <w:sz w:val="16"/>
                <w:szCs w:val="16"/>
                <w:b w:val="1"/>
                <w:bCs w:val="1"/>
                <w:color w:val="auto"/>
              </w:rPr>
              <w:t>Subtotal</w:t>
            </w:r>
          </w:p>
        </w:tc>
        <w:tc>
          <w:tcPr>
            <w:tcW w:w="2220" w:type="dxa"/>
            <w:vAlign w:val="bottom"/>
            <w:tcBorders>
              <w:top w:val="single" w:sz="8" w:color="auto"/>
              <w:right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Share-based Director’s</w:t>
            </w:r>
          </w:p>
        </w:tc>
        <w:tc>
          <w:tcPr>
            <w:tcW w:w="11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20" w:type="dxa"/>
            <w:vAlign w:val="bottom"/>
            <w:tcBorders>
              <w:bottom w:val="single" w:sz="8" w:color="auto"/>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contribution compensation</w:t>
            </w:r>
          </w:p>
        </w:tc>
        <w:tc>
          <w:tcPr>
            <w:tcW w:w="10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2220" w:type="dxa"/>
            <w:vAlign w:val="bottom"/>
            <w:tcBorders>
              <w:bottom w:val="single" w:sz="8" w:color="auto"/>
              <w:right w:val="single" w:sz="8" w:color="auto"/>
            </w:tcBorders>
            <w:gridSpan w:val="2"/>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99"/>
              </w:rPr>
              <w:t>compensation Fees</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$’000</w:t>
            </w:r>
          </w:p>
        </w:tc>
        <w:tc>
          <w:tcPr>
            <w:tcW w:w="1000" w:type="dxa"/>
            <w:vAlign w:val="bottom"/>
            <w:tcBorders>
              <w:right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20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700" w:type="dxa"/>
            <w:vAlign w:val="bottom"/>
            <w:tcBorders>
              <w:right w:val="single" w:sz="8" w:color="auto"/>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1,168</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1080" w:type="dxa"/>
            <w:vAlign w:val="bottom"/>
            <w:tcBorders>
              <w:right w:val="single" w:sz="8" w:color="auto"/>
            </w:tcBorders>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31</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40" w:type="dxa"/>
            <w:vAlign w:val="bottom"/>
            <w:tcBorders>
              <w:right w:val="single" w:sz="8" w:color="auto"/>
            </w:tcBorders>
            <w:shd w:val="clear" w:color="auto" w:fill="CCEEFF"/>
          </w:tcPr>
          <w:p>
            <w:pPr>
              <w:spacing w:after="0"/>
              <w:rPr>
                <w:sz w:val="17"/>
                <w:szCs w:val="17"/>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7,487</w:t>
            </w:r>
          </w:p>
        </w:tc>
        <w:tc>
          <w:tcPr>
            <w:tcW w:w="9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20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auto"/>
              <w:right w:val="single" w:sz="8" w:color="auto"/>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w:t>
            </w:r>
          </w:p>
        </w:tc>
        <w:tc>
          <w:tcPr>
            <w:tcW w:w="1080" w:type="dxa"/>
            <w:vAlign w:val="bottom"/>
            <w:tcBorders>
              <w:bottom w:val="single" w:sz="8" w:color="auto"/>
              <w:right w:val="single" w:sz="8" w:color="auto"/>
            </w:tcBorders>
            <w:gridSpan w:val="2"/>
            <w:shd w:val="clear" w:color="auto" w:fill="CCEEFF"/>
          </w:tcPr>
          <w:p>
            <w:pPr>
              <w:jc w:val="center"/>
              <w:ind w:left="539"/>
              <w:spacing w:after="0"/>
              <w:rPr>
                <w:sz w:val="20"/>
                <w:szCs w:val="20"/>
                <w:color w:val="auto"/>
              </w:rPr>
            </w:pPr>
            <w:r>
              <w:rPr>
                <w:rFonts w:ascii="Arial" w:cs="Arial" w:eastAsia="Arial" w:hAnsi="Arial"/>
                <w:sz w:val="16"/>
                <w:szCs w:val="16"/>
                <w:color w:val="auto"/>
              </w:rPr>
              <w:t>30</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1,645</w:t>
            </w:r>
          </w:p>
        </w:tc>
        <w:tc>
          <w:tcPr>
            <w:tcW w:w="9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right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1,724</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1,515</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195</w:t>
            </w:r>
          </w:p>
        </w:tc>
        <w:tc>
          <w:tcPr>
            <w:tcW w:w="1080" w:type="dxa"/>
            <w:vAlign w:val="bottom"/>
            <w:tcBorders>
              <w:bottom w:val="single" w:sz="8" w:color="auto"/>
              <w:right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3,495</w:t>
            </w:r>
          </w:p>
        </w:tc>
        <w:tc>
          <w:tcPr>
            <w:tcW w:w="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9,132</w:t>
            </w:r>
          </w:p>
        </w:tc>
        <w:tc>
          <w:tcPr>
            <w:tcW w:w="9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11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5700" w:type="dxa"/>
            <w:vAlign w:val="bottom"/>
            <w:gridSpan w:val="8"/>
          </w:tcPr>
          <w:p>
            <w:pPr>
              <w:jc w:val="center"/>
              <w:ind w:right="799"/>
              <w:spacing w:after="0"/>
              <w:rPr>
                <w:sz w:val="20"/>
                <w:szCs w:val="20"/>
                <w:color w:val="auto"/>
              </w:rPr>
            </w:pPr>
            <w:r>
              <w:rPr>
                <w:rFonts w:ascii="Arial" w:cs="Arial" w:eastAsia="Arial" w:hAnsi="Arial"/>
                <w:sz w:val="16"/>
                <w:szCs w:val="16"/>
                <w:b w:val="1"/>
                <w:bCs w:val="1"/>
                <w:color w:val="auto"/>
              </w:rPr>
              <w:t>Summary compensation table - Year ended December 31, 2021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2"/>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 &amp; principal</w:t>
            </w:r>
          </w:p>
        </w:tc>
        <w:tc>
          <w:tcPr>
            <w:tcW w:w="700" w:type="dxa"/>
            <w:vAlign w:val="bottom"/>
            <w:tcBorders>
              <w:right w:val="single" w:sz="8" w:color="auto"/>
            </w:tcBorders>
            <w:gridSpan w:val="2"/>
            <w:vMerge w:val="restart"/>
            <w:shd w:val="clear" w:color="auto" w:fill="CCEEFF"/>
          </w:tcPr>
          <w:p>
            <w:pPr>
              <w:ind w:left="160"/>
              <w:spacing w:after="0"/>
              <w:rPr>
                <w:sz w:val="20"/>
                <w:szCs w:val="20"/>
                <w:color w:val="auto"/>
              </w:rPr>
            </w:pPr>
            <w:r>
              <w:rPr>
                <w:rFonts w:ascii="Arial" w:cs="Arial" w:eastAsia="Arial" w:hAnsi="Arial"/>
                <w:sz w:val="16"/>
                <w:szCs w:val="16"/>
                <w:b w:val="1"/>
                <w:bCs w:val="1"/>
                <w:color w:val="auto"/>
              </w:rPr>
              <w:t>Year</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Salary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3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b w:val="1"/>
                <w:bCs w:val="1"/>
                <w:color w:val="auto"/>
              </w:rPr>
              <w:t>Pension</w:t>
            </w:r>
          </w:p>
        </w:tc>
        <w:tc>
          <w:tcPr>
            <w:tcW w:w="1080" w:type="dxa"/>
            <w:vAlign w:val="bottom"/>
            <w:tcBorders>
              <w:right w:val="single" w:sz="8" w:color="auto"/>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b w:val="1"/>
                <w:bCs w:val="1"/>
                <w:color w:val="auto"/>
              </w:rPr>
              <w:t>All other</w:t>
            </w:r>
          </w:p>
        </w:tc>
        <w:tc>
          <w:tcPr>
            <w:tcW w:w="100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2220" w:type="dxa"/>
            <w:vAlign w:val="bottom"/>
            <w:tcBorders>
              <w:right w:val="single" w:sz="8" w:color="auto"/>
            </w:tcBorders>
            <w:gridSpan w:val="2"/>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Share-based Director’s</w:t>
            </w:r>
          </w:p>
        </w:tc>
        <w:tc>
          <w:tcPr>
            <w:tcW w:w="116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Total</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7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20" w:type="dxa"/>
            <w:vAlign w:val="bottom"/>
            <w:tcBorders>
              <w:bottom w:val="single" w:sz="8" w:color="auto"/>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contribution compensation</w:t>
            </w:r>
          </w:p>
        </w:tc>
        <w:tc>
          <w:tcPr>
            <w:tcW w:w="1000" w:type="dxa"/>
            <w:vAlign w:val="bottom"/>
            <w:tcBorders>
              <w:bottom w:val="single" w:sz="8" w:color="auto"/>
              <w:right w:val="single" w:sz="8" w:color="auto"/>
            </w:tcBorders>
            <w:gridSpan w:val="2"/>
            <w:vMerge w:val="continue"/>
            <w:shd w:val="clear" w:color="auto" w:fill="CCEEFF"/>
          </w:tcPr>
          <w:p>
            <w:pPr>
              <w:spacing w:after="0"/>
              <w:rPr>
                <w:sz w:val="19"/>
                <w:szCs w:val="19"/>
                <w:color w:val="auto"/>
              </w:rPr>
            </w:pPr>
          </w:p>
        </w:tc>
        <w:tc>
          <w:tcPr>
            <w:tcW w:w="2220" w:type="dxa"/>
            <w:vAlign w:val="bottom"/>
            <w:tcBorders>
              <w:bottom w:val="single" w:sz="8" w:color="auto"/>
              <w:right w:val="single" w:sz="8" w:color="auto"/>
            </w:tcBorders>
            <w:gridSpan w:val="2"/>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compensation Fees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$’000</w:t>
            </w:r>
          </w:p>
        </w:tc>
        <w:tc>
          <w:tcPr>
            <w:tcW w:w="100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20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700" w:type="dxa"/>
            <w:vAlign w:val="bottom"/>
            <w:tcBorders>
              <w:right w:val="single" w:sz="8" w:color="auto"/>
            </w:tcBorders>
            <w:gridSpan w:val="2"/>
            <w:shd w:val="clear" w:color="auto" w:fill="CCEEFF"/>
          </w:tcPr>
          <w:p>
            <w:pPr>
              <w:jc w:val="center"/>
              <w:ind w:left="179"/>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1,146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3,598</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5,959</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4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20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700" w:type="dxa"/>
            <w:vAlign w:val="bottom"/>
            <w:tcBorders>
              <w:bottom w:val="single" w:sz="8" w:color="auto"/>
              <w:right w:val="single" w:sz="8" w:color="auto"/>
            </w:tcBorders>
            <w:gridSpan w:val="2"/>
            <w:shd w:val="clear" w:color="auto" w:fill="CCEEFF"/>
          </w:tcPr>
          <w:p>
            <w:pPr>
              <w:jc w:val="center"/>
              <w:ind w:left="17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0" w:type="dxa"/>
            <w:vAlign w:val="bottom"/>
            <w:tcBorders>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1,632</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1,341</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right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1,753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3,214</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197</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66</w:t>
            </w:r>
          </w:p>
        </w:tc>
        <w:tc>
          <w:tcPr>
            <w:tcW w:w="100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5,230</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7,300</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12,574</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94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00" w:type="dxa"/>
            <w:vAlign w:val="bottom"/>
            <w:gridSpan w:val="8"/>
          </w:tcPr>
          <w:p>
            <w:pPr>
              <w:jc w:val="center"/>
              <w:ind w:right="799"/>
              <w:spacing w:after="0"/>
              <w:rPr>
                <w:sz w:val="20"/>
                <w:szCs w:val="20"/>
                <w:color w:val="auto"/>
              </w:rPr>
            </w:pPr>
            <w:r>
              <w:rPr>
                <w:rFonts w:ascii="Arial" w:cs="Arial" w:eastAsia="Arial" w:hAnsi="Arial"/>
                <w:sz w:val="16"/>
                <w:szCs w:val="16"/>
                <w:b w:val="1"/>
                <w:bCs w:val="1"/>
                <w:color w:val="auto"/>
              </w:rPr>
              <w:t>Summary compensation table - Year ended December 31, 2022</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CCEEFF"/>
            </w:tcBorders>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9"/>
              <w:spacing w:after="0" w:line="162" w:lineRule="exact"/>
              <w:rPr>
                <w:sz w:val="20"/>
                <w:szCs w:val="20"/>
                <w:color w:val="auto"/>
              </w:rPr>
            </w:pPr>
            <w:r>
              <w:rPr>
                <w:rFonts w:ascii="Arial" w:cs="Arial" w:eastAsia="Arial" w:hAnsi="Arial"/>
                <w:sz w:val="16"/>
                <w:szCs w:val="16"/>
                <w:b w:val="1"/>
                <w:bCs w:val="1"/>
                <w:color w:val="auto"/>
              </w:rPr>
              <w:t>Company</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26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Director’s</w:t>
            </w: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CCEEFF"/>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200" w:type="dxa"/>
            <w:vAlign w:val="bottom"/>
            <w:tcBorders>
              <w:right w:val="single" w:sz="8" w:color="auto"/>
            </w:tcBorders>
            <w:shd w:val="clear" w:color="auto" w:fill="CCEEFF"/>
          </w:tcPr>
          <w:p>
            <w:pPr>
              <w:spacing w:after="0"/>
              <w:rPr>
                <w:sz w:val="7"/>
                <w:szCs w:val="7"/>
                <w:color w:val="auto"/>
              </w:rPr>
            </w:pPr>
          </w:p>
        </w:tc>
        <w:tc>
          <w:tcPr>
            <w:tcW w:w="660" w:type="dxa"/>
            <w:vAlign w:val="bottom"/>
            <w:gridSpan w:val="2"/>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180" w:type="dxa"/>
            <w:vAlign w:val="bottom"/>
            <w:tcBorders>
              <w:right w:val="single" w:sz="8" w:color="auto"/>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ind w:right="239"/>
              <w:spacing w:after="0" w:line="162" w:lineRule="exact"/>
              <w:rPr>
                <w:sz w:val="20"/>
                <w:szCs w:val="20"/>
                <w:color w:val="auto"/>
              </w:rPr>
            </w:pPr>
            <w:r>
              <w:rPr>
                <w:rFonts w:ascii="Arial" w:cs="Arial" w:eastAsia="Arial" w:hAnsi="Arial"/>
                <w:sz w:val="16"/>
                <w:szCs w:val="16"/>
                <w:b w:val="1"/>
                <w:bCs w:val="1"/>
                <w:color w:val="auto"/>
              </w:rPr>
              <w:t>Salary</w:t>
            </w:r>
          </w:p>
        </w:tc>
        <w:tc>
          <w:tcPr>
            <w:tcW w:w="1340" w:type="dxa"/>
            <w:vAlign w:val="bottom"/>
            <w:vMerge w:val="restart"/>
            <w:shd w:val="clear" w:color="auto" w:fill="CCEEFF"/>
          </w:tcPr>
          <w:p>
            <w:pPr>
              <w:jc w:val="right"/>
              <w:ind w:right="339"/>
              <w:spacing w:after="0" w:line="162" w:lineRule="exact"/>
              <w:rPr>
                <w:sz w:val="20"/>
                <w:szCs w:val="20"/>
                <w:color w:val="auto"/>
              </w:rPr>
            </w:pPr>
            <w:r>
              <w:rPr>
                <w:rFonts w:ascii="Arial" w:cs="Arial" w:eastAsia="Arial" w:hAnsi="Arial"/>
                <w:sz w:val="16"/>
                <w:szCs w:val="16"/>
                <w:b w:val="1"/>
                <w:bCs w:val="1"/>
                <w:color w:val="auto"/>
              </w:rPr>
              <w:t>pension</w:t>
            </w:r>
          </w:p>
        </w:tc>
        <w:tc>
          <w:tcPr>
            <w:tcW w:w="820" w:type="dxa"/>
            <w:vAlign w:val="bottom"/>
            <w:tcBorders>
              <w:right w:val="single" w:sz="8" w:color="auto"/>
            </w:tcBorders>
            <w:vMerge w:val="continue"/>
            <w:shd w:val="clear" w:color="auto" w:fill="CCEEFF"/>
          </w:tcPr>
          <w:p>
            <w:pPr>
              <w:spacing w:after="0"/>
              <w:rPr>
                <w:sz w:val="7"/>
                <w:szCs w:val="7"/>
                <w:color w:val="auto"/>
              </w:rPr>
            </w:pPr>
          </w:p>
        </w:tc>
        <w:tc>
          <w:tcPr>
            <w:tcW w:w="260" w:type="dxa"/>
            <w:vAlign w:val="bottom"/>
            <w:tcBorders>
              <w:right w:val="single" w:sz="8" w:color="CCEEFF"/>
            </w:tcBorders>
            <w:shd w:val="clear" w:color="auto" w:fill="CCEEFF"/>
          </w:tcPr>
          <w:p>
            <w:pPr>
              <w:spacing w:after="0"/>
              <w:rPr>
                <w:sz w:val="7"/>
                <w:szCs w:val="7"/>
                <w:color w:val="auto"/>
              </w:rPr>
            </w:pPr>
          </w:p>
        </w:tc>
        <w:tc>
          <w:tcPr>
            <w:tcW w:w="86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40" w:type="dxa"/>
            <w:vAlign w:val="bottom"/>
            <w:tcBorders>
              <w:right w:val="single" w:sz="8" w:color="CCEEFF"/>
            </w:tcBorders>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160" w:type="dxa"/>
            <w:vAlign w:val="bottom"/>
            <w:tcBorders>
              <w:right w:val="single" w:sz="8" w:color="auto"/>
            </w:tcBorders>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Borders>
              <w:left w:val="single" w:sz="8" w:color="auto"/>
              <w:right w:val="single" w:sz="8" w:color="CCEEFF"/>
            </w:tcBorders>
            <w:vMerge w:val="continue"/>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80" w:type="dxa"/>
            <w:vAlign w:val="bottom"/>
            <w:tcBorders>
              <w:right w:val="single" w:sz="8" w:color="auto"/>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260" w:type="dxa"/>
            <w:vAlign w:val="bottom"/>
            <w:tcBorders>
              <w:right w:val="single" w:sz="8" w:color="CCEEFF"/>
            </w:tcBorders>
            <w:shd w:val="clear" w:color="auto" w:fill="CCEEFF"/>
          </w:tcPr>
          <w:p>
            <w:pPr>
              <w:spacing w:after="0"/>
              <w:rPr>
                <w:sz w:val="7"/>
                <w:szCs w:val="7"/>
                <w:color w:val="auto"/>
              </w:rPr>
            </w:pPr>
          </w:p>
        </w:tc>
        <w:tc>
          <w:tcPr>
            <w:tcW w:w="86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fees</w:t>
            </w: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Compensation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CCEEFF"/>
            </w:tcBorders>
            <w:shd w:val="clear" w:color="auto" w:fill="CCEEFF"/>
          </w:tcPr>
          <w:p>
            <w:pPr>
              <w:spacing w:after="0"/>
              <w:rPr>
                <w:sz w:val="19"/>
                <w:szCs w:val="19"/>
                <w:color w:val="auto"/>
              </w:rPr>
            </w:pP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00" w:type="dxa"/>
            <w:vAlign w:val="bottom"/>
            <w:tcBorders>
              <w:bottom w:val="single" w:sz="8" w:color="auto"/>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right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contribution</w:t>
            </w:r>
            <w:r>
              <w:rPr>
                <w:rFonts w:ascii="Arial" w:cs="Arial" w:eastAsia="Arial" w:hAnsi="Arial"/>
                <w:sz w:val="14"/>
                <w:szCs w:val="14"/>
                <w:b w:val="1"/>
                <w:bCs w:val="1"/>
                <w:color w:val="auto"/>
              </w:rPr>
              <w:t xml:space="preserve"> compensation</w:t>
            </w: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vMerge w:val="continue"/>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$’000</w:t>
            </w: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$’000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4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20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267</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363</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1,168</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125</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1,204</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7,487</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213</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80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4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Colin Shannon**</w:t>
            </w:r>
          </w:p>
        </w:tc>
        <w:tc>
          <w:tcPr>
            <w:tcW w:w="200" w:type="dxa"/>
            <w:vAlign w:val="bottom"/>
            <w:tcBorders>
              <w:right w:val="single" w:sz="8" w:color="auto"/>
            </w:tcBorders>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11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Linda Grais</w:t>
            </w:r>
          </w:p>
        </w:tc>
        <w:tc>
          <w:tcPr>
            <w:tcW w:w="200" w:type="dxa"/>
            <w:vAlign w:val="bottom"/>
            <w:tcBorders>
              <w:right w:val="single" w:sz="8" w:color="auto"/>
            </w:tcBorders>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6"/>
                <w:szCs w:val="16"/>
                <w:color w:val="auto"/>
              </w:rPr>
              <w:t>2022</w:t>
            </w:r>
          </w:p>
        </w:tc>
        <w:tc>
          <w:tcPr>
            <w:tcW w:w="18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133</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98</w:t>
            </w:r>
          </w:p>
        </w:tc>
        <w:tc>
          <w:tcPr>
            <w:tcW w:w="11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right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right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1,168</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125</w:t>
            </w:r>
          </w:p>
        </w:tc>
        <w:tc>
          <w:tcPr>
            <w:tcW w:w="82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1,204</w:t>
            </w:r>
          </w:p>
        </w:tc>
        <w:tc>
          <w:tcPr>
            <w:tcW w:w="260" w:type="dxa"/>
            <w:vAlign w:val="bottom"/>
            <w:tcBorders>
              <w:bottom w:val="single" w:sz="8" w:color="auto"/>
              <w:right w:val="single" w:sz="8" w:color="CCEEFF"/>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2,497</w:t>
            </w:r>
          </w:p>
        </w:tc>
        <w:tc>
          <w:tcPr>
            <w:tcW w:w="140" w:type="dxa"/>
            <w:vAlign w:val="bottom"/>
            <w:tcBorders>
              <w:bottom w:val="single" w:sz="8" w:color="auto"/>
              <w:right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9,140</w:t>
            </w:r>
          </w:p>
        </w:tc>
        <w:tc>
          <w:tcPr>
            <w:tcW w:w="98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1,354</w:t>
            </w:r>
          </w:p>
        </w:tc>
        <w:tc>
          <w:tcPr>
            <w:tcW w:w="116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80" w:right="2760" w:firstLine="9"/>
        <w:spacing w:after="0" w:line="348"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Professor Hugh Brady, Professor William Hall and Ms. Mary Pendergast resigned from the Board on July 26, 2022. ** Mr. Colin Shannon resigned from the Board on 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Summary compensation table - Year ended December 31, 2021</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Company</w:t>
            </w:r>
          </w:p>
        </w:tc>
        <w:tc>
          <w:tcPr>
            <w:tcW w:w="9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top w:val="single" w:sz="8" w:color="auto"/>
              <w:right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Director’s</w:t>
            </w:r>
          </w:p>
        </w:tc>
        <w:tc>
          <w:tcPr>
            <w:tcW w:w="12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restart"/>
            <w:shd w:val="clear" w:color="auto" w:fill="CCEEFF"/>
          </w:tcPr>
          <w:p>
            <w:pPr>
              <w:ind w:left="40"/>
              <w:spacing w:after="0" w:line="162" w:lineRule="exact"/>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line="162" w:lineRule="exact"/>
              <w:rPr>
                <w:sz w:val="20"/>
                <w:szCs w:val="20"/>
                <w:color w:val="auto"/>
              </w:rPr>
            </w:pPr>
            <w:r>
              <w:rPr>
                <w:rFonts w:ascii="Arial" w:cs="Arial" w:eastAsia="Arial" w:hAnsi="Arial"/>
                <w:sz w:val="16"/>
                <w:szCs w:val="16"/>
                <w:b w:val="1"/>
                <w:bCs w:val="1"/>
                <w:color w:val="auto"/>
              </w:rPr>
              <w:t>Year</w:t>
            </w:r>
          </w:p>
        </w:tc>
        <w:tc>
          <w:tcPr>
            <w:tcW w:w="1220" w:type="dxa"/>
            <w:vAlign w:val="bottom"/>
            <w:vMerge w:val="restart"/>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Salary *</w:t>
            </w:r>
          </w:p>
        </w:tc>
        <w:tc>
          <w:tcPr>
            <w:tcW w:w="1380" w:type="dxa"/>
            <w:vAlign w:val="bottom"/>
            <w:vMerge w:val="restart"/>
            <w:shd w:val="clear" w:color="auto" w:fill="CCEEFF"/>
          </w:tcPr>
          <w:p>
            <w:pPr>
              <w:jc w:val="right"/>
              <w:ind w:right="220"/>
              <w:spacing w:after="0" w:line="162" w:lineRule="exact"/>
              <w:rPr>
                <w:sz w:val="20"/>
                <w:szCs w:val="20"/>
                <w:color w:val="auto"/>
              </w:rPr>
            </w:pPr>
            <w:r>
              <w:rPr>
                <w:rFonts w:ascii="Arial" w:cs="Arial" w:eastAsia="Arial" w:hAnsi="Arial"/>
                <w:sz w:val="16"/>
                <w:szCs w:val="16"/>
                <w:b w:val="1"/>
                <w:bCs w:val="1"/>
                <w:color w:val="auto"/>
              </w:rPr>
              <w:t>pension</w:t>
            </w: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vMerge w:val="restart"/>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2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840" w:type="dxa"/>
            <w:vAlign w:val="bottom"/>
            <w:tcBorders>
              <w:right w:val="single" w:sz="8" w:color="auto"/>
            </w:tcBorders>
            <w:vMerge w:val="continue"/>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112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fees</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right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contribution</w:t>
            </w:r>
            <w:r>
              <w:rPr>
                <w:rFonts w:ascii="Arial" w:cs="Arial" w:eastAsia="Arial" w:hAnsi="Arial"/>
                <w:sz w:val="14"/>
                <w:szCs w:val="14"/>
                <w:b w:val="1"/>
                <w:bCs w:val="1"/>
                <w:color w:val="auto"/>
              </w:rPr>
              <w:t xml:space="preserve"> compensation</w:t>
            </w: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80" w:type="dxa"/>
            <w:vAlign w:val="bottom"/>
          </w:tcPr>
          <w:p>
            <w:pPr>
              <w:jc w:val="right"/>
              <w:ind w:right="180"/>
              <w:spacing w:after="0"/>
              <w:rPr>
                <w:sz w:val="20"/>
                <w:szCs w:val="20"/>
                <w:color w:val="auto"/>
              </w:rPr>
            </w:pPr>
            <w:r>
              <w:rPr>
                <w:rFonts w:ascii="Arial" w:cs="Arial" w:eastAsia="Arial" w:hAnsi="Arial"/>
                <w:sz w:val="16"/>
                <w:szCs w:val="16"/>
                <w:b w:val="1"/>
                <w:bCs w:val="1"/>
                <w:color w:val="auto"/>
              </w:rPr>
              <w:t>$’000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1,146</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121</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2,331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3,598</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5,959</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w:t>
            </w:r>
          </w:p>
        </w:tc>
        <w:tc>
          <w:tcPr>
            <w:tcW w:w="1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0</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253</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Colin Shannon*</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Linda Grais*</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2021</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0"/>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1,146</w:t>
            </w:r>
          </w:p>
        </w:tc>
        <w:tc>
          <w:tcPr>
            <w:tcW w:w="1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121</w:t>
            </w: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2,331</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3,598</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8,011</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1,326</w:t>
            </w:r>
          </w:p>
        </w:tc>
        <w:tc>
          <w:tcPr>
            <w:tcW w:w="12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12,935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 Mr. Colin Shannon and Dr. Linda Grais were appointed to the Board on July 1, 2021.</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Contracts, Termination of Employment and Change in Control Arrangements</w:t>
      </w:r>
    </w:p>
    <w:p>
      <w:pPr>
        <w:spacing w:after="0" w:line="2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and Executive Officers’ service agreements and letters of engagement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reflects the agreements in effect as of December 31, 2022.</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Ciaran Murray</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Mr. Ciaran Murray has served as Chair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 The current arrangement with Mr. Murray provides for the payment to him of fees of €330,000 (translated at average rate for the year: $346,891) per annum in respect of his position as Chairman.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 employee on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February 24, 2023 58,646 ordinary share options at exercise prices ranging from $71.95 to $125.74 per share and 1,388 Restricted Share Units, which vest in 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$ 1,173,251 effective from April 1, 2022 and a bonus to be agreed by the Compensation and Organization Committee. He is also entitled to receive a pension contribution, a car allowance of $12,000 and medical insurance coverage for himself and his dependents. He was previously granted and held at February 24, 2023 208,885 ordinary share options at exercise prices ranging from $71.95 to $231.68 per share, 18,173 Restricted Share Units which vest on various dates between March 2023 and March 2025 and 32,121 (up to a maximum of 64,242) Performance Share Units which vest between March 2023 and March 2025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Brendan Brennan</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$621,467 (€532,032) effective from April 1, 2022 and a bonus to be agreed by the Compensation and Organization Committee. He is also entitled to receive a pension contribution, a car allowance of €20,000 and medical insurance coverage for himself and his dependents. He was previously granted and held at February 24, 2023 53,105 ordinary share options at exercise prices ranging from $83.47 to $231.68 per share, 3,958 Restricted Share Units, which vest on various dates between March 2023 and March 2025, and 7,048 (up to a maximum of 14,096) Performance Share Units which vest between March 2023 and March 2025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Rónán Murphy</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Mr. Rónán Murphy has served as Lead Independent Director from January 2019 having served as an outside Director of the Company since October 2016. The current arrangements with Mr. Murphy provide for the payment to him of Directors fees of $147,500 per annum. He was previously granted and held at February 24, 2023 9,622 ordinary share options at an exercise prices ranging from $90.03 to $125.74 and 925 Restricted Share Units, which vest in May 2023.</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current arrangements with Dr. Climax provide for the payment to him of Directors fees of $90,000 per annum. He was previously granted and held at February 24, 2023 33,255 ordinary share options at exercise prices ranging from $65.60 to $125.74 per share and 925 Restricted Share Units, which vest in May 2023.</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Joan Garahy</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Ms. Joan Garahy has served as an outside Director of the Company since November 2017. The current arrangements with Ms. Garahy provide for the payment to her of Directors fees of $122,500 per annum. She was previously granted and held at February 24, 2023 5,005 ordinary share options at an exercise price of $125.74 and 925 Restricted Share Units, which vest in May 2023.</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Eugene McCague</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Mr. Eugene McCague has served as an outside Director of the Company since October 2017. The current arrangements with Mr. McCague provide for the payment to him of Directors fees of $122,500 per annum. He was previously granted and held at February 24, 2023 5,005 ordinary share options at an exercise price of $125.74 and 925 Restricted Share Units, which vest in 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6"/>
          <w:szCs w:val="16"/>
          <w:i w:val="1"/>
          <w:iCs w:val="1"/>
          <w:color w:val="auto"/>
        </w:rPr>
        <w:t>Ms. Julie O'Neill</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Ms. Julie O'Neill has served as an outside Director of the Company since July 2019. The current arrangements with Ms. O'Neill provide for the payment to her of Directors fees of $115,000 per annum. She was previously granted and held at February 24, 2023 925 Restricted Share Units, which vest in May 2023.</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Linda Grais</w:t>
      </w:r>
    </w:p>
    <w:p>
      <w:pPr>
        <w:spacing w:after="0" w:line="26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Dr. Linda Grais has served as an outside Director of the Company since July 2021 having served as a member of the PRA Health Sciences, Inc. board since October 2015. The current arrangements with Dr. Grais provide for the payment to her of Director fees of $102,500 per annum. She was previously granted and held at February 24, 2023 925 Restricted Share Units, which vest in May 2023.</w:t>
      </w:r>
    </w:p>
    <w:p>
      <w:pPr>
        <w:spacing w:after="0" w:line="20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Board Practices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of Directors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Board comprises one executive and seven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(8 Directors) to be adequate but continues to look for suitable qualified potential candidates to join the Board.</w:t>
      </w:r>
    </w:p>
    <w:p>
      <w:pPr>
        <w:spacing w:after="0" w:line="2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Sustainability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2022 the Board held five board meetings. All Directors allocated sufficient time to the Company during the year ended December 31, 2022 to effectively discharge their responsibilities to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retirement and re-election</w:t>
      </w:r>
    </w:p>
    <w:p>
      <w:pPr>
        <w:spacing w:after="0" w:line="26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The Constitution also provides that one third of the Directors who are subject to retirement by rotation, rounded down to the next whole number if it is a fractional number, shall retire from office at each annual general meeting.</w:t>
      </w:r>
    </w:p>
    <w:p>
      <w:pPr>
        <w:spacing w:after="0" w:line="23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Board of Directors adopted a Non-Executive Director Policy for Service on April 24, 2018. The Policy was amended on April 21, 2020 and provides that, subject to individual waiver by the Board, an outside Director of ICON plc shall serve on the Board of the Directors for an initial term which expires at the fourth annual general meeting after their appointment. Each outside director may serve a further term of 3 years, subject to the Board’s approval. After the second 3 year term the Board may request that the outside Director serve up to 3 further terms of 1 year each. After a third 1 year term the Board may request that the outside director serve for further 1 year terms in the event that the Board has particular requirement or desire for the outside director’s skill, knowledge or experience. For an outside Director who previously served as an executive of the Company, the initial 3 year term referred to in this policy is deemed to commence on the date that he/she is determined to be independent as per the NASDAQ Rules. This policy does not apply to Dr. John Climax as he is a founder of the Company.</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However in July 2022, the Board of Directors unanimously agreed that all of the Directors will retire and stand for re-election annually at the Annual General Meeting (AGM). Accordingly, at the AGM of the Company to be held in 2023, all directors will retire and offer themselves for re-election.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i w:val="1"/>
          <w:iCs w:val="1"/>
          <w:color w:val="auto"/>
        </w:rPr>
        <w:t>Lead Independent Director</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Rónán Murphy was appointed as Lead Independent Director with effect from January 1, 2019.</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Committees</w:t>
      </w:r>
    </w:p>
    <w:p>
      <w:pPr>
        <w:spacing w:after="0" w:line="2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Board has delegated some of its responsibilities to Board Committees. There are currently four Committees. These are the Audit Committee, the Compensation and Organization Committee, the Nominating, Sustainability and Governance Committee and the Execution Committee. The Integration Committee was retired by the Board on April 26, 2022.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Sustainability and Governance Committee each completed a self-evaluation of the performance of the Committee in respect to the year ended December 31, 2021 and each Committee was satisfied with their performance. The evaluations in respect to the year ended December 31, 2022 will be completed in 2023.</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Chief Administrative Officer and General Counsel and the external auditors normally attend all meetings of the Audit Committee and have direct access to the Committee Chairperson at all times. The Audit Committee is currently comprised of three independent Directors: Rónán Murphy (Chairperson), Eugene McCague and Julie O'Neill. On April 26, 2022, Hugh Brady stepped down as a member of the Committee and Julie O'Neill joined the Committee.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and Organization Committee</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Joan Garahy (Chairperson), Rónán Murphy and Linda Grais. On April 26, 2022, William Hall and Mary Pendergast stepped down as members of the Committee and Linda Grais joined the Committee.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Sustainability and Governance Committee</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Nominating, Sustainability and Governance Committee is responsible for Board succession, oversight of the Board and committee composition and performance and oversight of the Company's corporate governance and business ethics initiatives and strategies and activities in respect to environmental, social and governance (ESG) matters. The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external search consultants as needed to assist it in identifying potential new outside Directors. Once potential suitable candidates are identified either by the external search consultants or by members of the Nominating, Sustainability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Committee Charter was updated in February 2022 to include specific responsibilities in respect to the oversight of the Company's strategic plans, objectives and risks relating to ESG matters. The Committee changed its name to Nominating, Sustainability and Governance Committee in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jc w:val="both"/>
        <w:spacing w:after="0" w:line="262" w:lineRule="auto"/>
        <w:rPr>
          <w:sz w:val="20"/>
          <w:szCs w:val="20"/>
          <w:color w:val="auto"/>
        </w:rPr>
      </w:pPr>
      <w:r>
        <w:rPr>
          <w:rFonts w:ascii="Arial" w:cs="Arial" w:eastAsia="Arial" w:hAnsi="Arial"/>
          <w:sz w:val="16"/>
          <w:szCs w:val="16"/>
          <w:color w:val="auto"/>
        </w:rPr>
        <w:t>April 2022. The Nominating, Sustainability and Governance Committee currently comprises the following independent Directors: Eugene McCague (Chairperson), Joan Garahy and Julie O'Neill. On April 26, 2022, William Hall stepped down as a member of the Committee and Julie O'Neill joined the Committee.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Integration Committee</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Integration Committee was set up in April 2021 to assist the Board with its oversight responsibilities in relation to the integration of PRA Health Sciences into the ICON Group. The Integration Committee was retired by the Board on April 26, 2022. Matters that were in the remit of the Integration Committee are now delivered by Management to the full Board. During 2022, up to its retirement in April, the Integration Committee was comprised of the following independent Directors: Ciaran Murray (Chairperson), Rónán Murphy, Eugene McCague and Julie O'Neill.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Execution Committee</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Steve Cutler (Chairperson), Rónán Murphy and Brendan Brennan.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Attendance at Board and Committee meetings by the Directors who held office during 2022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1517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Directors’ Attendance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jc w:val="center"/>
              <w:ind w:left="319"/>
              <w:spacing w:after="0" w:line="175" w:lineRule="exact"/>
              <w:rPr>
                <w:sz w:val="20"/>
                <w:szCs w:val="20"/>
                <w:color w:val="auto"/>
              </w:rPr>
            </w:pPr>
            <w:r>
              <w:rPr>
                <w:rFonts w:ascii="Arial" w:cs="Arial" w:eastAsia="Arial" w:hAnsi="Arial"/>
                <w:sz w:val="16"/>
                <w:szCs w:val="16"/>
                <w:b w:val="1"/>
                <w:bCs w:val="1"/>
                <w:color w:val="auto"/>
                <w:w w:val="99"/>
              </w:rPr>
              <w:t>Board</w:t>
            </w:r>
          </w:p>
        </w:tc>
        <w:tc>
          <w:tcPr>
            <w:tcW w:w="1440" w:type="dxa"/>
            <w:vAlign w:val="bottom"/>
            <w:tcBorders>
              <w:top w:val="single" w:sz="8" w:color="auto"/>
            </w:tcBorders>
          </w:tcPr>
          <w:p>
            <w:pPr>
              <w:ind w:left="660"/>
              <w:spacing w:after="0" w:line="175" w:lineRule="exact"/>
              <w:rPr>
                <w:sz w:val="20"/>
                <w:szCs w:val="20"/>
                <w:color w:val="auto"/>
              </w:rPr>
            </w:pPr>
            <w:r>
              <w:rPr>
                <w:rFonts w:ascii="Arial" w:cs="Arial" w:eastAsia="Arial" w:hAnsi="Arial"/>
                <w:sz w:val="16"/>
                <w:szCs w:val="16"/>
                <w:b w:val="1"/>
                <w:bCs w:val="1"/>
                <w:color w:val="auto"/>
              </w:rPr>
              <w:t>Audit</w:t>
            </w:r>
          </w:p>
        </w:tc>
        <w:tc>
          <w:tcPr>
            <w:tcW w:w="1700" w:type="dxa"/>
            <w:vAlign w:val="bottom"/>
            <w:tcBorders>
              <w:top w:val="single" w:sz="8" w:color="auto"/>
            </w:tcBorders>
          </w:tcPr>
          <w:p>
            <w:pPr>
              <w:jc w:val="center"/>
              <w:ind w:left="99"/>
              <w:spacing w:after="0" w:line="175" w:lineRule="exact"/>
              <w:rPr>
                <w:sz w:val="20"/>
                <w:szCs w:val="20"/>
                <w:color w:val="auto"/>
              </w:rPr>
            </w:pPr>
            <w:r>
              <w:rPr>
                <w:rFonts w:ascii="Arial" w:cs="Arial" w:eastAsia="Arial" w:hAnsi="Arial"/>
                <w:sz w:val="16"/>
                <w:szCs w:val="16"/>
                <w:b w:val="1"/>
                <w:bCs w:val="1"/>
                <w:color w:val="auto"/>
              </w:rPr>
              <w:t>Compensation</w:t>
            </w:r>
          </w:p>
        </w:tc>
        <w:tc>
          <w:tcPr>
            <w:tcW w:w="15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Nominating,</w:t>
            </w:r>
          </w:p>
        </w:tc>
        <w:tc>
          <w:tcPr>
            <w:tcW w:w="1520" w:type="dxa"/>
            <w:vAlign w:val="bottom"/>
            <w:tcBorders>
              <w:top w:val="single" w:sz="8" w:color="auto"/>
            </w:tcBorders>
          </w:tcPr>
          <w:p>
            <w:pPr>
              <w:ind w:left="220"/>
              <w:spacing w:after="0" w:line="175" w:lineRule="exact"/>
              <w:rPr>
                <w:sz w:val="20"/>
                <w:szCs w:val="20"/>
                <w:color w:val="auto"/>
              </w:rPr>
            </w:pPr>
            <w:r>
              <w:rPr>
                <w:rFonts w:ascii="Arial" w:cs="Arial" w:eastAsia="Arial" w:hAnsi="Arial"/>
                <w:sz w:val="16"/>
                <w:szCs w:val="16"/>
                <w:b w:val="1"/>
                <w:bCs w:val="1"/>
                <w:color w:val="auto"/>
              </w:rPr>
              <w:t>Integration (3)</w:t>
            </w:r>
          </w:p>
        </w:tc>
      </w:tr>
      <w:tr>
        <w:trPr>
          <w:trHeight w:val="162"/>
        </w:trPr>
        <w:tc>
          <w:tcPr>
            <w:tcW w:w="2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and</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Sustainability</w:t>
            </w:r>
          </w:p>
        </w:tc>
        <w:tc>
          <w:tcPr>
            <w:tcW w:w="15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0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Organization</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and</w:t>
            </w:r>
          </w:p>
        </w:tc>
        <w:tc>
          <w:tcPr>
            <w:tcW w:w="1520" w:type="dxa"/>
            <w:vAlign w:val="bottom"/>
          </w:tcPr>
          <w:p>
            <w:pPr>
              <w:spacing w:after="0"/>
              <w:rPr>
                <w:sz w:val="14"/>
                <w:szCs w:val="14"/>
                <w:color w:val="auto"/>
              </w:rPr>
            </w:pPr>
          </w:p>
        </w:tc>
      </w:tr>
      <w:tr>
        <w:trPr>
          <w:trHeight w:val="223"/>
        </w:trPr>
        <w:tc>
          <w:tcPr>
            <w:tcW w:w="28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c>
          <w:tcPr>
            <w:tcW w:w="1520" w:type="dxa"/>
            <w:vAlign w:val="bottom"/>
            <w:tcBorders>
              <w:bottom w:val="single" w:sz="8" w:color="auto"/>
            </w:tcBorders>
          </w:tcPr>
          <w:p>
            <w:pPr>
              <w:spacing w:after="0"/>
              <w:rPr>
                <w:sz w:val="19"/>
                <w:szCs w:val="19"/>
                <w:color w:val="auto"/>
              </w:rPr>
            </w:pPr>
          </w:p>
        </w:tc>
      </w:tr>
      <w:tr>
        <w:trPr>
          <w:trHeight w:val="223"/>
        </w:trPr>
        <w:tc>
          <w:tcPr>
            <w:tcW w:w="284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Director</w:t>
            </w:r>
          </w:p>
        </w:tc>
        <w:tc>
          <w:tcPr>
            <w:tcW w:w="8380" w:type="dxa"/>
            <w:vAlign w:val="bottom"/>
            <w:gridSpan w:val="5"/>
          </w:tcPr>
          <w:p>
            <w:pPr>
              <w:ind w:left="1180"/>
              <w:spacing w:after="0"/>
              <w:rPr>
                <w:sz w:val="20"/>
                <w:szCs w:val="20"/>
                <w:color w:val="auto"/>
              </w:rPr>
            </w:pPr>
            <w:r>
              <w:rPr>
                <w:rFonts w:ascii="Arial" w:cs="Arial" w:eastAsia="Arial" w:hAnsi="Arial"/>
                <w:sz w:val="16"/>
                <w:szCs w:val="16"/>
                <w:b w:val="1"/>
                <w:bCs w:val="1"/>
                <w:color w:val="auto"/>
              </w:rPr>
              <w:t>Number of meetings attended / number of meetings eligible to attend as a Director</w:t>
            </w:r>
          </w:p>
        </w:tc>
      </w:tr>
      <w:tr>
        <w:trPr>
          <w:trHeight w:val="214"/>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Ciaran Murray (1)</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Steve Cutler</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Rónán Murphy (1)</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rPr>
              <w:t>5/5</w:t>
            </w:r>
          </w:p>
        </w:tc>
        <w:tc>
          <w:tcPr>
            <w:tcW w:w="170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8"/>
              </w:rPr>
              <w:t>3/3</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 Hugh Brady (1) (4)</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3/3</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2/2</w:t>
            </w:r>
          </w:p>
        </w:tc>
        <w:tc>
          <w:tcPr>
            <w:tcW w:w="17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Dr. John Climax (1)</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Joan Garahy (1)</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2/3</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William Hall (1)</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3/3</w:t>
            </w:r>
          </w:p>
        </w:tc>
        <w:tc>
          <w:tcPr>
            <w:tcW w:w="14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8"/>
              </w:rPr>
              <w:t>2/2</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Eugene McCague (1)</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5/5</w:t>
            </w:r>
          </w:p>
        </w:tc>
        <w:tc>
          <w:tcPr>
            <w:tcW w:w="17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w:t>
            </w:r>
          </w:p>
        </w:tc>
      </w:tr>
      <w:tr>
        <w:trPr>
          <w:trHeight w:val="21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Julie O'Neill (1)</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rPr>
              <w:t>3/3</w:t>
            </w:r>
          </w:p>
        </w:tc>
        <w:tc>
          <w:tcPr>
            <w:tcW w:w="17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2/2</w:t>
            </w: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Mary Pendergast (1)</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3/3</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2/2</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Colin Shannon (5)</w:t>
            </w:r>
          </w:p>
        </w:tc>
        <w:tc>
          <w:tcPr>
            <w:tcW w:w="222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Linda Grais (1)</w:t>
            </w:r>
          </w:p>
        </w:tc>
        <w:tc>
          <w:tcPr>
            <w:tcW w:w="22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8"/>
              </w:rPr>
              <w:t>5/5</w:t>
            </w:r>
          </w:p>
        </w:tc>
        <w:tc>
          <w:tcPr>
            <w:tcW w:w="14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1/1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Independent Director as defined under NASDAQ Rule 5605(a)(2).</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decisions by the Execution Committee were made by written resolution and therefore no meetings were held.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Integration Committee was retired on April 26, 2022.</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Professor Hugh Brady, Professor William Hall and Ms. Mary Pendergast resigned from the Board on July 26, 2022.</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Colin Shannon resigned from the Board on December 9, 2022.</w:t>
      </w:r>
    </w:p>
    <w:p>
      <w:pPr>
        <w:spacing w:after="0" w:line="28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Employees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2022, December 31, 2021 and December 31, 2020 we employed approximately 41,100, 38,330 and 15,730 people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employees are not unionized and we believe we have a satisfactory relationship with our employees.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77" w:name="page78"/>
    <w:bookmarkEnd w:id="77"/>
    <w:p>
      <w:pPr>
        <w:ind w:left="660" w:right="9260" w:hanging="328"/>
        <w:spacing w:after="0" w:line="550" w:lineRule="auto"/>
        <w:tabs>
          <w:tab w:leader="none" w:pos="651"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 Shares</w:t>
      </w:r>
    </w:p>
    <w:p>
      <w:pPr>
        <w:jc w:val="both"/>
        <w:ind w:firstLine="648"/>
        <w:spacing w:after="0" w:line="262" w:lineRule="auto"/>
        <w:rPr>
          <w:sz w:val="20"/>
          <w:szCs w:val="20"/>
          <w:color w:val="auto"/>
        </w:rPr>
      </w:pPr>
      <w:r>
        <w:rPr>
          <w:rFonts w:ascii="Arial" w:cs="Arial" w:eastAsia="Arial" w:hAnsi="Arial"/>
          <w:sz w:val="16"/>
          <w:szCs w:val="16"/>
          <w:color w:val="auto"/>
        </w:rPr>
        <w:t>The following table sets forth certain information as of February 24, 2023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48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No. of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of total</w:t>
            </w:r>
          </w:p>
        </w:tc>
      </w:tr>
      <w:tr>
        <w:trPr>
          <w:trHeight w:val="215"/>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48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Shares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1,680</w:t>
            </w: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42,377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0.05 %</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23,547</w:t>
            </w:r>
          </w:p>
        </w:tc>
        <w:tc>
          <w:tcPr>
            <w:tcW w:w="1180" w:type="dxa"/>
            <w:vAlign w:val="bottom"/>
          </w:tcPr>
          <w:p>
            <w:pPr>
              <w:jc w:val="right"/>
              <w:spacing w:after="0"/>
              <w:rPr>
                <w:sz w:val="20"/>
                <w:szCs w:val="20"/>
                <w:color w:val="auto"/>
              </w:rPr>
            </w:pPr>
            <w:r>
              <w:rPr>
                <w:rFonts w:ascii="Arial" w:cs="Arial" w:eastAsia="Arial" w:hAnsi="Arial"/>
                <w:sz w:val="16"/>
                <w:szCs w:val="16"/>
                <w:color w:val="auto"/>
              </w:rPr>
              <w:t>0.03 %</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Rónán Murphy</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1,680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509,297</w:t>
            </w:r>
          </w:p>
        </w:tc>
        <w:tc>
          <w:tcPr>
            <w:tcW w:w="1180" w:type="dxa"/>
            <w:vAlign w:val="bottom"/>
          </w:tcPr>
          <w:p>
            <w:pPr>
              <w:jc w:val="right"/>
              <w:spacing w:after="0"/>
              <w:rPr>
                <w:sz w:val="20"/>
                <w:szCs w:val="20"/>
                <w:color w:val="auto"/>
              </w:rPr>
            </w:pPr>
            <w:r>
              <w:rPr>
                <w:rFonts w:ascii="Arial" w:cs="Arial" w:eastAsia="Arial" w:hAnsi="Arial"/>
                <w:sz w:val="16"/>
                <w:szCs w:val="16"/>
                <w:color w:val="auto"/>
              </w:rPr>
              <w:t>0.62 %</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Joan Garahy</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1,680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Mr. Eugene McCague</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1,680</w:t>
            </w: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Julie O'Neill</w:t>
            </w:r>
          </w:p>
        </w:tc>
        <w:tc>
          <w:tcPr>
            <w:tcW w:w="48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1,490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color w:val="auto"/>
              </w:rPr>
              <w:t>Dr. Linda Grais</w:t>
            </w:r>
          </w:p>
        </w:tc>
        <w:tc>
          <w:tcPr>
            <w:tcW w:w="4820" w:type="dxa"/>
            <w:vAlign w:val="bottom"/>
          </w:tcPr>
          <w:p>
            <w:pPr>
              <w:jc w:val="right"/>
              <w:ind w:right="379"/>
              <w:spacing w:after="0"/>
              <w:rPr>
                <w:sz w:val="20"/>
                <w:szCs w:val="20"/>
                <w:color w:val="auto"/>
              </w:rPr>
            </w:pPr>
            <w:r>
              <w:rPr>
                <w:rFonts w:ascii="Arial" w:cs="Arial" w:eastAsia="Arial" w:hAnsi="Arial"/>
                <w:sz w:val="16"/>
                <w:szCs w:val="16"/>
                <w:color w:val="auto"/>
              </w:rPr>
              <w:t>3,994</w:t>
            </w: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345" w:lineRule="exact"/>
        <w:rPr>
          <w:sz w:val="20"/>
          <w:szCs w:val="20"/>
          <w:color w:val="auto"/>
        </w:rPr>
      </w:pPr>
    </w:p>
    <w:p>
      <w:pPr>
        <w:jc w:val="both"/>
        <w:ind w:left="500" w:hanging="330"/>
        <w:spacing w:after="0" w:line="253" w:lineRule="auto"/>
        <w:tabs>
          <w:tab w:leader="none" w:pos="4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Share Units and Performance Share Units</w:t>
      </w:r>
    </w:p>
    <w:p>
      <w:pPr>
        <w:spacing w:after="0" w:line="268"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following table sets forth certain information as of February 24, 2023 regarding beneficial ownership of Restricted Share Units (“RSUs”) and Performance Share Units (“PSUs”) which have been issued to our current Directors and executive officers.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b w:val="1"/>
                <w:bCs w:val="1"/>
                <w:color w:val="auto"/>
              </w:rPr>
              <w:t>No. of</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Vesting Date</w:t>
            </w: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No. of</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Vesting Date</w:t>
            </w:r>
          </w:p>
        </w:tc>
      </w:tr>
      <w:tr>
        <w:trPr>
          <w:trHeight w:val="216"/>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RSUs</w:t>
            </w:r>
          </w:p>
        </w:tc>
        <w:tc>
          <w:tcPr>
            <w:tcW w:w="24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519"/>
              <w:spacing w:after="0" w:line="216" w:lineRule="exact"/>
              <w:rPr>
                <w:sz w:val="20"/>
                <w:szCs w:val="20"/>
                <w:color w:val="auto"/>
              </w:rPr>
            </w:pPr>
            <w:r>
              <w:rPr>
                <w:rFonts w:ascii="Arial" w:cs="Arial" w:eastAsia="Arial" w:hAnsi="Arial"/>
                <w:sz w:val="16"/>
                <w:szCs w:val="16"/>
                <w:b w:val="1"/>
                <w:bCs w:val="1"/>
                <w:color w:val="auto"/>
              </w:rPr>
              <w:t xml:space="preserve">PSUs </w:t>
            </w:r>
            <w:r>
              <w:rPr>
                <w:rFonts w:ascii="Arial" w:cs="Arial" w:eastAsia="Arial" w:hAnsi="Arial"/>
                <w:sz w:val="21"/>
                <w:szCs w:val="21"/>
                <w:b w:val="1"/>
                <w:bCs w:val="1"/>
                <w:color w:val="auto"/>
                <w:vertAlign w:val="superscript"/>
              </w:rPr>
              <w:t>(1)</w:t>
            </w:r>
          </w:p>
        </w:tc>
        <w:tc>
          <w:tcPr>
            <w:tcW w:w="1660" w:type="dxa"/>
            <w:vAlign w:val="bottom"/>
            <w:tcBorders>
              <w:bottom w:val="single" w:sz="8" w:color="auto"/>
            </w:tcBorders>
            <w:shd w:val="clear" w:color="auto" w:fill="CCEEFF"/>
          </w:tcPr>
          <w:p>
            <w:pPr>
              <w:spacing w:after="0"/>
              <w:rPr>
                <w:sz w:val="18"/>
                <w:szCs w:val="18"/>
                <w:color w:val="auto"/>
              </w:rPr>
            </w:pPr>
          </w:p>
        </w:tc>
      </w:tr>
      <w:tr>
        <w:trPr>
          <w:trHeight w:val="207"/>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Ciaran Murray</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1,388</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53"/>
        </w:trPr>
        <w:tc>
          <w:tcPr>
            <w:tcW w:w="2220" w:type="dxa"/>
            <w:vAlign w:val="bottom"/>
          </w:tcPr>
          <w:p>
            <w:pPr>
              <w:ind w:left="20"/>
              <w:spacing w:after="0"/>
              <w:rPr>
                <w:sz w:val="20"/>
                <w:szCs w:val="20"/>
                <w:color w:val="auto"/>
              </w:rPr>
            </w:pPr>
            <w:r>
              <w:rPr>
                <w:rFonts w:ascii="Arial" w:cs="Arial" w:eastAsia="Arial" w:hAnsi="Arial"/>
                <w:sz w:val="16"/>
                <w:szCs w:val="16"/>
                <w:color w:val="auto"/>
              </w:rPr>
              <w:t>Dr. Steve Cutler</w:t>
            </w: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2,958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11,202</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2023</w:t>
            </w:r>
          </w:p>
        </w:tc>
      </w:tr>
      <w:tr>
        <w:trPr>
          <w:trHeight w:val="267"/>
        </w:trPr>
        <w:tc>
          <w:tcPr>
            <w:tcW w:w="2220" w:type="dxa"/>
            <w:vAlign w:val="bottom"/>
          </w:tcPr>
          <w:p>
            <w:pPr>
              <w:spacing w:after="0"/>
              <w:rPr>
                <w:sz w:val="23"/>
                <w:szCs w:val="23"/>
                <w:color w:val="auto"/>
              </w:rPr>
            </w:pPr>
          </w:p>
        </w:tc>
        <w:tc>
          <w:tcPr>
            <w:tcW w:w="2820" w:type="dxa"/>
            <w:vAlign w:val="bottom"/>
          </w:tcPr>
          <w:p>
            <w:pPr>
              <w:ind w:left="1760"/>
              <w:spacing w:after="0"/>
              <w:rPr>
                <w:sz w:val="20"/>
                <w:szCs w:val="20"/>
                <w:color w:val="auto"/>
              </w:rPr>
            </w:pPr>
            <w:r>
              <w:rPr>
                <w:rFonts w:ascii="Arial" w:cs="Arial" w:eastAsia="Arial" w:hAnsi="Arial"/>
                <w:sz w:val="16"/>
                <w:szCs w:val="16"/>
                <w:color w:val="auto"/>
              </w:rPr>
              <w:t>3,201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10,354</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2024</w:t>
            </w: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3,018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10,565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2025</w:t>
            </w:r>
          </w:p>
        </w:tc>
      </w:tr>
      <w:tr>
        <w:trPr>
          <w:trHeight w:val="267"/>
        </w:trPr>
        <w:tc>
          <w:tcPr>
            <w:tcW w:w="2220" w:type="dxa"/>
            <w:vAlign w:val="bottom"/>
          </w:tcPr>
          <w:p>
            <w:pPr>
              <w:spacing w:after="0"/>
              <w:rPr>
                <w:sz w:val="23"/>
                <w:szCs w:val="23"/>
                <w:color w:val="auto"/>
              </w:rPr>
            </w:pPr>
          </w:p>
        </w:tc>
        <w:tc>
          <w:tcPr>
            <w:tcW w:w="2820" w:type="dxa"/>
            <w:vAlign w:val="bottom"/>
          </w:tcPr>
          <w:p>
            <w:pPr>
              <w:ind w:left="1760"/>
              <w:spacing w:after="0"/>
              <w:rPr>
                <w:sz w:val="20"/>
                <w:szCs w:val="20"/>
                <w:color w:val="auto"/>
              </w:rPr>
            </w:pPr>
            <w:r>
              <w:rPr>
                <w:rFonts w:ascii="Arial" w:cs="Arial" w:eastAsia="Arial" w:hAnsi="Arial"/>
                <w:sz w:val="16"/>
                <w:szCs w:val="16"/>
                <w:color w:val="auto"/>
              </w:rPr>
              <w:t>2,959</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3,018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7"/>
        </w:trPr>
        <w:tc>
          <w:tcPr>
            <w:tcW w:w="2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3,019</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March 3, 2025</w:t>
            </w:r>
          </w:p>
        </w:tc>
        <w:tc>
          <w:tcPr>
            <w:tcW w:w="20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r>
      <w:tr>
        <w:trPr>
          <w:trHeight w:val="253"/>
        </w:trPr>
        <w:tc>
          <w:tcPr>
            <w:tcW w:w="222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694</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2,425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2023</w:t>
            </w: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698</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2,444</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2024</w:t>
            </w: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622</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2,179</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2025</w:t>
            </w: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698</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622</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2024</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7"/>
        </w:trPr>
        <w:tc>
          <w:tcPr>
            <w:tcW w:w="2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624</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March 3, 2025</w:t>
            </w:r>
          </w:p>
        </w:tc>
        <w:tc>
          <w:tcPr>
            <w:tcW w:w="20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r>
      <w:tr>
        <w:trPr>
          <w:trHeight w:val="20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Rónán Murphy</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r>
      <w:tr>
        <w:trPr>
          <w:trHeight w:val="20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John Climax</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0"/>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Joan Garahy</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r>
      <w:tr>
        <w:trPr>
          <w:trHeight w:val="209"/>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Eugene McCague</w:t>
            </w:r>
          </w:p>
        </w:tc>
        <w:tc>
          <w:tcPr>
            <w:tcW w:w="28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0"/>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Ms. Julie O'Neill</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Dr. Linda Grais</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925</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21, 2023</w:t>
            </w:r>
          </w:p>
        </w:tc>
        <w:tc>
          <w:tcPr>
            <w:tcW w:w="202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both"/>
        <w:ind w:left="500" w:right="20" w:hanging="330"/>
        <w:spacing w:after="0" w:line="245"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2020 – 2022, 2021 – 2023 and 2022 - 2024. Depending on the actual amount of EPS from 2020 to 2024, up to a maximum of 39,169 additional PSUs may also be granted to Dr. Steve Cutler and Mr. Brendan Brennan.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Options</w:t>
      </w:r>
    </w:p>
    <w:p>
      <w:pPr>
        <w:spacing w:after="0" w:line="28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 sets forth certain information as of February 24, 2023 regarding options to acquire ordinary shares of the Company by all of our current Directors and executive officers.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No. of</w:t>
            </w:r>
          </w:p>
        </w:tc>
        <w:tc>
          <w:tcPr>
            <w:tcW w:w="528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rPr>
              <w:t>Exercise price Expiration Date</w:t>
            </w: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3700" w:type="dxa"/>
            <w:vAlign w:val="bottom"/>
            <w:tcBorders>
              <w:bottom w:val="single" w:sz="8" w:color="auto"/>
            </w:tcBorders>
            <w:shd w:val="clear" w:color="auto" w:fill="CCEEFF"/>
          </w:tcPr>
          <w:p>
            <w:pPr>
              <w:jc w:val="right"/>
              <w:ind w:right="639"/>
              <w:spacing w:after="0" w:line="216"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186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18"/>
                <w:szCs w:val="18"/>
                <w:color w:val="auto"/>
              </w:rPr>
            </w:pPr>
          </w:p>
        </w:tc>
      </w:tr>
      <w:tr>
        <w:trPr>
          <w:trHeight w:val="234"/>
        </w:trPr>
        <w:tc>
          <w:tcPr>
            <w:tcW w:w="224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45,948</w:t>
            </w:r>
          </w:p>
        </w:tc>
        <w:tc>
          <w:tcPr>
            <w:tcW w:w="1860" w:type="dxa"/>
            <w:vAlign w:val="bottom"/>
          </w:tcPr>
          <w:p>
            <w:pPr>
              <w:jc w:val="right"/>
              <w:spacing w:after="0"/>
              <w:rPr>
                <w:sz w:val="20"/>
                <w:szCs w:val="20"/>
                <w:color w:val="auto"/>
              </w:rPr>
            </w:pPr>
            <w:r>
              <w:rPr>
                <w:rFonts w:ascii="Arial" w:cs="Arial" w:eastAsia="Arial" w:hAnsi="Arial"/>
                <w:sz w:val="16"/>
                <w:szCs w:val="16"/>
                <w:color w:val="auto"/>
              </w:rPr>
              <w:t>$71.95</w:t>
            </w:r>
          </w:p>
        </w:tc>
        <w:tc>
          <w:tcPr>
            <w:tcW w:w="3420" w:type="dxa"/>
            <w:vAlign w:val="bottom"/>
          </w:tcPr>
          <w:p>
            <w:pPr>
              <w:ind w:left="20"/>
              <w:spacing w:after="0"/>
              <w:rPr>
                <w:sz w:val="20"/>
                <w:szCs w:val="20"/>
                <w:color w:val="auto"/>
              </w:rPr>
            </w:pPr>
            <w:r>
              <w:rPr>
                <w:rFonts w:ascii="Arial" w:cs="Arial" w:eastAsia="Arial" w:hAnsi="Arial"/>
                <w:sz w:val="16"/>
                <w:szCs w:val="16"/>
                <w:color w:val="auto"/>
              </w:rPr>
              <w:t>March 4, 2024</w:t>
            </w: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7,693</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19, 2025</w:t>
            </w:r>
          </w:p>
        </w:tc>
      </w:tr>
      <w:tr>
        <w:trPr>
          <w:trHeight w:val="254"/>
        </w:trPr>
        <w:tc>
          <w:tcPr>
            <w:tcW w:w="22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5,005</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$125.74</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May 18, 2026</w:t>
            </w:r>
          </w:p>
        </w:tc>
      </w:tr>
      <w:tr>
        <w:trPr>
          <w:trHeight w:val="239"/>
        </w:trPr>
        <w:tc>
          <w:tcPr>
            <w:tcW w:w="2240" w:type="dxa"/>
            <w:vAlign w:val="bottom"/>
          </w:tcPr>
          <w:p>
            <w:pPr>
              <w:ind w:left="20"/>
              <w:spacing w:after="0"/>
              <w:rPr>
                <w:sz w:val="20"/>
                <w:szCs w:val="20"/>
                <w:color w:val="auto"/>
              </w:rPr>
            </w:pPr>
            <w:r>
              <w:rPr>
                <w:rFonts w:ascii="Arial" w:cs="Arial" w:eastAsia="Arial" w:hAnsi="Arial"/>
                <w:sz w:val="16"/>
                <w:szCs w:val="16"/>
                <w:color w:val="auto"/>
              </w:rPr>
              <w:t>Dr. Steve Cutler</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6,128</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4, 2024</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25,156</w:t>
            </w:r>
          </w:p>
        </w:tc>
        <w:tc>
          <w:tcPr>
            <w:tcW w:w="1860" w:type="dxa"/>
            <w:vAlign w:val="bottom"/>
          </w:tcPr>
          <w:p>
            <w:pPr>
              <w:jc w:val="right"/>
              <w:spacing w:after="0"/>
              <w:rPr>
                <w:sz w:val="20"/>
                <w:szCs w:val="20"/>
                <w:color w:val="auto"/>
              </w:rPr>
            </w:pPr>
            <w:r>
              <w:rPr>
                <w:rFonts w:ascii="Arial" w:cs="Arial" w:eastAsia="Arial" w:hAnsi="Arial"/>
                <w:sz w:val="16"/>
                <w:szCs w:val="16"/>
                <w:color w:val="auto"/>
              </w:rPr>
              <w:t>$83.47</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2025</w:t>
            </w: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29,613</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 2026</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32,272</w:t>
            </w:r>
          </w:p>
        </w:tc>
        <w:tc>
          <w:tcPr>
            <w:tcW w:w="1860" w:type="dxa"/>
            <w:vAlign w:val="bottom"/>
          </w:tcPr>
          <w:p>
            <w:pPr>
              <w:jc w:val="right"/>
              <w:spacing w:after="0"/>
              <w:rPr>
                <w:sz w:val="20"/>
                <w:szCs w:val="20"/>
                <w:color w:val="auto"/>
              </w:rPr>
            </w:pPr>
            <w:r>
              <w:rPr>
                <w:rFonts w:ascii="Arial" w:cs="Arial" w:eastAsia="Arial" w:hAnsi="Arial"/>
                <w:sz w:val="16"/>
                <w:szCs w:val="16"/>
                <w:color w:val="auto"/>
              </w:rPr>
              <w:t>$140.38</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2027</w:t>
            </w: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42,386</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 2028</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37,461</w:t>
            </w:r>
          </w:p>
        </w:tc>
        <w:tc>
          <w:tcPr>
            <w:tcW w:w="1860" w:type="dxa"/>
            <w:vAlign w:val="bottom"/>
          </w:tcPr>
          <w:p>
            <w:pPr>
              <w:jc w:val="right"/>
              <w:spacing w:after="0"/>
              <w:rPr>
                <w:sz w:val="20"/>
                <w:szCs w:val="20"/>
                <w:color w:val="auto"/>
              </w:rPr>
            </w:pPr>
            <w:r>
              <w:rPr>
                <w:rFonts w:ascii="Arial" w:cs="Arial" w:eastAsia="Arial" w:hAnsi="Arial"/>
                <w:sz w:val="16"/>
                <w:szCs w:val="16"/>
                <w:color w:val="auto"/>
              </w:rPr>
              <w:t>$174.96</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2029</w:t>
            </w:r>
          </w:p>
        </w:tc>
      </w:tr>
      <w:tr>
        <w:trPr>
          <w:trHeight w:val="256"/>
        </w:trPr>
        <w:tc>
          <w:tcPr>
            <w:tcW w:w="2240" w:type="dxa"/>
            <w:vAlign w:val="bottom"/>
            <w:tcBorders>
              <w:bottom w:val="single" w:sz="8" w:color="6D6D6D"/>
            </w:tcBorders>
          </w:tcPr>
          <w:p>
            <w:pPr>
              <w:spacing w:after="0"/>
              <w:rPr>
                <w:sz w:val="22"/>
                <w:szCs w:val="22"/>
                <w:color w:val="auto"/>
              </w:rPr>
            </w:pPr>
          </w:p>
        </w:tc>
        <w:tc>
          <w:tcPr>
            <w:tcW w:w="3700" w:type="dxa"/>
            <w:vAlign w:val="bottom"/>
            <w:tcBorders>
              <w:bottom w:val="single" w:sz="8" w:color="6D6D6D"/>
            </w:tcBorders>
            <w:shd w:val="clear" w:color="auto" w:fill="CCEEFF"/>
          </w:tcPr>
          <w:p>
            <w:pPr>
              <w:jc w:val="right"/>
              <w:ind w:right="699"/>
              <w:spacing w:after="0"/>
              <w:rPr>
                <w:sz w:val="20"/>
                <w:szCs w:val="20"/>
                <w:color w:val="auto"/>
              </w:rPr>
            </w:pPr>
            <w:r>
              <w:rPr>
                <w:rFonts w:ascii="Arial" w:cs="Arial" w:eastAsia="Arial" w:hAnsi="Arial"/>
                <w:sz w:val="16"/>
                <w:szCs w:val="16"/>
                <w:color w:val="auto"/>
              </w:rPr>
              <w:t>35,869</w:t>
            </w:r>
          </w:p>
        </w:tc>
        <w:tc>
          <w:tcPr>
            <w:tcW w:w="18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$231.68</w:t>
            </w:r>
          </w:p>
        </w:tc>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March 3, 2030</w:t>
            </w:r>
          </w:p>
        </w:tc>
      </w:tr>
      <w:tr>
        <w:trPr>
          <w:trHeight w:val="237"/>
        </w:trPr>
        <w:tc>
          <w:tcPr>
            <w:tcW w:w="224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9,306</w:t>
            </w:r>
          </w:p>
        </w:tc>
        <w:tc>
          <w:tcPr>
            <w:tcW w:w="1860" w:type="dxa"/>
            <w:vAlign w:val="bottom"/>
          </w:tcPr>
          <w:p>
            <w:pPr>
              <w:jc w:val="right"/>
              <w:spacing w:after="0"/>
              <w:rPr>
                <w:sz w:val="20"/>
                <w:szCs w:val="20"/>
                <w:color w:val="auto"/>
              </w:rPr>
            </w:pPr>
            <w:r>
              <w:rPr>
                <w:rFonts w:ascii="Arial" w:cs="Arial" w:eastAsia="Arial" w:hAnsi="Arial"/>
                <w:sz w:val="16"/>
                <w:szCs w:val="16"/>
                <w:color w:val="auto"/>
              </w:rPr>
              <w:t>$83.47</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2025</w:t>
            </w: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9,584</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 2026</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8,796</w:t>
            </w:r>
          </w:p>
        </w:tc>
        <w:tc>
          <w:tcPr>
            <w:tcW w:w="1860" w:type="dxa"/>
            <w:vAlign w:val="bottom"/>
          </w:tcPr>
          <w:p>
            <w:pPr>
              <w:jc w:val="right"/>
              <w:spacing w:after="0"/>
              <w:rPr>
                <w:sz w:val="20"/>
                <w:szCs w:val="20"/>
                <w:color w:val="auto"/>
              </w:rPr>
            </w:pPr>
            <w:r>
              <w:rPr>
                <w:rFonts w:ascii="Arial" w:cs="Arial" w:eastAsia="Arial" w:hAnsi="Arial"/>
                <w:sz w:val="16"/>
                <w:szCs w:val="16"/>
                <w:color w:val="auto"/>
              </w:rPr>
              <w:t>$140.38</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2027</w:t>
            </w:r>
          </w:p>
        </w:tc>
      </w:tr>
      <w:tr>
        <w:trPr>
          <w:trHeight w:val="259"/>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9,176</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$159.33</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 2028</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8,842</w:t>
            </w:r>
          </w:p>
        </w:tc>
        <w:tc>
          <w:tcPr>
            <w:tcW w:w="1860" w:type="dxa"/>
            <w:vAlign w:val="bottom"/>
          </w:tcPr>
          <w:p>
            <w:pPr>
              <w:jc w:val="right"/>
              <w:spacing w:after="0"/>
              <w:rPr>
                <w:sz w:val="20"/>
                <w:szCs w:val="20"/>
                <w:color w:val="auto"/>
              </w:rPr>
            </w:pPr>
            <w:r>
              <w:rPr>
                <w:rFonts w:ascii="Arial" w:cs="Arial" w:eastAsia="Arial" w:hAnsi="Arial"/>
                <w:sz w:val="16"/>
                <w:szCs w:val="16"/>
                <w:color w:val="auto"/>
              </w:rPr>
              <w:t>$174.96</w:t>
            </w:r>
          </w:p>
        </w:tc>
        <w:tc>
          <w:tcPr>
            <w:tcW w:w="3420" w:type="dxa"/>
            <w:vAlign w:val="bottom"/>
          </w:tcPr>
          <w:p>
            <w:pPr>
              <w:ind w:left="20"/>
              <w:spacing w:after="0"/>
              <w:rPr>
                <w:sz w:val="20"/>
                <w:szCs w:val="20"/>
                <w:color w:val="auto"/>
              </w:rPr>
            </w:pPr>
            <w:r>
              <w:rPr>
                <w:rFonts w:ascii="Arial" w:cs="Arial" w:eastAsia="Arial" w:hAnsi="Arial"/>
                <w:sz w:val="16"/>
                <w:szCs w:val="16"/>
                <w:color w:val="auto"/>
              </w:rPr>
              <w:t>March 3, 2029</w:t>
            </w:r>
          </w:p>
        </w:tc>
      </w:tr>
      <w:tr>
        <w:trPr>
          <w:trHeight w:val="257"/>
        </w:trPr>
        <w:tc>
          <w:tcPr>
            <w:tcW w:w="2240" w:type="dxa"/>
            <w:vAlign w:val="bottom"/>
            <w:tcBorders>
              <w:bottom w:val="single" w:sz="8" w:color="6D6D6D"/>
            </w:tcBorders>
          </w:tcPr>
          <w:p>
            <w:pPr>
              <w:spacing w:after="0"/>
              <w:rPr>
                <w:sz w:val="22"/>
                <w:szCs w:val="22"/>
                <w:color w:val="auto"/>
              </w:rPr>
            </w:pPr>
          </w:p>
        </w:tc>
        <w:tc>
          <w:tcPr>
            <w:tcW w:w="3700" w:type="dxa"/>
            <w:vAlign w:val="bottom"/>
            <w:tcBorders>
              <w:bottom w:val="single" w:sz="8" w:color="6D6D6D"/>
            </w:tcBorders>
            <w:shd w:val="clear" w:color="auto" w:fill="CCEEFF"/>
          </w:tcPr>
          <w:p>
            <w:pPr>
              <w:jc w:val="right"/>
              <w:ind w:right="699"/>
              <w:spacing w:after="0"/>
              <w:rPr>
                <w:sz w:val="20"/>
                <w:szCs w:val="20"/>
                <w:color w:val="auto"/>
              </w:rPr>
            </w:pPr>
            <w:r>
              <w:rPr>
                <w:rFonts w:ascii="Arial" w:cs="Arial" w:eastAsia="Arial" w:hAnsi="Arial"/>
                <w:sz w:val="16"/>
                <w:szCs w:val="16"/>
                <w:color w:val="auto"/>
              </w:rPr>
              <w:t>7,401</w:t>
            </w:r>
          </w:p>
        </w:tc>
        <w:tc>
          <w:tcPr>
            <w:tcW w:w="18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$231.68</w:t>
            </w:r>
          </w:p>
        </w:tc>
        <w:tc>
          <w:tcPr>
            <w:tcW w:w="3420" w:type="dxa"/>
            <w:vAlign w:val="bottom"/>
            <w:tcBorders>
              <w:bottom w:val="single" w:sz="8" w:color="6D6D6D"/>
            </w:tcBorders>
            <w:shd w:val="clear" w:color="auto" w:fill="CCEEFF"/>
          </w:tcPr>
          <w:p>
            <w:pPr>
              <w:ind w:left="20"/>
              <w:spacing w:after="0"/>
              <w:rPr>
                <w:sz w:val="20"/>
                <w:szCs w:val="20"/>
                <w:color w:val="auto"/>
              </w:rPr>
            </w:pPr>
            <w:r>
              <w:rPr>
                <w:rFonts w:ascii="Arial" w:cs="Arial" w:eastAsia="Arial" w:hAnsi="Arial"/>
                <w:sz w:val="16"/>
                <w:szCs w:val="16"/>
                <w:color w:val="auto"/>
              </w:rPr>
              <w:t>March 3, 2030</w:t>
            </w:r>
          </w:p>
        </w:tc>
      </w:tr>
      <w:tr>
        <w:trPr>
          <w:trHeight w:val="237"/>
        </w:trPr>
        <w:tc>
          <w:tcPr>
            <w:tcW w:w="2240" w:type="dxa"/>
            <w:vAlign w:val="bottom"/>
          </w:tcPr>
          <w:p>
            <w:pPr>
              <w:ind w:left="20"/>
              <w:spacing w:after="0"/>
              <w:rPr>
                <w:sz w:val="20"/>
                <w:szCs w:val="20"/>
                <w:color w:val="auto"/>
              </w:rPr>
            </w:pPr>
            <w:r>
              <w:rPr>
                <w:rFonts w:ascii="Arial" w:cs="Arial" w:eastAsia="Arial" w:hAnsi="Arial"/>
                <w:sz w:val="16"/>
                <w:szCs w:val="16"/>
                <w:color w:val="auto"/>
              </w:rPr>
              <w:t>Mr. Rónán Murphy</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4,617</w:t>
            </w:r>
          </w:p>
        </w:tc>
        <w:tc>
          <w:tcPr>
            <w:tcW w:w="1860" w:type="dxa"/>
            <w:vAlign w:val="bottom"/>
          </w:tcPr>
          <w:p>
            <w:pPr>
              <w:jc w:val="right"/>
              <w:spacing w:after="0"/>
              <w:rPr>
                <w:sz w:val="20"/>
                <w:szCs w:val="20"/>
                <w:color w:val="auto"/>
              </w:rPr>
            </w:pPr>
            <w:r>
              <w:rPr>
                <w:rFonts w:ascii="Arial" w:cs="Arial" w:eastAsia="Arial" w:hAnsi="Arial"/>
                <w:sz w:val="16"/>
                <w:szCs w:val="16"/>
                <w:color w:val="auto"/>
              </w:rPr>
              <w:t>$90.03</w:t>
            </w:r>
          </w:p>
        </w:tc>
        <w:tc>
          <w:tcPr>
            <w:tcW w:w="3420" w:type="dxa"/>
            <w:vAlign w:val="bottom"/>
          </w:tcPr>
          <w:p>
            <w:pPr>
              <w:ind w:left="20"/>
              <w:spacing w:after="0"/>
              <w:rPr>
                <w:sz w:val="20"/>
                <w:szCs w:val="20"/>
                <w:color w:val="auto"/>
              </w:rPr>
            </w:pPr>
            <w:r>
              <w:rPr>
                <w:rFonts w:ascii="Arial" w:cs="Arial" w:eastAsia="Arial" w:hAnsi="Arial"/>
                <w:sz w:val="16"/>
                <w:szCs w:val="16"/>
                <w:color w:val="auto"/>
              </w:rPr>
              <w:t>May 19, 2025</w:t>
            </w:r>
          </w:p>
        </w:tc>
      </w:tr>
      <w:tr>
        <w:trPr>
          <w:trHeight w:val="257"/>
        </w:trPr>
        <w:tc>
          <w:tcPr>
            <w:tcW w:w="2240" w:type="dxa"/>
            <w:vAlign w:val="bottom"/>
            <w:tcBorders>
              <w:bottom w:val="single" w:sz="8" w:color="929292"/>
            </w:tcBorders>
          </w:tcPr>
          <w:p>
            <w:pPr>
              <w:spacing w:after="0"/>
              <w:rPr>
                <w:sz w:val="22"/>
                <w:szCs w:val="22"/>
                <w:color w:val="auto"/>
              </w:rPr>
            </w:pPr>
          </w:p>
        </w:tc>
        <w:tc>
          <w:tcPr>
            <w:tcW w:w="3700" w:type="dxa"/>
            <w:vAlign w:val="bottom"/>
            <w:tcBorders>
              <w:bottom w:val="single" w:sz="8" w:color="929292"/>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6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2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May 18, 2026</w:t>
            </w: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10,000</w:t>
            </w:r>
          </w:p>
        </w:tc>
        <w:tc>
          <w:tcPr>
            <w:tcW w:w="1860" w:type="dxa"/>
            <w:vAlign w:val="bottom"/>
          </w:tcPr>
          <w:p>
            <w:pPr>
              <w:jc w:val="right"/>
              <w:spacing w:after="0"/>
              <w:rPr>
                <w:sz w:val="20"/>
                <w:szCs w:val="20"/>
                <w:color w:val="auto"/>
              </w:rPr>
            </w:pPr>
            <w:r>
              <w:rPr>
                <w:rFonts w:ascii="Arial" w:cs="Arial" w:eastAsia="Arial" w:hAnsi="Arial"/>
                <w:sz w:val="16"/>
                <w:szCs w:val="16"/>
                <w:color w:val="auto"/>
              </w:rPr>
              <w:t>$68.39</w:t>
            </w:r>
          </w:p>
        </w:tc>
        <w:tc>
          <w:tcPr>
            <w:tcW w:w="3420" w:type="dxa"/>
            <w:vAlign w:val="bottom"/>
          </w:tcPr>
          <w:p>
            <w:pPr>
              <w:ind w:left="20"/>
              <w:spacing w:after="0"/>
              <w:rPr>
                <w:sz w:val="20"/>
                <w:szCs w:val="20"/>
                <w:color w:val="auto"/>
              </w:rPr>
            </w:pPr>
            <w:r>
              <w:rPr>
                <w:rFonts w:ascii="Arial" w:cs="Arial" w:eastAsia="Arial" w:hAnsi="Arial"/>
                <w:sz w:val="16"/>
                <w:szCs w:val="16"/>
                <w:color w:val="auto"/>
              </w:rPr>
              <w:t>March 18, 2023</w:t>
            </w:r>
          </w:p>
        </w:tc>
      </w:tr>
      <w:tr>
        <w:trPr>
          <w:trHeight w:val="260"/>
        </w:trPr>
        <w:tc>
          <w:tcPr>
            <w:tcW w:w="2240" w:type="dxa"/>
            <w:vAlign w:val="bottom"/>
          </w:tcPr>
          <w:p>
            <w:pPr>
              <w:spacing w:after="0"/>
              <w:rPr>
                <w:sz w:val="22"/>
                <w:szCs w:val="22"/>
                <w:color w:val="auto"/>
              </w:rPr>
            </w:pP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10,557</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20, 2024</w:t>
            </w:r>
          </w:p>
        </w:tc>
      </w:tr>
      <w:tr>
        <w:trPr>
          <w:trHeight w:val="253"/>
        </w:trPr>
        <w:tc>
          <w:tcPr>
            <w:tcW w:w="2240" w:type="dxa"/>
            <w:vAlign w:val="bottom"/>
          </w:tcPr>
          <w:p>
            <w:pPr>
              <w:spacing w:after="0"/>
              <w:rPr>
                <w:sz w:val="22"/>
                <w:szCs w:val="22"/>
                <w:color w:val="auto"/>
              </w:rPr>
            </w:pPr>
          </w:p>
        </w:tc>
        <w:tc>
          <w:tcPr>
            <w:tcW w:w="3700" w:type="dxa"/>
            <w:vAlign w:val="bottom"/>
          </w:tcPr>
          <w:p>
            <w:pPr>
              <w:jc w:val="right"/>
              <w:ind w:right="699"/>
              <w:spacing w:after="0"/>
              <w:rPr>
                <w:sz w:val="20"/>
                <w:szCs w:val="20"/>
                <w:color w:val="auto"/>
              </w:rPr>
            </w:pPr>
            <w:r>
              <w:rPr>
                <w:rFonts w:ascii="Arial" w:cs="Arial" w:eastAsia="Arial" w:hAnsi="Arial"/>
                <w:sz w:val="16"/>
                <w:szCs w:val="16"/>
                <w:color w:val="auto"/>
              </w:rPr>
              <w:t>7,693</w:t>
            </w:r>
          </w:p>
        </w:tc>
        <w:tc>
          <w:tcPr>
            <w:tcW w:w="1860" w:type="dxa"/>
            <w:vAlign w:val="bottom"/>
          </w:tcPr>
          <w:p>
            <w:pPr>
              <w:jc w:val="right"/>
              <w:spacing w:after="0"/>
              <w:rPr>
                <w:sz w:val="20"/>
                <w:szCs w:val="20"/>
                <w:color w:val="auto"/>
              </w:rPr>
            </w:pPr>
            <w:r>
              <w:rPr>
                <w:rFonts w:ascii="Arial" w:cs="Arial" w:eastAsia="Arial" w:hAnsi="Arial"/>
                <w:sz w:val="16"/>
                <w:szCs w:val="16"/>
                <w:color w:val="auto"/>
              </w:rPr>
              <w:t>$90.03</w:t>
            </w:r>
          </w:p>
        </w:tc>
        <w:tc>
          <w:tcPr>
            <w:tcW w:w="3420" w:type="dxa"/>
            <w:vAlign w:val="bottom"/>
          </w:tcPr>
          <w:p>
            <w:pPr>
              <w:ind w:left="20"/>
              <w:spacing w:after="0"/>
              <w:rPr>
                <w:sz w:val="20"/>
                <w:szCs w:val="20"/>
                <w:color w:val="auto"/>
              </w:rPr>
            </w:pPr>
            <w:r>
              <w:rPr>
                <w:rFonts w:ascii="Arial" w:cs="Arial" w:eastAsia="Arial" w:hAnsi="Arial"/>
                <w:sz w:val="16"/>
                <w:szCs w:val="16"/>
                <w:color w:val="auto"/>
              </w:rPr>
              <w:t>May 19, 2025</w:t>
            </w:r>
          </w:p>
        </w:tc>
      </w:tr>
      <w:tr>
        <w:trPr>
          <w:trHeight w:val="257"/>
        </w:trPr>
        <w:tc>
          <w:tcPr>
            <w:tcW w:w="2240" w:type="dxa"/>
            <w:vAlign w:val="bottom"/>
            <w:tcBorders>
              <w:bottom w:val="single" w:sz="8" w:color="6D6D6D"/>
            </w:tcBorders>
          </w:tcPr>
          <w:p>
            <w:pPr>
              <w:spacing w:after="0"/>
              <w:rPr>
                <w:sz w:val="22"/>
                <w:szCs w:val="22"/>
                <w:color w:val="auto"/>
              </w:rPr>
            </w:pPr>
          </w:p>
        </w:tc>
        <w:tc>
          <w:tcPr>
            <w:tcW w:w="3700" w:type="dxa"/>
            <w:vAlign w:val="bottom"/>
            <w:tcBorders>
              <w:bottom w:val="single" w:sz="8" w:color="6D6D6D"/>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6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20" w:type="dxa"/>
            <w:vAlign w:val="bottom"/>
            <w:tcBorders>
              <w:bottom w:val="single" w:sz="8" w:color="6D6D6D"/>
            </w:tcBorders>
            <w:shd w:val="clear" w:color="auto" w:fill="CCEEFF"/>
          </w:tcPr>
          <w:p>
            <w:pPr>
              <w:ind w:left="20"/>
              <w:spacing w:after="0"/>
              <w:rPr>
                <w:sz w:val="20"/>
                <w:szCs w:val="20"/>
                <w:color w:val="auto"/>
              </w:rPr>
            </w:pPr>
            <w:r>
              <w:rPr>
                <w:rFonts w:ascii="Arial" w:cs="Arial" w:eastAsia="Arial" w:hAnsi="Arial"/>
                <w:sz w:val="16"/>
                <w:szCs w:val="16"/>
                <w:color w:val="auto"/>
              </w:rPr>
              <w:t>May 18, 2026</w:t>
            </w:r>
          </w:p>
        </w:tc>
      </w:tr>
      <w:tr>
        <w:trPr>
          <w:trHeight w:val="209"/>
        </w:trPr>
        <w:tc>
          <w:tcPr>
            <w:tcW w:w="224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Ms. Joan Garahy</w:t>
            </w:r>
          </w:p>
        </w:tc>
        <w:tc>
          <w:tcPr>
            <w:tcW w:w="3700" w:type="dxa"/>
            <w:vAlign w:val="bottom"/>
            <w:tcBorders>
              <w:bottom w:val="single" w:sz="8" w:color="929292"/>
            </w:tcBorders>
          </w:tcPr>
          <w:p>
            <w:pPr>
              <w:jc w:val="right"/>
              <w:ind w:right="699"/>
              <w:spacing w:after="0"/>
              <w:rPr>
                <w:sz w:val="20"/>
                <w:szCs w:val="20"/>
                <w:color w:val="auto"/>
              </w:rPr>
            </w:pPr>
            <w:r>
              <w:rPr>
                <w:rFonts w:ascii="Arial" w:cs="Arial" w:eastAsia="Arial" w:hAnsi="Arial"/>
                <w:sz w:val="16"/>
                <w:szCs w:val="16"/>
                <w:color w:val="auto"/>
              </w:rPr>
              <w:t>5,005</w:t>
            </w:r>
          </w:p>
        </w:tc>
        <w:tc>
          <w:tcPr>
            <w:tcW w:w="186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$125.74</w:t>
            </w:r>
          </w:p>
        </w:tc>
        <w:tc>
          <w:tcPr>
            <w:tcW w:w="342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May 18, 2026</w:t>
            </w:r>
          </w:p>
        </w:tc>
      </w:tr>
      <w:tr>
        <w:trPr>
          <w:trHeight w:val="21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Mr. Eugene McCague</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5,005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May 18, 2026</w:t>
            </w:r>
          </w:p>
        </w:tc>
      </w:tr>
    </w:tbl>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The title of securities covered by all of the above options are non-qualified.</w:t>
      </w:r>
    </w:p>
    <w:p>
      <w:pPr>
        <w:spacing w:after="0" w:line="2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February 2018, the Board approved the appointment of Mr. Murray as Chair of the Board of Directors with effect from May 12,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(May 12, 2018) were accelerated and the outstanding ordinary share options and Restricted Share Units vested on that date. The unvested Performance Share Units with vesting dates between May 12, 2018 and March 31. 2019 were forfeited on Mr. Murray ceasing to be an ICON plc employee on May 12, 2018.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79" w:name="page80"/>
    <w:bookmarkEnd w:id="79"/>
    <w:p>
      <w:pPr>
        <w:jc w:val="both"/>
        <w:ind w:firstLine="648"/>
        <w:spacing w:after="0" w:line="254"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Legacy PRA Equity Incentive Plans</w:t>
      </w:r>
    </w:p>
    <w:p>
      <w:pPr>
        <w:spacing w:after="0" w:line="27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represent the legacy PRA equity incentive plans, which still have equity outstanding but have been terminated as of July 1, 2021 as to grants of future awards.</w:t>
      </w:r>
    </w:p>
    <w:p>
      <w:pPr>
        <w:spacing w:after="0" w:line="23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Pursuant to the Merger Agreement, effective on July 1, 2021, each outstanding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2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PRA Health Sciences, Inc. 2020 Stock Incentive Plan was amended and restated and assumed by the Company effective as of July 1, 2021. The 2020 Stock Incentive Plan (“the 2020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PRA Health Sciences, Inc. 2018 Stock Incentive Plan was amended and restated and assumed by the Company effective as of July 1, 2021. 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 million shares of common stock plus all shares that remained available under the 2014 Plan on May 31, 2018 (which included shares carried over from the 2013 Plan).</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PRA Health Sciences, Inc. 2014 Omnibus Incentive Plan was amended and restated and assumed by the Company effective as of July 1, 2021 (the “2014 Plan”). 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0" w:name="page81"/>
    <w:bookmarkEnd w:id="80"/>
    <w:p>
      <w:pPr>
        <w:jc w:val="both"/>
        <w:ind w:firstLine="648"/>
        <w:spacing w:after="0" w:line="258" w:lineRule="auto"/>
        <w:rPr>
          <w:sz w:val="20"/>
          <w:szCs w:val="20"/>
          <w:color w:val="auto"/>
        </w:rPr>
      </w:pPr>
      <w:r>
        <w:rPr>
          <w:rFonts w:ascii="Arial" w:cs="Arial" w:eastAsia="Arial" w:hAnsi="Arial"/>
          <w:sz w:val="16"/>
          <w:szCs w:val="16"/>
          <w:color w:val="auto"/>
        </w:rPr>
        <w:t>The 2013 Stock Incentive Plan for Key Employees of PRA Health Sciences and its Subsidiaries was amended and restated and assumed by the Registrant effective as of July 1, 2021 (the “2013 Plan”). On September 23, 2013, the PRA Health Sciences, Inc. Board of Directors approved the formation of the 2013 Plan for Key Employees of Pinnacle Holdco Parent, Inc. and its subsidiaries. The 2013 Plan allowed for the issuance of stock options and other stock-based awards as permitted by applicable laws. The number of shares available for grant under the 2013 Plan was 12.5% of the outstanding shares at closing on a fully diluted basis. The 2013 Plan authorized the issuance of 2,052,909 shares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Major Shareholders and Related Party Transactions.</w:t>
      </w:r>
    </w:p>
    <w:p>
      <w:pPr>
        <w:spacing w:after="0" w:line="20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Major Shareholders</w:t>
      </w:r>
    </w:p>
    <w:p>
      <w:pPr>
        <w:spacing w:after="0" w:line="2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February 24, 2023 (i) by each person that beneficially owns more than 5% of the outstanding ordinary shares, based upon information known to us and publicly available information; and</w:t>
      </w:r>
    </w:p>
    <w:p>
      <w:pPr>
        <w:spacing w:after="0" w:line="1" w:lineRule="exact"/>
        <w:rPr>
          <w:sz w:val="20"/>
          <w:szCs w:val="20"/>
          <w:color w:val="auto"/>
        </w:rPr>
      </w:pPr>
    </w:p>
    <w:p>
      <w:pPr>
        <w:jc w:val="both"/>
        <w:ind w:firstLine="8"/>
        <w:spacing w:after="0" w:line="262" w:lineRule="auto"/>
        <w:tabs>
          <w:tab w:leader="none" w:pos="2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9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9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 (6)</w:t>
            </w: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Owner or Identity of Group</w:t>
            </w: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 of Shares</w:t>
            </w:r>
          </w:p>
        </w:tc>
        <w:tc>
          <w:tcPr>
            <w:tcW w:w="260" w:type="dxa"/>
            <w:vAlign w:val="bottom"/>
          </w:tcPr>
          <w:p>
            <w:pPr>
              <w:spacing w:after="0"/>
              <w:rPr>
                <w:sz w:val="14"/>
                <w:szCs w:val="14"/>
                <w:color w:val="auto"/>
              </w:rPr>
            </w:pPr>
          </w:p>
        </w:tc>
        <w:tc>
          <w:tcPr>
            <w:tcW w:w="940" w:type="dxa"/>
            <w:vAlign w:val="bottom"/>
          </w:tcPr>
          <w:p>
            <w:pPr>
              <w:jc w:val="right"/>
              <w:ind w:right="19"/>
              <w:spacing w:after="0" w:line="162" w:lineRule="exact"/>
              <w:rPr>
                <w:sz w:val="20"/>
                <w:szCs w:val="20"/>
                <w:color w:val="auto"/>
              </w:rPr>
            </w:pPr>
            <w:r>
              <w:rPr>
                <w:rFonts w:ascii="Arial" w:cs="Arial" w:eastAsia="Arial" w:hAnsi="Arial"/>
                <w:sz w:val="16"/>
                <w:szCs w:val="16"/>
                <w:b w:val="1"/>
                <w:bCs w:val="1"/>
                <w:color w:val="auto"/>
              </w:rPr>
              <w:t>Percent of</w:t>
            </w:r>
          </w:p>
        </w:tc>
        <w:tc>
          <w:tcPr>
            <w:tcW w:w="11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No. of Shares</w:t>
            </w:r>
          </w:p>
        </w:tc>
        <w:tc>
          <w:tcPr>
            <w:tcW w:w="280" w:type="dxa"/>
            <w:vAlign w:val="bottom"/>
          </w:tcPr>
          <w:p>
            <w:pPr>
              <w:spacing w:after="0"/>
              <w:rPr>
                <w:sz w:val="14"/>
                <w:szCs w:val="14"/>
                <w:color w:val="auto"/>
              </w:rPr>
            </w:pPr>
          </w:p>
        </w:tc>
        <w:tc>
          <w:tcPr>
            <w:tcW w:w="94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Percent of</w:t>
            </w:r>
          </w:p>
        </w:tc>
        <w:tc>
          <w:tcPr>
            <w:tcW w:w="146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No. of Shares</w:t>
            </w:r>
          </w:p>
        </w:tc>
        <w:tc>
          <w:tcPr>
            <w:tcW w:w="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Class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(1)</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940" w:type="dxa"/>
            <w:vAlign w:val="bottom"/>
          </w:tcPr>
          <w:p>
            <w:pPr>
              <w:ind w:left="20"/>
              <w:spacing w:after="0"/>
              <w:rPr>
                <w:sz w:val="20"/>
                <w:szCs w:val="20"/>
                <w:color w:val="auto"/>
              </w:rPr>
            </w:pPr>
            <w:r>
              <w:rPr>
                <w:rFonts w:ascii="Arial" w:cs="Arial" w:eastAsia="Arial" w:hAnsi="Arial"/>
                <w:sz w:val="16"/>
                <w:szCs w:val="16"/>
                <w:color w:val="auto"/>
              </w:rPr>
              <w:t>Massachusetts Financial Services Company (2)</w:t>
            </w:r>
          </w:p>
        </w:tc>
        <w:tc>
          <w:tcPr>
            <w:tcW w:w="1300" w:type="dxa"/>
            <w:vAlign w:val="bottom"/>
          </w:tcPr>
          <w:p>
            <w:pPr>
              <w:jc w:val="right"/>
              <w:spacing w:after="0"/>
              <w:rPr>
                <w:sz w:val="20"/>
                <w:szCs w:val="20"/>
                <w:color w:val="auto"/>
              </w:rPr>
            </w:pPr>
            <w:r>
              <w:rPr>
                <w:rFonts w:ascii="Arial" w:cs="Arial" w:eastAsia="Arial" w:hAnsi="Arial"/>
                <w:sz w:val="16"/>
                <w:szCs w:val="16"/>
                <w:color w:val="auto"/>
              </w:rPr>
              <w:t>8,119,214</w:t>
            </w:r>
          </w:p>
        </w:tc>
        <w:tc>
          <w:tcPr>
            <w:tcW w:w="2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9.9 %</w:t>
            </w:r>
          </w:p>
        </w:tc>
        <w:tc>
          <w:tcPr>
            <w:tcW w:w="1180" w:type="dxa"/>
            <w:vAlign w:val="bottom"/>
          </w:tcPr>
          <w:p>
            <w:pPr>
              <w:jc w:val="right"/>
              <w:spacing w:after="0"/>
              <w:rPr>
                <w:sz w:val="20"/>
                <w:szCs w:val="20"/>
                <w:color w:val="auto"/>
              </w:rPr>
            </w:pPr>
            <w:r>
              <w:rPr>
                <w:rFonts w:ascii="Arial" w:cs="Arial" w:eastAsia="Arial" w:hAnsi="Arial"/>
                <w:sz w:val="16"/>
                <w:szCs w:val="16"/>
                <w:color w:val="auto"/>
              </w:rPr>
              <w:t>7,228,317</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8.9 %</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2,268,437</w:t>
            </w:r>
          </w:p>
        </w:tc>
        <w:tc>
          <w:tcPr>
            <w:tcW w:w="84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WCM Investment Management (2)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5,885,414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7,179,979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8.8 %</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3,976,550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All Directors, officers and other key employees as a</w:t>
            </w: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group (3)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1,116,311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1,129,726</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1.4 %</w:t>
            </w:r>
          </w:p>
        </w:tc>
        <w:tc>
          <w:tcPr>
            <w:tcW w:w="1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1,152,168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500" w:hanging="330"/>
        <w:spacing w:after="0" w:line="262"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85" w:lineRule="exact"/>
        <w:rPr>
          <w:rFonts w:ascii="Arial" w:cs="Arial" w:eastAsia="Arial" w:hAnsi="Arial"/>
          <w:sz w:val="16"/>
          <w:szCs w:val="16"/>
          <w:color w:val="auto"/>
        </w:rPr>
      </w:pPr>
    </w:p>
    <w:p>
      <w:pPr>
        <w:ind w:left="480" w:hanging="310"/>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Neither the Company nor any of its officers, Directors or affiliates holds any voting power in this entity.</w:t>
      </w:r>
    </w:p>
    <w:p>
      <w:pPr>
        <w:spacing w:after="0" w:line="126" w:lineRule="exact"/>
        <w:rPr>
          <w:rFonts w:ascii="Arial" w:cs="Arial" w:eastAsia="Arial" w:hAnsi="Arial"/>
          <w:sz w:val="16"/>
          <w:szCs w:val="16"/>
          <w:color w:val="auto"/>
        </w:rPr>
      </w:pPr>
    </w:p>
    <w:p>
      <w:pPr>
        <w:jc w:val="both"/>
        <w:ind w:left="500" w:hanging="330"/>
        <w:spacing w:after="0" w:line="257"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401,416 ordinary shares issuable upon the exercise of stock options granted by the Company, 31,940 RSUs awarded by the Company to Directors, officers and other key employees and 88,074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89" w:lineRule="exact"/>
        <w:rPr>
          <w:rFonts w:ascii="Arial" w:cs="Arial" w:eastAsia="Arial" w:hAnsi="Arial"/>
          <w:sz w:val="16"/>
          <w:szCs w:val="16"/>
          <w:color w:val="auto"/>
        </w:rPr>
      </w:pPr>
    </w:p>
    <w:p>
      <w:pPr>
        <w:jc w:val="both"/>
        <w:ind w:left="500" w:hanging="330"/>
        <w:spacing w:after="0" w:line="262"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information is based on the Schedule 13G, Amendment No. 2, filed with the SEC by Massachusetts Financial Services Company on February 8, 2023 for shares held on December 30, 2022; and the Schedule 13G/ Amendment No. 8 filed with the SEC by WCM Investment Management on February 10, 2023 for shares held on December 31, 2022, respectively.</w:t>
      </w:r>
    </w:p>
    <w:p>
      <w:pPr>
        <w:spacing w:after="0" w:line="85" w:lineRule="exact"/>
        <w:rPr>
          <w:rFonts w:ascii="Arial" w:cs="Arial" w:eastAsia="Arial" w:hAnsi="Arial"/>
          <w:sz w:val="16"/>
          <w:szCs w:val="16"/>
          <w:color w:val="auto"/>
        </w:rPr>
      </w:pPr>
    </w:p>
    <w:p>
      <w:pPr>
        <w:jc w:val="both"/>
        <w:ind w:left="500" w:right="20" w:hanging="330"/>
        <w:spacing w:after="0" w:line="262"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information is based on the Schedule 13G, Amendment No. 1, filed with the SEC by Massachusetts Financial Services Co on February 2, 2022 for shares held on December 31, 2021; and the Schedule 13F filed with the SEC by WCM Investment Management on January 26, 2022 for shares held on December 31, 2021; respectively.</w:t>
      </w:r>
    </w:p>
    <w:p>
      <w:pPr>
        <w:spacing w:after="0" w:line="99" w:lineRule="exact"/>
        <w:rPr>
          <w:rFonts w:ascii="Arial" w:cs="Arial" w:eastAsia="Arial" w:hAnsi="Arial"/>
          <w:sz w:val="16"/>
          <w:szCs w:val="16"/>
          <w:color w:val="auto"/>
        </w:rPr>
      </w:pPr>
    </w:p>
    <w:p>
      <w:pPr>
        <w:jc w:val="both"/>
        <w:ind w:left="500" w:hanging="330"/>
        <w:spacing w:after="0" w:line="253"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information is based on the Schedule 13F/ Amendment No. 1 filed with the SEC by Massachusetts Financial Services Company on May 12, 2021 for shares held on December 31, 2020; and the Schedule 13F, Amendment No. 1, filed with the SEC by WCM Investment Management on February 23, 2021 for shares held on December 31, 2020;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ICON plc, is not directly or indirectly, owned or controlled by another corporation or by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81" w:name="page82"/>
    <w:bookmarkEnd w:id="81"/>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Related Party Transactions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Subsidiaries of the Company earned revenue of $2,000 (December 31, 2021: $30,000) from DS Biopharma Limited (formerly Dignity Sciences Limited) during the year ended December 31, 2022. Dr. John Climax is Executive Chairman and a Director and shareholder of DS Biopharma Limited. $12,000 was recorded as due from DS Biopharma Limited at December 31, 2022 (December 31, 2021: $12,000).</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$235,000 (December 31, 2021: $551,000) from Afimmune Limited during the year ended December 31, 2022. Dr. John Climax is Chief Executive Officer and a Director and shareholder of Afimmune Limited. $263,000 was recorded as due from Afimmune Limited at December 31, 2022 (December 31, 2021: $197,000).</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Subsidiaries of the Company earned revenue of $428,000 from Corvus Pharmaceuticals during the year ended December 31, 2022. Dr. Linda Grais serves as a Director and shareholder of Corvus Pharmaceuticals. $231,000 was recorded as due from Corvus Pharmaceuticals at December 31, 2022.</w:t>
      </w:r>
    </w:p>
    <w:p>
      <w:pPr>
        <w:spacing w:after="0" w:line="2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The Company provided corporate support services to Oncacare to the value of $451,000 during the year ended December 31, 2022 (December 31, 2021: $465,000). $715,000 was recorded as due from Oncacare at December 31, 2022 (December 31, 2021: $264,000). During the year ended December 31, 2021, the Company provided a loan of $10 million to Oncacare in order to fund the continued start up of the business' operations. The loan accrues annual interest at 1.6% and the loan is repayable on June 30, 2025. The Company has recorded losses of $3.1 million and $2.2 million representing its pro rata share of the losses in Oncacare during the year ended December 31, 2022 and December 31, 2021, respectively. The carrying value of the Company's investment in Oncacare was reduced by $2.3 million of pro rata losses. The remaining $0.8 million in pro rata losses served to reduce the carrying value of the Company's loan receivable from Oncacare to $9.2 million. At December 31, 2022 accrued interest of $183,000 remained outstanding.</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in Oncacare has the right to sell the 51% majority voting share capital exclusively to the Company in an eighteen month period, commencing January 1, 2023 and ICON also has the right to acquire the 51% majority voting share capital from August 1, 2025.</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Interests of experts and counsel</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Information.</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Consolidated Statements and Other Financial Information</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do not expect any current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1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Significant Changes</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significant changes to our business that we believe could reasonably be expected to have a material adverse effect on our business, results of operations and financial condition.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The Offer and Listing.</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Offer and listing details</w:t>
      </w:r>
    </w:p>
    <w:p>
      <w:pPr>
        <w:spacing w:after="0" w:line="2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ICON’s ordinary shares are traded on the NASDAQ Global Select Market under the symbol “ICLR”. ICON plc’s American Depositary Receipt ("ADR") program was terminated on January 31, 2013 and ICON plc’s ordinary shares began directly trading on NASDAQ on February 4, 2013. Prior to that date, ICON plc’s American Depositary Shares ("ADSs") were traded on NASDAQ and ICON plc’s Depository for the ADSs was The Bank of New York Mellon.</w:t>
      </w:r>
    </w:p>
    <w:p>
      <w:pPr>
        <w:spacing w:after="0" w:line="397" w:lineRule="exact"/>
        <w:rPr>
          <w:sz w:val="20"/>
          <w:szCs w:val="20"/>
          <w:color w:val="auto"/>
        </w:rPr>
      </w:pPr>
    </w:p>
    <w:p>
      <w:pPr>
        <w:ind w:left="660" w:right="9100" w:hanging="328"/>
        <w:spacing w:after="0" w:line="572"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328"/>
        <w:spacing w:after="0"/>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8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NASDAQ.</w:t>
      </w:r>
    </w:p>
    <w:p>
      <w:pPr>
        <w:spacing w:after="0" w:line="228" w:lineRule="exact"/>
        <w:rPr>
          <w:rFonts w:ascii="Arial" w:cs="Arial" w:eastAsia="Arial" w:hAnsi="Arial"/>
          <w:sz w:val="16"/>
          <w:szCs w:val="16"/>
          <w:b w:val="1"/>
          <w:bCs w:val="1"/>
          <w:color w:val="auto"/>
        </w:rPr>
      </w:pPr>
    </w:p>
    <w:p>
      <w:pPr>
        <w:ind w:left="660" w:right="9000" w:hanging="328"/>
        <w:spacing w:after="0" w:line="572"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ind w:left="640" w:hanging="308"/>
        <w:spacing w:after="0"/>
        <w:tabs>
          <w:tab w:leader="none" w:pos="6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68"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Not applicable.</w:t>
      </w:r>
    </w:p>
    <w:p>
      <w:pPr>
        <w:spacing w:after="0" w:line="228" w:lineRule="exact"/>
        <w:rPr>
          <w:rFonts w:ascii="Arial" w:cs="Arial" w:eastAsia="Arial" w:hAnsi="Arial"/>
          <w:sz w:val="16"/>
          <w:szCs w:val="16"/>
          <w:b w:val="1"/>
          <w:bCs w:val="1"/>
          <w:color w:val="auto"/>
        </w:rPr>
      </w:pPr>
    </w:p>
    <w:p>
      <w:pPr>
        <w:ind w:left="640" w:hanging="308"/>
        <w:spacing w:after="0"/>
        <w:tabs>
          <w:tab w:leader="none" w:pos="6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282"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Additional Information.</w:t>
      </w:r>
    </w:p>
    <w:p>
      <w:pPr>
        <w:spacing w:after="0" w:line="262" w:lineRule="exact"/>
        <w:rPr>
          <w:sz w:val="20"/>
          <w:szCs w:val="20"/>
          <w:color w:val="auto"/>
        </w:rPr>
      </w:pPr>
    </w:p>
    <w:p>
      <w:pPr>
        <w:jc w:val="both"/>
        <w:ind w:left="660" w:right="9520" w:hanging="328"/>
        <w:spacing w:after="0" w:line="563" w:lineRule="auto"/>
        <w:tabs>
          <w:tab w:leader="none" w:pos="6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180" w:right="7440" w:firstLine="152"/>
        <w:spacing w:after="0" w:line="585" w:lineRule="auto"/>
        <w:tabs>
          <w:tab w:leader="none" w:pos="64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Constitution</w:t>
      </w: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We hereby incorporate by reference our Constitution, as amended, located under the heading “Constitution of the Company” in Exhibit 3.1.</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Objects</w:t>
      </w:r>
    </w:p>
    <w:p>
      <w:pPr>
        <w:spacing w:after="0" w:line="2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Directors</w:t>
      </w:r>
    </w:p>
    <w:p>
      <w:pPr>
        <w:spacing w:after="0" w:line="2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There is no requirement for Directors to hold shares set out in the Constitution. The Directors are not required to retire at any particular age. The Constitution provides that one-third of the Directors must retire and offer themselves for re-election at each Annual General Meeting ("AGM") of the Company and that the Directors to retire by rotation are those who have been longest in office since their last appointment or reappointment. However in July 2022, the Board of Directors unanimously agreed that all of the Directors will retire and stand for re-election annually at each AGM. All of the shareholders entitled to attend and vote at the AGM may vote on the re-election of Directors.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3" w:name="page84"/>
    <w:bookmarkEnd w:id="83"/>
    <w:p>
      <w:pPr>
        <w:ind w:left="660"/>
        <w:spacing w:after="0"/>
        <w:rPr>
          <w:sz w:val="20"/>
          <w:szCs w:val="20"/>
          <w:color w:val="auto"/>
        </w:rPr>
      </w:pPr>
      <w:r>
        <w:rPr>
          <w:rFonts w:ascii="Arial" w:cs="Arial" w:eastAsia="Arial" w:hAnsi="Arial"/>
          <w:sz w:val="16"/>
          <w:szCs w:val="16"/>
          <w:i w:val="1"/>
          <w:iCs w:val="1"/>
          <w:color w:val="auto"/>
        </w:rPr>
        <w:t>Rights, Preferences and Dividends Attaching to Shares</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Action Necessary to Change the Rights of Shareholders</w:t>
      </w:r>
    </w:p>
    <w:p>
      <w:pPr>
        <w:spacing w:after="0" w:line="264"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Annual and General Meetings</w:t>
      </w:r>
    </w:p>
    <w:p>
      <w:pPr>
        <w:spacing w:after="0" w:line="2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Disclosure of Share Ownership</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Provisions of the Constitution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248" w:lineRule="exact"/>
        <w:rPr>
          <w:sz w:val="20"/>
          <w:szCs w:val="20"/>
          <w:color w:val="auto"/>
        </w:rPr>
      </w:pPr>
    </w:p>
    <w:p>
      <w:pPr>
        <w:ind w:left="660" w:hanging="4"/>
        <w:spacing w:after="0" w:line="278" w:lineRule="auto"/>
        <w:tabs>
          <w:tab w:leader="none" w:pos="879"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08" w:lineRule="exact"/>
        <w:rPr>
          <w:rFonts w:ascii="Arial" w:cs="Arial" w:eastAsia="Arial" w:hAnsi="Arial"/>
          <w:sz w:val="16"/>
          <w:szCs w:val="16"/>
          <w:color w:val="auto"/>
        </w:rPr>
      </w:pPr>
    </w:p>
    <w:p>
      <w:pPr>
        <w:ind w:left="880" w:hanging="224"/>
        <w:spacing w:after="0"/>
        <w:tabs>
          <w:tab w:leader="none" w:pos="8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261" w:lineRule="exact"/>
        <w:rPr>
          <w:rFonts w:ascii="Arial" w:cs="Arial" w:eastAsia="Arial" w:hAnsi="Arial"/>
          <w:sz w:val="16"/>
          <w:szCs w:val="16"/>
          <w:color w:val="auto"/>
        </w:rPr>
      </w:pPr>
    </w:p>
    <w:p>
      <w:pPr>
        <w:ind w:left="920" w:hanging="264"/>
        <w:spacing w:after="0"/>
        <w:tabs>
          <w:tab w:leader="none" w:pos="9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pacing w:after="0" w:line="22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C.  Material Contracts</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is a summary of each contract (not being a contract entered into in the ordinary course of business) that has been entered into: (a) within the two years immediately preceding the date of this Form 20-F which are, or may be, material to us; or (b) at any time which contain obligations or entitlements which is, or may be, material to us as at the date of this Form 20-F:</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Agreement and Plan of Merge</w:t>
      </w:r>
      <w:r>
        <w:rPr>
          <w:rFonts w:ascii="Arial" w:cs="Arial" w:eastAsia="Arial" w:hAnsi="Arial"/>
          <w:sz w:val="16"/>
          <w:szCs w:val="16"/>
          <w:color w:val="auto"/>
        </w:rPr>
        <w:t>r</w:t>
      </w:r>
    </w:p>
    <w:p>
      <w:pPr>
        <w:spacing w:after="0" w:line="1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February 24, 2021, we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On July 1, 2021 (the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84" w:name="page85"/>
    <w:bookmarkEnd w:id="84"/>
    <w:p>
      <w:pPr>
        <w:jc w:val="both"/>
        <w:spacing w:after="0" w:line="260" w:lineRule="auto"/>
        <w:rPr>
          <w:sz w:val="20"/>
          <w:szCs w:val="20"/>
          <w:color w:val="auto"/>
        </w:rPr>
      </w:pPr>
      <w:r>
        <w:rPr>
          <w:rFonts w:ascii="Arial" w:cs="Arial" w:eastAsia="Arial" w:hAnsi="Arial"/>
          <w:sz w:val="16"/>
          <w:szCs w:val="16"/>
          <w:color w:val="auto"/>
        </w:rPr>
        <w:t>“Closing Date”), pursuant to the terms and subject to the conditions of the Merger Agreement, Merger Sub was merged with and into PRA, with PRA surviving as a subsidiary of ICON and US HoldCo.</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a result of the Merger, each share of PRA common stock issued and outstanding immediately prior to the completion of the Merger (other than shares held by any shareholder who properly demands and perfects his, her or its appraisal rights with respect to such shares and treasury shares held by PRA) was canceled and converted into the right to receive: (i) from ICON, 0.4125 of one ICON ordinary share and (ii) from US Holdco and the surviving corporation $80.00 in cash, without interest.</w:t>
      </w:r>
    </w:p>
    <w:p>
      <w:pPr>
        <w:spacing w:after="0" w:line="1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Equity awards of PRA that are outstanding prior to the effective time of the Merger were generally treated as follows (subject to the terms and conditions set forth in the Merger Agreement):</w:t>
      </w:r>
    </w:p>
    <w:p>
      <w:pPr>
        <w:spacing w:after="0" w:line="127" w:lineRule="exact"/>
        <w:rPr>
          <w:sz w:val="20"/>
          <w:szCs w:val="20"/>
          <w:color w:val="auto"/>
        </w:rPr>
      </w:pPr>
    </w:p>
    <w:p>
      <w:pPr>
        <w:jc w:val="both"/>
        <w:ind w:left="660" w:hanging="328"/>
        <w:spacing w:after="0" w:line="262"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outstanding PRA stock option and restricted stock unit was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139" w:lineRule="exact"/>
        <w:rPr>
          <w:rFonts w:ascii="Arial" w:cs="Arial" w:eastAsia="Arial" w:hAnsi="Arial"/>
          <w:sz w:val="16"/>
          <w:szCs w:val="16"/>
          <w:color w:val="auto"/>
        </w:rPr>
      </w:pPr>
    </w:p>
    <w:p>
      <w:pPr>
        <w:ind w:left="660" w:hanging="328"/>
        <w:spacing w:after="0" w:line="278"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outstanding share of PRA restricted stock was vested at the Closing and was canceled and converted into the right to receive the per share merger consideration.</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foregoing description of the Merger and the Merger Agreement, and the related transactions contemplated thereby, does not purport to be complete and is subject to, and qualified in its entirety by reference to, the full text of the Merger Agreement which is attached as Exhibit 2.1 to ICON’s Current Report on Form 6-K filed with the Securities and Exchange Commission (the “SEC”) on February 24, 2021 and incorporated herein by reference herein.</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Senior Secured Credit Facilities</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w:t>
      </w:r>
    </w:p>
    <w:p>
      <w:pPr>
        <w:spacing w:after="0" w:line="1" w:lineRule="exact"/>
        <w:rPr>
          <w:sz w:val="20"/>
          <w:szCs w:val="20"/>
          <w:color w:val="auto"/>
        </w:rPr>
      </w:pPr>
    </w:p>
    <w:p>
      <w:pPr>
        <w:ind w:firstLine="8"/>
        <w:spacing w:after="0" w:line="278" w:lineRule="auto"/>
        <w:tabs>
          <w:tab w:leader="none" w:pos="23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senior secured notes and fund, in part, the Merger. The senior secured term loan facility will mature in July 2028 and the revolving loan facility will mature in July 2026.</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(with a step up of 0.25% if the first lien net leverage ratio exceeds 4.00 to 1.00). The senior secured term loan facility is subject to a floor of 0.50%. 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Borrowers’ (as defined in the Senior Secured Credit Facilities)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Senior Secured Credit Facilities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In addition, the revolving credit loan facility contains a financial covenant that requires ICON to maintain a Total Net Leverage Ratio (as defined in the Senior Secured Credit Facilities) of 5.75:1.00 prior to June 30, 2023 and 4.50:1.00 on and after June 30, 2023, subject to a step-down of 0.50:1.00 following a Material Acquisition (as defined in the Senior Secured Credit Facilities), which will be tested at the end of any fiscal quarter only if amounts are drawn under the revolving credit loan facility (excluding cash collateralized and backstopped letters of credit) in excess of 30% of the revolving commitments.</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Senior Secured Credit Facilities provide that, upon the occurrence of certain events of default, the obligations thereunder may be accelerated. Such events of default will include payment defaults to the lenders thereunder, material inaccuracies of representations and warranties, covenant defaults, cross-defaults to other material indebtedness, voluntary and involuntary bankruptcy proceedings, material money judgments, material pension-plan events, change of control and other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6"/>
          <w:szCs w:val="16"/>
          <w:i w:val="1"/>
          <w:iCs w:val="1"/>
          <w:color w:val="auto"/>
        </w:rPr>
        <w:t>Senior Secured Notes</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addition to the Senior Secured Credit Facilities, on July 1, 2021, Indigo Merger Sub, Inc. (which was merged with and into PRA Health Sciences, Inc.) (the “Issuer”), a wholly-owned subsidiary of the Company, issued $500.0 million in aggregate principal amount of 2.875% senior secured notes due July 2026 (the “Senior Secured Notes”) in a private offering (the “Offering”). The Senior Secured Notes will mature on July 15, 2026. The Issuer will pay interest on the Senior Secured Notes on January 15 and July 15 of each year. Interest on the Senior Secured Notes will accrue at a rate of 2.875% per annum.</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Senior Secured Notes are guaranteed on a senior secured basis by ICON and its direct and indirect subsidiaries that guarantee the Senior Secured Credit Facilities. The Senior Secured Notes are secured by a lien on substantially all of ICON’s, the Issuer’s and each of the subsidiary guarantor’s assets (subject to certain exceptions), and the Senior Secured Notes have a first-priority lien on such assets, which rank pari passu with the liens securing the Senior Secured Credit Facilities, subject to other permitted liens.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At any time prior to July 15, 2023, the Issuer may redeem all or part of the Senior Secured Notes at a redemption price equal to 100% of the principal amount of the Notes plus an applicable make whole premium and accrued and unpaid interest to, but not including the redemption date. At any time prior to July 15, 2023, the Issuer may, with the proceeds of certain equity offerings, redeem up to 40% of the aggregate principal amount of the Senior Secured Notes at a redemption price of 102.875% of the principal amount plus accrued and unpaid interest to, but not including, the date of redemption. In addition, at any time and from time to time prior to July 15, 2023, the Issuer may redeem up to 10% per annum of the aggregate principal amount of the Senior Secured Notes at a redemption price of 103.000% of the aggregate principal amount thereof, plus accrued and unpaid interest, if any, to, but excluding, the date of redemption.</w:t>
      </w:r>
    </w:p>
    <w:p>
      <w:pPr>
        <w:spacing w:after="0" w:line="1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Indenture contains contain customary negative covenants, including, but not limited to, restrictions on the ability of ICON and its subsidiaries to merge and consolidate with other companies, incur indebtedness, grant liens or security interests on assets, pay dividends or make other restricted payments, sell or otherwise transfer assets or enter into transactions with affiliates. The Indenture contains customary events of default and remedies.</w:t>
      </w:r>
    </w:p>
    <w:p>
      <w:pPr>
        <w:spacing w:after="0" w:line="13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Exchange Controls and Other Limitations Affecting Security Holders</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and activities in Belarus, Bosnia &amp; Herzegovina, Burundi, Sudan, South Sudan, the Central African Republic, Libya, Lebanon, Mali, the Democratic People's Republic of Korea, Myanmar/Burma, Tunisia, Zimbabwe, Venezuela, certain persons, entities and bodies in the Syrian Arab Republic, the Republic of Guinea-Bissau, Nicaragua, Democratic Republic of Congo, Iran, Ukraine and Russia; persons associated with the Taliban in Afghanistan, associated with ISIL (Da’esh) and Al-Qaeda, associated with Turkey’s unauthorized drilling activities in the Eastern Mediterranean and certain known terrorists and terrorist groups and countries that harbor certain terrorist groups, without the prior permission of the Central Bank of Ireland.</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are no restrictions under the Company’s Constitution or under Irish Law that limit the right of non-residents or foreign owners to hold the Company’s ordinary shares or vote at general meetings of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ind w:left="640" w:hanging="308"/>
        <w:spacing w:after="0"/>
        <w:tabs>
          <w:tab w:leader="none" w:pos="6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6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taxes on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2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23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AS USED HEREIN, REFERENCES TO THE ORDINARY SHARES SHALL INCLUDE SHARES HELD IN THE ACCOUNTS OF PARTICIPANTS THROUGH THE DEPOSITARY TRUST COMPANY (“THE DTC”).</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Taxation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corporation tax on income</w:t>
      </w:r>
    </w:p>
    <w:p>
      <w:pPr>
        <w:spacing w:after="0" w:line="2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is a public limited company incorporated and resident for tax purposes in Ireland by virtue of its place of central management and control being in Ireland.</w:t>
      </w:r>
    </w:p>
    <w:p>
      <w:pPr>
        <w:spacing w:after="0" w:line="2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Companies which are resident in the Republic of Ireland ("Ireland") are subject to Irish corporation tax on their total profits (wherever arising and, generally, whether or not remitted to Ireland). The question of residence, by virtue of management and control, is essentially one of fact. It is the present intention of the Company's management to continue to manage and control the Company from Ireland, so that the Company will continue to be resident in Ireland.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standard rate of Irish corporation tax on trading income (with certain exceptions) is currently 12.5%.</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 particular accounting period results in a tax credit of 25% of that expenditure.</w:t>
      </w:r>
    </w:p>
    <w:p>
      <w:pPr>
        <w:spacing w:after="0" w:line="222"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Corporation tax is charged at the rate of 25% on a company's non-trading income and certain types of trading income not eligible for the lower rate of 12.5% referred to above.</w:t>
      </w:r>
    </w:p>
    <w:p>
      <w:pPr>
        <w:spacing w:after="0" w:line="236"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23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exemption from capital gains tax on the disposal of shares by an Irish resident company will apply where certain conditions are met. These conditions principally are:</w:t>
      </w:r>
    </w:p>
    <w:p>
      <w:pPr>
        <w:spacing w:after="0" w:line="290" w:lineRule="exact"/>
        <w:rPr>
          <w:sz w:val="20"/>
          <w:szCs w:val="20"/>
          <w:color w:val="auto"/>
        </w:rPr>
      </w:pPr>
    </w:p>
    <w:p>
      <w:pPr>
        <w:ind w:left="660" w:hanging="328"/>
        <w:spacing w:after="0" w:line="210"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6"/>
          <w:szCs w:val="16"/>
          <w:color w:val="auto"/>
        </w:rPr>
        <w:t>The company claiming the exemption must hold (directly or indirectly) at least 5% of the ordinary share capital of the company in which the interest is being disposed of, throughout a continuous period of at least 12 months, in the two-year period prior to disposal;</w:t>
      </w:r>
    </w:p>
    <w:p>
      <w:pPr>
        <w:spacing w:after="0" w:line="279" w:lineRule="exact"/>
        <w:rPr>
          <w:rFonts w:ascii="Arial" w:cs="Arial" w:eastAsia="Arial" w:hAnsi="Arial"/>
          <w:sz w:val="22"/>
          <w:szCs w:val="22"/>
          <w:color w:val="auto"/>
        </w:rPr>
      </w:pPr>
    </w:p>
    <w:p>
      <w:pPr>
        <w:ind w:left="660" w:hanging="328"/>
        <w:spacing w:after="0" w:line="210" w:lineRule="auto"/>
        <w:tabs>
          <w:tab w:leader="none" w:pos="655" w:val="left"/>
        </w:tabs>
        <w:numPr>
          <w:ilvl w:val="0"/>
          <w:numId w:val="53"/>
        </w:numPr>
        <w:rPr>
          <w:rFonts w:ascii="Arial" w:cs="Arial" w:eastAsia="Arial" w:hAnsi="Arial"/>
          <w:sz w:val="22"/>
          <w:szCs w:val="22"/>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225" w:lineRule="exact"/>
        <w:rPr>
          <w:rFonts w:ascii="Arial" w:cs="Arial" w:eastAsia="Arial" w:hAnsi="Arial"/>
          <w:sz w:val="22"/>
          <w:szCs w:val="22"/>
          <w:color w:val="auto"/>
        </w:rPr>
      </w:pPr>
    </w:p>
    <w:p>
      <w:pPr>
        <w:ind w:left="660" w:right="2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shares must be in a company which is primarily a trading company or the company making the disposal together with its “5% plus subsidiaries” should be primarily a trading group; and</w:t>
      </w:r>
    </w:p>
    <w:p>
      <w:pPr>
        <w:spacing w:after="0" w:line="208"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shares must not derive the greater part of their value from land or mineral rights in Ireland.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i w:val="1"/>
          <w:iCs w:val="1"/>
          <w:color w:val="auto"/>
        </w:rPr>
        <w:t>Irish withholding tax on dividends</w:t>
      </w:r>
    </w:p>
    <w:p>
      <w:pPr>
        <w:spacing w:after="0" w:line="2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Unless specifically exempted, all dividends paid by the Company, will be subject to Irish withholding tax. The current rate for dividend withholding tax is 25%.</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An individual shareholder who is neither resident nor ordinarily resident for tax purposes in Ireland but is resident in a country with which Ireland has a double tax treaty (which includes the U.S.), or in a member state of the European Communities, other than Ireland (together, a Relevant Territory), will be exempt from withholding tax provided he or she makes the requisite declaration.</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Irish resident corporate shareholders will be exempt from withholding tax. Where the shareholding held by the recipient company, in the company paying the dividend is not 51% or greater a declaration must be made to avail of the exemption.</w:t>
      </w:r>
    </w:p>
    <w:p>
      <w:pPr>
        <w:spacing w:after="0" w:line="23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23"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(directly or indirectly) by Irish residents;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are ultimately controlled (directly or indirectly) by residents of a Relevant Territory;</w:t>
      </w:r>
    </w:p>
    <w:p>
      <w:pPr>
        <w:spacing w:after="0" w:line="23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have the principal class of their shares, or shares of a 75% parent, substantially and regularly traded on one or more recognized stock exchanges in a Relevant Territory (including Ireland) or Territories; or</w:t>
      </w:r>
    </w:p>
    <w:p>
      <w:pPr>
        <w:spacing w:after="0" w:line="20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0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4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depositary or the DTC is resident in a Relevant Territory;</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depositary or the DTC have entered into a qualifying intermediary agreement with the Irish tax authorities (Irish Revenue Commissioners); and</w:t>
      </w:r>
    </w:p>
    <w:p>
      <w:pPr>
        <w:spacing w:after="0" w:line="248"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depositary or the DTC have been authorized by the Irish Revenue Commissioners as a qualifying intermediary and such authorization has not expired or been revoked.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income tax on dividends</w:t>
      </w:r>
    </w:p>
    <w:p>
      <w:pPr>
        <w:spacing w:after="0" w:line="2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Under certain circumstances, non-Irish resident shareholders will be subject to Irish income tax on dividend income. Where withholding tax of 25% has been deducted, this will fully satisfy the non-Irish resident shareholder’s tax liability. No PRSI or USC should apply in these circumstances.</w:t>
      </w:r>
    </w:p>
    <w:p>
      <w:pPr>
        <w:spacing w:after="0" w:line="2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However, a non-Irish resident shareholder will not have an Irish income tax liability on dividends from the Company if the holder is neither resident nor ordinarily resident in Ireland and the holder is:</w:t>
      </w:r>
    </w:p>
    <w:p>
      <w:pPr>
        <w:spacing w:after="0" w:line="23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individual resident in a Relevant Territory;</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that is ultimately controlled by person(s) resident in a Relevant Territory;</w:t>
      </w:r>
    </w:p>
    <w:p>
      <w:pPr>
        <w:spacing w:after="0" w:line="248"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in a Relevant Territory;</w:t>
      </w:r>
    </w:p>
    <w:p>
      <w:pPr>
        <w:spacing w:after="0" w:line="236" w:lineRule="exact"/>
        <w:rPr>
          <w:rFonts w:ascii="Arial" w:cs="Arial" w:eastAsia="Arial" w:hAnsi="Arial"/>
          <w:sz w:val="16"/>
          <w:szCs w:val="16"/>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3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in a Relevant Territory.</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88" w:name="page89"/>
    <w:bookmarkEnd w:id="88"/>
    <w:p>
      <w:pPr>
        <w:ind w:left="660"/>
        <w:spacing w:after="0"/>
        <w:rPr>
          <w:sz w:val="20"/>
          <w:szCs w:val="20"/>
          <w:color w:val="auto"/>
        </w:rPr>
      </w:pPr>
      <w:r>
        <w:rPr>
          <w:rFonts w:ascii="Arial" w:cs="Arial" w:eastAsia="Arial" w:hAnsi="Arial"/>
          <w:sz w:val="16"/>
          <w:szCs w:val="16"/>
          <w:color w:val="auto"/>
        </w:rPr>
        <w:t>U.S. Holders who do not qualify for the above income tax exemption may be able to obtain treaty benefits under the Treaty.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domicile levy</w:t>
      </w:r>
    </w:p>
    <w:p>
      <w:pPr>
        <w:spacing w:after="0" w:line="2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 market value of their Irish-located property on 31 December exceeds €5,000,000, their worldwide annual income exceeds €1,000,000 and their liability to Irish income tax in that year is less than €200,000.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gains tax on disposal of shares</w:t>
      </w:r>
    </w:p>
    <w:p>
      <w:pPr>
        <w:spacing w:after="0" w:line="2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Irish resident or ordinarily resident shareholders will be liable to capital gains tax at 33% on gains arising from the disposal or part disposal of their shareholding.</w:t>
      </w:r>
    </w:p>
    <w:p>
      <w:pPr>
        <w:spacing w:after="0" w:line="23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r>
        <w:rPr>
          <w:rFonts w:ascii="Arial" w:cs="Arial" w:eastAsia="Arial" w:hAnsi="Arial"/>
          <w:sz w:val="16"/>
          <w:szCs w:val="16"/>
          <w:color w:val="FF0000"/>
        </w:rPr>
        <w:t>.</w:t>
      </w:r>
    </w:p>
    <w:p>
      <w:pPr>
        <w:spacing w:after="0" w:line="23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There are provisions to subject a person who disposes of an interest in a company while temporarily being non-Irish resident, to Irish capital gains tax. This treatment will apply to Irish domiciled individuals:</w:t>
      </w:r>
    </w:p>
    <w:p>
      <w:pPr>
        <w:spacing w:after="0" w:line="236"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who cease to be Irish resident;</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who beneficially own the relevant assets when they cease to be resident;</w:t>
      </w:r>
    </w:p>
    <w:p>
      <w:pPr>
        <w:spacing w:after="0" w:line="248"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there are not more than 5 years of assessment between the last year of Irish tax residence prior to becoming temporarily non-resident and the tax year that he/she resumes Irish tax residency;</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who dispose of the relevant assets during this temporary non-residence;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interest disposed of represents 5% or greater of the issued share capital of the company or is worth at least €500,000.</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acquisitions tax</w:t>
      </w:r>
    </w:p>
    <w:p>
      <w:pPr>
        <w:spacing w:after="0" w:line="264" w:lineRule="exact"/>
        <w:rPr>
          <w:sz w:val="20"/>
          <w:szCs w:val="20"/>
          <w:color w:val="auto"/>
        </w:rPr>
      </w:pPr>
    </w:p>
    <w:p>
      <w:pPr>
        <w:ind w:firstLine="648"/>
        <w:spacing w:after="0" w:line="242" w:lineRule="auto"/>
        <w:rPr>
          <w:sz w:val="20"/>
          <w:szCs w:val="20"/>
          <w:color w:val="auto"/>
        </w:rPr>
      </w:pPr>
      <w:r>
        <w:rPr>
          <w:rFonts w:ascii="Arial" w:cs="Arial" w:eastAsia="Arial" w:hAnsi="Arial"/>
          <w:sz w:val="16"/>
          <w:szCs w:val="16"/>
          <w:color w:val="auto"/>
        </w:rPr>
        <w:t>Irish capital acquisitions tax (referred to as CAT) applies to gifts and inheritances. Subject to certain tax-free thresholds, gifts and inheritances are liable to tax at 33%.</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a gift or inheritance is taken under a disposition made after December 1, 1999 it will be within the charge to CAT:</w:t>
      </w:r>
    </w:p>
    <w:p>
      <w:pPr>
        <w:spacing w:after="0" w:line="248"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Ireland at the date of the gift or inheritance;</w:t>
      </w:r>
    </w:p>
    <w:p>
      <w:pPr>
        <w:spacing w:after="0" w:line="234"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where the person making the gift or inheritance is or was resident or ordinarily resident in Ireland at the date of the disposition under which the gift or inheritance is taken;</w:t>
      </w:r>
    </w:p>
    <w:p>
      <w:pPr>
        <w:spacing w:after="0" w:line="20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Ireland at the date he/she made the settlement, or at the date of the gift or, if he/she is dead at the date of the gift, at the date of his/her death; or</w:t>
      </w:r>
    </w:p>
    <w:p>
      <w:pPr>
        <w:spacing w:after="0" w:line="208" w:lineRule="exact"/>
        <w:rPr>
          <w:rFonts w:ascii="Arial" w:cs="Arial" w:eastAsia="Arial" w:hAnsi="Arial"/>
          <w:sz w:val="16"/>
          <w:szCs w:val="16"/>
          <w:color w:val="auto"/>
        </w:rPr>
      </w:pPr>
    </w:p>
    <w:p>
      <w:pPr>
        <w:ind w:left="640" w:hanging="308"/>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Ireland at the date of the gift or inheritance.</w:t>
      </w:r>
    </w:p>
    <w:p>
      <w:pPr>
        <w:spacing w:after="0" w:line="2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For these purposes a non-Irish domiciled individual will not be regarded as resident or ordinarily resident in the Republic of Ireland on a particular date unless they are resident or ordinarily resident in Ireland on that date and have been resident for the 5 consecutive tax years immediately preceding the year of assessment in which the date falls.</w:t>
      </w:r>
    </w:p>
    <w:p>
      <w:pPr>
        <w:spacing w:after="0" w:line="23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beneficiary and the aggregation since December 5, 1991 of all previous gifts and inheritances, within the same tax threshold.</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color w:val="auto"/>
        </w:rPr>
        <w:t>The tax-free threshold amounts that apply are:</w:t>
      </w:r>
    </w:p>
    <w:p>
      <w:pPr>
        <w:ind w:left="640" w:hanging="308"/>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€16,250 in the case of persons who are not related to one another;</w:t>
      </w:r>
    </w:p>
    <w:p>
      <w:pPr>
        <w:spacing w:after="0" w:line="248" w:lineRule="exact"/>
        <w:rPr>
          <w:rFonts w:ascii="Arial" w:cs="Arial" w:eastAsia="Arial" w:hAnsi="Arial"/>
          <w:sz w:val="16"/>
          <w:szCs w:val="16"/>
          <w:color w:val="auto"/>
        </w:rPr>
      </w:pPr>
    </w:p>
    <w:p>
      <w:pPr>
        <w:ind w:left="660" w:hanging="328"/>
        <w:spacing w:after="0" w:line="241"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€32,500 in the case of gifts or inheritances received from inter alia a brother or sister or from a brother or sister of a parent or from a grandparent; and</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660" w:hanging="328"/>
        <w:spacing w:after="0" w:line="242"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€335,000 in the case of gifts and inheritances received from a parent (or from a grandparent by a minor child of a deceased child) and specified inheritances received by a parent from a child for gifts or inheritances taken on or after October 9, 2019.</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Gifts and inheritances passing between spouses are exempt from CAT.</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gift or inheritance of the ordinary shares or American Depositary Shares (ADSs) in the Company will be within the charge to CAT, notwithstanding that the person from whom or by whom the gift or inheritance is received is domiciled or resident outside Ireland.</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Estate Tax Convention between Ireland and the United States generally provides for CAT paid on inheritances in Ireland to be credited against U.S. Federal Estate tax payable in the U.S. and for tax paid in the U.S. to be credited against tax payable in Ireland, based on priority rules set forth in the Estate Tax Convention. The Estate Tax Convention does not apply to CAT paid on gifts.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stamp duty</w:t>
      </w:r>
    </w:p>
    <w:p>
      <w:pPr>
        <w:spacing w:after="0" w:line="26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of shares,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Transfers through the DTC of book entry interests in shares are not subject to Irish stamp duty.</w:t>
      </w:r>
    </w:p>
    <w:p>
      <w:pPr>
        <w:spacing w:after="0" w:line="2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subject to stamp duty at the 1% rate if the transfer relates to a sale, a contemplated sale, a gift or any other change in the beneficial ownership of such ordinary shares. However, transfers of ordinary shares into or out of the DTC are not subject to Irish stamp duty where no change in beneficial ownership of the shares has occurred and provided a contract for sale in respect of the transferring shares is not in place.</w:t>
      </w:r>
    </w:p>
    <w:p>
      <w:pPr>
        <w:spacing w:after="0" w:line="23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person accountable for payment of stamp duty is normally the transferee or, in the case of a transfer by way of gift, or for a consideration less than the market value, all parties to the transfer.</w:t>
      </w:r>
    </w:p>
    <w:p>
      <w:pPr>
        <w:spacing w:after="0" w:line="2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Transfers of ordinary shares between associated companies (broadly, companies within a 90% group relationship and subject to the satisfaction of certain conditions) are exempt from stamp duty in Ireland. In the case of transfers of ordinary shares where no beneficial interest passes (e.g. a transfer of shares from a beneficial owner to his nominee), no stamp duty arises.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15" w:lineRule="exact"/>
        <w:rPr>
          <w:sz w:val="20"/>
          <w:szCs w:val="20"/>
          <w:color w:val="auto"/>
        </w:rPr>
      </w:pPr>
    </w:p>
    <w:p>
      <w:pPr>
        <w:ind w:left="660" w:right="8360" w:hanging="328"/>
        <w:spacing w:after="0" w:line="572" w:lineRule="auto"/>
        <w:tabs>
          <w:tab w:leader="none" w:pos="637"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60" w:right="8960" w:hanging="328"/>
        <w:spacing w:after="0" w:line="572" w:lineRule="auto"/>
        <w:tabs>
          <w:tab w:leader="none" w:pos="655"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221"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90" w:name="page91"/>
    <w:bookmarkEnd w:id="90"/>
    <w:p>
      <w:pPr>
        <w:jc w:val="both"/>
        <w:ind w:right="20"/>
        <w:spacing w:after="0" w:line="260" w:lineRule="auto"/>
        <w:rPr>
          <w:sz w:val="20"/>
          <w:szCs w:val="20"/>
          <w:color w:val="auto"/>
        </w:rPr>
      </w:pPr>
      <w:r>
        <w:rPr>
          <w:rFonts w:ascii="Arial" w:cs="Arial" w:eastAsia="Arial" w:hAnsi="Arial"/>
          <w:sz w:val="16"/>
          <w:szCs w:val="16"/>
          <w:color w:val="auto"/>
        </w:rPr>
        <w:t>report and more recent information automatically updates and supersedes more dated information contained or incorporated by reference in this report. Our SEC file number for Exchange Act reports is 333-08704.</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foreign private issuer, we are exempt from certain rules under the Exchange Act, including prescribing the furnishing and content of proxy statements to shareholders.</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D18 X5R3 Attention: Corporate Governance, email: corporate.governance@iconplc.com.</w:t>
      </w:r>
    </w:p>
    <w:p>
      <w:pPr>
        <w:spacing w:after="0" w:line="20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 From Corporate Governance Listing Requirements Under the NASDAQ Marketplace Rules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248" w:lineRule="exact"/>
        <w:rPr>
          <w:sz w:val="20"/>
          <w:szCs w:val="20"/>
          <w:color w:val="auto"/>
        </w:rPr>
      </w:pPr>
    </w:p>
    <w:p>
      <w:pPr>
        <w:jc w:val="both"/>
        <w:ind w:left="660" w:hanging="328"/>
        <w:spacing w:after="0" w:line="257"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237"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26" w:lineRule="exact"/>
        <w:rPr>
          <w:rFonts w:ascii="Arial" w:cs="Arial" w:eastAsia="Arial" w:hAnsi="Arial"/>
          <w:sz w:val="16"/>
          <w:szCs w:val="16"/>
          <w:color w:val="auto"/>
        </w:rPr>
      </w:pPr>
    </w:p>
    <w:p>
      <w:pPr>
        <w:jc w:val="both"/>
        <w:ind w:left="660" w:hanging="328"/>
        <w:spacing w:after="0" w:line="258" w:lineRule="auto"/>
        <w:tabs>
          <w:tab w:leader="none" w:pos="6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w:t>
      </w:r>
      <w:r>
        <w:rPr>
          <w:rFonts w:ascii="Arial" w:cs="Arial" w:eastAsia="Arial" w:hAnsi="Arial"/>
          <w:sz w:val="16"/>
          <w:szCs w:val="16"/>
          <w:b w:val="1"/>
          <w:bCs w:val="1"/>
          <w:i w:val="1"/>
          <w:iCs w:val="1"/>
          <w:color w:val="auto"/>
        </w:rPr>
        <w:t>. Quantitative and Qualitative Disclosures about Market Risk.</w:t>
      </w:r>
    </w:p>
    <w:p>
      <w:pPr>
        <w:spacing w:after="0" w:line="28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principal market risks (i.e. risk of loss arising from adverse changes in market rates and prices) to which we are exposed include foreign currency risk and interest rate risk.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82"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22"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1" w:name="page92"/>
    <w:bookmarkEnd w:id="91"/>
    <w:p>
      <w:pPr>
        <w:jc w:val="both"/>
        <w:ind w:firstLine="648"/>
        <w:spacing w:after="0" w:line="256"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ind w:left="660"/>
              <w:spacing w:after="0"/>
              <w:rPr>
                <w:sz w:val="20"/>
                <w:szCs w:val="20"/>
                <w:color w:val="auto"/>
              </w:rPr>
            </w:pPr>
            <w:r>
              <w:rPr>
                <w:rFonts w:ascii="Arial" w:cs="Arial" w:eastAsia="Arial" w:hAnsi="Arial"/>
                <w:sz w:val="16"/>
                <w:szCs w:val="16"/>
                <w:color w:val="auto"/>
              </w:rPr>
              <w:t>The following significant exchange rates applied during the year:</w:t>
            </w:r>
          </w:p>
        </w:tc>
        <w:tc>
          <w:tcPr>
            <w:tcW w:w="1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5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58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Average Rate</w:t>
            </w:r>
          </w:p>
        </w:tc>
        <w:tc>
          <w:tcPr>
            <w:tcW w:w="1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Closing Rate</w:t>
            </w:r>
          </w:p>
        </w:tc>
        <w:tc>
          <w:tcPr>
            <w:tcW w:w="760" w:type="dxa"/>
            <w:vAlign w:val="bottom"/>
            <w:shd w:val="clear" w:color="auto" w:fill="CCEEFF"/>
          </w:tcPr>
          <w:p>
            <w:pPr>
              <w:spacing w:after="0"/>
              <w:rPr>
                <w:sz w:val="18"/>
                <w:szCs w:val="18"/>
                <w:color w:val="auto"/>
              </w:rPr>
            </w:pPr>
          </w:p>
        </w:tc>
      </w:tr>
      <w:tr>
        <w:trPr>
          <w:trHeight w:val="215"/>
        </w:trPr>
        <w:tc>
          <w:tcPr>
            <w:tcW w:w="58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Euro:USD</w:t>
            </w:r>
          </w:p>
        </w:tc>
        <w:tc>
          <w:tcPr>
            <w:tcW w:w="18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1.0512</w:t>
            </w:r>
          </w:p>
        </w:tc>
        <w:tc>
          <w:tcPr>
            <w:tcW w:w="11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1.1886</w:t>
            </w:r>
          </w:p>
        </w:tc>
        <w:tc>
          <w:tcPr>
            <w:tcW w:w="16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1.0705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Pound Sterling:USD</w:t>
            </w:r>
          </w:p>
        </w:tc>
        <w:tc>
          <w:tcPr>
            <w:tcW w:w="1800" w:type="dxa"/>
            <w:vAlign w:val="bottom"/>
          </w:tcPr>
          <w:p>
            <w:pPr>
              <w:jc w:val="right"/>
              <w:ind w:right="639"/>
              <w:spacing w:after="0"/>
              <w:rPr>
                <w:sz w:val="20"/>
                <w:szCs w:val="20"/>
                <w:color w:val="auto"/>
              </w:rPr>
            </w:pPr>
            <w:r>
              <w:rPr>
                <w:rFonts w:ascii="Arial" w:cs="Arial" w:eastAsia="Arial" w:hAnsi="Arial"/>
                <w:sz w:val="16"/>
                <w:szCs w:val="16"/>
                <w:b w:val="1"/>
                <w:bCs w:val="1"/>
                <w:color w:val="auto"/>
              </w:rPr>
              <w:t>1.2347</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1.3788</w:t>
            </w: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auto"/>
              </w:rPr>
              <w:t>1.2083</w:t>
            </w:r>
          </w:p>
        </w:tc>
        <w:tc>
          <w:tcPr>
            <w:tcW w:w="760" w:type="dxa"/>
            <w:vAlign w:val="bottom"/>
          </w:tcPr>
          <w:p>
            <w:pPr>
              <w:jc w:val="right"/>
              <w:spacing w:after="0"/>
              <w:rPr>
                <w:sz w:val="20"/>
                <w:szCs w:val="20"/>
                <w:color w:val="auto"/>
              </w:rPr>
            </w:pPr>
            <w:r>
              <w:rPr>
                <w:rFonts w:ascii="Arial" w:cs="Arial" w:eastAsia="Arial" w:hAnsi="Arial"/>
                <w:sz w:val="16"/>
                <w:szCs w:val="16"/>
                <w:color w:val="auto"/>
              </w:rPr>
              <w:t>1.3532</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exposed to interest rate risk in respect of our cash and cash equivalents and available for sale investments. Our treasury function actively manages our available cash resources and invests surplus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2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Because the Company has variable rate debt, fluctuations in interest rates affect our business. We attempt to minimize interest rate risk and lower our overall borrowing costs through the utilization of interest rate cap and interest rate swap derivative agreements. We have entered into certain interest rate cap and interest rate swap agreements with three financial institutions with respect to a portion of our outstanding debt. Accordingly, any change in market value associated with these agreements is offset by the opposite market impact on the portion of the debt covered by such agreements. As December 31, 2022, we have interest rate cap agreements with a notional value of $2.1 billion to minimize interest rate risk on approximately $4.7 billion of variable rate indebtedness. Because we do not attempt to hedge all of our variable rate debt, we may incur higher interest costs for the portions of our unhedged debt.</w:t>
      </w:r>
    </w:p>
    <w:p>
      <w:pPr>
        <w:spacing w:after="0" w:line="200" w:lineRule="exact"/>
        <w:rPr>
          <w:sz w:val="20"/>
          <w:szCs w:val="20"/>
          <w:color w:val="auto"/>
        </w:rPr>
      </w:pPr>
    </w:p>
    <w:p>
      <w:pPr>
        <w:spacing w:after="0" w:line="22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We regularly evaluate our debt arrangements, as well as market conditions, and we will explore the opportunity to modify our existing arrangements or pursue additional financing arrangements that may result in the issuance of new debt securities by us or our affiliates.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sensitivity analysis below represents the hypothetical change in the net interest payable of a 1% movement in market interest rates.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Interest</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Interest</w:t>
            </w:r>
          </w:p>
        </w:tc>
      </w:tr>
      <w:tr>
        <w:trPr>
          <w:trHeight w:val="162"/>
        </w:trPr>
        <w:tc>
          <w:tcPr>
            <w:tcW w:w="1300" w:type="dxa"/>
            <w:vAlign w:val="bottom"/>
            <w:shd w:val="clear" w:color="auto" w:fill="CCEEFF"/>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3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shd w:val="clear" w:color="auto" w:fill="CCEEFF"/>
              </w:rPr>
              <w:t>Change 1% increase in</w:t>
            </w:r>
          </w:p>
        </w:tc>
        <w:tc>
          <w:tcPr>
            <w:tcW w:w="2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shd w:val="clear" w:color="auto" w:fill="CCEEFF"/>
              </w:rPr>
              <w:t>Change 1% decrease in</w:t>
            </w:r>
          </w:p>
        </w:tc>
      </w:tr>
      <w:tr>
        <w:trPr>
          <w:trHeight w:val="162"/>
        </w:trPr>
        <w:tc>
          <w:tcPr>
            <w:tcW w:w="1300" w:type="dxa"/>
            <w:vAlign w:val="bottom"/>
            <w:shd w:val="clear" w:color="auto" w:fill="CCEEFF"/>
          </w:tcPr>
          <w:p>
            <w:pPr>
              <w:spacing w:after="0"/>
              <w:rPr>
                <w:sz w:val="14"/>
                <w:szCs w:val="14"/>
                <w:color w:val="auto"/>
              </w:rPr>
            </w:pPr>
          </w:p>
        </w:tc>
        <w:tc>
          <w:tcPr>
            <w:tcW w:w="4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shd w:val="clear" w:color="auto" w:fill="CCEEFF"/>
              </w:rPr>
              <w:t>Interest for the year ended</w:t>
            </w:r>
          </w:p>
        </w:tc>
        <w:tc>
          <w:tcPr>
            <w:tcW w:w="3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shd w:val="clear" w:color="auto" w:fill="CCEEFF"/>
              </w:rPr>
              <w:t>market interest rate</w:t>
            </w:r>
          </w:p>
        </w:tc>
        <w:tc>
          <w:tcPr>
            <w:tcW w:w="2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shd w:val="clear" w:color="auto" w:fill="CCEEFF"/>
              </w:rPr>
              <w:t>market interest rate</w:t>
            </w:r>
          </w:p>
        </w:tc>
      </w:tr>
      <w:tr>
        <w:trPr>
          <w:trHeight w:val="196"/>
        </w:trPr>
        <w:tc>
          <w:tcPr>
            <w:tcW w:w="1300" w:type="dxa"/>
            <w:vAlign w:val="bottom"/>
            <w:tcBorders>
              <w:bottom w:val="single" w:sz="8" w:color="auto"/>
            </w:tcBorders>
            <w:shd w:val="clear" w:color="auto" w:fill="CCEEFF"/>
          </w:tcPr>
          <w:p>
            <w:pPr>
              <w:spacing w:after="0"/>
              <w:rPr>
                <w:sz w:val="17"/>
                <w:szCs w:val="17"/>
                <w:color w:val="auto"/>
              </w:rPr>
            </w:pPr>
          </w:p>
        </w:tc>
        <w:tc>
          <w:tcPr>
            <w:tcW w:w="4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December 31, 2022 (in thousands)</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(in thousands)</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(in thousands)</w:t>
            </w:r>
          </w:p>
        </w:tc>
      </w:tr>
      <w:tr>
        <w:trPr>
          <w:trHeight w:val="213"/>
        </w:trPr>
        <w:tc>
          <w:tcPr>
            <w:tcW w:w="13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040" w:type="dxa"/>
            <w:vAlign w:val="bottom"/>
          </w:tcPr>
          <w:p>
            <w:pPr>
              <w:jc w:val="right"/>
              <w:spacing w:after="0"/>
              <w:rPr>
                <w:sz w:val="20"/>
                <w:szCs w:val="20"/>
                <w:color w:val="auto"/>
              </w:rPr>
            </w:pPr>
            <w:r>
              <w:rPr>
                <w:rFonts w:ascii="Arial" w:cs="Arial" w:eastAsia="Arial" w:hAnsi="Arial"/>
                <w:sz w:val="16"/>
                <w:szCs w:val="16"/>
                <w:color w:val="auto"/>
              </w:rPr>
              <w:t>$2,345</w:t>
            </w:r>
          </w:p>
        </w:tc>
        <w:tc>
          <w:tcPr>
            <w:tcW w:w="3080" w:type="dxa"/>
            <w:vAlign w:val="bottom"/>
          </w:tcPr>
          <w:p>
            <w:pPr>
              <w:jc w:val="right"/>
              <w:spacing w:after="0"/>
              <w:rPr>
                <w:sz w:val="20"/>
                <w:szCs w:val="20"/>
                <w:color w:val="auto"/>
              </w:rPr>
            </w:pPr>
            <w:r>
              <w:rPr>
                <w:rFonts w:ascii="Arial" w:cs="Arial" w:eastAsia="Arial" w:hAnsi="Arial"/>
                <w:sz w:val="16"/>
                <w:szCs w:val="16"/>
                <w:color w:val="auto"/>
              </w:rPr>
              <w:t>$8,322</w:t>
            </w:r>
          </w:p>
        </w:tc>
        <w:tc>
          <w:tcPr>
            <w:tcW w:w="2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Interest expense*</w:t>
            </w:r>
          </w:p>
        </w:tc>
        <w:tc>
          <w:tcPr>
            <w:tcW w:w="4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($229,731)</w:t>
            </w: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($277,546)</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($181,982)</w:t>
            </w:r>
          </w:p>
        </w:tc>
      </w:tr>
      <w:tr>
        <w:trPr>
          <w:trHeight w:val="223"/>
        </w:trPr>
        <w:tc>
          <w:tcPr>
            <w:tcW w:w="13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($227,386)</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($269,224)</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($181,981)</w:t>
            </w:r>
          </w:p>
        </w:tc>
      </w:tr>
    </w:tbl>
    <w:p>
      <w:pPr>
        <w:spacing w:after="0" w:line="32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*8% of the interest costs fixed due to high yield bond issuance. $20.5 million financing fees have been allocated to interest cost which are not impacted by a change in interest rate.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w:t>
      </w:r>
      <w:r>
        <w:rPr>
          <w:rFonts w:ascii="Arial" w:cs="Arial" w:eastAsia="Arial" w:hAnsi="Arial"/>
          <w:sz w:val="16"/>
          <w:szCs w:val="16"/>
          <w:b w:val="1"/>
          <w:bCs w:val="1"/>
          <w:i w:val="1"/>
          <w:iCs w:val="1"/>
          <w:color w:val="auto"/>
        </w:rPr>
        <w:t>. Description of Securities Other than Equity Securities.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Part 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w:t>
      </w:r>
      <w:r>
        <w:rPr>
          <w:rFonts w:ascii="Arial" w:cs="Arial" w:eastAsia="Arial" w:hAnsi="Arial"/>
          <w:sz w:val="16"/>
          <w:szCs w:val="16"/>
          <w:b w:val="1"/>
          <w:bCs w:val="1"/>
          <w:i w:val="1"/>
          <w:iCs w:val="1"/>
          <w:color w:val="auto"/>
        </w:rPr>
        <w:t>. Defaults, Dividend Arrearages and Delinquencies.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Material Modifications to the Rights of Security Holders and Use of Proceeds.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Controls and Procedures.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2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2022.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221" w:lineRule="exact"/>
        <w:rPr>
          <w:sz w:val="20"/>
          <w:szCs w:val="20"/>
          <w:color w:val="auto"/>
        </w:rPr>
      </w:pPr>
    </w:p>
    <w:p>
      <w:pPr>
        <w:ind w:left="660" w:right="3920" w:hanging="328"/>
        <w:spacing w:after="0" w:line="572" w:lineRule="auto"/>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Management's Annual Report on Internal Accounting Control over Financial Reporting </w:t>
      </w:r>
      <w:r>
        <w:rPr>
          <w:rFonts w:ascii="Arial" w:cs="Arial" w:eastAsia="Arial" w:hAnsi="Arial"/>
          <w:sz w:val="16"/>
          <w:szCs w:val="16"/>
          <w:color w:val="auto"/>
        </w:rPr>
        <w:t>Reference is made to page 95 of this Form 20-F.</w:t>
      </w:r>
    </w:p>
    <w:p>
      <w:pPr>
        <w:ind w:left="660" w:right="5220" w:hanging="328"/>
        <w:spacing w:after="0" w:line="572" w:lineRule="auto"/>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Independent Registered Public Accounting Firm </w:t>
      </w:r>
      <w:r>
        <w:rPr>
          <w:rFonts w:ascii="Arial" w:cs="Arial" w:eastAsia="Arial" w:hAnsi="Arial"/>
          <w:sz w:val="16"/>
          <w:szCs w:val="16"/>
          <w:color w:val="auto"/>
        </w:rPr>
        <w:t>Reference is made to page 98 of this Form 20-F.</w:t>
      </w:r>
    </w:p>
    <w:p>
      <w:pPr>
        <w:ind w:left="660" w:hanging="328"/>
        <w:spacing w:after="0"/>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Controls over Financial Reporting</w:t>
      </w:r>
    </w:p>
    <w:p>
      <w:pPr>
        <w:spacing w:after="0" w:line="25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There were no changes in our internal controls over financial reporting during the period covered by this Form 20-F that have materially affected or are reasonably likely to materially affect our internal controls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Reserved.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Mr. Rónán Murphy acts as the Audit Committee financial expert serving on our Audit Committee and Board of Directors. The Board has determined that Mr. Murphy is independent.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Ethical Conduct</w:t>
      </w:r>
    </w:p>
    <w:p>
      <w:pPr>
        <w:spacing w:after="0" w:line="25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Our Global Code of Ethical Conduct applies to all officers, directors (including a non-executive director when carrying out their duties as a director of ICON plc), and employees of ICON plc, its subsidiaries and branches. There are no waivers from the provisions of the Code of Ethical Conduct that are required to be disclosed. This Code of Ethical Conduct is available on our website at: </w:t>
      </w:r>
      <w:r>
        <w:rPr>
          <w:rFonts w:ascii="Arial" w:cs="Arial" w:eastAsia="Arial" w:hAnsi="Arial"/>
          <w:sz w:val="16"/>
          <w:szCs w:val="16"/>
          <w:u w:val="single" w:color="auto"/>
          <w:color w:val="0000FF"/>
        </w:rPr>
        <w:t>https://investor.iconplc.com/corporate-governance/governance-documents</w:t>
      </w:r>
      <w:r>
        <w:rPr>
          <w:rFonts w:ascii="Arial" w:cs="Arial" w:eastAsia="Arial" w:hAnsi="Arial"/>
          <w:sz w:val="16"/>
          <w:szCs w:val="16"/>
          <w:color w:val="000000"/>
        </w:rPr>
        <w:t>.</w:t>
      </w:r>
    </w:p>
    <w:p>
      <w:pPr>
        <w:sectPr>
          <w:pgSz w:w="11900" w:h="16838" w:orient="portrait"/>
          <w:cols w:equalWidth="0" w:num="1">
            <w:col w:w="11240"/>
          </w:cols>
          <w:pgMar w:left="320" w:top="891" w:right="339" w:bottom="7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72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principal accountants for the years ended December 31, 2022 and December 31, 2021 were KPMG, Dublin, Ireland (Audit firm ID: 1116). The table below summarizes the fees for professional services rendered by KPMG for the audit of our annual financial statements for the years ended December 31, 2022 and December 31, 2021 and fees billed for other services rendered by KPMG.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Year ended</w:t>
            </w: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162"/>
        </w:trPr>
        <w:tc>
          <w:tcPr>
            <w:tcW w:w="34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499"/>
              <w:spacing w:after="0" w:line="162" w:lineRule="exact"/>
              <w:rPr>
                <w:sz w:val="20"/>
                <w:szCs w:val="20"/>
                <w:color w:val="auto"/>
              </w:rPr>
            </w:pPr>
            <w:r>
              <w:rPr>
                <w:rFonts w:ascii="Arial" w:cs="Arial" w:eastAsia="Arial" w:hAnsi="Arial"/>
                <w:sz w:val="16"/>
                <w:szCs w:val="16"/>
                <w:b w:val="1"/>
                <w:bCs w:val="1"/>
                <w:color w:val="auto"/>
              </w:rPr>
              <w:t>December 31, 2022</w:t>
            </w:r>
          </w:p>
        </w:tc>
        <w:tc>
          <w:tcPr>
            <w:tcW w:w="8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 2021</w:t>
            </w:r>
          </w:p>
        </w:tc>
      </w:tr>
      <w:tr>
        <w:trPr>
          <w:trHeight w:val="215"/>
        </w:trPr>
        <w:tc>
          <w:tcPr>
            <w:tcW w:w="344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7"/>
        </w:trPr>
        <w:tc>
          <w:tcPr>
            <w:tcW w:w="3440" w:type="dxa"/>
            <w:vAlign w:val="bottom"/>
          </w:tcPr>
          <w:p>
            <w:pPr>
              <w:ind w:left="20"/>
              <w:spacing w:after="0"/>
              <w:rPr>
                <w:sz w:val="20"/>
                <w:szCs w:val="20"/>
                <w:color w:val="auto"/>
              </w:rPr>
            </w:pPr>
            <w:r>
              <w:rPr>
                <w:rFonts w:ascii="Arial" w:cs="Arial" w:eastAsia="Arial" w:hAnsi="Arial"/>
                <w:sz w:val="16"/>
                <w:szCs w:val="16"/>
                <w:color w:val="auto"/>
              </w:rPr>
              <w:t>Audit fees (1)</w:t>
            </w:r>
          </w:p>
        </w:tc>
        <w:tc>
          <w:tcPr>
            <w:tcW w:w="24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4,680</w:t>
            </w:r>
          </w:p>
        </w:tc>
        <w:tc>
          <w:tcPr>
            <w:tcW w:w="2080" w:type="dxa"/>
            <w:vAlign w:val="bottom"/>
          </w:tcPr>
          <w:p>
            <w:pPr>
              <w:jc w:val="right"/>
              <w:ind w:right="319"/>
              <w:spacing w:after="0"/>
              <w:rPr>
                <w:sz w:val="20"/>
                <w:szCs w:val="20"/>
                <w:color w:val="auto"/>
              </w:rPr>
            </w:pPr>
            <w:r>
              <w:rPr>
                <w:rFonts w:ascii="Arial" w:cs="Arial" w:eastAsia="Arial" w:hAnsi="Arial"/>
                <w:sz w:val="16"/>
                <w:szCs w:val="16"/>
                <w:color w:val="auto"/>
              </w:rPr>
              <w:t>47.1 % $</w:t>
            </w:r>
          </w:p>
        </w:tc>
        <w:tc>
          <w:tcPr>
            <w:tcW w:w="880" w:type="dxa"/>
            <w:vAlign w:val="bottom"/>
          </w:tcPr>
          <w:p>
            <w:pPr>
              <w:jc w:val="right"/>
              <w:spacing w:after="0"/>
              <w:rPr>
                <w:sz w:val="20"/>
                <w:szCs w:val="20"/>
                <w:color w:val="auto"/>
              </w:rPr>
            </w:pPr>
            <w:r>
              <w:rPr>
                <w:rFonts w:ascii="Arial" w:cs="Arial" w:eastAsia="Arial" w:hAnsi="Arial"/>
                <w:sz w:val="16"/>
                <w:szCs w:val="16"/>
                <w:color w:val="auto"/>
              </w:rPr>
              <w:t>2,906</w:t>
            </w:r>
          </w:p>
        </w:tc>
        <w:tc>
          <w:tcPr>
            <w:tcW w:w="1560" w:type="dxa"/>
            <w:vAlign w:val="bottom"/>
          </w:tcPr>
          <w:p>
            <w:pPr>
              <w:jc w:val="right"/>
              <w:spacing w:after="0"/>
              <w:rPr>
                <w:sz w:val="20"/>
                <w:szCs w:val="20"/>
                <w:color w:val="auto"/>
              </w:rPr>
            </w:pPr>
            <w:r>
              <w:rPr>
                <w:rFonts w:ascii="Arial" w:cs="Arial" w:eastAsia="Arial" w:hAnsi="Arial"/>
                <w:sz w:val="16"/>
                <w:szCs w:val="16"/>
                <w:color w:val="auto"/>
              </w:rPr>
              <w:t>32.0 %</w:t>
            </w: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related fees (2)</w:t>
            </w:r>
          </w:p>
        </w:tc>
        <w:tc>
          <w:tcPr>
            <w:tcW w:w="2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0.4 %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23.2 %</w:t>
            </w: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Tax fees (3)</w:t>
            </w:r>
          </w:p>
        </w:tc>
        <w:tc>
          <w:tcPr>
            <w:tcW w:w="2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5,219</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52.5 %</w:t>
            </w:r>
          </w:p>
        </w:tc>
        <w:tc>
          <w:tcPr>
            <w:tcW w:w="880" w:type="dxa"/>
            <w:vAlign w:val="bottom"/>
          </w:tcPr>
          <w:p>
            <w:pPr>
              <w:jc w:val="right"/>
              <w:spacing w:after="0"/>
              <w:rPr>
                <w:sz w:val="20"/>
                <w:szCs w:val="20"/>
                <w:color w:val="auto"/>
              </w:rPr>
            </w:pPr>
            <w:r>
              <w:rPr>
                <w:rFonts w:ascii="Arial" w:cs="Arial" w:eastAsia="Arial" w:hAnsi="Arial"/>
                <w:sz w:val="16"/>
                <w:szCs w:val="16"/>
                <w:color w:val="auto"/>
              </w:rPr>
              <w:t>4,066</w:t>
            </w:r>
          </w:p>
        </w:tc>
        <w:tc>
          <w:tcPr>
            <w:tcW w:w="1560" w:type="dxa"/>
            <w:vAlign w:val="bottom"/>
          </w:tcPr>
          <w:p>
            <w:pPr>
              <w:jc w:val="right"/>
              <w:spacing w:after="0"/>
              <w:rPr>
                <w:sz w:val="20"/>
                <w:szCs w:val="20"/>
                <w:color w:val="auto"/>
              </w:rPr>
            </w:pPr>
            <w:r>
              <w:rPr>
                <w:rFonts w:ascii="Arial" w:cs="Arial" w:eastAsia="Arial" w:hAnsi="Arial"/>
                <w:sz w:val="16"/>
                <w:szCs w:val="16"/>
                <w:color w:val="auto"/>
              </w:rPr>
              <w:t>44.8 %</w:t>
            </w:r>
          </w:p>
        </w:tc>
      </w:tr>
      <w:tr>
        <w:trPr>
          <w:trHeight w:val="226"/>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 other fees (4)</w:t>
            </w:r>
          </w:p>
        </w:tc>
        <w:tc>
          <w:tcPr>
            <w:tcW w:w="2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37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w:t>
            </w:r>
          </w:p>
        </w:tc>
        <w:tc>
          <w:tcPr>
            <w:tcW w:w="2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3"/>
        </w:trPr>
        <w:tc>
          <w:tcPr>
            <w:tcW w:w="34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Audit fees include annual audit fees for the Company and its subsidiaries.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Audit related fees principally consist of fees for financial due diligence services, fees for the audit of employee benefit plans and fees for pension reviews.</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Tax fees are fees for tax compliance and tax consultation services.</w:t>
      </w:r>
    </w:p>
    <w:p>
      <w:pPr>
        <w:spacing w:after="0" w:line="248" w:lineRule="exact"/>
        <w:rPr>
          <w:rFonts w:ascii="Arial" w:cs="Arial" w:eastAsia="Arial" w:hAnsi="Arial"/>
          <w:sz w:val="16"/>
          <w:szCs w:val="16"/>
          <w:color w:val="auto"/>
        </w:rPr>
      </w:pPr>
    </w:p>
    <w:p>
      <w:pPr>
        <w:ind w:right="20" w:firstLine="8"/>
        <w:spacing w:after="0" w:line="260"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other fees include the aggregate fees billed for products and services other than the services reported in items (1) through (3) above. There were no other fees amounts billed to the company in the years ended December 31, 2022 and December 31, 2021.</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provided to the Company by its auditors.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 the year ended December 31, 2022, 420,530 ordinary shares were redeemed by the Company for a total consideration of $100.0 million. All ordinary shares that are redeemed under the buyback program were canceled in accordance with the constitutional documents of the Company and the nominal value of these shares transferred to an undenominated capital fund as required under Irish Company law.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shd w:val="clear" w:color="auto" w:fill="CCEEFF"/>
          </w:tcPr>
          <w:p>
            <w:pPr>
              <w:spacing w:after="0"/>
              <w:rPr>
                <w:sz w:val="16"/>
                <w:szCs w:val="16"/>
                <w:color w:val="auto"/>
              </w:rPr>
            </w:pPr>
          </w:p>
        </w:tc>
        <w:tc>
          <w:tcPr>
            <w:tcW w:w="2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 Price Paid per</w:t>
            </w:r>
          </w:p>
        </w:tc>
        <w:tc>
          <w:tcPr>
            <w:tcW w:w="23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Total Number</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162"/>
        </w:trPr>
        <w:tc>
          <w:tcPr>
            <w:tcW w:w="2760" w:type="dxa"/>
            <w:vAlign w:val="bottom"/>
            <w:shd w:val="clear" w:color="auto" w:fill="CCEEFF"/>
          </w:tcPr>
          <w:p>
            <w:pPr>
              <w:spacing w:after="0"/>
              <w:rPr>
                <w:sz w:val="14"/>
                <w:szCs w:val="14"/>
                <w:color w:val="auto"/>
              </w:rPr>
            </w:pPr>
          </w:p>
        </w:tc>
        <w:tc>
          <w:tcPr>
            <w:tcW w:w="228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of Shares Purchased</w:t>
            </w:r>
          </w:p>
        </w:tc>
        <w:tc>
          <w:tcPr>
            <w:tcW w:w="220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Share</w:t>
            </w:r>
          </w:p>
        </w:tc>
        <w:tc>
          <w:tcPr>
            <w:tcW w:w="40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 Purchased Paid for Shares Purchased</w:t>
            </w:r>
          </w:p>
        </w:tc>
      </w:tr>
      <w:tr>
        <w:trPr>
          <w:trHeight w:val="215"/>
        </w:trPr>
        <w:tc>
          <w:tcPr>
            <w:tcW w:w="27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0"/>
        </w:trPr>
        <w:tc>
          <w:tcPr>
            <w:tcW w:w="2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3"/>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March 03/01/2022 - 03/31/2022</w:t>
            </w:r>
          </w:p>
        </w:tc>
        <w:tc>
          <w:tcPr>
            <w:tcW w:w="2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420,530</w:t>
            </w:r>
          </w:p>
        </w:tc>
        <w:tc>
          <w:tcPr>
            <w:tcW w:w="2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$237.75</w:t>
            </w:r>
          </w:p>
        </w:tc>
        <w:tc>
          <w:tcPr>
            <w:tcW w:w="23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420,530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$99,983</w:t>
            </w:r>
          </w:p>
        </w:tc>
      </w:tr>
      <w:tr>
        <w:trPr>
          <w:trHeight w:val="209"/>
        </w:trPr>
        <w:tc>
          <w:tcPr>
            <w:tcW w:w="2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420,530</w:t>
            </w:r>
          </w:p>
        </w:tc>
        <w:tc>
          <w:tcPr>
            <w:tcW w:w="2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$237.75</w:t>
            </w:r>
          </w:p>
        </w:tc>
        <w:tc>
          <w:tcPr>
            <w:tcW w:w="2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420,530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$99,983</w:t>
            </w:r>
          </w:p>
        </w:tc>
      </w:tr>
      <w:tr>
        <w:trPr>
          <w:trHeight w:val="23"/>
        </w:trPr>
        <w:tc>
          <w:tcPr>
            <w:tcW w:w="27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No ordinary shares were redeemed by the Company during the year ended December 31, 2021.</w:t>
      </w:r>
    </w:p>
    <w:p>
      <w:pPr>
        <w:spacing w:after="0" w:line="2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16F. Changes in Registrant's Certifying Accountant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Financial Statements.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Item 18</w:t>
      </w:r>
      <w:r>
        <w:rPr>
          <w:rFonts w:ascii="Arial" w:cs="Arial" w:eastAsia="Arial" w:hAnsi="Arial"/>
          <w:sz w:val="16"/>
          <w:szCs w:val="16"/>
          <w:b w:val="1"/>
          <w:bCs w:val="1"/>
          <w:i w:val="1"/>
          <w:iCs w:val="1"/>
          <w:color w:val="auto"/>
        </w:rPr>
        <w:t>. Financial Statements.</w:t>
      </w:r>
    </w:p>
    <w:p>
      <w:pPr>
        <w:spacing w:after="0" w:line="26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following consolidated financial statements of ICON plc and its subsidiaries, and the independent registered public accounting firm's report thereon, are included in Part III, Item 18 of this Annual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4"/>
            <w:shd w:val="clear" w:color="auto" w:fill="CCEEFF"/>
          </w:tcPr>
          <w:p>
            <w:pPr>
              <w:ind w:left="8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960" w:type="dxa"/>
            <w:vAlign w:val="bottom"/>
            <w:gridSpan w:val="9"/>
          </w:tcPr>
          <w:p>
            <w:pPr>
              <w:spacing w:after="0" w:line="170" w:lineRule="exact"/>
              <w:rPr>
                <w:sz w:val="20"/>
                <w:szCs w:val="20"/>
                <w:color w:val="auto"/>
              </w:rPr>
            </w:pPr>
            <w:r>
              <w:rPr>
                <w:rFonts w:ascii="Arial" w:cs="Arial" w:eastAsia="Arial" w:hAnsi="Arial"/>
                <w:sz w:val="16"/>
                <w:szCs w:val="16"/>
                <w:color w:val="0000FF"/>
              </w:rPr>
              <w:t>Management's Report on Internal Control Over Financial Reporting</w:t>
            </w:r>
          </w:p>
        </w:tc>
        <w:tc>
          <w:tcPr>
            <w:tcW w:w="1240" w:type="dxa"/>
            <w:vAlign w:val="bottom"/>
            <w:gridSpan w:val="3"/>
          </w:tcPr>
          <w:p>
            <w:pPr>
              <w:jc w:val="right"/>
              <w:spacing w:after="0" w:line="170" w:lineRule="exact"/>
              <w:rPr>
                <w:sz w:val="20"/>
                <w:szCs w:val="20"/>
                <w:color w:val="auto"/>
              </w:rPr>
            </w:pPr>
            <w:r>
              <w:rPr>
                <w:rFonts w:ascii="Arial" w:cs="Arial" w:eastAsia="Arial" w:hAnsi="Arial"/>
                <w:sz w:val="16"/>
                <w:szCs w:val="16"/>
                <w:color w:val="0000FF"/>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Reports of Independent Registered Public Accounting Firm</w:t>
            </w:r>
          </w:p>
        </w:tc>
        <w:tc>
          <w:tcPr>
            <w:tcW w:w="1060" w:type="dxa"/>
            <w:vAlign w:val="bottom"/>
            <w:gridSpan w:val="2"/>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000FF"/>
                <w:w w:val="89"/>
              </w:rPr>
              <w:t>96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14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43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gridSpan w:val="2"/>
            <w:vMerge w:val="continue"/>
            <w:shd w:val="clear" w:color="auto" w:fill="CCEEFF"/>
          </w:tcPr>
          <w:p>
            <w:pPr>
              <w:spacing w:after="0"/>
              <w:rPr>
                <w:sz w:val="14"/>
                <w:szCs w:val="14"/>
                <w:color w:val="auto"/>
              </w:rPr>
            </w:pPr>
          </w:p>
        </w:tc>
        <w:tc>
          <w:tcPr>
            <w:tcW w:w="180" w:type="dxa"/>
            <w:vAlign w:val="bottom"/>
            <w:tcBorders>
              <w:top w:val="single" w:sz="8" w:color="CCEEFF"/>
              <w:bottom w:val="single" w:sz="8" w:color="0000FF"/>
            </w:tcBorders>
            <w:vMerge w:val="continue"/>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960" w:type="dxa"/>
            <w:vAlign w:val="bottom"/>
            <w:gridSpan w:val="9"/>
          </w:tcPr>
          <w:p>
            <w:pPr>
              <w:spacing w:after="0" w:line="175" w:lineRule="exact"/>
              <w:rPr>
                <w:sz w:val="20"/>
                <w:szCs w:val="20"/>
                <w:color w:val="auto"/>
              </w:rPr>
            </w:pPr>
            <w:r>
              <w:rPr>
                <w:rFonts w:ascii="Arial" w:cs="Arial" w:eastAsia="Arial" w:hAnsi="Arial"/>
                <w:sz w:val="16"/>
                <w:szCs w:val="16"/>
                <w:color w:val="0000FF"/>
              </w:rPr>
              <w:t>Consolidated Balance Sheets</w:t>
            </w: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Operations</w:t>
            </w:r>
          </w:p>
        </w:tc>
        <w:tc>
          <w:tcPr>
            <w:tcW w:w="7120" w:type="dxa"/>
            <w:vAlign w:val="bottom"/>
            <w:gridSpan w:val="7"/>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960" w:type="dxa"/>
            <w:vAlign w:val="bottom"/>
            <w:gridSpan w:val="9"/>
          </w:tcPr>
          <w:p>
            <w:pPr>
              <w:spacing w:after="0" w:line="175" w:lineRule="exact"/>
              <w:rPr>
                <w:sz w:val="20"/>
                <w:szCs w:val="20"/>
                <w:color w:val="auto"/>
              </w:rPr>
            </w:pPr>
            <w:r>
              <w:rPr>
                <w:rFonts w:ascii="Arial" w:cs="Arial" w:eastAsia="Arial" w:hAnsi="Arial"/>
                <w:sz w:val="16"/>
                <w:szCs w:val="16"/>
                <w:color w:val="0000FF"/>
              </w:rPr>
              <w:t>Consolidated Statements of Comprehensive Income</w:t>
            </w: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Consolidated Statements of Shareholders' Equity and Comprehensive Income</w:t>
            </w: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gridSpan w:val="8"/>
          </w:tcPr>
          <w:p>
            <w:pPr>
              <w:spacing w:after="0" w:line="175" w:lineRule="exact"/>
              <w:rPr>
                <w:sz w:val="20"/>
                <w:szCs w:val="20"/>
                <w:color w:val="auto"/>
              </w:rPr>
            </w:pPr>
            <w:r>
              <w:rPr>
                <w:rFonts w:ascii="Arial" w:cs="Arial" w:eastAsia="Arial" w:hAnsi="Arial"/>
                <w:sz w:val="16"/>
                <w:szCs w:val="16"/>
                <w:color w:val="0000FF"/>
              </w:rPr>
              <w:t>Consolidated Statements of Cash Flows</w:t>
            </w:r>
          </w:p>
        </w:tc>
        <w:tc>
          <w:tcPr>
            <w:tcW w:w="4360" w:type="dxa"/>
            <w:vAlign w:val="bottom"/>
          </w:tcPr>
          <w:p>
            <w:pPr>
              <w:spacing w:after="0"/>
              <w:rPr>
                <w:sz w:val="15"/>
                <w:szCs w:val="15"/>
                <w:color w:val="auto"/>
              </w:rPr>
            </w:pP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color w:val="0000FF"/>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960" w:type="dxa"/>
            <w:vAlign w:val="bottom"/>
            <w:gridSpan w:val="9"/>
            <w:shd w:val="clear" w:color="auto" w:fill="CCEEFF"/>
          </w:tcPr>
          <w:p>
            <w:pPr>
              <w:spacing w:after="0" w:line="175" w:lineRule="exact"/>
              <w:rPr>
                <w:sz w:val="20"/>
                <w:szCs w:val="20"/>
                <w:color w:val="auto"/>
              </w:rPr>
            </w:pPr>
            <w:r>
              <w:rPr>
                <w:rFonts w:ascii="Arial" w:cs="Arial" w:eastAsia="Arial" w:hAnsi="Arial"/>
                <w:sz w:val="16"/>
                <w:szCs w:val="16"/>
                <w:color w:val="0000FF"/>
              </w:rPr>
              <w:t>Notes to the Consolidated Financial Statements</w:t>
            </w:r>
          </w:p>
        </w:tc>
        <w:tc>
          <w:tcPr>
            <w:tcW w:w="1240" w:type="dxa"/>
            <w:vAlign w:val="bottom"/>
            <w:gridSpan w:val="3"/>
            <w:shd w:val="clear" w:color="auto" w:fill="CCEEFF"/>
          </w:tcPr>
          <w:p>
            <w:pPr>
              <w:jc w:val="right"/>
              <w:spacing w:after="0" w:line="175" w:lineRule="exact"/>
              <w:rPr>
                <w:sz w:val="20"/>
                <w:szCs w:val="20"/>
                <w:color w:val="auto"/>
              </w:rPr>
            </w:pPr>
            <w:r>
              <w:rPr>
                <w:rFonts w:ascii="Arial" w:cs="Arial" w:eastAsia="Arial" w:hAnsi="Arial"/>
                <w:sz w:val="16"/>
                <w:szCs w:val="16"/>
                <w:color w:val="0000FF"/>
              </w:rPr>
              <w:t>106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Securities Exchange Act of 1934.</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 xml:space="preserve">Management assessed the effectiveness of the Company's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xml:space="preserve"> as of December 31, 2022.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Based upon the assessment performed, we determined that, as of December 31, 2022 the Company's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was effective. There have been no changes in the Company's internal control over financial reporting during 2022 that have materially affected, or are reasonably likely to affect materially, the Group's internal control over financial reporting.</w:t>
      </w:r>
    </w:p>
    <w:p>
      <w:pPr>
        <w:spacing w:after="0" w:line="21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KPMG, an independent registered public accounting firm, has audited the consolidated financial statements of ICON plc and subsidiaries as of and for the year ended December 31, 2022, included herein, and has issued an audit report on the effectiveness of our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7" w:name="page98"/>
    <w:bookmarkEnd w:id="97"/>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2" w:lineRule="exact"/>
        <w:rPr>
          <w:sz w:val="20"/>
          <w:szCs w:val="20"/>
          <w:color w:val="auto"/>
        </w:rPr>
      </w:pPr>
    </w:p>
    <w:p>
      <w:pPr>
        <w:jc w:val="both"/>
        <w:spacing w:after="0" w:line="184" w:lineRule="exact"/>
        <w:rPr>
          <w:sz w:val="20"/>
          <w:szCs w:val="20"/>
          <w:color w:val="auto"/>
        </w:rPr>
      </w:pPr>
      <w:r>
        <w:rPr>
          <w:rFonts w:ascii="Arial" w:cs="Arial" w:eastAsia="Arial" w:hAnsi="Arial"/>
          <w:sz w:val="16"/>
          <w:szCs w:val="16"/>
          <w:color w:val="auto"/>
        </w:rPr>
        <w:t>We have audited the accompanying consolidated balance sheets of ICON plc and subsidiaries (the Company) as of December 31, 2022 and 2021, the related consolidated statements of operation, comprehensive income, shareholders’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2022, in conformity with U.S. generally accepted accounting principles.</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24, 2023 expressed an unqualified opinion on the effectiveness of the Company’s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Revenue recognition for clinical trial service contracts.</w:t>
      </w:r>
    </w:p>
    <w:p>
      <w:pPr>
        <w:spacing w:after="0" w:line="264" w:lineRule="exact"/>
        <w:rPr>
          <w:sz w:val="20"/>
          <w:szCs w:val="20"/>
          <w:color w:val="auto"/>
        </w:rPr>
      </w:pPr>
    </w:p>
    <w:p>
      <w:pPr>
        <w:ind w:left="660" w:right="180"/>
        <w:spacing w:after="0" w:line="256" w:lineRule="auto"/>
        <w:rPr>
          <w:sz w:val="20"/>
          <w:szCs w:val="20"/>
          <w:color w:val="auto"/>
        </w:rPr>
      </w:pPr>
      <w:r>
        <w:rPr>
          <w:rFonts w:ascii="Arial" w:cs="Arial" w:eastAsia="Arial" w:hAnsi="Arial"/>
          <w:sz w:val="16"/>
          <w:szCs w:val="16"/>
          <w:color w:val="auto"/>
        </w:rPr>
        <w:t>As discussed in Note 3 to the consolidated financial statements, the Company recognized revenue of US$7,741,386 thousand for the year ended 31 December 2022, a portion of which relates to clinical trial service revenue. As discussed in Note 2 to the consolidated financial statements, clinical trial service revenue is recognized over time, using an input measure, being total project costs (inclusive of third-party costs, principally pass-through/ reimbursable expenses) incurred at each reporting period as a percentage of forecasted total project costs, to measure progress towards satisfying the Company’s performance obligation. The transaction price is based on the contract or latest change order value, adjusted to reflect the estimated realizable contract value.</w:t>
      </w:r>
    </w:p>
    <w:p>
      <w:pPr>
        <w:spacing w:after="0" w:line="226" w:lineRule="exact"/>
        <w:rPr>
          <w:sz w:val="20"/>
          <w:szCs w:val="20"/>
          <w:color w:val="auto"/>
        </w:rPr>
      </w:pPr>
    </w:p>
    <w:p>
      <w:pPr>
        <w:ind w:left="660" w:right="600"/>
        <w:spacing w:after="0" w:line="278" w:lineRule="auto"/>
        <w:rPr>
          <w:sz w:val="20"/>
          <w:szCs w:val="20"/>
          <w:color w:val="auto"/>
        </w:rPr>
      </w:pPr>
      <w:r>
        <w:rPr>
          <w:rFonts w:ascii="Arial" w:cs="Arial" w:eastAsia="Arial" w:hAnsi="Arial"/>
          <w:sz w:val="16"/>
          <w:szCs w:val="16"/>
          <w:color w:val="auto"/>
        </w:rPr>
        <w:t>We identified the evaluation of revenue recognition for clinical trial service revenue as a critical audit matter. Complex and subjective auditor judgment was required to evaluate the Company’s estimate of total forecast project costs and the estimated realizable contract values.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primary procedures we performed to address this critical audit matter:</w:t>
      </w:r>
    </w:p>
    <w:p>
      <w:pPr>
        <w:spacing w:after="0" w:line="248" w:lineRule="exact"/>
        <w:rPr>
          <w:sz w:val="20"/>
          <w:szCs w:val="20"/>
          <w:color w:val="auto"/>
        </w:rPr>
      </w:pPr>
    </w:p>
    <w:p>
      <w:pPr>
        <w:ind w:left="660" w:right="180"/>
        <w:spacing w:after="0" w:line="278" w:lineRule="auto"/>
        <w:rPr>
          <w:sz w:val="20"/>
          <w:szCs w:val="20"/>
          <w:color w:val="auto"/>
        </w:rPr>
      </w:pPr>
      <w:r>
        <w:rPr>
          <w:rFonts w:ascii="Arial" w:cs="Arial" w:eastAsia="Arial" w:hAnsi="Arial"/>
          <w:sz w:val="16"/>
          <w:szCs w:val="16"/>
          <w:color w:val="auto"/>
        </w:rPr>
        <w:t>We evaluated the design and tested the operating effectiveness of certain internal controls related to the revenue process, including controls over total forecast project costs and estimated realizable contract values.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tested the total forecast project costs and the realizable contract values for a selection of clinical trial service contracts, by evaluating: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98" w:name="page99"/>
    <w:bookmarkEnd w:id="98"/>
    <w:p>
      <w:pPr>
        <w:ind w:left="1300" w:right="80" w:hanging="324"/>
        <w:spacing w:after="0" w:line="255" w:lineRule="auto"/>
        <w:rPr>
          <w:sz w:val="20"/>
          <w:szCs w:val="20"/>
          <w:color w:val="auto"/>
        </w:rPr>
      </w:pPr>
      <w:r>
        <w:rPr>
          <w:rFonts w:ascii="Arial" w:cs="Arial" w:eastAsia="Arial" w:hAnsi="Arial"/>
          <w:sz w:val="16"/>
          <w:szCs w:val="16"/>
          <w:color w:val="auto"/>
        </w:rPr>
        <w:t>– direct costs incurred, both during the year and cumulative over the life of the contracts. We tested the accuracy and completeness of the direct costs by comparing the amounts to source data</w:t>
      </w:r>
    </w:p>
    <w:p>
      <w:pPr>
        <w:ind w:left="1300" w:right="20" w:hanging="324"/>
        <w:spacing w:after="0" w:line="255" w:lineRule="auto"/>
        <w:rPr>
          <w:sz w:val="20"/>
          <w:szCs w:val="20"/>
          <w:color w:val="auto"/>
        </w:rPr>
      </w:pPr>
      <w:r>
        <w:rPr>
          <w:rFonts w:ascii="Arial" w:cs="Arial" w:eastAsia="Arial" w:hAnsi="Arial"/>
          <w:sz w:val="16"/>
          <w:szCs w:val="16"/>
          <w:color w:val="auto"/>
        </w:rPr>
        <w:t>– third-party costs incurred, both during the year and cumulative over the life of the contracts. We tested the accuracy and completeness of the third-party costs incurred by comparing the costs to invoices received</w:t>
      </w:r>
    </w:p>
    <w:p>
      <w:pPr>
        <w:ind w:left="1300" w:right="40" w:hanging="324"/>
        <w:spacing w:after="0" w:line="252" w:lineRule="auto"/>
        <w:rPr>
          <w:sz w:val="20"/>
          <w:szCs w:val="20"/>
          <w:color w:val="auto"/>
        </w:rPr>
      </w:pPr>
      <w:r>
        <w:rPr>
          <w:rFonts w:ascii="Arial" w:cs="Arial" w:eastAsia="Arial" w:hAnsi="Arial"/>
          <w:sz w:val="16"/>
          <w:szCs w:val="16"/>
          <w:color w:val="auto"/>
        </w:rPr>
        <w:t>– findings from interviews with operational personnel of the Company to assess progress to date, the estimate of remaining costs to be incurred and factors impacting the amount of time and costs to complete the selected contracts, including an understanding of the nature and complexity of the work to be performed</w:t>
      </w:r>
    </w:p>
    <w:p>
      <w:pPr>
        <w:ind w:left="1300" w:hanging="324"/>
        <w:spacing w:after="0" w:line="255" w:lineRule="auto"/>
        <w:rPr>
          <w:sz w:val="20"/>
          <w:szCs w:val="20"/>
          <w:color w:val="auto"/>
        </w:rPr>
      </w:pPr>
      <w:r>
        <w:rPr>
          <w:rFonts w:ascii="Arial" w:cs="Arial" w:eastAsia="Arial" w:hAnsi="Arial"/>
          <w:sz w:val="16"/>
          <w:szCs w:val="16"/>
          <w:color w:val="auto"/>
        </w:rPr>
        <w:t>– correspondence of amendments to the scope or contract value, if any, between the Company and the customer for the selected contracts as part of our evaluation of contract progress</w:t>
      </w:r>
    </w:p>
    <w:p>
      <w:pPr>
        <w:ind w:left="980"/>
        <w:spacing w:after="0"/>
        <w:rPr>
          <w:sz w:val="20"/>
          <w:szCs w:val="20"/>
          <w:color w:val="auto"/>
        </w:rPr>
      </w:pPr>
      <w:r>
        <w:rPr>
          <w:rFonts w:ascii="Arial" w:cs="Arial" w:eastAsia="Arial" w:hAnsi="Arial"/>
          <w:sz w:val="16"/>
          <w:szCs w:val="16"/>
          <w:color w:val="auto"/>
        </w:rPr>
        <w:t>–   quarterly movements in forecast project costs and project margins and investigating the reasons for those movements, and</w:t>
      </w:r>
    </w:p>
    <w:p>
      <w:pPr>
        <w:spacing w:after="0" w:line="5" w:lineRule="exact"/>
        <w:rPr>
          <w:sz w:val="20"/>
          <w:szCs w:val="20"/>
          <w:color w:val="auto"/>
        </w:rPr>
      </w:pPr>
    </w:p>
    <w:p>
      <w:pPr>
        <w:ind w:left="1300" w:right="380" w:hanging="324"/>
        <w:spacing w:after="0" w:line="262" w:lineRule="auto"/>
        <w:rPr>
          <w:sz w:val="20"/>
          <w:szCs w:val="20"/>
          <w:color w:val="auto"/>
        </w:rPr>
      </w:pPr>
      <w:r>
        <w:rPr>
          <w:rFonts w:ascii="Arial" w:cs="Arial" w:eastAsia="Arial" w:hAnsi="Arial"/>
          <w:sz w:val="16"/>
          <w:szCs w:val="16"/>
          <w:color w:val="auto"/>
        </w:rPr>
        <w:t>– 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221"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We also evaluated the Company’s methods, assumptions and data used to accurately estimate total forecast project costs and realizable contract values, by comparing historical estimates developed at contract inception to actual results for a selection of clinical trial service contracts.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w:t>
      </w:r>
    </w:p>
    <w:p>
      <w:pPr>
        <w:sectPr>
          <w:pgSz w:w="11900" w:h="16838" w:orient="portrait"/>
          <w:cols w:equalWidth="0" w:num="1">
            <w:col w:w="11120"/>
          </w:cols>
          <w:pgMar w:left="320" w:top="911" w:right="459" w:bottom="2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11" w:right="459" w:bottom="248" w:gutter="0" w:footer="0" w:header="0"/>
          <w:type w:val="continuous"/>
        </w:sectPr>
      </w:pPr>
    </w:p>
    <w:bookmarkStart w:id="99" w:name="page100"/>
    <w:bookmarkEnd w:id="99"/>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audited ICON plc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shareholders’ equity, and cash flows for each of the years in the three-year period ended December 31, 2022, and the related notes (collectively, the consolidated financial statements), and our report dated February 24, 2023, expressed an unqualified opinion on those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7"/>
                <w:szCs w:val="17"/>
                <w:color w:val="auto"/>
              </w:rPr>
            </w:pPr>
          </w:p>
        </w:tc>
        <w:tc>
          <w:tcPr>
            <w:tcW w:w="3640" w:type="dxa"/>
            <w:vAlign w:val="bottom"/>
            <w:gridSpan w:val="3"/>
          </w:tcPr>
          <w:p>
            <w:pPr>
              <w:jc w:val="right"/>
              <w:ind w:right="13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288,768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752,213</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Available for sale investments (Note 8a)</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(Note 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1,731,388</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1,342,770</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revenue (Note 4)</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957,655</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623,121</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63,658</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56,760</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137,094</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114,323</w:t>
            </w:r>
          </w:p>
        </w:tc>
      </w:tr>
      <w:tr>
        <w:trPr>
          <w:trHeight w:val="223"/>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48,790</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50,299</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3,229,066</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2,941,198</w:t>
            </w:r>
          </w:p>
        </w:tc>
      </w:tr>
      <w:tr>
        <w:trPr>
          <w:trHeight w:val="216"/>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Property, plant and equipment, net (Note 9)</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350,320</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336,444</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(Note 10)</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8,971,670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9,037,931</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Intangible assets, net (Note 11)</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4,278,659</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4,710,843</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right-of-use assets (Note 15)</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153,832</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198,123</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70,790</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70,557</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18,637</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Deferred tax asset (Note 20)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76,930</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48,392</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investments (Note 8c)</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23"/>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Investments in equity-long term (Note 8b)</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32,631</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22,592</w:t>
            </w:r>
          </w:p>
        </w:tc>
      </w:tr>
      <w:tr>
        <w:trPr>
          <w:trHeight w:val="238"/>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17,185,278</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17,387,090</w:t>
            </w:r>
          </w:p>
        </w:tc>
      </w:tr>
      <w:tr>
        <w:trPr>
          <w:trHeight w:val="20"/>
        </w:trPr>
        <w:tc>
          <w:tcPr>
            <w:tcW w:w="7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81,194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90,764</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Unearned revenue (Note 4)</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1,507,449</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1,323,961</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Other liabilities (Note 12)</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1,005,025</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949,629</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59,433</w:t>
            </w:r>
          </w:p>
        </w:tc>
      </w:tr>
      <w:tr>
        <w:trPr>
          <w:trHeight w:val="223"/>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Current bank credit lines and loan facilities (Note 13)</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2,690,601</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2,478,937</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bank credit lines and loan facilities (Note 13)</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4,599,037</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5,381,162</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Lease liabilities (Note 15)</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131,644</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159,483</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other liabilities (Note 16)</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42,596</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Non-current income taxes payable</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239,188</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172,109</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liability (Note 20)</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988,585</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1,085,976</w:t>
            </w:r>
          </w:p>
        </w:tc>
      </w:tr>
      <w:tr>
        <w:trPr>
          <w:trHeight w:val="223"/>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Commitments and contingencies (Note 17)</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3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8,687,315</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9,320,263</w:t>
            </w:r>
          </w:p>
        </w:tc>
      </w:tr>
      <w:tr>
        <w:trPr>
          <w:trHeight w:val="203"/>
        </w:trPr>
        <w:tc>
          <w:tcPr>
            <w:tcW w:w="7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77"/>
        </w:trPr>
        <w:tc>
          <w:tcPr>
            <w:tcW w:w="7320" w:type="dxa"/>
            <w:vAlign w:val="bottom"/>
          </w:tcPr>
          <w:p>
            <w:pPr>
              <w:ind w:left="360"/>
              <w:spacing w:after="0" w:line="178" w:lineRule="exact"/>
              <w:rPr>
                <w:sz w:val="20"/>
                <w:szCs w:val="20"/>
                <w:color w:val="auto"/>
              </w:rPr>
            </w:pPr>
            <w:r>
              <w:rPr>
                <w:rFonts w:ascii="Arial" w:cs="Arial" w:eastAsia="Arial" w:hAnsi="Arial"/>
                <w:sz w:val="16"/>
                <w:szCs w:val="16"/>
                <w:color w:val="auto"/>
              </w:rPr>
              <w:t>Ordinary shares par value 6 euro cents per share;</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7320" w:type="dxa"/>
            <w:vAlign w:val="bottom"/>
          </w:tcPr>
          <w:p>
            <w:pPr>
              <w:ind w:left="360"/>
              <w:spacing w:after="0"/>
              <w:rPr>
                <w:sz w:val="20"/>
                <w:szCs w:val="20"/>
                <w:color w:val="auto"/>
              </w:rPr>
            </w:pPr>
            <w:r>
              <w:rPr>
                <w:rFonts w:ascii="Arial" w:cs="Arial" w:eastAsia="Arial" w:hAnsi="Arial"/>
                <w:sz w:val="16"/>
                <w:szCs w:val="16"/>
                <w:color w:val="auto"/>
              </w:rPr>
              <w:t>100,000,000 shares authorized (Note 18)</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80"/>
        </w:trPr>
        <w:tc>
          <w:tcPr>
            <w:tcW w:w="73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81,723,555 shares issued and outstanding at December 31, 2022 and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1"/>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81,554,683 shares issued and outstanding at December 31, 2021.</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6,840,306</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6,733,910</w:t>
            </w:r>
          </w:p>
        </w:tc>
      </w:tr>
      <w:tr>
        <w:trPr>
          <w:trHeight w:val="219"/>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 (Note 18b)</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13"/>
        </w:trPr>
        <w:tc>
          <w:tcPr>
            <w:tcW w:w="732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(Note 25)</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(171,538)</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(90,937)</w:t>
            </w:r>
          </w:p>
        </w:tc>
      </w:tr>
      <w:tr>
        <w:trPr>
          <w:trHeight w:val="226"/>
        </w:trPr>
        <w:tc>
          <w:tcPr>
            <w:tcW w:w="73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r>
      <w:tr>
        <w:trPr>
          <w:trHeight w:val="210"/>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8,497,963</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r>
      <w:tr>
        <w:trPr>
          <w:trHeight w:val="238"/>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17,185,278</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17,387,090</w:t>
            </w:r>
          </w:p>
        </w:tc>
      </w:tr>
      <w:tr>
        <w:trPr>
          <w:trHeight w:val="20"/>
        </w:trPr>
        <w:tc>
          <w:tcPr>
            <w:tcW w:w="7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3480" w:type="dxa"/>
            <w:vAlign w:val="bottom"/>
            <w:tcBorders>
              <w:top w:val="single" w:sz="8" w:color="auto"/>
              <w:bottom w:val="single" w:sz="8" w:color="auto"/>
            </w:tcBorders>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r>
      <w:tr>
        <w:trPr>
          <w:trHeight w:val="210"/>
        </w:trPr>
        <w:tc>
          <w:tcPr>
            <w:tcW w:w="6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7,741,386</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5,480,826</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2,797,288</w:t>
            </w:r>
          </w:p>
        </w:tc>
      </w:tr>
      <w:tr>
        <w:trPr>
          <w:trHeight w:val="259"/>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375"/>
        </w:trPr>
        <w:tc>
          <w:tcPr>
            <w:tcW w:w="60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 (excluding depreciation and amortization)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5,527,045</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3,972,612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1,979,883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778,753</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585,330</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342,449</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569,513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314,987</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66,126</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Transaction and integration related (Note 6)</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39,695</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198,263</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 (Note 19)</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6,946,149</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5,102,297</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2,405,788</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795,237</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378,529</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391,500</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(Note 13)</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(229,731)</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(182,423)</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567,851</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196,680</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381,205</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(Note 20)</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508,440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333,330</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equity method investments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505,304</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153,185</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332,964</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505,304</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153,185</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332,331</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Net income per Ordinary Share attributable to the Group (Note 24):</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0"/>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Basic</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4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(Note 2)</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81,532,320</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67,110,186</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52,859,911</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(Note 2)</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82,468,363</w:t>
            </w: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68,068,311</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53,283,585</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0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2960" w:type="dxa"/>
            <w:vAlign w:val="bottom"/>
            <w:tcBorders>
              <w:top w:val="single" w:sz="8" w:color="auto"/>
              <w:bottom w:val="single" w:sz="8" w:color="auto"/>
            </w:tcBorders>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9"/>
        </w:trPr>
        <w:tc>
          <w:tcPr>
            <w:tcW w:w="6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505,304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153,185</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332,964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(89,530)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(60,617)</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46,526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Actuarial gain/(loss) on defined benefit pension plan</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12,657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4,266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cash flow hedge</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(Loss)/gain on cash flow hedge</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424,703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373,306</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attributable to the Group</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97,725</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372,673</w:t>
            </w:r>
          </w:p>
        </w:tc>
      </w:tr>
    </w:tbl>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Group</w:t>
            </w: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shd w:val="clear" w:color="auto" w:fill="CCEEFF"/>
          </w:tcPr>
          <w:p>
            <w:pPr>
              <w:spacing w:after="0"/>
              <w:rPr>
                <w:sz w:val="14"/>
                <w:szCs w:val="14"/>
                <w:color w:val="auto"/>
              </w:rPr>
            </w:pPr>
          </w:p>
        </w:tc>
        <w:tc>
          <w:tcPr>
            <w:tcW w:w="32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92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15"/>
        </w:trPr>
        <w:tc>
          <w:tcPr>
            <w:tcW w:w="30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53,622,206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577,961</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332,331</w:t>
            </w:r>
          </w:p>
        </w:tc>
        <w:tc>
          <w:tcPr>
            <w:tcW w:w="920" w:type="dxa"/>
            <w:vAlign w:val="bottom"/>
          </w:tcPr>
          <w:p>
            <w:pPr>
              <w:jc w:val="right"/>
              <w:spacing w:after="0"/>
              <w:rPr>
                <w:sz w:val="20"/>
                <w:szCs w:val="20"/>
                <w:color w:val="auto"/>
              </w:rPr>
            </w:pPr>
            <w:r>
              <w:rPr>
                <w:rFonts w:ascii="Arial" w:cs="Arial" w:eastAsia="Arial" w:hAnsi="Arial"/>
                <w:sz w:val="16"/>
                <w:szCs w:val="16"/>
                <w:color w:val="auto"/>
              </w:rPr>
              <w:t>332,331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46,526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46,526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Unrealized capital loss - investments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Actuarial loss on defined benefit pension</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cash flow hedge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cash flow hedge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372,673</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193,417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Issue of restricted share units /</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960" w:type="dxa"/>
            <w:vAlign w:val="bottom"/>
          </w:tcPr>
          <w:p>
            <w:pPr>
              <w:jc w:val="right"/>
              <w:spacing w:after="0"/>
              <w:rPr>
                <w:sz w:val="20"/>
                <w:szCs w:val="20"/>
                <w:color w:val="auto"/>
              </w:rPr>
            </w:pPr>
            <w:r>
              <w:rPr>
                <w:rFonts w:ascii="Arial" w:cs="Arial" w:eastAsia="Arial" w:hAnsi="Arial"/>
                <w:sz w:val="16"/>
                <w:szCs w:val="16"/>
                <w:color w:val="auto"/>
              </w:rPr>
              <w:t>207,688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25,981</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(1,235,218)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Share repurchase costs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Noncontrolling interest adjustment to</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amount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Exercise of call option on noncontrolling</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shares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237"/>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52,788,093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$1,262,895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00" w:type="dxa"/>
            <w:vAlign w:val="bottom"/>
            <w:shd w:val="clear" w:color="auto" w:fill="CCEEFF"/>
          </w:tcPr>
          <w:p>
            <w:pPr>
              <w:spacing w:after="0"/>
              <w:rPr>
                <w:sz w:val="14"/>
                <w:szCs w:val="14"/>
                <w:color w:val="auto"/>
              </w:rPr>
            </w:pPr>
          </w:p>
        </w:tc>
        <w:tc>
          <w:tcPr>
            <w:tcW w:w="33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153,185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153,185</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(60,617)</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4,266</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cash flow hedge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 of cash flow hedge</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778</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97,725</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1,065,529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118,512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118,589</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Issue of restricted share units / performance share</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328,634</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133,553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133,553</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line="178" w:lineRule="exact"/>
              <w:rPr>
                <w:sz w:val="20"/>
                <w:szCs w:val="20"/>
                <w:color w:val="auto"/>
              </w:rPr>
            </w:pPr>
            <w:r>
              <w:rPr>
                <w:rFonts w:ascii="Arial" w:cs="Arial" w:eastAsia="Arial" w:hAnsi="Arial"/>
                <w:sz w:val="16"/>
                <w:szCs w:val="16"/>
                <w:color w:val="auto"/>
              </w:rPr>
              <w:t>Issue of shares associated with a business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6"/>
                <w:szCs w:val="16"/>
                <w:color w:val="auto"/>
              </w:rPr>
              <w:t>combination</w:t>
            </w:r>
          </w:p>
        </w:tc>
        <w:tc>
          <w:tcPr>
            <w:tcW w:w="920" w:type="dxa"/>
            <w:vAlign w:val="bottom"/>
          </w:tcPr>
          <w:p>
            <w:pPr>
              <w:jc w:val="right"/>
              <w:spacing w:after="0"/>
              <w:rPr>
                <w:sz w:val="20"/>
                <w:szCs w:val="20"/>
                <w:color w:val="auto"/>
              </w:rPr>
            </w:pPr>
            <w:r>
              <w:rPr>
                <w:rFonts w:ascii="Arial" w:cs="Arial" w:eastAsia="Arial" w:hAnsi="Arial"/>
                <w:sz w:val="16"/>
                <w:szCs w:val="16"/>
                <w:color w:val="auto"/>
              </w:rPr>
              <w:t>27,372,427</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5,656,195</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5,658,155</w:t>
            </w:r>
          </w:p>
        </w:tc>
        <w:tc>
          <w:tcPr>
            <w:tcW w:w="0" w:type="dxa"/>
            <w:vAlign w:val="bottom"/>
          </w:tcPr>
          <w:p>
            <w:pPr>
              <w:spacing w:after="0"/>
              <w:rPr>
                <w:sz w:val="1"/>
                <w:szCs w:val="1"/>
                <w:color w:val="auto"/>
              </w:rPr>
            </w:pPr>
          </w:p>
        </w:tc>
      </w:tr>
      <w:tr>
        <w:trPr>
          <w:trHeight w:val="180"/>
        </w:trPr>
        <w:tc>
          <w:tcPr>
            <w:tcW w:w="39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Replacement share-based awards issued to acquiree</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34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505,304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505,304</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(89,530)</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Actuarial gain on defined benefit pension plan</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12,657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12,657</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cash flow hedge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07"/>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424,703</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348,286</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35,807</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35,828</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line="178" w:lineRule="exact"/>
              <w:rPr>
                <w:sz w:val="20"/>
                <w:szCs w:val="20"/>
                <w:color w:val="auto"/>
              </w:rPr>
            </w:pPr>
            <w:r>
              <w:rPr>
                <w:rFonts w:ascii="Arial" w:cs="Arial" w:eastAsia="Arial" w:hAnsi="Arial"/>
                <w:sz w:val="16"/>
                <w:szCs w:val="16"/>
                <w:color w:val="auto"/>
              </w:rPr>
              <w:t>Issue of restricted share units / performance share</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rPr>
                <w:sz w:val="20"/>
                <w:szCs w:val="20"/>
                <w:color w:val="auto"/>
              </w:rPr>
            </w:pPr>
            <w:r>
              <w:rPr>
                <w:rFonts w:ascii="Arial" w:cs="Arial" w:eastAsia="Arial" w:hAnsi="Arial"/>
                <w:sz w:val="16"/>
                <w:szCs w:val="16"/>
                <w:color w:val="auto"/>
              </w:rPr>
              <w:t>units</w:t>
            </w:r>
          </w:p>
        </w:tc>
        <w:tc>
          <w:tcPr>
            <w:tcW w:w="1020" w:type="dxa"/>
            <w:vAlign w:val="bottom"/>
          </w:tcPr>
          <w:p>
            <w:pPr>
              <w:jc w:val="right"/>
              <w:spacing w:after="0"/>
              <w:rPr>
                <w:sz w:val="20"/>
                <w:szCs w:val="20"/>
                <w:color w:val="auto"/>
              </w:rPr>
            </w:pPr>
            <w:r>
              <w:rPr>
                <w:rFonts w:ascii="Arial" w:cs="Arial" w:eastAsia="Arial" w:hAnsi="Arial"/>
                <w:sz w:val="16"/>
                <w:szCs w:val="16"/>
                <w:color w:val="auto"/>
              </w:rPr>
              <w:t>241,116</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(420,530)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repurchase costs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0"/>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81,723,555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shd w:val="clear" w:color="auto" w:fill="CCEEFF"/>
          </w:tcPr>
          <w:p>
            <w:pPr>
              <w:spacing w:after="0"/>
              <w:rPr>
                <w:sz w:val="17"/>
                <w:szCs w:val="17"/>
                <w:color w:val="auto"/>
              </w:rPr>
            </w:pPr>
          </w:p>
        </w:tc>
      </w:tr>
      <w:tr>
        <w:trPr>
          <w:trHeight w:val="196"/>
        </w:trPr>
        <w:tc>
          <w:tcPr>
            <w:tcW w:w="7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r>
      <w:tr>
        <w:trPr>
          <w:trHeight w:val="196"/>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(in thousands)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1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505,304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153,185</w:t>
            </w:r>
          </w:p>
        </w:tc>
        <w:tc>
          <w:tcPr>
            <w:tcW w:w="460" w:type="dxa"/>
            <w:vAlign w:val="bottom"/>
          </w:tcPr>
          <w:p>
            <w:pPr>
              <w:jc w:val="right"/>
              <w:ind w:right="28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332,964</w:t>
            </w:r>
          </w:p>
        </w:tc>
      </w:tr>
      <w:tr>
        <w:trPr>
          <w:trHeight w:val="207"/>
        </w:trPr>
        <w:tc>
          <w:tcPr>
            <w:tcW w:w="7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Depreciation and amortization expense</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569,513</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314,987</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66,126</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Impairment of long lived assets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28,767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20,037</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5,411</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Reduction in carrying value of operating right-of-use assets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45,215</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45,339</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28,480</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equity method investments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3,136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2,161</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Amortization of financing costs and debt discount</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17,749</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12,890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523</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 compensation expense</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70,523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133,844</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26,271</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14,434</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on issuance of debt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59,460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Deferred tax (benefit)/expense</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(124,985)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(60,616)</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927</w:t>
            </w:r>
          </w:p>
        </w:tc>
      </w:tr>
      <w:tr>
        <w:trPr>
          <w:trHeight w:val="207"/>
        </w:trPr>
        <w:tc>
          <w:tcPr>
            <w:tcW w:w="7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Unrealized foreign exchange (gain)/loss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(13,009)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(6,054)</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5,979</w:t>
            </w:r>
          </w:p>
        </w:tc>
      </w:tr>
      <w:tr>
        <w:trPr>
          <w:trHeight w:val="198"/>
        </w:trPr>
        <w:tc>
          <w:tcPr>
            <w:tcW w:w="7140" w:type="dxa"/>
            <w:vAlign w:val="bottom"/>
          </w:tcPr>
          <w:p>
            <w:pPr>
              <w:ind w:left="240"/>
              <w:spacing w:after="0"/>
              <w:rPr>
                <w:sz w:val="20"/>
                <w:szCs w:val="20"/>
                <w:color w:val="auto"/>
              </w:rPr>
            </w:pPr>
            <w:r>
              <w:rPr>
                <w:rFonts w:ascii="Arial" w:cs="Arial" w:eastAsia="Arial" w:hAnsi="Arial"/>
                <w:sz w:val="15"/>
                <w:szCs w:val="15"/>
                <w:color w:val="auto"/>
              </w:rPr>
              <w:t>Other non-cash items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11,324</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4,480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(7,859)</w:t>
            </w:r>
          </w:p>
        </w:tc>
      </w:tr>
      <w:tr>
        <w:trPr>
          <w:trHeight w:val="207"/>
        </w:trPr>
        <w:tc>
          <w:tcPr>
            <w:tcW w:w="7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14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(420,695)</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113,513</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(175,040)</w:t>
            </w:r>
          </w:p>
        </w:tc>
      </w:tr>
      <w:tr>
        <w:trPr>
          <w:trHeight w:val="207"/>
        </w:trPr>
        <w:tc>
          <w:tcPr>
            <w:tcW w:w="71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Unbilled revenue</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(332,592)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(17,656)</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(5,748)</w:t>
            </w:r>
          </w:p>
        </w:tc>
      </w:tr>
      <w:tr>
        <w:trPr>
          <w:trHeight w:val="198"/>
        </w:trPr>
        <w:tc>
          <w:tcPr>
            <w:tcW w:w="7140" w:type="dxa"/>
            <w:vAlign w:val="bottom"/>
          </w:tcPr>
          <w:p>
            <w:pPr>
              <w:ind w:left="220"/>
              <w:spacing w:after="0"/>
              <w:rPr>
                <w:sz w:val="20"/>
                <w:szCs w:val="20"/>
                <w:color w:val="auto"/>
              </w:rPr>
            </w:pPr>
            <w:r>
              <w:rPr>
                <w:rFonts w:ascii="Arial" w:cs="Arial" w:eastAsia="Arial" w:hAnsi="Arial"/>
                <w:sz w:val="15"/>
                <w:szCs w:val="15"/>
                <w:color w:val="auto"/>
              </w:rPr>
              <w:t>Unearned revenue</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192,944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(69,121)</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291,844</w:t>
            </w:r>
          </w:p>
        </w:tc>
      </w:tr>
      <w:tr>
        <w:trPr>
          <w:trHeight w:val="203"/>
        </w:trPr>
        <w:tc>
          <w:tcPr>
            <w:tcW w:w="7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Other net assets</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10,121</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108,259</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(2,209)</w:t>
            </w:r>
          </w:p>
        </w:tc>
      </w:tr>
      <w:tr>
        <w:trPr>
          <w:trHeight w:val="196"/>
        </w:trPr>
        <w:tc>
          <w:tcPr>
            <w:tcW w:w="714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563,315</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829,142</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568,035</w:t>
            </w: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Purchase of property, plant and equipment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(142,160)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(93,750)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(40,885)</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subsidiary undertakings (net of cash acquired)</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(5,914,475)</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(47,931)</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Investment in equity method investments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(2,450)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(2,450)</w:t>
            </w:r>
          </w:p>
        </w:tc>
      </w:tr>
      <w:tr>
        <w:trPr>
          <w:trHeight w:val="207"/>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Loan to equity method investment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140" w:type="dxa"/>
            <w:vAlign w:val="bottom"/>
          </w:tcPr>
          <w:p>
            <w:pPr>
              <w:ind w:left="120"/>
              <w:spacing w:after="0"/>
              <w:rPr>
                <w:sz w:val="20"/>
                <w:szCs w:val="20"/>
                <w:color w:val="auto"/>
              </w:rPr>
            </w:pPr>
            <w:r>
              <w:rPr>
                <w:rFonts w:ascii="Arial" w:cs="Arial" w:eastAsia="Arial" w:hAnsi="Arial"/>
                <w:sz w:val="15"/>
                <w:szCs w:val="15"/>
                <w:color w:val="auto"/>
              </w:rPr>
              <w:t>Sale of available for sale investments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481</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497</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47,902</w:t>
            </w:r>
          </w:p>
        </w:tc>
      </w:tr>
      <w:tr>
        <w:trPr>
          <w:trHeight w:val="206"/>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available for sale investments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140" w:type="dxa"/>
            <w:vAlign w:val="bottom"/>
          </w:tcPr>
          <w:p>
            <w:pPr>
              <w:ind w:left="120"/>
              <w:spacing w:after="0"/>
              <w:rPr>
                <w:sz w:val="20"/>
                <w:szCs w:val="20"/>
                <w:color w:val="auto"/>
              </w:rPr>
            </w:pPr>
            <w:r>
              <w:rPr>
                <w:rFonts w:ascii="Arial" w:cs="Arial" w:eastAsia="Arial" w:hAnsi="Arial"/>
                <w:sz w:val="15"/>
                <w:szCs w:val="15"/>
                <w:color w:val="auto"/>
              </w:rPr>
              <w:t>Proceeds from investments in equity - long term</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1,906</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500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03"/>
        </w:trPr>
        <w:tc>
          <w:tcPr>
            <w:tcW w:w="7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Purchase of investments in equity - long term</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(5,612)</w:t>
            </w: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(4,077)</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(3,299)</w:t>
            </w:r>
          </w:p>
        </w:tc>
      </w:tr>
      <w:tr>
        <w:trPr>
          <w:trHeight w:val="196"/>
        </w:trPr>
        <w:tc>
          <w:tcPr>
            <w:tcW w:w="71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(145,867)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(6,024,235)</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(46,576)</w:t>
            </w:r>
          </w:p>
        </w:tc>
      </w:tr>
      <w:tr>
        <w:trPr>
          <w:trHeight w:val="206"/>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7140" w:type="dxa"/>
            <w:vAlign w:val="bottom"/>
          </w:tcPr>
          <w:p>
            <w:pPr>
              <w:ind w:left="120"/>
              <w:spacing w:after="0"/>
              <w:rPr>
                <w:sz w:val="20"/>
                <w:szCs w:val="20"/>
                <w:color w:val="auto"/>
              </w:rPr>
            </w:pPr>
            <w:r>
              <w:rPr>
                <w:rFonts w:ascii="Arial" w:cs="Arial" w:eastAsia="Arial" w:hAnsi="Arial"/>
                <w:sz w:val="15"/>
                <w:szCs w:val="15"/>
                <w:color w:val="auto"/>
              </w:rPr>
              <w:t>Financing costs</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(30,328)</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(1,554)</w:t>
            </w:r>
          </w:p>
        </w:tc>
      </w:tr>
      <w:tr>
        <w:trPr>
          <w:trHeight w:val="206"/>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Drawdown of credit lines and facilities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5,905,100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r>
      <w:tr>
        <w:trPr>
          <w:trHeight w:val="199"/>
        </w:trPr>
        <w:tc>
          <w:tcPr>
            <w:tcW w:w="7140" w:type="dxa"/>
            <w:vAlign w:val="bottom"/>
          </w:tcPr>
          <w:p>
            <w:pPr>
              <w:ind w:left="120"/>
              <w:spacing w:after="0"/>
              <w:rPr>
                <w:sz w:val="20"/>
                <w:szCs w:val="20"/>
                <w:color w:val="auto"/>
              </w:rPr>
            </w:pPr>
            <w:r>
              <w:rPr>
                <w:rFonts w:ascii="Arial" w:cs="Arial" w:eastAsia="Arial" w:hAnsi="Arial"/>
                <w:sz w:val="15"/>
                <w:szCs w:val="15"/>
                <w:color w:val="auto"/>
              </w:rPr>
              <w:t>Repayment of credit lines and facilities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(875,000)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(877,780)</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(350,000)</w:t>
            </w:r>
          </w:p>
        </w:tc>
      </w:tr>
      <w:tr>
        <w:trPr>
          <w:trHeight w:val="206"/>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Purchase of noncontrolling interest</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(43,923)</w:t>
            </w:r>
          </w:p>
        </w:tc>
      </w:tr>
      <w:tr>
        <w:trPr>
          <w:trHeight w:val="199"/>
        </w:trPr>
        <w:tc>
          <w:tcPr>
            <w:tcW w:w="7140" w:type="dxa"/>
            <w:vAlign w:val="bottom"/>
          </w:tcPr>
          <w:p>
            <w:pPr>
              <w:ind w:left="120"/>
              <w:spacing w:after="0"/>
              <w:rPr>
                <w:sz w:val="20"/>
                <w:szCs w:val="20"/>
                <w:color w:val="auto"/>
              </w:rPr>
            </w:pPr>
            <w:r>
              <w:rPr>
                <w:rFonts w:ascii="Arial" w:cs="Arial" w:eastAsia="Arial" w:hAnsi="Arial"/>
                <w:sz w:val="15"/>
                <w:szCs w:val="15"/>
                <w:color w:val="auto"/>
              </w:rPr>
              <w:t>Proceeds from the exercise of equity compensation</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35,844</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118,589</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13,203</w:t>
            </w:r>
          </w:p>
        </w:tc>
      </w:tr>
      <w:tr>
        <w:trPr>
          <w:trHeight w:val="206"/>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 issue costs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99"/>
        </w:trPr>
        <w:tc>
          <w:tcPr>
            <w:tcW w:w="7140" w:type="dxa"/>
            <w:vAlign w:val="bottom"/>
          </w:tcPr>
          <w:p>
            <w:pPr>
              <w:ind w:left="120"/>
              <w:spacing w:after="0"/>
              <w:rPr>
                <w:sz w:val="20"/>
                <w:szCs w:val="20"/>
                <w:color w:val="auto"/>
              </w:rPr>
            </w:pPr>
            <w:r>
              <w:rPr>
                <w:rFonts w:ascii="Arial" w:cs="Arial" w:eastAsia="Arial" w:hAnsi="Arial"/>
                <w:sz w:val="15"/>
                <w:szCs w:val="15"/>
                <w:color w:val="auto"/>
              </w:rPr>
              <w:t>Repurchase of ordinary shares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(99,983)</w:t>
            </w:r>
          </w:p>
        </w:tc>
        <w:tc>
          <w:tcPr>
            <w:tcW w:w="12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(175,000)</w:t>
            </w:r>
          </w:p>
        </w:tc>
      </w:tr>
      <w:tr>
        <w:trPr>
          <w:trHeight w:val="206"/>
        </w:trPr>
        <w:tc>
          <w:tcPr>
            <w:tcW w:w="7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 repurchase costs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r>
      <w:tr>
        <w:trPr>
          <w:trHeight w:val="199"/>
        </w:trPr>
        <w:tc>
          <w:tcPr>
            <w:tcW w:w="714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Settlement of cash flow hedge</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(905)</w:t>
            </w:r>
          </w:p>
        </w:tc>
      </w:tr>
      <w:tr>
        <w:trPr>
          <w:trHeight w:val="200"/>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in)/provided by financing activities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(864,173)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5,114,728</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(208,333)</w:t>
            </w:r>
          </w:p>
        </w:tc>
      </w:tr>
      <w:tr>
        <w:trPr>
          <w:trHeight w:val="19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movements on cash</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(16,720)</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(7,727)</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6,870</w:t>
            </w:r>
          </w:p>
        </w:tc>
      </w:tr>
      <w:tr>
        <w:trPr>
          <w:trHeight w:val="200"/>
        </w:trPr>
        <w:tc>
          <w:tcPr>
            <w:tcW w:w="7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(decrease)/increase in cash and cash equivalents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(463,445)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(88,092)</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319,996</w:t>
            </w:r>
          </w:p>
        </w:tc>
      </w:tr>
      <w:tr>
        <w:trPr>
          <w:trHeight w:val="19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752,213</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840,305</w:t>
            </w: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520,309</w:t>
            </w:r>
          </w:p>
        </w:tc>
      </w:tr>
      <w:tr>
        <w:trPr>
          <w:trHeight w:val="225"/>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and cash equivalents at end of year</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288,768</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752,213</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840,305</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mission is to improve the lives of patients by accelerating the development of our customers' drugs and devices through innovative solutions.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2022 we had approximately 41,100 employees, in 111 locations in 53 countries. During the year ended December 31, 2022, we derived approximately 46.2%, 46.5% and 7.3% of our revenue in the United States, Europe and Rest of World, respectively.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ICON’s ordinary shares are traded on the NASDAQ Global Select Market under the symbol “ICLR”.</w:t>
      </w:r>
    </w:p>
    <w:p>
      <w:pPr>
        <w:spacing w:after="0" w:line="2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began operations in 1990 and have expanded our business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accounting policies noted below were applied in the preparation of the accompanying financial statements of the Company and are in conformity with accounting principles generally accepted in the United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and intangible assets acquired in a business combination.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Disclosure of fair value of financial instruments</w:t>
      </w:r>
    </w:p>
    <w:p>
      <w:pPr>
        <w:spacing w:after="0" w:line="2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net present value of estimated future cash flows. Debt is measured at historical cost.</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Financial instruments are measured in the Consolidated Balance Sheet at amortized cost or fair value using a fair value hierarchy of valuation inputs.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24"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1: Inputs are based upon unadjusted quoted prices for identical instruments traded in active markets.</w:t>
      </w:r>
    </w:p>
    <w:p>
      <w:pPr>
        <w:spacing w:after="0" w:line="261"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2: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2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3: Inputs are generally unobservable and typically reflect management’s estimates of assumptions that market participants would use in pricing the asset or liability.</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8" w:name="page109"/>
    <w:bookmarkEnd w:id="108"/>
    <w:p>
      <w:pPr>
        <w:jc w:val="both"/>
        <w:ind w:firstLine="648"/>
        <w:spacing w:after="0" w:line="258" w:lineRule="auto"/>
        <w:rPr>
          <w:sz w:val="20"/>
          <w:szCs w:val="20"/>
          <w:color w:val="auto"/>
        </w:rPr>
      </w:pPr>
      <w:r>
        <w:rPr>
          <w:rFonts w:ascii="Arial" w:cs="Arial" w:eastAsia="Arial" w:hAnsi="Arial"/>
          <w:sz w:val="16"/>
          <w:szCs w:val="16"/>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the Consolidated Statement of Operations. Losses other than temporary, which reduce the carrying amount below cost are recognized in Consolidated Statement of Operations.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cost of a business combination is measured as the aggregate of the fair value of assets received, liabilities assumed and equity instruments issued in exchange for control. The Company records and allocates to its reporting units the excess of the cost over the fair value of the net assets acquired, known as goodwill.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Foreign currencies and translation of subsidiaries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Company's financial statements are prepared in United States dollars. 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Transactions in currencies other than the functional currency of the subsidiaries of the Company are recorded at the rate ruling at the date of the transaction. Monetary assets and liabilities denominated in currencies other than the functional currency of the subsidiaries of the Company are translated into the functional currency of that entity at exchange rates prevailing at the Balance Sheet date. Adjustments resulting from these translations are charged or credited to income. Foreign currency gains and losses on intercompany transactions classified as long-term investments are reported in other comprehensive income as currency translation adjustments. Amounts charged or credited to the Consolidated Statements of Operations for the years ended December 31, 2022, December 31, 2021 and December 31, 2020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5"/>
        </w:trPr>
        <w:tc>
          <w:tcPr>
            <w:tcW w:w="69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r>
      <w:tr>
        <w:trPr>
          <w:trHeight w:val="209"/>
        </w:trPr>
        <w:tc>
          <w:tcPr>
            <w:tcW w:w="6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Amounts (credited)/charged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(14,316)</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w:t>
            </w:r>
          </w:p>
        </w:tc>
      </w:tr>
      <w:tr>
        <w:trPr>
          <w:trHeight w:val="23"/>
        </w:trPr>
        <w:tc>
          <w:tcPr>
            <w:tcW w:w="6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09" w:name="page110"/>
    <w:bookmarkEnd w:id="109"/>
    <w:p>
      <w:pPr>
        <w:ind w:left="660"/>
        <w:spacing w:after="0"/>
        <w:rPr>
          <w:sz w:val="20"/>
          <w:szCs w:val="20"/>
          <w:color w:val="auto"/>
        </w:rPr>
      </w:pPr>
      <w:r>
        <w:rPr>
          <w:rFonts w:ascii="Arial" w:cs="Arial" w:eastAsia="Arial" w:hAnsi="Arial"/>
          <w:sz w:val="16"/>
          <w:szCs w:val="16"/>
          <w:i w:val="1"/>
          <w:iCs w:val="1"/>
          <w:color w:val="auto"/>
        </w:rPr>
        <w:t>Clinical trial service revenue</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Laboratory services revenue</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Contracting services revenue</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Consulting services revenue</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Data services revenue</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0" w:name="page111"/>
    <w:bookmarkEnd w:id="110"/>
    <w:p>
      <w:pPr>
        <w:jc w:val="both"/>
        <w:spacing w:after="0" w:line="260" w:lineRule="auto"/>
        <w:rPr>
          <w:sz w:val="20"/>
          <w:szCs w:val="20"/>
          <w:color w:val="auto"/>
        </w:rPr>
      </w:pPr>
      <w:r>
        <w:rPr>
          <w:rFonts w:ascii="Arial" w:cs="Arial" w:eastAsia="Arial" w:hAnsi="Arial"/>
          <w:sz w:val="16"/>
          <w:szCs w:val="16"/>
          <w:color w:val="auto"/>
        </w:rPr>
        <w:t>At the end of the contract year, any unused customer purchase credits may be forfeited or carried over to the next contract year based on the terms of the data supplier contract.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Commissions</w:t>
      </w:r>
    </w:p>
    <w:p>
      <w:pPr>
        <w:spacing w:after="0" w:line="26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Reimbursable expenses</w:t>
      </w:r>
    </w:p>
    <w:p>
      <w:pPr>
        <w:spacing w:after="0" w:line="2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to the investigators. The Company includes reimbursed expenses in revenue and direct costs as the Company is primarily responsible for fulfilling the promise to provide the specified service, including integration of the related services into a combined output to the customer.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Direct costs</w:t>
      </w:r>
    </w:p>
    <w:p>
      <w:pPr>
        <w:spacing w:after="0" w:line="2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Direct costs consist of compensation, associated employee benefits and share-based payments for project-related employees and other direct project-related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Reimbursable expenses are presented within direct costs. This presentation is to align the presentation of costs with our assessment that our clinical trial service is a single performance obligation satisfied over time. Reimbursable expenses are recorded once the activity which forms the basis for the cost has occurred. Payments are made based on predetermined contractual arrangements. Timing of payments may differ from the timing of the expense.</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Cash and cash equivalents include cash and highly liquid investments with initial maturities of three months or less and are stated at cost, which approximates market value.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Investments in debt, equity and other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Available for sale investments</w:t>
      </w:r>
    </w:p>
    <w:p>
      <w:pPr>
        <w:spacing w:after="0" w:line="2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short-term investments as available for sale. The investments are reported at fair value, with unrealized gains or losses reported in a separate component of shareholders' equity. Any differences between the cost and fair value of the investments are represented by accrued interest and unrealized gains/losses. Realized gains and losses are determined using specific identification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Long term investments</w:t>
      </w:r>
    </w:p>
    <w:p>
      <w:pPr>
        <w:spacing w:after="0" w:line="2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2022 meet the definition of equity securities without readily determinable fair values. The Company concluded that the interests held at December 31, 2021 and December 31, 2022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Any increases or decreases in fair value are recognized in net income in the period. These are therefore measured at Level 3 of the fair value hierarchy.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Equity method investments</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Balance Sheet. The Company records its pro rata share of the earnings/losses of these investments in Share of equity method investments in the Consolidated Statement of Operations. The Company reviews these for impairment whenever events or changes in circumstances indicate that the carrying amounts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6"/>
          <w:szCs w:val="16"/>
          <w:b w:val="1"/>
          <w:bCs w:val="1"/>
          <w:i w:val="1"/>
          <w:iCs w:val="1"/>
          <w:color w:val="auto"/>
        </w:rPr>
        <w:t>Accounts receivable, net and unbilled revenue</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Accounts receivable early payment discounting</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Agreements which result in true sales of the transferred receivables, as defined in ASC 860, which occur when receivables are transferred without recourse to ICON, are excluded from amounts reported in the Consolidated Balance Sheet. Cash proceeds received from such sales are included in operating cash flows.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2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Years</w:t>
            </w:r>
          </w:p>
        </w:tc>
      </w:tr>
      <w:tr>
        <w:trPr>
          <w:trHeight w:val="207"/>
        </w:trPr>
        <w:tc>
          <w:tcPr>
            <w:tcW w:w="9180" w:type="dxa"/>
            <w:vAlign w:val="bottom"/>
          </w:tcPr>
          <w:p>
            <w:pPr>
              <w:ind w:left="480"/>
              <w:spacing w:after="0"/>
              <w:rPr>
                <w:sz w:val="20"/>
                <w:szCs w:val="20"/>
                <w:color w:val="auto"/>
              </w:rPr>
            </w:pPr>
            <w:r>
              <w:rPr>
                <w:rFonts w:ascii="Arial" w:cs="Arial" w:eastAsia="Arial" w:hAnsi="Arial"/>
                <w:sz w:val="16"/>
                <w:szCs w:val="16"/>
                <w:color w:val="auto"/>
              </w:rPr>
              <w:t>Building</w:t>
            </w:r>
          </w:p>
        </w:tc>
        <w:tc>
          <w:tcPr>
            <w:tcW w:w="400" w:type="dxa"/>
            <w:vAlign w:val="bottom"/>
          </w:tcPr>
          <w:p>
            <w:pPr>
              <w:spacing w:after="0"/>
              <w:rPr>
                <w:sz w:val="20"/>
                <w:szCs w:val="20"/>
                <w:color w:val="auto"/>
              </w:rPr>
            </w:pPr>
            <w:r>
              <w:rPr>
                <w:rFonts w:ascii="Arial" w:cs="Arial" w:eastAsia="Arial" w:hAnsi="Arial"/>
                <w:sz w:val="16"/>
                <w:szCs w:val="16"/>
                <w:color w:val="auto"/>
              </w:rPr>
              <w:t>40</w:t>
            </w:r>
          </w:p>
        </w:tc>
        <w:tc>
          <w:tcPr>
            <w:tcW w:w="1640" w:type="dxa"/>
            <w:vAlign w:val="bottom"/>
          </w:tcPr>
          <w:p>
            <w:pPr>
              <w:spacing w:after="0"/>
              <w:rPr>
                <w:sz w:val="17"/>
                <w:szCs w:val="17"/>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Computer equipment and software</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spacing w:after="0"/>
              <w:rPr>
                <w:sz w:val="19"/>
                <w:szCs w:val="19"/>
                <w:color w:val="auto"/>
              </w:rPr>
            </w:pPr>
          </w:p>
        </w:tc>
      </w:tr>
      <w:tr>
        <w:trPr>
          <w:trHeight w:val="213"/>
        </w:trPr>
        <w:tc>
          <w:tcPr>
            <w:tcW w:w="9180" w:type="dxa"/>
            <w:vAlign w:val="bottom"/>
          </w:tcPr>
          <w:p>
            <w:pPr>
              <w:ind w:left="480"/>
              <w:spacing w:after="0"/>
              <w:rPr>
                <w:sz w:val="20"/>
                <w:szCs w:val="20"/>
                <w:color w:val="auto"/>
              </w:rPr>
            </w:pPr>
            <w:r>
              <w:rPr>
                <w:rFonts w:ascii="Arial" w:cs="Arial" w:eastAsia="Arial" w:hAnsi="Arial"/>
                <w:sz w:val="16"/>
                <w:szCs w:val="16"/>
                <w:color w:val="auto"/>
              </w:rPr>
              <w:t>Office furniture and fixtures</w:t>
            </w:r>
          </w:p>
        </w:tc>
        <w:tc>
          <w:tcPr>
            <w:tcW w:w="400" w:type="dxa"/>
            <w:vAlign w:val="bottom"/>
          </w:tcPr>
          <w:p>
            <w:pPr>
              <w:spacing w:after="0"/>
              <w:rPr>
                <w:sz w:val="20"/>
                <w:szCs w:val="20"/>
                <w:color w:val="auto"/>
              </w:rPr>
            </w:pPr>
            <w:r>
              <w:rPr>
                <w:rFonts w:ascii="Arial" w:cs="Arial" w:eastAsia="Arial" w:hAnsi="Arial"/>
                <w:sz w:val="16"/>
                <w:szCs w:val="16"/>
                <w:color w:val="auto"/>
              </w:rPr>
              <w:t>8</w:t>
            </w:r>
          </w:p>
        </w:tc>
        <w:tc>
          <w:tcPr>
            <w:tcW w:w="1640" w:type="dxa"/>
            <w:vAlign w:val="bottom"/>
          </w:tcPr>
          <w:p>
            <w:pPr>
              <w:spacing w:after="0"/>
              <w:rPr>
                <w:sz w:val="18"/>
                <w:szCs w:val="18"/>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Laboratory equipment</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CEEFF"/>
          </w:tcPr>
          <w:p>
            <w:pPr>
              <w:spacing w:after="0"/>
              <w:rPr>
                <w:sz w:val="19"/>
                <w:szCs w:val="19"/>
                <w:color w:val="auto"/>
              </w:rPr>
            </w:pPr>
          </w:p>
        </w:tc>
      </w:tr>
      <w:tr>
        <w:trPr>
          <w:trHeight w:val="210"/>
        </w:trPr>
        <w:tc>
          <w:tcPr>
            <w:tcW w:w="9180" w:type="dxa"/>
            <w:vAlign w:val="bottom"/>
          </w:tcPr>
          <w:p>
            <w:pPr>
              <w:ind w:left="480"/>
              <w:spacing w:after="0"/>
              <w:rPr>
                <w:sz w:val="20"/>
                <w:szCs w:val="20"/>
                <w:color w:val="auto"/>
              </w:rPr>
            </w:pPr>
            <w:r>
              <w:rPr>
                <w:rFonts w:ascii="Arial" w:cs="Arial" w:eastAsia="Arial" w:hAnsi="Arial"/>
                <w:sz w:val="16"/>
                <w:szCs w:val="16"/>
                <w:color w:val="auto"/>
              </w:rPr>
              <w:t>Motor vehicles</w:t>
            </w:r>
          </w:p>
        </w:tc>
        <w:tc>
          <w:tcPr>
            <w:tcW w:w="400" w:type="dxa"/>
            <w:vAlign w:val="bottom"/>
          </w:tcPr>
          <w:p>
            <w:pPr>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8"/>
                <w:szCs w:val="18"/>
                <w:color w:val="auto"/>
              </w:rPr>
            </w:pPr>
          </w:p>
        </w:tc>
      </w:tr>
    </w:tbl>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shorter.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Leases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determines if an arrangement is a lease at inception and reassess if there are changes in terms and conditions of the contract. Finance leases, if any, are depreciated on the same basis as property, plant and equipment. At December 31, 2022 and December 31, 2021, the Company did not account for any leases as finance leases.</w:t>
      </w:r>
    </w:p>
    <w:p>
      <w:pPr>
        <w:spacing w:after="0" w:line="153" w:lineRule="exact"/>
        <w:rPr>
          <w:sz w:val="20"/>
          <w:szCs w:val="20"/>
          <w:color w:val="auto"/>
        </w:rPr>
      </w:pPr>
    </w:p>
    <w:p>
      <w:pPr>
        <w:jc w:val="both"/>
        <w:ind w:firstLine="249"/>
        <w:spacing w:after="0" w:line="257" w:lineRule="auto"/>
        <w:rPr>
          <w:sz w:val="20"/>
          <w:szCs w:val="20"/>
          <w:color w:val="auto"/>
        </w:rPr>
      </w:pPr>
      <w:r>
        <w:rPr>
          <w:rFonts w:ascii="Arial" w:cs="Arial" w:eastAsia="Arial" w:hAnsi="Arial"/>
          <w:sz w:val="16"/>
          <w:szCs w:val="16"/>
          <w:color w:val="auto"/>
        </w:rPr>
        <w:t>Operating leases are included in operating right-of-use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4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accounts for lease and non-lease components separately with lease components flowing through the Consolidated Balance Sheet and non-lease components expensed directly to the Consolidated Statements of Operations.</w:t>
      </w:r>
    </w:p>
    <w:p>
      <w:pPr>
        <w:spacing w:after="0" w:line="1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22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some cases, the Company enters into sublease agreements and becomes both a lessee and a lessor for the same underlying asset. Subleases are accounted for as operating leases separately from the lease they relate to, but similar in manner as all other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2" w:name="page113"/>
    <w:bookmarkEnd w:id="112"/>
    <w:p>
      <w:pPr>
        <w:jc w:val="both"/>
        <w:ind w:firstLine="648"/>
        <w:spacing w:after="0" w:line="262" w:lineRule="auto"/>
        <w:rPr>
          <w:sz w:val="20"/>
          <w:szCs w:val="20"/>
          <w:color w:val="auto"/>
        </w:rPr>
      </w:pPr>
      <w:r>
        <w:rPr>
          <w:rFonts w:ascii="Arial" w:cs="Arial" w:eastAsia="Arial" w:hAnsi="Arial"/>
          <w:sz w:val="16"/>
          <w:szCs w:val="16"/>
          <w:color w:val="auto"/>
        </w:rPr>
        <w:t xml:space="preserve">ROU assets for operating leases are occasionally reduced by impairment losses. The Company uses the long-lived assets impairment guidance in Subtopic 360-10, </w:t>
      </w:r>
      <w:r>
        <w:rPr>
          <w:rFonts w:ascii="Arial" w:cs="Arial" w:eastAsia="Arial" w:hAnsi="Arial"/>
          <w:sz w:val="16"/>
          <w:szCs w:val="16"/>
          <w:i w:val="1"/>
          <w:iCs w:val="1"/>
          <w:color w:val="auto"/>
        </w:rPr>
        <w:t>Property, Plant, and Equipment – Overall</w:t>
      </w:r>
      <w:r>
        <w:rPr>
          <w:rFonts w:ascii="Arial" w:cs="Arial" w:eastAsia="Arial" w:hAnsi="Arial"/>
          <w:sz w:val="16"/>
          <w:szCs w:val="16"/>
          <w:color w:val="auto"/>
        </w:rPr>
        <w:t>, to determine whether an ROU asset is impaired, and if so, the amount of the impairment loss to recognize.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Intangible assets are measured at their fair value when acquired and amortized on the straight line basis over their respective useful lives. The Company has no indefinite life intangibles other than goodwill. The Company evaluates its intangibles for impairment when indicators of impairment exist.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2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 expected useful life, as set forth in the table below:</w:t>
            </w:r>
          </w:p>
        </w:tc>
        <w:tc>
          <w:tcPr>
            <w:tcW w:w="2000" w:type="dxa"/>
            <w:vAlign w:val="bottom"/>
          </w:tcPr>
          <w:p>
            <w:pPr>
              <w:spacing w:after="0"/>
              <w:rPr>
                <w:sz w:val="16"/>
                <w:szCs w:val="16"/>
                <w:color w:val="auto"/>
              </w:rPr>
            </w:pPr>
          </w:p>
        </w:tc>
      </w:tr>
      <w:tr>
        <w:trPr>
          <w:trHeight w:val="276"/>
        </w:trPr>
        <w:tc>
          <w:tcPr>
            <w:tcW w:w="9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92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3"/>
        </w:trPr>
        <w:tc>
          <w:tcPr>
            <w:tcW w:w="92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20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9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6" w:lineRule="exact"/>
        <w:rPr>
          <w:sz w:val="20"/>
          <w:szCs w:val="20"/>
          <w:color w:val="auto"/>
        </w:rPr>
      </w:pPr>
    </w:p>
    <w:p>
      <w:pPr>
        <w:ind w:right="260" w:firstLine="648"/>
        <w:spacing w:after="0" w:line="278" w:lineRule="auto"/>
        <w:rPr>
          <w:sz w:val="20"/>
          <w:szCs w:val="20"/>
          <w:color w:val="auto"/>
        </w:rPr>
      </w:pPr>
      <w:r>
        <w:rPr>
          <w:rFonts w:ascii="Arial" w:cs="Arial" w:eastAsia="Arial" w:hAnsi="Arial"/>
          <w:sz w:val="16"/>
          <w:szCs w:val="16"/>
          <w:color w:val="auto"/>
        </w:rPr>
        <w:t>The Company periodically assesses the useful lives of intangible assets to evaluate whether what was established at acquisition continues to be appropriate.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Impairment of goodwill and long-lived assets</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Goodwill is tested for impairment annually or more frequently if an event or circumstance indicates that an impairment loss may have been incurred.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Fair value is determined through various valuation techniques including discounted cash flow models and third-party independent appraisals, as considered necessary.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 Early repayment of debt facilities can result in modification of the debt and the acceleration of the amortization of debt issuance costs.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uses derivative financial instruments to reduce exposures to interest rates and foreign currencies. Derivatives are recorded on the balance sheet at fair value at each balance sheet date utilizing pricing models for non-exchange-traded contracts.</w:t>
      </w: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3" w:name="page114"/>
    <w:bookmarkEnd w:id="113"/>
    <w:p>
      <w:pPr>
        <w:jc w:val="both"/>
        <w:spacing w:after="0" w:line="257" w:lineRule="auto"/>
        <w:rPr>
          <w:sz w:val="20"/>
          <w:szCs w:val="20"/>
          <w:color w:val="auto"/>
        </w:rPr>
      </w:pPr>
      <w:r>
        <w:rPr>
          <w:rFonts w:ascii="Arial" w:cs="Arial" w:eastAsia="Arial" w:hAnsi="Arial"/>
          <w:sz w:val="16"/>
          <w:szCs w:val="16"/>
          <w:color w:val="auto"/>
        </w:rPr>
        <w:t>and reclassify it 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3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entered into certain put and call arrangements to purchase equity in unconsolidated entities at a future date. These arrangements are accounted for at fair value at the balance sheet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Income taxes</w:t>
      </w:r>
    </w:p>
    <w:p>
      <w:pPr>
        <w:spacing w:after="0" w:line="2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in the period it arises and has therefore not provided for deferred taxes in respect of this item.</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Government grants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Research and development credits</w:t>
      </w:r>
    </w:p>
    <w:p>
      <w:pPr>
        <w:spacing w:after="0" w:line="2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may be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Pension costs</w:t>
      </w:r>
    </w:p>
    <w:p>
      <w:pPr>
        <w:spacing w:after="0" w:line="268"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The Company operates, through certain subsidiaries, a defined benefit plan for certain employees located in the United Kingdom and Switzerland. The Company accounts for the costs of these plans in accordance with ASC 715-30 </w:t>
      </w:r>
      <w:r>
        <w:rPr>
          <w:rFonts w:ascii="Arial" w:cs="Arial" w:eastAsia="Arial" w:hAnsi="Arial"/>
          <w:sz w:val="16"/>
          <w:szCs w:val="16"/>
          <w:i w:val="1"/>
          <w:iCs w:val="1"/>
          <w:color w:val="auto"/>
        </w:rPr>
        <w:t>'Defined Benefit Plans – Pension'</w:t>
      </w:r>
      <w:r>
        <w:rPr>
          <w:rFonts w:ascii="Arial" w:cs="Arial" w:eastAsia="Arial" w:hAnsi="Arial"/>
          <w:sz w:val="16"/>
          <w:szCs w:val="16"/>
          <w:color w:val="auto"/>
        </w:rPr>
        <w:t xml:space="preserve">. These plans are presented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 The Company also maintains various retirement plans across the Group, many of which are required by local employment laws.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14" w:name="page115"/>
    <w:bookmarkEnd w:id="114"/>
    <w:p>
      <w:pPr>
        <w:jc w:val="both"/>
        <w:spacing w:after="0" w:line="260" w:lineRule="auto"/>
        <w:rPr>
          <w:sz w:val="20"/>
          <w:szCs w:val="20"/>
          <w:color w:val="auto"/>
        </w:rPr>
      </w:pPr>
      <w:r>
        <w:rPr>
          <w:rFonts w:ascii="Arial" w:cs="Arial" w:eastAsia="Arial" w:hAnsi="Arial"/>
          <w:sz w:val="16"/>
          <w:szCs w:val="16"/>
          <w:color w:val="auto"/>
        </w:rPr>
        <w:t>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Liability classified awards are measured at the fair value of the award on the grant date and remeasured at each reporting period at fair value until the award is settled.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Replacement awards</w:t>
      </w:r>
    </w:p>
    <w:p>
      <w:pPr>
        <w:spacing w:after="0" w:line="25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In connection with the completion of the Merger, the company issued replacement awards to the holders of PRA equity awards on July 1, 2021. An exchange of share-based compensation awards in a business combination is treated as a modification under ASC 718. The replacement awards and the original acquiree awards are measured at fair value at the acquisition date and calculated using the fair-value-based measurement principles in ASC 718. Amounts attributable to pre-combination vesting are accounted for as part of the consideration transferred for the acquiree. Amounts attributable to post-combination vesting are accounted for separate from the business combination and are recognized as compensation cost in the post-combination period.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Transaction and integration-related expenses</w:t>
      </w:r>
    </w:p>
    <w:p>
      <w:pPr>
        <w:spacing w:after="0" w:line="26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Transaction and integration-related expenses are the incremental costs directly attributable to the completion and integration activities associated with the Company’s recent acquisitions. The costs consist of investment banking fees, advisory costs, retention agreements with employees, accelerated share compensation charges, contingent consideration valuation adjustments and ongoing integration activities. The Company accounts for these transaction and integration-related costs as expenses in the period in which the costs are incurred and the services are received.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Restructuring</w:t>
      </w:r>
    </w:p>
    <w:p>
      <w:pPr>
        <w:spacing w:after="0" w:line="26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Restructuring charges reflect certain one-time costs arising from reorganization programs announced by Company management. These programs generally result in asset impairments and workforce reductions in order to optimize the Company’s structure and facilitate improved long-term performance. Impairment charges are taken when the value-in-use of the asset is less than the asset’s carrying value. Workforce related charges are taken when an approved reorganization program is communicated to the relevant employee groups.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Redeemable noncontrolling interests and equity</w:t>
      </w:r>
    </w:p>
    <w:p>
      <w:pPr>
        <w:spacing w:after="0" w:line="2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acquired a majority ownership interest in MeDiNova during the year ended December 31, 2019. Included in the purchase agreement were put and call option arrangements with the noncontrolling interest holders that required (put option) or enabled (call option) the Company to purchase the remaining minority ownership at a future date. The option was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On March 9, 2020, ICON exercised its option to call the remaining shares and took 100% ownership of MeDiNova.</w:t>
      </w: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 until the redemption of the noncontrolling interest on March 9, 2020.</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Net income per ordinary share</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 Basic and diluted net income per ordinary share attributable to the Company includes the adjustment to reflect the accretion of the noncontrolling interest in MeDiNova to its redemption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1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period’s presentation. Most notably, the Company has presented transaction and integration-related expenses as a separate line in the Consolidated Statement of Operations and reclassified certain costs incurred in the year ended December 31, 2020 within this line. These costs consist of transaction and integration-related expenses and contingent consideration valuation adjustments related to ICON's prior period acquisitions. These costs were previously presented in the selling, general and administrative expenses but have been reclassified to transaction and integration-related expenses to conform to the current period’s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Recently Issued or Adopted Accounting Standards</w:t>
      </w:r>
    </w:p>
    <w:p>
      <w:pPr>
        <w:spacing w:after="0" w:line="1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No new accounting pronouncement issued or effective has had, or is expected to have, a significant impact on the Company’s consolidated financial statements.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Disaggregation of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ind w:left="660"/>
              <w:spacing w:after="0"/>
              <w:rPr>
                <w:sz w:val="20"/>
                <w:szCs w:val="20"/>
                <w:color w:val="auto"/>
              </w:rPr>
            </w:pPr>
            <w:r>
              <w:rPr>
                <w:rFonts w:ascii="Arial" w:cs="Arial" w:eastAsia="Arial" w:hAnsi="Arial"/>
                <w:sz w:val="16"/>
                <w:szCs w:val="16"/>
                <w:color w:val="auto"/>
              </w:rPr>
              <w:t>Revenue disaggregated by customer profile is as follows: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7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156"/>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7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7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Top client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683,546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441,173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337,904</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1,506,087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1,291,946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754,906</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1,112,636</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752,325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350,865</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1,585,739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1,077,073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501,643</w:t>
            </w:r>
          </w:p>
        </w:tc>
      </w:tr>
      <w:tr>
        <w:trPr>
          <w:trHeight w:val="21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2,853,378</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1,918,309</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851,970</w:t>
            </w:r>
          </w:p>
        </w:tc>
      </w:tr>
      <w:tr>
        <w:trPr>
          <w:trHeight w:val="234"/>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$7,741,386</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$5,480,826</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$2,797,288</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customers have similar profiles and economic characteristics, and therefore have similar degrees of risk and growth opportunities.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Contract Balances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 and unbilled revenue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9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Billed services (accounts receivable)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1,751,950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1,349,851</w:t>
            </w:r>
          </w:p>
        </w:tc>
      </w:tr>
      <w:tr>
        <w:trPr>
          <w:trHeight w:val="213"/>
        </w:trPr>
        <w:tc>
          <w:tcPr>
            <w:tcW w:w="5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Allowance for credit losses (note 5)</w:t>
            </w:r>
          </w:p>
        </w:tc>
        <w:tc>
          <w:tcPr>
            <w:tcW w:w="2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w:t>
            </w:r>
          </w:p>
        </w:tc>
      </w:tr>
      <w:tr>
        <w:trPr>
          <w:trHeight w:val="213"/>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1,731,388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1,342,770</w:t>
            </w:r>
          </w:p>
        </w:tc>
      </w:tr>
      <w:tr>
        <w:trPr>
          <w:trHeight w:val="213"/>
        </w:trPr>
        <w:tc>
          <w:tcPr>
            <w:tcW w:w="5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Unbilled services (unbilled revenue)</w:t>
            </w: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957,655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623,121</w:t>
            </w:r>
          </w:p>
        </w:tc>
      </w:tr>
      <w:tr>
        <w:trPr>
          <w:trHeight w:val="234"/>
        </w:trPr>
        <w:tc>
          <w:tcPr>
            <w:tcW w:w="5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2,689,043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1,965,891</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 Change</w:t>
            </w: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957,655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623,121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334,534</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53.7 %</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Unearned revenue (payments on account)</w:t>
            </w:r>
          </w:p>
        </w:tc>
        <w:tc>
          <w:tcPr>
            <w:tcW w:w="1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(1,507,449)</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(1,323,961)</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(183,488)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Net balance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(700,840)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151,046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6" w:name="page117"/>
    <w:bookmarkEnd w:id="116"/>
    <w:p>
      <w:pPr>
        <w:jc w:val="both"/>
        <w:ind w:firstLine="648"/>
        <w:spacing w:after="0" w:line="258"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pacing w:after="0" w:line="23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at December 31, 2022 and December 31, 2021 were $406.3 million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$323.6 million (see </w:t>
      </w:r>
      <w:r>
        <w:rPr>
          <w:rFonts w:ascii="Arial" w:cs="Arial" w:eastAsia="Arial" w:hAnsi="Arial"/>
          <w:sz w:val="16"/>
          <w:szCs w:val="16"/>
          <w:i w:val="1"/>
          <w:iCs w:val="1"/>
          <w:color w:val="auto"/>
        </w:rPr>
        <w:t>note 12 - Other liabilities</w:t>
      </w:r>
      <w:r>
        <w:rPr>
          <w:rFonts w:ascii="Arial" w:cs="Arial" w:eastAsia="Arial" w:hAnsi="Arial"/>
          <w:sz w:val="16"/>
          <w:szCs w:val="16"/>
          <w:color w:val="auto"/>
        </w:rPr>
        <w: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Unbilled services as at December 31, 2022 increased by $334.5 million as compared to December 31, 2021. Unearned revenue increased by $183.5 million over the same period resulting in a decrease of $151.0 million in the net balance of unbilled services and unearned revenue or payments on account between December 31, 2021 and December 31, 2022. These fluctuations are primarily due to the completion of the Merger on July 1, 2021 but are also partially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credit loss expense recognized on the Group's receivables and unbilled services was $17.8 million and $0.9 million for the twelve months ended December 31, 2022 and 2021, respectively.</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December 31, 2022 approximately $13.7 billion of revenue is expected to be recognized in the future in respect of unsatisfied performance obligations compared to $13.3 billion as of December 31, 2021. As of December 31, 2022 the Company expects to recognize revenue on approximately 52% of the unrealized performance obligation over the next twelve months compared to 48% as of December 31, 2021, with the remainder recognized thereafter over the duration of the customer contracts.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Allowance for Credit Losses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business with most major international pharmaceutical companies. Provision for credit losses at December 31, 2022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comprises: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3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7,149</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used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provided during the year</w:t>
            </w:r>
          </w:p>
        </w:tc>
        <w:tc>
          <w:tcPr>
            <w:tcW w:w="3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released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2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w:t>
            </w:r>
          </w:p>
        </w:tc>
        <w:tc>
          <w:tcPr>
            <w:tcW w:w="3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37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Closing provision</w:t>
            </w:r>
          </w:p>
        </w:tc>
        <w:tc>
          <w:tcPr>
            <w:tcW w:w="3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7,081</w:t>
            </w:r>
          </w:p>
        </w:tc>
      </w:tr>
      <w:tr>
        <w:trPr>
          <w:trHeight w:val="24"/>
        </w:trPr>
        <w:tc>
          <w:tcPr>
            <w:tcW w:w="5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6.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Acquisition</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Health Sciences, Inc., the parent of the PRA Health Sciences ("the Acquisition" and "the Merger"). The combined Group has retained the name ICON and brought together approximately 38,000 (as at the Merger date) employees across the globe, creating the world's largest clinical research organization with a singular focus on clinical research and commercialization. The Merger was accounted for as a business combination using the acquisition method of accounting in accordance with ASC Topic 805, </w:t>
      </w:r>
      <w:r>
        <w:rPr>
          <w:rFonts w:ascii="Arial" w:cs="Arial" w:eastAsia="Arial" w:hAnsi="Arial"/>
          <w:sz w:val="16"/>
          <w:szCs w:val="16"/>
          <w:i w:val="1"/>
          <w:iCs w:val="1"/>
          <w:color w:val="auto"/>
        </w:rPr>
        <w:t>Business Combinations.</w:t>
      </w:r>
    </w:p>
    <w:p>
      <w:pPr>
        <w:spacing w:after="0" w:line="24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the ICON Group. Under the terms of the Merger, PRA shareholders received per share $80 in cash and 0.4125 shares of ICON stock. The trading of PRA common stock on NASDAQ was suspended prior to market open on July 1, 2021.</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In the years ended December 31, 2022 and 2021, the Company incurred Merger-related expenses of $39.7 million and $198.3 million, respectively, which were accounted for separately from the business combination and expensed as incurred within the “Transaction and integration related” line item of the Consolidated Statement of Operations. These costs consist primarily of investment banker fees, advisory fees, legal costs, accounting and consulting fees, share-based compensation expense, and employee retention bonuses. Included in transaction and integration costs in the years ended December 31, 2022 and 2021 are acquisition related costs (as defined by ASC 805) of $0.8 million and $57.1 million, respectively.</w:t>
      </w:r>
    </w:p>
    <w:p>
      <w:pPr>
        <w:spacing w:after="0" w:line="2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The Company also incurred approximately $86.7 million of Merger-related financing fees which are included in the “Interest expense” line item in the Consolidated Statement of Operations for the year ended December 31, 2021. During the year ended December 31, 2021, the Company deferred $76.2 million of financing costs incurred as a result of the Senior Secured Credit Facility and Senior Secured Notes. These costs will be amortized over the term of the related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0" w:type="dxa"/>
            <w:vAlign w:val="bottom"/>
          </w:tcPr>
          <w:p>
            <w:pPr>
              <w:ind w:left="660"/>
              <w:spacing w:after="0"/>
              <w:rPr>
                <w:sz w:val="20"/>
                <w:szCs w:val="20"/>
                <w:color w:val="auto"/>
              </w:rPr>
            </w:pPr>
            <w:r>
              <w:rPr>
                <w:rFonts w:ascii="Arial" w:cs="Arial" w:eastAsia="Arial" w:hAnsi="Arial"/>
                <w:sz w:val="16"/>
                <w:szCs w:val="16"/>
                <w:color w:val="auto"/>
              </w:rPr>
              <w:t>The Merger Date fair value of the consideration transferred consisted of the following:</w:t>
            </w:r>
          </w:p>
        </w:tc>
        <w:tc>
          <w:tcPr>
            <w:tcW w:w="2640" w:type="dxa"/>
            <w:vAlign w:val="bottom"/>
          </w:tcPr>
          <w:p>
            <w:pPr>
              <w:spacing w:after="0"/>
              <w:rPr>
                <w:sz w:val="16"/>
                <w:szCs w:val="16"/>
                <w:color w:val="auto"/>
              </w:rPr>
            </w:pPr>
          </w:p>
        </w:tc>
      </w:tr>
      <w:tr>
        <w:trPr>
          <w:trHeight w:val="276"/>
        </w:trPr>
        <w:tc>
          <w:tcPr>
            <w:tcW w:w="86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5"/>
        </w:trPr>
        <w:tc>
          <w:tcPr>
            <w:tcW w:w="8600" w:type="dxa"/>
            <w:vAlign w:val="bottom"/>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264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264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09"/>
        </w:trPr>
        <w:tc>
          <w:tcPr>
            <w:tcW w:w="8600" w:type="dxa"/>
            <w:vAlign w:val="bottom"/>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4"/>
        </w:trPr>
        <w:tc>
          <w:tcPr>
            <w:tcW w:w="86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p>
      <w:pPr>
        <w:ind w:firstLine="8"/>
        <w:spacing w:after="0" w:line="278" w:lineRule="auto"/>
        <w:tabs>
          <w:tab w:leader="none" w:pos="1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8" w:name="page119"/>
    <w:bookmarkEnd w:id="118"/>
    <w:p>
      <w:pPr>
        <w:ind w:firstLine="648"/>
        <w:spacing w:after="0" w:line="260" w:lineRule="auto"/>
        <w:rPr>
          <w:sz w:val="20"/>
          <w:szCs w:val="20"/>
          <w:color w:val="auto"/>
        </w:rPr>
      </w:pPr>
      <w:r>
        <w:rPr>
          <w:rFonts w:ascii="Arial" w:cs="Arial" w:eastAsia="Arial" w:hAnsi="Arial"/>
          <w:sz w:val="16"/>
          <w:szCs w:val="16"/>
          <w:color w:val="auto"/>
        </w:rPr>
        <w:t>The following table summarizes the allocation of the consideration transferred based on the Merger Date fair values of assets acquired and liabilities assumed, with the excess of the purchase price over the estimated fair values of the identifiable net assets acquired recorded as goodwill:</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5"/>
        </w:trPr>
        <w:tc>
          <w:tcPr>
            <w:tcW w:w="9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9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125,156</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156,851</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180,601</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8,084,314</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4,919,000</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25,190</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33,928</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(380,048)</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(36,506)</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(739,278)</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(147,204)</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(1,119,762)</w:t>
            </w:r>
          </w:p>
        </w:tc>
      </w:tr>
      <w:tr>
        <w:trPr>
          <w:trHeight w:val="226"/>
        </w:trPr>
        <w:tc>
          <w:tcPr>
            <w:tcW w:w="9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(204,291)</w:t>
            </w:r>
          </w:p>
        </w:tc>
      </w:tr>
      <w:tr>
        <w:trPr>
          <w:trHeight w:val="243"/>
        </w:trPr>
        <w:tc>
          <w:tcPr>
            <w:tcW w:w="9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1"/>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12,041,971</w:t>
            </w:r>
          </w:p>
        </w:tc>
      </w:tr>
      <w:tr>
        <w:trPr>
          <w:trHeight w:val="20"/>
        </w:trPr>
        <w:tc>
          <w:tcPr>
            <w:tcW w:w="95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20" w:firstLine="8"/>
        <w:spacing w:after="0" w:line="260" w:lineRule="auto"/>
        <w:tabs>
          <w:tab w:leader="none" w:pos="11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deductible for income tax purposes.</w:t>
      </w:r>
    </w:p>
    <w:p>
      <w:pPr>
        <w:spacing w:after="0" w:line="222"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following table summarizes the fair value of identified intangible assets and their respective useful lives as of the Merger Date (in thousands, except for estimated useful lives):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40" w:type="dxa"/>
            <w:vAlign w:val="bottom"/>
          </w:tcPr>
          <w:p>
            <w:pPr>
              <w:jc w:val="right"/>
              <w:spacing w:after="0"/>
              <w:rPr>
                <w:sz w:val="20"/>
                <w:szCs w:val="20"/>
                <w:color w:val="auto"/>
              </w:rPr>
            </w:pPr>
            <w:r>
              <w:rPr>
                <w:rFonts w:ascii="Arial" w:cs="Arial" w:eastAsia="Arial" w:hAnsi="Arial"/>
                <w:sz w:val="16"/>
                <w:szCs w:val="16"/>
                <w:color w:val="auto"/>
              </w:rPr>
              <w:t>3,938,000</w:t>
            </w:r>
          </w:p>
        </w:tc>
        <w:tc>
          <w:tcPr>
            <w:tcW w:w="30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years</w:t>
            </w:r>
          </w:p>
        </w:tc>
      </w:tr>
      <w:tr>
        <w:trPr>
          <w:trHeight w:val="235"/>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9" w:name="page120"/>
    <w:bookmarkEnd w:id="119"/>
    <w:p>
      <w:pPr>
        <w:jc w:val="both"/>
        <w:ind w:firstLine="648"/>
        <w:spacing w:after="0" w:line="253" w:lineRule="auto"/>
        <w:rPr>
          <w:sz w:val="20"/>
          <w:szCs w:val="20"/>
          <w:color w:val="auto"/>
        </w:rPr>
      </w:pPr>
      <w:r>
        <w:rPr>
          <w:rFonts w:ascii="Arial" w:cs="Arial" w:eastAsia="Arial" w:hAnsi="Arial"/>
          <w:sz w:val="16"/>
          <w:szCs w:val="16"/>
          <w:color w:val="auto"/>
        </w:rPr>
        <w:t>At June 30, 2022, the Company completed its review of the July 1, 2021 acquisition balance sheet of PRA and completed the final valuation associated with certain assets acquired and liabilities assumed. In the period since the Merger Date, the Company recognized certain measurement period adjustments as shown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Measurement period</w:t>
            </w:r>
          </w:p>
        </w:tc>
      </w:tr>
      <w:tr>
        <w:trPr>
          <w:trHeight w:val="216"/>
        </w:trPr>
        <w:tc>
          <w:tcPr>
            <w:tcW w:w="8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r>
      <w:tr>
        <w:trPr>
          <w:trHeight w:val="215"/>
        </w:trPr>
        <w:tc>
          <w:tcPr>
            <w:tcW w:w="8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0"/>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70,436</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(147,039)</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(37,496)</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1,865</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 **</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19,623</w:t>
            </w: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4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10,454</w:t>
            </w: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liabilities</w:t>
            </w:r>
          </w:p>
        </w:tc>
        <w:tc>
          <w:tcPr>
            <w:tcW w:w="4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193,837</w:t>
            </w:r>
          </w:p>
        </w:tc>
      </w:tr>
      <w:tr>
        <w:trPr>
          <w:trHeight w:val="21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(151,098)</w:t>
            </w:r>
          </w:p>
        </w:tc>
      </w:tr>
    </w:tbl>
    <w:p>
      <w:pPr>
        <w:spacing w:after="0" w:line="96" w:lineRule="exact"/>
        <w:rPr>
          <w:sz w:val="20"/>
          <w:szCs w:val="20"/>
          <w:color w:val="auto"/>
        </w:rPr>
      </w:pPr>
    </w:p>
    <w:p>
      <w:pPr>
        <w:ind w:firstLine="8"/>
        <w:spacing w:after="0" w:line="278" w:lineRule="auto"/>
        <w:tabs>
          <w:tab w:leader="none" w:pos="1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year ended December 31, 2022, the Company incurred $2.2 million amortization which related to the year ended December 31, 2021 due to the timing of when the measurement period adjustment was identified.</w:t>
      </w:r>
    </w:p>
    <w:p>
      <w:pPr>
        <w:spacing w:after="0" w:line="208" w:lineRule="exact"/>
        <w:rPr>
          <w:sz w:val="20"/>
          <w:szCs w:val="20"/>
          <w:color w:val="auto"/>
        </w:rPr>
      </w:pPr>
    </w:p>
    <w:p>
      <w:pPr>
        <w:ind w:firstLine="8"/>
        <w:spacing w:after="0" w:line="260" w:lineRule="auto"/>
        <w:tabs>
          <w:tab w:leader="none" w:pos="21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unearned revenue measurement period adjustment also includes $16.0 million as a result of the early adoption of ASU 2021-08 'Business Combinations (Topic 805) - Accounting for Contract Assets and Contract Liabilities from Contracts with Customers' in Quarter 4 2021.</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w:t>
      </w: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24"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18"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60"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36"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120" w:name="page121"/>
    <w:bookmarkEnd w:id="120"/>
    <w:p>
      <w:pPr>
        <w:ind w:right="340" w:firstLine="648"/>
        <w:spacing w:after="0" w:line="260" w:lineRule="auto"/>
        <w:rPr>
          <w:sz w:val="20"/>
          <w:szCs w:val="20"/>
          <w:color w:val="auto"/>
        </w:rPr>
      </w:pPr>
      <w:r>
        <w:rPr>
          <w:rFonts w:ascii="Arial" w:cs="Arial" w:eastAsia="Arial" w:hAnsi="Arial"/>
          <w:sz w:val="16"/>
          <w:szCs w:val="16"/>
          <w:color w:val="auto"/>
        </w:rPr>
        <w:t>As of December 31, 2022, the fair value of the major classes of the Company's assets and liabilities measured at fair value on a recurring basis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Investments</w:t>
            </w: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r>
      <w:tr>
        <w:trPr>
          <w:trHeight w:val="162"/>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59"/>
              <w:spacing w:after="0" w:line="162" w:lineRule="exact"/>
              <w:rPr>
                <w:sz w:val="20"/>
                <w:szCs w:val="20"/>
                <w:color w:val="auto"/>
              </w:rPr>
            </w:pPr>
            <w:r>
              <w:rPr>
                <w:rFonts w:ascii="Arial" w:cs="Arial" w:eastAsia="Arial" w:hAnsi="Arial"/>
                <w:sz w:val="16"/>
                <w:szCs w:val="16"/>
                <w:color w:val="auto"/>
              </w:rPr>
              <w:t>Measured at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8"/>
        </w:trPr>
        <w:tc>
          <w:tcPr>
            <w:tcW w:w="51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Level 1</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Level 2</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Level 3</w:t>
            </w:r>
          </w:p>
        </w:tc>
        <w:tc>
          <w:tcPr>
            <w:tcW w:w="12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Net Asset Value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rPr>
              <w:t>Total</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32,663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32,663</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 (c)</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34,388</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3"/>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 (c)</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r>
      <w:tr>
        <w:trPr>
          <w:trHeight w:val="20"/>
        </w:trPr>
        <w:tc>
          <w:tcPr>
            <w:tcW w:w="11240" w:type="dxa"/>
            <w:vAlign w:val="bottom"/>
            <w:tcBorders>
              <w:bottom w:val="single" w:sz="8" w:color="auto"/>
            </w:tcBorders>
            <w:gridSpan w:val="11"/>
          </w:tcPr>
          <w:p>
            <w:pPr>
              <w:spacing w:after="0" w:line="20" w:lineRule="exact"/>
              <w:rPr>
                <w:sz w:val="1"/>
                <w:szCs w:val="1"/>
                <w:color w:val="auto"/>
              </w:rPr>
            </w:pPr>
          </w:p>
        </w:tc>
      </w:tr>
      <w:tr>
        <w:trPr>
          <w:trHeight w:val="515"/>
        </w:trPr>
        <w:tc>
          <w:tcPr>
            <w:tcW w:w="11240" w:type="dxa"/>
            <w:vAlign w:val="bottom"/>
            <w:gridSpan w:val="11"/>
          </w:tcPr>
          <w:p>
            <w:pPr>
              <w:ind w:left="660"/>
              <w:spacing w:after="0"/>
              <w:rPr>
                <w:sz w:val="20"/>
                <w:szCs w:val="20"/>
                <w:color w:val="auto"/>
              </w:rPr>
            </w:pPr>
            <w:r>
              <w:rPr>
                <w:rFonts w:ascii="Arial" w:cs="Arial" w:eastAsia="Arial" w:hAnsi="Arial"/>
                <w:sz w:val="16"/>
                <w:szCs w:val="16"/>
                <w:color w:val="auto"/>
              </w:rPr>
              <w:t>As of December 31, 2021, the fair value of the major classes of the Company's assets measured at fair value on a recurring basis were as follows</w:t>
            </w: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2"/>
        </w:trPr>
        <w:tc>
          <w:tcPr>
            <w:tcW w:w="5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171"/>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39"/>
              <w:spacing w:after="0" w:line="171" w:lineRule="exact"/>
              <w:rPr>
                <w:sz w:val="20"/>
                <w:szCs w:val="20"/>
                <w:color w:val="auto"/>
              </w:rPr>
            </w:pPr>
            <w:r>
              <w:rPr>
                <w:rFonts w:ascii="Arial" w:cs="Arial" w:eastAsia="Arial" w:hAnsi="Arial"/>
                <w:sz w:val="16"/>
                <w:szCs w:val="16"/>
                <w:color w:val="auto"/>
              </w:rPr>
              <w:t>Investments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62"/>
        </w:trPr>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59"/>
              <w:spacing w:after="0" w:line="162" w:lineRule="exact"/>
              <w:rPr>
                <w:sz w:val="20"/>
                <w:szCs w:val="20"/>
                <w:color w:val="auto"/>
              </w:rPr>
            </w:pPr>
            <w:r>
              <w:rPr>
                <w:rFonts w:ascii="Arial" w:cs="Arial" w:eastAsia="Arial" w:hAnsi="Arial"/>
                <w:sz w:val="16"/>
                <w:szCs w:val="16"/>
                <w:color w:val="auto"/>
              </w:rPr>
              <w:t>Measured at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8"/>
        </w:trPr>
        <w:tc>
          <w:tcPr>
            <w:tcW w:w="51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Level 1</w:t>
            </w: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Level 2</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Level 3</w:t>
            </w:r>
          </w:p>
        </w:tc>
        <w:tc>
          <w:tcPr>
            <w:tcW w:w="12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Net Asset Value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6"/>
                <w:szCs w:val="16"/>
                <w:color w:val="auto"/>
              </w:rPr>
              <w:t>Total</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r>
      <w:tr>
        <w:trPr>
          <w:trHeight w:val="21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20,579</w:t>
            </w: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22,291</w:t>
            </w:r>
          </w:p>
        </w:tc>
      </w:tr>
      <w:tr>
        <w:trPr>
          <w:trHeight w:val="20"/>
        </w:trPr>
        <w:tc>
          <w:tcPr>
            <w:tcW w:w="5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r>
    </w:tbl>
    <w:p>
      <w:pPr>
        <w:spacing w:after="0" w:line="339" w:lineRule="exact"/>
        <w:rPr>
          <w:sz w:val="20"/>
          <w:szCs w:val="20"/>
          <w:color w:val="auto"/>
        </w:rPr>
      </w:pPr>
    </w:p>
    <w:p>
      <w:pPr>
        <w:ind w:firstLine="8"/>
        <w:spacing w:after="0" w:line="260" w:lineRule="auto"/>
        <w:tabs>
          <w:tab w:leader="none" w:pos="2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fair value of investments in highly liquid investments with maturities of greater than three months and a minimum "A-" rated fixed term deposits and are based on quoted market prices.</w:t>
      </w:r>
    </w:p>
    <w:p>
      <w:pPr>
        <w:spacing w:after="0" w:line="235" w:lineRule="exact"/>
        <w:rPr>
          <w:rFonts w:ascii="Arial" w:cs="Arial" w:eastAsia="Arial" w:hAnsi="Arial"/>
          <w:sz w:val="16"/>
          <w:szCs w:val="16"/>
          <w:color w:val="auto"/>
        </w:rPr>
      </w:pPr>
    </w:p>
    <w:p>
      <w:pPr>
        <w:jc w:val="both"/>
        <w:ind w:firstLine="8"/>
        <w:spacing w:after="0" w:line="254" w:lineRule="auto"/>
        <w:tabs>
          <w:tab w:leader="none" w:pos="24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at December 31, 2022 and December 31, 2021 meet the definition of equity securities without readily determinable fair values. The Company concluded that the interests held at December 31, 2022 and December 31, 2021 qualify for the Net Asset Value (NAV) practical expedient in ASC 820 'Fair value measurements and disclosures'. Any increases or decreases in fair value are recognized in net income in the period.</w:t>
      </w:r>
    </w:p>
    <w:p>
      <w:pPr>
        <w:spacing w:after="0" w:line="241" w:lineRule="exact"/>
        <w:rPr>
          <w:rFonts w:ascii="Arial" w:cs="Arial" w:eastAsia="Arial" w:hAnsi="Arial"/>
          <w:sz w:val="16"/>
          <w:szCs w:val="16"/>
          <w:color w:val="auto"/>
        </w:rPr>
      </w:pPr>
    </w:p>
    <w:p>
      <w:pPr>
        <w:jc w:val="both"/>
        <w:ind w:firstLine="8"/>
        <w:spacing w:after="0" w:line="253" w:lineRule="auto"/>
        <w:tabs>
          <w:tab w:leader="none" w:pos="248"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fair value of interest rate cap and interest rate swap agreements. The fair value of the agreements are the estimated amount that the Company would receive or pay to terminate such agreements, taking into account market interest rates and the remaining time to maturities or using market inputs with mid-market pricing as a practical expedient for bid-ask spread. The Company held no derivative instruments at December 31, 2021.</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Certain assets and liabilities are carried on the accompanying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December 31, 2022, assets carried on the balance sheet and not re-measured to fair value on a recurring basis totaled approximately $13,250.4 million and are identified as Level 3 assets. These assets are comprised of goodwill of $8,971.7 million and identifiable intangible assets, net of $4,278.7 million.</w:t>
      </w:r>
    </w:p>
    <w:p>
      <w:pPr>
        <w:spacing w:after="0" w:line="2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As of December 31, 2022 and 2021, the fair value of total debt approximated $4,650.3 million and $5,507.2 million, respectively, as determined under Level 2 measurement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8. Investments</w:t>
      </w:r>
    </w:p>
    <w:p>
      <w:pPr>
        <w:spacing w:after="0" w:line="248" w:lineRule="exact"/>
        <w:rPr>
          <w:sz w:val="20"/>
          <w:szCs w:val="20"/>
          <w:color w:val="auto"/>
        </w:rPr>
      </w:pPr>
    </w:p>
    <w:p>
      <w:pPr>
        <w:ind w:left="420" w:hanging="412"/>
        <w:spacing w:after="0"/>
        <w:tabs>
          <w:tab w:leader="none" w:pos="4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for sale investments (short-term)</w:t>
      </w:r>
    </w:p>
    <w:p>
      <w:pPr>
        <w:spacing w:after="0" w:line="1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held $1.7 million of available for sale investments at both December 31, 2022 and December 31, 2021. The Company classifies its investment in short term investments as available for sale. Short term investments comprise highly liquid investments with maturities of greater than three months and minimum "A-" rated fixed term deposits.</w:t>
      </w:r>
    </w:p>
    <w:p>
      <w:pPr>
        <w:spacing w:after="0" w:line="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Short term investments at December 31, 2022 have an average maturity of 2.8 years compared to 2.7 years at December 31, 2021. The contractual maturity of certain investments in the portfolio is greater than 12 months; however, classification as short-term investments reflects the Company practice and intention in respect of these investments. The Company recognizes the unrealized losses at fair value in equity as these unrealized losses on short term investments have been considered as temporary.</w:t>
      </w:r>
    </w:p>
    <w:p>
      <w:pPr>
        <w:spacing w:after="0" w:line="218"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for sale investments (long-term)</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entered into subscription agreements with a number of funds. Capital totaling $20.6 million had been advanced under the terms of the subscription agreements at December 31, 2022 (December 31, 2021: $16.9 million). The Company determined that the interests in the funds meet the definition of equity securities without readily determinable fair values. The Company concluded that the interests held at December 31, 2022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These are therefore measured at Level 3 of the fair value hierarchy. There was an increase in fair value of $6.3 million (December 31, 2021: $3.2 million) recognized in net income during the year bringing the carrying value of the subscriptions to $32.6 million at December 31, 2022 (December 31, 2021: $22.6 million). At December 31, 2022, the Company had committed to future investments of $23.3 million in respect of these funds.</w:t>
      </w:r>
    </w:p>
    <w:p>
      <w:pPr>
        <w:spacing w:after="0" w:line="207"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investments</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Consolidated Statement of Operations.</w:t>
      </w:r>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Ownership Percentage</w:t>
            </w:r>
          </w:p>
        </w:tc>
        <w:tc>
          <w:tcPr>
            <w:tcW w:w="24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Carrying Value</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c>
          <w:tcPr>
            <w:tcW w:w="2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4040" w:type="dxa"/>
            <w:vAlign w:val="bottom"/>
          </w:tcPr>
          <w:p>
            <w:pPr>
              <w:jc w:val="right"/>
              <w:ind w:right="239"/>
              <w:spacing w:after="0"/>
              <w:rPr>
                <w:sz w:val="20"/>
                <w:szCs w:val="20"/>
                <w:color w:val="auto"/>
              </w:rPr>
            </w:pPr>
            <w:r>
              <w:rPr>
                <w:rFonts w:ascii="Arial" w:cs="Arial" w:eastAsia="Arial" w:hAnsi="Arial"/>
                <w:sz w:val="16"/>
                <w:szCs w:val="16"/>
                <w:color w:val="auto"/>
              </w:rPr>
              <w:t>49 % $</w:t>
            </w:r>
          </w:p>
        </w:tc>
        <w:tc>
          <w:tcPr>
            <w:tcW w:w="2460" w:type="dxa"/>
            <w:vAlign w:val="bottom"/>
          </w:tcPr>
          <w:p>
            <w:pPr>
              <w:jc w:val="right"/>
              <w:ind w:right="459"/>
              <w:spacing w:after="0"/>
              <w:rPr>
                <w:sz w:val="20"/>
                <w:szCs w:val="20"/>
                <w:color w:val="auto"/>
              </w:rPr>
            </w:pPr>
            <w:r>
              <w:rPr>
                <w:rFonts w:ascii="Arial" w:cs="Arial" w:eastAsia="Arial" w:hAnsi="Arial"/>
                <w:sz w:val="16"/>
                <w:szCs w:val="16"/>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73"/>
        </w:trPr>
        <w:tc>
          <w:tcPr>
            <w:tcW w:w="3140" w:type="dxa"/>
            <w:vAlign w:val="bottom"/>
            <w:tcBorders>
              <w:bottom w:val="single" w:sz="8" w:color="auto"/>
            </w:tcBorders>
            <w:shd w:val="clear" w:color="auto" w:fill="CCEEFF"/>
          </w:tcPr>
          <w:p>
            <w:pPr>
              <w:spacing w:after="0"/>
              <w:rPr>
                <w:sz w:val="23"/>
                <w:szCs w:val="23"/>
                <w:color w:val="auto"/>
              </w:rPr>
            </w:pPr>
          </w:p>
        </w:tc>
        <w:tc>
          <w:tcPr>
            <w:tcW w:w="404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2021, the Company provided a loan of $10 million to Oncacare in order to fund the continued development of the business operations. The loan accrues annual interest at 1.6% and the loan is repayable on June 30, 2025.</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recorded losses of $3.1 million and $2.2 million representing its pro rata share of the losses in Oncacare during the year ended December 31, 2022 and December 31, 2021, respectively. The carrying value of the Company's investment in Oncacare was reduced by $2.3 million of pro rata losses. The remaining $0.8 million in pro rata losses served to reduce the carrying value of the Company's loan receivable from Oncacare. The outstanding balance of the Company's loan receivable with Oncacare at December 31, 2022 is $9.2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9. Property, Plant and Equipment, net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Property, Plant and Equipment for the years ended December 31, 2022 and 2021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65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540" w:type="dxa"/>
            <w:vAlign w:val="bottom"/>
          </w:tcPr>
          <w:p>
            <w:pPr>
              <w:ind w:left="20"/>
              <w:spacing w:after="0"/>
              <w:rPr>
                <w:sz w:val="20"/>
                <w:szCs w:val="20"/>
                <w:color w:val="auto"/>
              </w:rPr>
            </w:pPr>
            <w:r>
              <w:rPr>
                <w:rFonts w:ascii="Arial" w:cs="Arial" w:eastAsia="Arial" w:hAnsi="Arial"/>
                <w:sz w:val="16"/>
                <w:szCs w:val="16"/>
                <w:color w:val="auto"/>
              </w:rPr>
              <w:t>Land</w:t>
            </w: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w:t>
            </w:r>
          </w:p>
        </w:tc>
        <w:tc>
          <w:tcPr>
            <w:tcW w:w="20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82,017</w:t>
            </w:r>
          </w:p>
        </w:tc>
      </w:tr>
      <w:tr>
        <w:trPr>
          <w:trHeight w:val="213"/>
        </w:trPr>
        <w:tc>
          <w:tcPr>
            <w:tcW w:w="654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20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500,135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506,322</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fixtures</w:t>
            </w:r>
          </w:p>
        </w:tc>
        <w:tc>
          <w:tcPr>
            <w:tcW w:w="20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107,507</w:t>
            </w:r>
          </w:p>
        </w:tc>
      </w:tr>
      <w:tr>
        <w:trPr>
          <w:trHeight w:val="213"/>
        </w:trPr>
        <w:tc>
          <w:tcPr>
            <w:tcW w:w="654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0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59,946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29,210</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0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65,167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70,123</w:t>
            </w:r>
          </w:p>
        </w:tc>
      </w:tr>
      <w:tr>
        <w:trPr>
          <w:trHeight w:val="210"/>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Motor vehicles</w:t>
            </w:r>
          </w:p>
        </w:tc>
        <w:tc>
          <w:tcPr>
            <w:tcW w:w="2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65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750,493</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798,968</w:t>
            </w:r>
          </w:p>
        </w:tc>
      </w:tr>
      <w:tr>
        <w:trPr>
          <w:trHeight w:val="20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 and asset write offs</w:t>
            </w:r>
          </w:p>
        </w:tc>
        <w:tc>
          <w:tcPr>
            <w:tcW w:w="20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(400,173)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(462,524)</w:t>
            </w:r>
          </w:p>
        </w:tc>
      </w:tr>
      <w:tr>
        <w:trPr>
          <w:trHeight w:val="238"/>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350,320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336,444</w:t>
            </w:r>
          </w:p>
        </w:tc>
      </w:tr>
      <w:tr>
        <w:trPr>
          <w:trHeight w:val="20"/>
        </w:trPr>
        <w:tc>
          <w:tcPr>
            <w:tcW w:w="65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6540" w:type="dxa"/>
            <w:vAlign w:val="bottom"/>
          </w:tcPr>
          <w:p>
            <w:pPr>
              <w:spacing w:after="0"/>
              <w:rPr>
                <w:sz w:val="20"/>
                <w:szCs w:val="20"/>
                <w:color w:val="auto"/>
              </w:rPr>
            </w:pPr>
            <w:r>
              <w:rPr>
                <w:rFonts w:ascii="Arial" w:cs="Arial" w:eastAsia="Arial" w:hAnsi="Arial"/>
                <w:sz w:val="16"/>
                <w:szCs w:val="16"/>
                <w:color w:val="auto"/>
              </w:rPr>
              <w:t>Property, Plant and Equipment depreciation expense is as follows:</w:t>
            </w: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6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65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54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106,426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75,484</w:t>
            </w:r>
          </w:p>
        </w:tc>
      </w:tr>
    </w:tbl>
    <w:p>
      <w:pPr>
        <w:spacing w:after="0" w:line="3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regularly updates its register of property, plant and equipment and during the year ended December 31, 2022 and the year ended December 31, 2021, certain fully depreciated assets were written off as they were no longer used in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Goodwill</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the carrying amount of Goodwill for the years ended December 31, 2022 and 2021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38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goodwill</w:t>
            </w:r>
          </w:p>
        </w:tc>
        <w:tc>
          <w:tcPr>
            <w:tcW w:w="3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9,037,931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936,257</w:t>
            </w:r>
          </w:p>
        </w:tc>
      </w:tr>
      <w:tr>
        <w:trPr>
          <w:trHeight w:val="213"/>
        </w:trPr>
        <w:tc>
          <w:tcPr>
            <w:tcW w:w="5380" w:type="dxa"/>
            <w:vAlign w:val="bottom"/>
          </w:tcPr>
          <w:p>
            <w:pPr>
              <w:ind w:left="20"/>
              <w:spacing w:after="0"/>
              <w:rPr>
                <w:sz w:val="20"/>
                <w:szCs w:val="20"/>
                <w:color w:val="auto"/>
              </w:rPr>
            </w:pPr>
            <w:r>
              <w:rPr>
                <w:rFonts w:ascii="Arial" w:cs="Arial" w:eastAsia="Arial" w:hAnsi="Arial"/>
                <w:sz w:val="16"/>
                <w:szCs w:val="16"/>
                <w:color w:val="auto"/>
              </w:rPr>
              <w:t>Current year acquisitions (note 6)</w:t>
            </w:r>
          </w:p>
        </w:tc>
        <w:tc>
          <w:tcPr>
            <w:tcW w:w="3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8,120,006</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acquisition (note 6)</w:t>
            </w:r>
          </w:p>
        </w:tc>
        <w:tc>
          <w:tcPr>
            <w:tcW w:w="3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(18,332)</w:t>
            </w:r>
          </w:p>
        </w:tc>
      </w:tr>
      <w:tr>
        <w:trPr>
          <w:trHeight w:val="238"/>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goodwill</w:t>
            </w:r>
          </w:p>
        </w:tc>
        <w:tc>
          <w:tcPr>
            <w:tcW w:w="3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8,971,670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9,037,931</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goodwill impairment losses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11. Intangible Assets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for the years ended December 31, 2022 and 2021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12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34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4,076,435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4,056,642</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Order backlog</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536,934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528,022</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&amp; brands</w:t>
            </w:r>
          </w:p>
        </w:tc>
        <w:tc>
          <w:tcPr>
            <w:tcW w:w="3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204,621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204,685</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170,238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170,525</w:t>
            </w:r>
          </w:p>
        </w:tc>
      </w:tr>
      <w:tr>
        <w:trPr>
          <w:trHeight w:val="22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Technology assets</w:t>
            </w:r>
          </w:p>
        </w:tc>
        <w:tc>
          <w:tcPr>
            <w:tcW w:w="3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120,984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121,507</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3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5,109,212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5,081,381</w:t>
            </w:r>
          </w:p>
        </w:tc>
      </w:tr>
      <w:tr>
        <w:trPr>
          <w:trHeight w:val="259"/>
        </w:trPr>
        <w:tc>
          <w:tcPr>
            <w:tcW w:w="512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(830,553)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(370,538)</w:t>
            </w:r>
          </w:p>
        </w:tc>
      </w:tr>
      <w:tr>
        <w:trPr>
          <w:trHeight w:val="4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book value</w:t>
            </w:r>
          </w:p>
        </w:tc>
        <w:tc>
          <w:tcPr>
            <w:tcW w:w="3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4,278,659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4,710,843</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July 1, 2021, ICON plc announced the completion of its Merger with PRA Health Sciences, Inc. The Merger resulted in the recognition of Customer relationships of $3,938.0 million, Order backlog of $500.0 million, Trade names of $202.0 million, Patient database of $168.0 million and Technology assets of $111.0 million. These assets will be amortized over their expected useful lives of between 3 and 23 years. The valuation of these assets were finalized in June 30, 2022. In total, $677.1 million has been amortized in the period since the date of acquisition, $453.6 million has been amortized in the year ended December 31,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9400" w:type="dxa"/>
            <w:vAlign w:val="bottom"/>
          </w:tcPr>
          <w:p>
            <w:pPr>
              <w:jc w:val="right"/>
              <w:ind w:right="439"/>
              <w:spacing w:after="0"/>
              <w:rPr>
                <w:sz w:val="20"/>
                <w:szCs w:val="20"/>
                <w:color w:val="auto"/>
              </w:rPr>
            </w:pPr>
            <w:r>
              <w:rPr>
                <w:rFonts w:ascii="Arial" w:cs="Arial" w:eastAsia="Arial" w:hAnsi="Arial"/>
                <w:sz w:val="16"/>
                <w:szCs w:val="16"/>
                <w:color w:val="auto"/>
              </w:rPr>
              <w:t>Future intangible asset amortization expense for the years ended December 31, 2023 to December 31, 2027 is as follows:</w:t>
            </w:r>
          </w:p>
        </w:tc>
        <w:tc>
          <w:tcPr>
            <w:tcW w:w="1280" w:type="dxa"/>
            <w:vAlign w:val="bottom"/>
          </w:tcPr>
          <w:p>
            <w:pPr>
              <w:spacing w:after="0"/>
              <w:rPr>
                <w:sz w:val="16"/>
                <w:szCs w:val="16"/>
                <w:color w:val="auto"/>
              </w:rPr>
            </w:pPr>
          </w:p>
        </w:tc>
      </w:tr>
      <w:tr>
        <w:trPr>
          <w:trHeight w:val="114"/>
        </w:trPr>
        <w:tc>
          <w:tcPr>
            <w:tcW w:w="520" w:type="dxa"/>
            <w:vAlign w:val="bottom"/>
          </w:tcPr>
          <w:p>
            <w:pPr>
              <w:spacing w:after="0"/>
              <w:rPr>
                <w:sz w:val="9"/>
                <w:szCs w:val="9"/>
                <w:color w:val="auto"/>
              </w:rPr>
            </w:pPr>
          </w:p>
        </w:tc>
        <w:tc>
          <w:tcPr>
            <w:tcW w:w="94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62"/>
        </w:trPr>
        <w:tc>
          <w:tcPr>
            <w:tcW w:w="520" w:type="dxa"/>
            <w:vAlign w:val="bottom"/>
            <w:shd w:val="clear" w:color="auto" w:fill="CCEEFF"/>
          </w:tcPr>
          <w:p>
            <w:pPr>
              <w:spacing w:after="0"/>
              <w:rPr>
                <w:sz w:val="14"/>
                <w:szCs w:val="14"/>
                <w:color w:val="auto"/>
              </w:rPr>
            </w:pPr>
          </w:p>
        </w:tc>
        <w:tc>
          <w:tcPr>
            <w:tcW w:w="9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Year Ended</w:t>
            </w:r>
          </w:p>
        </w:tc>
      </w:tr>
      <w:tr>
        <w:trPr>
          <w:trHeight w:val="215"/>
        </w:trPr>
        <w:tc>
          <w:tcPr>
            <w:tcW w:w="520" w:type="dxa"/>
            <w:vAlign w:val="bottom"/>
            <w:tcBorders>
              <w:bottom w:val="single" w:sz="8" w:color="auto"/>
            </w:tcBorders>
            <w:shd w:val="clear" w:color="auto" w:fill="CCEEFF"/>
          </w:tcPr>
          <w:p>
            <w:pPr>
              <w:spacing w:after="0"/>
              <w:rPr>
                <w:sz w:val="18"/>
                <w:szCs w:val="18"/>
                <w:color w:val="auto"/>
              </w:rPr>
            </w:pPr>
          </w:p>
        </w:tc>
        <w:tc>
          <w:tcPr>
            <w:tcW w:w="10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52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2023</w:t>
            </w:r>
          </w:p>
        </w:tc>
        <w:tc>
          <w:tcPr>
            <w:tcW w:w="9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460,711</w:t>
            </w:r>
          </w:p>
        </w:tc>
      </w:tr>
      <w:tr>
        <w:trPr>
          <w:trHeight w:val="213"/>
        </w:trPr>
        <w:tc>
          <w:tcPr>
            <w:tcW w:w="520" w:type="dxa"/>
            <w:vAlign w:val="bottom"/>
          </w:tcPr>
          <w:p>
            <w:pPr>
              <w:jc w:val="right"/>
              <w:ind w:right="59"/>
              <w:spacing w:after="0"/>
              <w:rPr>
                <w:sz w:val="20"/>
                <w:szCs w:val="20"/>
                <w:color w:val="auto"/>
              </w:rPr>
            </w:pPr>
            <w:r>
              <w:rPr>
                <w:rFonts w:ascii="Arial" w:cs="Arial" w:eastAsia="Arial" w:hAnsi="Arial"/>
                <w:sz w:val="16"/>
                <w:szCs w:val="16"/>
                <w:color w:val="auto"/>
              </w:rPr>
              <w:t>2024</w:t>
            </w: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339,940</w:t>
            </w:r>
          </w:p>
        </w:tc>
      </w:tr>
      <w:tr>
        <w:trPr>
          <w:trHeight w:val="219"/>
        </w:trPr>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2025</w:t>
            </w:r>
          </w:p>
        </w:tc>
        <w:tc>
          <w:tcPr>
            <w:tcW w:w="9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223,674</w:t>
            </w:r>
          </w:p>
        </w:tc>
      </w:tr>
      <w:tr>
        <w:trPr>
          <w:trHeight w:val="213"/>
        </w:trPr>
        <w:tc>
          <w:tcPr>
            <w:tcW w:w="520" w:type="dxa"/>
            <w:vAlign w:val="bottom"/>
          </w:tcPr>
          <w:p>
            <w:pPr>
              <w:jc w:val="right"/>
              <w:ind w:right="59"/>
              <w:spacing w:after="0"/>
              <w:rPr>
                <w:sz w:val="20"/>
                <w:szCs w:val="20"/>
                <w:color w:val="auto"/>
              </w:rPr>
            </w:pPr>
            <w:r>
              <w:rPr>
                <w:rFonts w:ascii="Arial" w:cs="Arial" w:eastAsia="Arial" w:hAnsi="Arial"/>
                <w:sz w:val="16"/>
                <w:szCs w:val="16"/>
                <w:color w:val="auto"/>
              </w:rPr>
              <w:t>2026</w:t>
            </w:r>
          </w:p>
        </w:tc>
        <w:tc>
          <w:tcPr>
            <w:tcW w:w="9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209,681</w:t>
            </w:r>
          </w:p>
        </w:tc>
      </w:tr>
      <w:tr>
        <w:trPr>
          <w:trHeight w:val="226"/>
        </w:trPr>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2027</w:t>
            </w:r>
          </w:p>
        </w:tc>
        <w:tc>
          <w:tcPr>
            <w:tcW w:w="9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198,300</w:t>
            </w:r>
          </w:p>
        </w:tc>
      </w:tr>
      <w:tr>
        <w:trPr>
          <w:trHeight w:val="213"/>
        </w:trPr>
        <w:tc>
          <w:tcPr>
            <w:tcW w:w="520" w:type="dxa"/>
            <w:vAlign w:val="bottom"/>
            <w:tcBorders>
              <w:bottom w:val="single" w:sz="8" w:color="auto"/>
            </w:tcBorders>
          </w:tcPr>
          <w:p>
            <w:pPr>
              <w:spacing w:after="0"/>
              <w:rPr>
                <w:sz w:val="18"/>
                <w:szCs w:val="18"/>
                <w:color w:val="auto"/>
              </w:rPr>
            </w:pPr>
          </w:p>
        </w:tc>
        <w:tc>
          <w:tcPr>
            <w:tcW w:w="9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1,432,306</w:t>
            </w:r>
          </w:p>
        </w:tc>
      </w:tr>
      <w:tr>
        <w:trPr>
          <w:trHeight w:val="24"/>
        </w:trPr>
        <w:tc>
          <w:tcPr>
            <w:tcW w:w="52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12. Other Liabilities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Other Liabilities for the years ended December 31, 2022 and 2021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56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trade and overhead liabilities*</w:t>
            </w:r>
          </w:p>
        </w:tc>
        <w:tc>
          <w:tcPr>
            <w:tcW w:w="3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530,204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459,814</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Personnel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395,862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413,185</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49,949</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Facility related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16,896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12,055</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Restructuring liabilities</w:t>
            </w:r>
          </w:p>
        </w:tc>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7,377</w:t>
            </w:r>
          </w:p>
        </w:tc>
      </w:tr>
      <w:tr>
        <w:trPr>
          <w:trHeight w:val="22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Short term government grants</w:t>
            </w:r>
          </w:p>
        </w:tc>
        <w:tc>
          <w:tcPr>
            <w:tcW w:w="30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5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1,005,025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949,629</w:t>
            </w:r>
          </w:p>
        </w:tc>
      </w:tr>
      <w:tr>
        <w:trPr>
          <w:trHeight w:val="23"/>
        </w:trPr>
        <w:tc>
          <w:tcPr>
            <w:tcW w:w="55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*includes amounts due to third parties in respect of accrued reimbursable investigator expenses of $406.3 million at December 31, 2022 and $323.6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Non-current Bank Credit Lines and Loan Facilities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December 31,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Principal amount</w:t>
            </w:r>
          </w:p>
        </w:tc>
        <w:tc>
          <w:tcPr>
            <w:tcW w:w="1400" w:type="dxa"/>
            <w:vAlign w:val="bottom"/>
            <w:shd w:val="clear" w:color="auto" w:fill="CCEEFF"/>
          </w:tcPr>
          <w:p>
            <w:pPr>
              <w:spacing w:after="0"/>
              <w:rPr>
                <w:sz w:val="18"/>
                <w:szCs w:val="18"/>
                <w:color w:val="auto"/>
              </w:rPr>
            </w:pPr>
          </w:p>
        </w:tc>
      </w:tr>
      <w:tr>
        <w:trPr>
          <w:trHeight w:val="209"/>
        </w:trPr>
        <w:tc>
          <w:tcPr>
            <w:tcW w:w="3020" w:type="dxa"/>
            <w:vAlign w:val="bottom"/>
          </w:tcPr>
          <w:p>
            <w:pPr>
              <w:spacing w:after="0"/>
              <w:rPr>
                <w:sz w:val="18"/>
                <w:szCs w:val="18"/>
                <w:color w:val="auto"/>
              </w:rPr>
            </w:pPr>
          </w:p>
        </w:tc>
        <w:tc>
          <w:tcPr>
            <w:tcW w:w="1900" w:type="dxa"/>
            <w:vAlign w:val="bottom"/>
          </w:tcPr>
          <w:p>
            <w:pPr>
              <w:jc w:val="right"/>
              <w:ind w:right="259"/>
              <w:spacing w:after="0"/>
              <w:rPr>
                <w:sz w:val="20"/>
                <w:szCs w:val="20"/>
                <w:color w:val="auto"/>
              </w:rPr>
            </w:pPr>
            <w:r>
              <w:rPr>
                <w:rFonts w:ascii="Arial" w:cs="Arial" w:eastAsia="Arial" w:hAnsi="Arial"/>
                <w:sz w:val="16"/>
                <w:szCs w:val="16"/>
                <w:b w:val="1"/>
                <w:bCs w:val="1"/>
                <w:color w:val="auto"/>
              </w:rPr>
              <w:t>Interest rate as of</w:t>
            </w:r>
          </w:p>
        </w:tc>
        <w:tc>
          <w:tcPr>
            <w:tcW w:w="176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 rate as of</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Pr>
          <w:p>
            <w:pPr>
              <w:spacing w:after="0"/>
              <w:rPr>
                <w:sz w:val="18"/>
                <w:szCs w:val="18"/>
                <w:color w:val="auto"/>
              </w:rPr>
            </w:pPr>
          </w:p>
        </w:tc>
      </w:tr>
      <w:tr>
        <w:trPr>
          <w:trHeight w:val="216"/>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 2022</w:t>
            </w:r>
          </w:p>
        </w:tc>
        <w:tc>
          <w:tcPr>
            <w:tcW w:w="19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December 31, 2021</w:t>
            </w:r>
          </w:p>
        </w:tc>
        <w:tc>
          <w:tcPr>
            <w:tcW w:w="1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Maturity Date</w:t>
            </w:r>
          </w:p>
        </w:tc>
      </w:tr>
      <w:tr>
        <w:trPr>
          <w:trHeight w:val="207"/>
        </w:trPr>
        <w:tc>
          <w:tcPr>
            <w:tcW w:w="302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1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1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7.092 %</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2.750 %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4,201,213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5,001,213</w:t>
            </w:r>
          </w:p>
        </w:tc>
        <w:tc>
          <w:tcPr>
            <w:tcW w:w="1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July 2028</w:t>
            </w: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Secured Notes</w:t>
            </w:r>
          </w:p>
        </w:tc>
        <w:tc>
          <w:tcPr>
            <w:tcW w:w="19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2.875 %</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2.875 %</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July 2026</w:t>
            </w: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4,701,213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1400" w:type="dxa"/>
            <w:vAlign w:val="bottom"/>
            <w:shd w:val="clear" w:color="auto" w:fill="CCEEFF"/>
          </w:tcPr>
          <w:p>
            <w:pPr>
              <w:spacing w:after="0"/>
              <w:rPr>
                <w:sz w:val="18"/>
                <w:szCs w:val="18"/>
                <w:color w:val="auto"/>
              </w:rPr>
            </w:pPr>
          </w:p>
        </w:tc>
      </w:tr>
      <w:tr>
        <w:trPr>
          <w:trHeight w:val="177"/>
        </w:trPr>
        <w:tc>
          <w:tcPr>
            <w:tcW w:w="3020" w:type="dxa"/>
            <w:vAlign w:val="bottom"/>
          </w:tcPr>
          <w:p>
            <w:pPr>
              <w:ind w:left="20"/>
              <w:spacing w:after="0" w:line="178" w:lineRule="exact"/>
              <w:rPr>
                <w:sz w:val="20"/>
                <w:szCs w:val="20"/>
                <w:color w:val="auto"/>
              </w:rPr>
            </w:pPr>
            <w:r>
              <w:rPr>
                <w:rFonts w:ascii="Arial" w:cs="Arial" w:eastAsia="Arial" w:hAnsi="Arial"/>
                <w:sz w:val="16"/>
                <w:szCs w:val="16"/>
                <w:color w:val="auto"/>
              </w:rPr>
              <w:t>Less current portion of long-term debt</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and debt issuance costs</w:t>
            </w:r>
          </w:p>
        </w:tc>
        <w:tc>
          <w:tcPr>
            <w:tcW w:w="19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1400" w:type="dxa"/>
            <w:vAlign w:val="bottom"/>
            <w:tcBorders>
              <w:bottom w:val="single" w:sz="8" w:color="auto"/>
            </w:tcBorders>
          </w:tcPr>
          <w:p>
            <w:pPr>
              <w:spacing w:after="0"/>
              <w:rPr>
                <w:sz w:val="17"/>
                <w:szCs w:val="17"/>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9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4,646,063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5,446,063</w:t>
            </w:r>
          </w:p>
        </w:tc>
        <w:tc>
          <w:tcPr>
            <w:tcW w:w="1400" w:type="dxa"/>
            <w:vAlign w:val="bottom"/>
            <w:shd w:val="clear" w:color="auto" w:fill="CCEEFF"/>
          </w:tcPr>
          <w:p>
            <w:pPr>
              <w:spacing w:after="0"/>
              <w:rPr>
                <w:sz w:val="18"/>
                <w:szCs w:val="18"/>
                <w:color w:val="auto"/>
              </w:rPr>
            </w:pPr>
          </w:p>
        </w:tc>
      </w:tr>
      <w:tr>
        <w:trPr>
          <w:trHeight w:val="177"/>
        </w:trPr>
        <w:tc>
          <w:tcPr>
            <w:tcW w:w="3020" w:type="dxa"/>
            <w:vAlign w:val="bottom"/>
          </w:tcPr>
          <w:p>
            <w:pPr>
              <w:ind w:left="20"/>
              <w:spacing w:after="0" w:line="178" w:lineRule="exact"/>
              <w:rPr>
                <w:sz w:val="20"/>
                <w:szCs w:val="20"/>
                <w:color w:val="auto"/>
              </w:rPr>
            </w:pPr>
            <w:r>
              <w:rPr>
                <w:rFonts w:ascii="Arial" w:cs="Arial" w:eastAsia="Arial" w:hAnsi="Arial"/>
                <w:sz w:val="16"/>
                <w:szCs w:val="16"/>
                <w:color w:val="auto"/>
              </w:rPr>
              <w:t>Less long-term portion of debt issuance</w:t>
            </w:r>
          </w:p>
        </w:tc>
        <w:tc>
          <w:tcPr>
            <w:tcW w:w="19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costs and debt discount</w:t>
            </w:r>
          </w:p>
        </w:tc>
        <w:tc>
          <w:tcPr>
            <w:tcW w:w="19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(47,026)</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w:t>
            </w:r>
          </w:p>
        </w:tc>
        <w:tc>
          <w:tcPr>
            <w:tcW w:w="1400" w:type="dxa"/>
            <w:vAlign w:val="bottom"/>
            <w:tcBorders>
              <w:bottom w:val="single" w:sz="8" w:color="auto"/>
            </w:tcBorders>
          </w:tcPr>
          <w:p>
            <w:pPr>
              <w:spacing w:after="0"/>
              <w:rPr>
                <w:sz w:val="17"/>
                <w:szCs w:val="17"/>
                <w:color w:val="auto"/>
              </w:rPr>
            </w:pPr>
          </w:p>
        </w:tc>
      </w:tr>
      <w:tr>
        <w:trPr>
          <w:trHeight w:val="234"/>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9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4,599,037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5,381,162</w:t>
            </w:r>
          </w:p>
        </w:tc>
        <w:tc>
          <w:tcPr>
            <w:tcW w:w="1400" w:type="dxa"/>
            <w:vAlign w:val="bottom"/>
            <w:tcBorders>
              <w:bottom w:val="single" w:sz="8" w:color="auto"/>
            </w:tcBorders>
            <w:shd w:val="clear" w:color="auto" w:fill="CCEEFF"/>
          </w:tcPr>
          <w:p>
            <w:pPr>
              <w:spacing w:after="0"/>
              <w:rPr>
                <w:sz w:val="19"/>
                <w:szCs w:val="19"/>
                <w:color w:val="auto"/>
              </w:rPr>
            </w:pPr>
          </w:p>
        </w:tc>
      </w:tr>
      <w:tr>
        <w:trPr>
          <w:trHeight w:val="20"/>
        </w:trPr>
        <w:tc>
          <w:tcPr>
            <w:tcW w:w="30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 on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p>
      <w:pPr>
        <w:jc w:val="both"/>
        <w:ind w:firstLine="648"/>
        <w:spacing w:after="0" w:line="257" w:lineRule="auto"/>
        <w:rPr>
          <w:sz w:val="20"/>
          <w:szCs w:val="20"/>
          <w:color w:val="auto"/>
        </w:rPr>
      </w:pPr>
      <w:r>
        <w:rPr>
          <w:rFonts w:ascii="Arial" w:cs="Arial" w:eastAsia="Arial" w:hAnsi="Arial"/>
          <w:sz w:val="16"/>
          <w:szCs w:val="16"/>
          <w:color w:val="auto"/>
        </w:rPr>
        <w:t>The Company incurred interest costs from various financing arrangements during the years ended December 31, 2022, December 31, 2021 and December 31, 2020 as set out in the table below. These costs have been charged in the interest expense line of the Consolidated Statement of Operations. In the years ending December 31, 2022 and December 31, 2021, the Company expensed $17.7 million and $86.7 million of transaction related financing costs (inclusive of the amortization of financing fees which were previously capitalized) associated with the debt facilities used to finance the Merger.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Year ended</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r>
      <w:tr>
        <w:trPr>
          <w:trHeight w:val="209"/>
        </w:trPr>
        <w:tc>
          <w:tcPr>
            <w:tcW w:w="45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5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r>
      <w:tr>
        <w:trPr>
          <w:trHeight w:val="251"/>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drawn facilities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209,189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13,406</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Amortization of financing costs</w:t>
            </w:r>
          </w:p>
        </w:tc>
        <w:tc>
          <w:tcPr>
            <w:tcW w:w="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17,749</w:t>
            </w:r>
          </w:p>
        </w:tc>
        <w:tc>
          <w:tcPr>
            <w:tcW w:w="3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12,890</w:t>
            </w: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one time financing costs</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75,391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costs/(credits)</w:t>
            </w: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r>
      <w:tr>
        <w:trPr>
          <w:trHeight w:val="234"/>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financing costs</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229,731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182,423</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w:t>
            </w:r>
          </w:p>
        </w:tc>
      </w:tr>
      <w:tr>
        <w:trPr>
          <w:trHeight w:val="20"/>
        </w:trPr>
        <w:tc>
          <w:tcPr>
            <w:tcW w:w="8980" w:type="dxa"/>
            <w:vAlign w:val="bottom"/>
            <w:tcBorders>
              <w:top w:val="single" w:sz="8" w:color="CCEEFF"/>
              <w:bottom w:val="single" w:sz="8" w:color="auto"/>
            </w:tcBorders>
            <w:gridSpan w:val="5"/>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8980" w:type="dxa"/>
            <w:vAlign w:val="bottom"/>
            <w:gridSpan w:val="5"/>
          </w:tcPr>
          <w:p>
            <w:pPr>
              <w:ind w:left="660"/>
              <w:spacing w:after="0"/>
              <w:rPr>
                <w:sz w:val="20"/>
                <w:szCs w:val="20"/>
                <w:color w:val="auto"/>
              </w:rPr>
            </w:pPr>
            <w:r>
              <w:rPr>
                <w:rFonts w:ascii="Arial" w:cs="Arial" w:eastAsia="Arial" w:hAnsi="Arial"/>
                <w:sz w:val="16"/>
                <w:szCs w:val="16"/>
                <w:color w:val="auto"/>
              </w:rPr>
              <w:t>As of December 31, 2022, the contractual maturities of the Company's debt obligations were as follows:</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6"/>
        </w:trPr>
        <w:tc>
          <w:tcPr>
            <w:tcW w:w="4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2023</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2025</w:t>
            </w: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2027 and thereafter</w:t>
            </w: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4,480,613</w:t>
            </w:r>
          </w:p>
        </w:tc>
      </w:tr>
      <w:tr>
        <w:trPr>
          <w:trHeight w:val="237"/>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4,701,213</w:t>
            </w: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notes and fund, in part, the Merger. The senior secured term loan facility will mature in July 2028 and the senior secured revolving loan facility will mature in July 2026. The credit agreement governing the Senior Secured Credit Facilities provides that borrowings denominated in U.S. Dollars will bear interest based on LIBOR or the base rate (as elected by the borrower), plus an applicable margin. On the 29th of November 2022, the Company agreed with its lenders to the early adoption of Term SOFR as the reference rate within the Credit Agreement ahead of the June 2023 USD LIBOR cessation date. LIBOR is no longer an applicable reference rate available to the Company under the terms of the Credit Agreement.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of 2.25%. The senior secured term loan facility is subject to a floor of 0.50%.</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Term SOFR plus a Term SOFR Adjustment on the interest period chosen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At December 31, 2022, $300.0 million remained undrawn under the senior secured revolving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6" w:name="page127"/>
    <w:bookmarkEnd w:id="126"/>
    <w:p>
      <w:pPr>
        <w:jc w:val="both"/>
        <w:ind w:right="20" w:firstLine="648"/>
        <w:spacing w:after="0" w:line="258"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30, 2022, the Company repaid $200.0 million of the senior secured term loan facility and made a quarterly interest payment of $66.1 million. This repayment resulted in an additional charge associated with previously capitalized fees of $1.8 million.</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 resulted in an additional charge associated with previously capitalized fees of $1.9 million.</w:t>
      </w:r>
    </w:p>
    <w:p>
      <w:pPr>
        <w:spacing w:after="0" w:line="2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additional charge associated with previously capitalized fees of $0.9 million.</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29, 2021, the Company repaid $500.0 million of the senior secured term loan facility and made a quarterly interest payment of $40.8 million. This repayment resulted in an additional charge associated with previously capitalized fees of $5.6 million.</w:t>
      </w:r>
    </w:p>
    <w:p>
      <w:pPr>
        <w:spacing w:after="0" w:line="2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5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“Offering”). The Senior Secured Notes will mature on July 15, 2026.</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estimated fair value of the Company’s debt was $4,650.3 million and $5,507.2 million at December 31, 2022 and December 31, 2021, respectively. The fair values of the Senior Secured Credit Facilities and Senior Secured Notes were determined based on Level 2 inputs, which are based on rates at which the debt is traded among financial institutions.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Derivatives</w:t>
      </w:r>
    </w:p>
    <w:p>
      <w:pPr>
        <w:spacing w:after="0" w:line="255" w:lineRule="exact"/>
        <w:rPr>
          <w:sz w:val="20"/>
          <w:szCs w:val="20"/>
          <w:color w:val="auto"/>
        </w:rPr>
      </w:pPr>
    </w:p>
    <w:p>
      <w:pPr>
        <w:jc w:val="both"/>
        <w:ind w:firstLine="259"/>
        <w:spacing w:after="0" w:line="242" w:lineRule="auto"/>
        <w:rPr>
          <w:sz w:val="20"/>
          <w:szCs w:val="20"/>
          <w:color w:val="auto"/>
        </w:rPr>
      </w:pPr>
      <w:r>
        <w:rPr>
          <w:rFonts w:ascii="Arial" w:cs="Arial" w:eastAsia="Arial" w:hAnsi="Arial"/>
          <w:sz w:val="16"/>
          <w:szCs w:val="16"/>
          <w:color w:val="auto"/>
        </w:rPr>
        <w:t>The Company has entered into interest rate cap and swap agreements for purposes of managing its exposure to interest rate fluctuations. These financial derivative agreements are designated as Cash Flow Hedges.</w:t>
      </w:r>
    </w:p>
    <w:p>
      <w:pPr>
        <w:spacing w:after="0" w:line="236" w:lineRule="exact"/>
        <w:rPr>
          <w:sz w:val="20"/>
          <w:szCs w:val="20"/>
          <w:color w:val="auto"/>
        </w:rPr>
      </w:pPr>
    </w:p>
    <w:p>
      <w:pPr>
        <w:jc w:val="both"/>
        <w:ind w:right="20" w:firstLine="259"/>
        <w:spacing w:after="0" w:line="239"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 expires on December 31, 2024. The Company pays a fixed rate of 0.42% and receives a variable rate equal to the amount that the three-month SOFR rate exceeds 4.75%.</w:t>
      </w:r>
    </w:p>
    <w:p>
      <w:pPr>
        <w:spacing w:after="0" w:line="239"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Swaps begins accruing on December 31, 2024 and the interest rate swap expires on December 31, 2026. The Company pays a fixed rate of 3.4% and receives a variable rate of interest equal to the three-month SOFR on the 2022 Swap.</w:t>
      </w:r>
    </w:p>
    <w:p>
      <w:pPr>
        <w:spacing w:after="0" w:line="226" w:lineRule="exact"/>
        <w:rPr>
          <w:sz w:val="20"/>
          <w:szCs w:val="20"/>
          <w:color w:val="auto"/>
        </w:rPr>
      </w:pPr>
    </w:p>
    <w:p>
      <w:pPr>
        <w:jc w:val="both"/>
        <w:ind w:firstLine="259"/>
        <w:spacing w:after="0" w:line="244" w:lineRule="auto"/>
        <w:rPr>
          <w:sz w:val="20"/>
          <w:szCs w:val="20"/>
          <w:color w:val="auto"/>
        </w:rPr>
      </w:pPr>
      <w:r>
        <w:rPr>
          <w:rFonts w:ascii="Arial" w:cs="Arial" w:eastAsia="Arial" w:hAnsi="Arial"/>
          <w:sz w:val="16"/>
          <w:szCs w:val="16"/>
          <w:color w:val="auto"/>
        </w:rPr>
        <w:t>The critical terms of the caps and swap are substantially the same as the underlying borrowings. The interest rate caps and swap are accounted for as cash flow hedges as these transactions were executed to hedge the Company's interest payments and for accounting purposes are considered highly effective. As such, the effective portion of the hedges is recorded as unrealized gains (losses) on derivatives in Accumulated Other Comprehensive Income.</w:t>
      </w:r>
    </w:p>
    <w:p>
      <w:pPr>
        <w:spacing w:after="0" w:line="235" w:lineRule="exact"/>
        <w:rPr>
          <w:sz w:val="20"/>
          <w:szCs w:val="20"/>
          <w:color w:val="auto"/>
        </w:rPr>
      </w:pPr>
    </w:p>
    <w:p>
      <w:pPr>
        <w:jc w:val="both"/>
        <w:ind w:right="20" w:firstLine="259"/>
        <w:spacing w:after="0" w:line="242" w:lineRule="auto"/>
        <w:rPr>
          <w:sz w:val="20"/>
          <w:szCs w:val="20"/>
          <w:color w:val="auto"/>
        </w:rPr>
      </w:pPr>
      <w:r>
        <w:rPr>
          <w:rFonts w:ascii="Arial" w:cs="Arial" w:eastAsia="Arial" w:hAnsi="Arial"/>
          <w:sz w:val="16"/>
          <w:szCs w:val="16"/>
          <w:color w:val="auto"/>
        </w:rPr>
        <w:t>The fair value of these cash flow hedges represents the present value of the anticipated net payments the Company will make to the counterparty, which, when they occur, are reflected as interest expense on the consolidate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7" w:name="page128"/>
    <w:bookmarkEnd w:id="127"/>
    <w:p>
      <w:pPr>
        <w:ind w:right="40" w:firstLine="256"/>
        <w:spacing w:after="0" w:line="242" w:lineRule="auto"/>
        <w:rPr>
          <w:sz w:val="20"/>
          <w:szCs w:val="20"/>
          <w:color w:val="auto"/>
        </w:rPr>
      </w:pPr>
      <w:r>
        <w:rPr>
          <w:rFonts w:ascii="Arial" w:cs="Arial" w:eastAsia="Arial" w:hAnsi="Arial"/>
          <w:sz w:val="16"/>
          <w:szCs w:val="16"/>
          <w:color w:val="auto"/>
        </w:rPr>
        <w:t>The fair value of the Company’s derivative financial instruments, on a gross basis, and the line items on the accompanying consolidate balance sheets to which they were recorded are summarized in the following table:</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0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December 31, 2022</w:t>
            </w:r>
          </w:p>
        </w:tc>
        <w:tc>
          <w:tcPr>
            <w:tcW w:w="1540" w:type="dxa"/>
            <w:vAlign w:val="bottom"/>
            <w:tcBorders>
              <w:bottom w:val="single" w:sz="8" w:color="auto"/>
            </w:tcBorders>
            <w:shd w:val="clear" w:color="auto" w:fill="CCEEFF"/>
          </w:tcPr>
          <w:p>
            <w:pPr>
              <w:spacing w:after="0"/>
              <w:rPr>
                <w:sz w:val="18"/>
                <w:szCs w:val="18"/>
                <w:color w:val="auto"/>
              </w:rPr>
            </w:pPr>
          </w:p>
        </w:tc>
      </w:tr>
      <w:tr>
        <w:trPr>
          <w:trHeight w:val="209"/>
        </w:trPr>
        <w:tc>
          <w:tcPr>
            <w:tcW w:w="20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Asset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Liability</w:t>
            </w: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Notional</w:t>
            </w:r>
          </w:p>
        </w:tc>
      </w:tr>
      <w:tr>
        <w:trPr>
          <w:trHeight w:val="210"/>
        </w:trPr>
        <w:tc>
          <w:tcPr>
            <w:tcW w:w="20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c>
          <w:tcPr>
            <w:tcW w:w="1540" w:type="dxa"/>
            <w:vAlign w:val="bottom"/>
            <w:shd w:val="clear" w:color="auto" w:fill="CCEEFF"/>
          </w:tcPr>
          <w:p>
            <w:pPr>
              <w:spacing w:after="0"/>
              <w:rPr>
                <w:sz w:val="18"/>
                <w:szCs w:val="18"/>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Derivatives designated as hedging instruments:</w:t>
            </w:r>
          </w:p>
        </w:tc>
        <w:tc>
          <w:tcPr>
            <w:tcW w:w="1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73"/>
        </w:trPr>
        <w:tc>
          <w:tcPr>
            <w:tcW w:w="202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0"/>
        </w:trPr>
        <w:tc>
          <w:tcPr>
            <w:tcW w:w="2020" w:type="dxa"/>
            <w:vAlign w:val="bottom"/>
          </w:tcPr>
          <w:p>
            <w:pPr>
              <w:ind w:left="20"/>
              <w:spacing w:after="0"/>
              <w:rPr>
                <w:sz w:val="20"/>
                <w:szCs w:val="20"/>
                <w:color w:val="auto"/>
              </w:rPr>
            </w:pPr>
            <w:r>
              <w:rPr>
                <w:rFonts w:ascii="Arial" w:cs="Arial" w:eastAsia="Arial" w:hAnsi="Arial"/>
                <w:sz w:val="16"/>
                <w:szCs w:val="16"/>
                <w:color w:val="auto"/>
              </w:rPr>
              <w:t>Interest Rate Caps</w:t>
            </w:r>
          </w:p>
        </w:tc>
        <w:tc>
          <w:tcPr>
            <w:tcW w:w="3020" w:type="dxa"/>
            <w:vAlign w:val="bottom"/>
          </w:tcPr>
          <w:p>
            <w:pPr>
              <w:ind w:left="600"/>
              <w:spacing w:after="0"/>
              <w:rPr>
                <w:sz w:val="20"/>
                <w:szCs w:val="20"/>
                <w:color w:val="auto"/>
              </w:rPr>
            </w:pPr>
            <w:r>
              <w:rPr>
                <w:rFonts w:ascii="Arial" w:cs="Arial" w:eastAsia="Arial" w:hAnsi="Arial"/>
                <w:sz w:val="16"/>
                <w:szCs w:val="16"/>
                <w:color w:val="auto"/>
              </w:rPr>
              <w:t>Other Assets and Liabilities</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rPr>
              <w:t>$12</w:t>
            </w:r>
          </w:p>
        </w:tc>
        <w:tc>
          <w:tcPr>
            <w:tcW w:w="2160" w:type="dxa"/>
            <w:vAlign w:val="bottom"/>
          </w:tcPr>
          <w:p>
            <w:pPr>
              <w:jc w:val="center"/>
              <w:spacing w:after="0"/>
              <w:rPr>
                <w:sz w:val="20"/>
                <w:szCs w:val="20"/>
                <w:color w:val="auto"/>
              </w:rPr>
            </w:pPr>
            <w:r>
              <w:rPr>
                <w:rFonts w:ascii="Arial" w:cs="Arial" w:eastAsia="Arial" w:hAnsi="Arial"/>
                <w:sz w:val="16"/>
                <w:szCs w:val="16"/>
                <w:color w:val="auto"/>
              </w:rPr>
              <w:t>$3,363</w:t>
            </w:r>
          </w:p>
        </w:tc>
        <w:tc>
          <w:tcPr>
            <w:tcW w:w="1540" w:type="dxa"/>
            <w:vAlign w:val="bottom"/>
          </w:tcPr>
          <w:p>
            <w:pPr>
              <w:jc w:val="center"/>
              <w:ind w:right="99"/>
              <w:spacing w:after="0"/>
              <w:rPr>
                <w:sz w:val="20"/>
                <w:szCs w:val="20"/>
                <w:color w:val="auto"/>
              </w:rPr>
            </w:pPr>
            <w:r>
              <w:rPr>
                <w:rFonts w:ascii="Arial" w:cs="Arial" w:eastAsia="Arial" w:hAnsi="Arial"/>
                <w:sz w:val="16"/>
                <w:szCs w:val="16"/>
                <w:color w:val="auto"/>
              </w:rPr>
              <w:t>2,100,606</w:t>
            </w:r>
          </w:p>
        </w:tc>
      </w:tr>
      <w:tr>
        <w:trPr>
          <w:trHeight w:val="233"/>
        </w:trPr>
        <w:tc>
          <w:tcPr>
            <w:tcW w:w="2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30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Other Assets and Liabilities</w:t>
            </w:r>
          </w:p>
        </w:tc>
        <w:tc>
          <w:tcPr>
            <w:tcW w:w="148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$307</w:t>
            </w:r>
          </w:p>
        </w:tc>
        <w:tc>
          <w:tcPr>
            <w:tcW w:w="154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rPr>
              <w:t>1,100,606</w:t>
            </w:r>
          </w:p>
        </w:tc>
      </w:tr>
      <w:tr>
        <w:trPr>
          <w:trHeight w:val="257"/>
        </w:trPr>
        <w:tc>
          <w:tcPr>
            <w:tcW w:w="2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48"/>
        </w:trPr>
        <w:tc>
          <w:tcPr>
            <w:tcW w:w="50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hedging instruments</w:t>
            </w:r>
          </w:p>
        </w:tc>
        <w:tc>
          <w:tcPr>
            <w:tcW w:w="148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6"/>
                <w:szCs w:val="16"/>
                <w:color w:val="auto"/>
              </w:rPr>
              <w:t>$12</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$3,670</w:t>
            </w:r>
          </w:p>
        </w:tc>
        <w:tc>
          <w:tcPr>
            <w:tcW w:w="154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rPr>
              <w:t>3,201,213</w:t>
            </w:r>
          </w:p>
        </w:tc>
      </w:tr>
      <w:tr>
        <w:trPr>
          <w:trHeight w:val="20"/>
        </w:trPr>
        <w:tc>
          <w:tcPr>
            <w:tcW w:w="202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During 2023, the Company estimates that an additional $3.3 million will be reflected as interest expense in the consolidated statements.</w:t>
      </w:r>
    </w:p>
    <w:p>
      <w:pPr>
        <w:spacing w:after="0" w:line="235" w:lineRule="exact"/>
        <w:rPr>
          <w:sz w:val="20"/>
          <w:szCs w:val="20"/>
          <w:color w:val="auto"/>
        </w:rPr>
      </w:pPr>
    </w:p>
    <w:p>
      <w:pPr>
        <w:jc w:val="both"/>
        <w:ind w:firstLine="259"/>
        <w:spacing w:after="0" w:line="242" w:lineRule="auto"/>
        <w:rPr>
          <w:sz w:val="20"/>
          <w:szCs w:val="20"/>
          <w:color w:val="auto"/>
        </w:rPr>
      </w:pPr>
      <w:r>
        <w:rPr>
          <w:rFonts w:ascii="Arial" w:cs="Arial" w:eastAsia="Arial" w:hAnsi="Arial"/>
          <w:sz w:val="16"/>
          <w:szCs w:val="16"/>
          <w:color w:val="auto"/>
        </w:rPr>
        <w:t>At December 31, 2021 the fair value of the Company's derivative financial instruments was $nil as the Company had no outstanding derivative financial instruments.</w:t>
      </w:r>
    </w:p>
    <w:p>
      <w:pPr>
        <w:spacing w:after="0" w:line="236" w:lineRule="exact"/>
        <w:rPr>
          <w:sz w:val="20"/>
          <w:szCs w:val="20"/>
          <w:color w:val="auto"/>
        </w:rPr>
      </w:pPr>
    </w:p>
    <w:p>
      <w:pPr>
        <w:ind w:right="720" w:firstLine="256"/>
        <w:spacing w:after="0" w:line="242" w:lineRule="auto"/>
        <w:rPr>
          <w:sz w:val="20"/>
          <w:szCs w:val="20"/>
          <w:color w:val="auto"/>
        </w:rPr>
      </w:pPr>
      <w:r>
        <w:rPr>
          <w:rFonts w:ascii="Arial" w:cs="Arial" w:eastAsia="Arial" w:hAnsi="Arial"/>
          <w:sz w:val="16"/>
          <w:szCs w:val="16"/>
          <w:color w:val="auto"/>
        </w:rPr>
        <w:t>The Company recognized $0.1 million of gain within OCI and reclassified $0.1 million of gain from OCI to the income statement for the year end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Operating Leases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ind w:left="660"/>
              <w:spacing w:after="0"/>
              <w:rPr>
                <w:sz w:val="20"/>
                <w:szCs w:val="20"/>
                <w:color w:val="auto"/>
              </w:rPr>
            </w:pPr>
            <w:r>
              <w:rPr>
                <w:rFonts w:ascii="Arial" w:cs="Arial" w:eastAsia="Arial" w:hAnsi="Arial"/>
                <w:sz w:val="16"/>
                <w:szCs w:val="16"/>
                <w:color w:val="auto"/>
              </w:rPr>
              <w:t>Lease costs recorded under operating leases as of December 31, 2022 and 2021 were as follows: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3"/>
          </w:tcPr>
          <w:p>
            <w:pPr>
              <w:spacing w:after="0"/>
              <w:rPr>
                <w:sz w:val="24"/>
                <w:szCs w:val="24"/>
                <w:color w:val="auto"/>
              </w:rPr>
            </w:pPr>
          </w:p>
        </w:tc>
      </w:tr>
      <w:tr>
        <w:trPr>
          <w:trHeight w:val="215"/>
        </w:trPr>
        <w:tc>
          <w:tcPr>
            <w:tcW w:w="8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Year ended</w:t>
            </w:r>
          </w:p>
        </w:tc>
      </w:tr>
      <w:tr>
        <w:trPr>
          <w:trHeight w:val="156"/>
        </w:trPr>
        <w:tc>
          <w:tcPr>
            <w:tcW w:w="8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8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8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8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53,880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51,200</w:t>
            </w:r>
          </w:p>
        </w:tc>
      </w:tr>
      <w:tr>
        <w:trPr>
          <w:trHeight w:val="21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from sub-leases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(1,165)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w:t>
            </w:r>
          </w:p>
        </w:tc>
      </w:tr>
      <w:tr>
        <w:trPr>
          <w:trHeight w:val="234"/>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operating lease costs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52,715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49,862</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Of the total cost of $52.7 million incurred in the year ended December 31, 2022, $48.3 million is recorded within selling, general and administration costs and $4.4 million is recorded within direct costs. Of the total cost of $49.9 million incurred in the year ended December 31, 2021, $47.5 million is recorded within selling, general and administration costs and $2.4 million is recorded within direct costs.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Right-of-use assets obtained, in exchange for lease obligations, net of early termination options now reasonably certain to be exercised, during the years ended December 31, 2022 and December 31, 2021 totaled $28.7 million and $10.2 million, respectively.</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During the years ended December 31, 2022 and December 31, 2021, impairments of operating right-of-use assets were recognized within restructuring charges for $24.8 million and $15.4 million, respectively, as part of an office consolidation program (see </w:t>
      </w:r>
      <w:r>
        <w:rPr>
          <w:rFonts w:ascii="Arial" w:cs="Arial" w:eastAsia="Arial" w:hAnsi="Arial"/>
          <w:sz w:val="16"/>
          <w:szCs w:val="16"/>
          <w:i w:val="1"/>
          <w:iCs w:val="1"/>
          <w:color w:val="auto"/>
        </w:rPr>
        <w:t>note 19 - Restructuring Charges</w:t>
      </w:r>
      <w:r>
        <w:rPr>
          <w:rFonts w:ascii="Arial" w:cs="Arial" w:eastAsia="Arial" w:hAnsi="Arial"/>
          <w:sz w:val="16"/>
          <w:szCs w:val="16"/>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December 31, 2022 were 6.90 years and 2.45%,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and weighted-average discount rate at December 31, 2021 were 6.91 years and 2.51%,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8" w:name="page129"/>
    <w:bookmarkEnd w:id="128"/>
    <w:tbl>
      <w:tblPr>
        <w:tblLayout w:type="fixed"/>
        <w:tblInd w:w="40" w:type="dxa"/>
        <w:tblCellMar>
          <w:top w:w="0" w:type="dxa"/>
          <w:left w:w="0" w:type="dxa"/>
          <w:bottom w:w="0" w:type="dxa"/>
          <w:right w:w="0" w:type="dxa"/>
        </w:tblCellMar>
      </w:tblPr>
      <w:tr>
        <w:trPr>
          <w:trHeight w:val="195"/>
        </w:trPr>
        <w:tc>
          <w:tcPr>
            <w:tcW w:w="8580" w:type="dxa"/>
            <w:vAlign w:val="bottom"/>
          </w:tcPr>
          <w:p>
            <w:pPr>
              <w:ind w:left="620"/>
              <w:spacing w:after="0"/>
              <w:rPr>
                <w:sz w:val="20"/>
                <w:szCs w:val="20"/>
                <w:color w:val="auto"/>
              </w:rPr>
            </w:pPr>
            <w:r>
              <w:rPr>
                <w:rFonts w:ascii="Arial" w:cs="Arial" w:eastAsia="Arial" w:hAnsi="Arial"/>
                <w:sz w:val="16"/>
                <w:szCs w:val="16"/>
                <w:color w:val="auto"/>
              </w:rPr>
              <w:t>Future minimum lease payments under non-cancelable leases as of December 31, 2022 were as follows:</w:t>
            </w:r>
          </w:p>
        </w:tc>
        <w:tc>
          <w:tcPr>
            <w:tcW w:w="7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76"/>
        </w:trPr>
        <w:tc>
          <w:tcPr>
            <w:tcW w:w="8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8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5"/>
        </w:trPr>
        <w:tc>
          <w:tcPr>
            <w:tcW w:w="8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8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2023</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47,479</w:t>
            </w: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7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34,400</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2025</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25,045</w:t>
            </w: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7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20,430</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2027</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17,249</w:t>
            </w:r>
          </w:p>
        </w:tc>
      </w:tr>
      <w:tr>
        <w:trPr>
          <w:trHeight w:val="226"/>
        </w:trPr>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7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45,065</w:t>
            </w: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Total future minimum lease payments</w:t>
            </w:r>
          </w:p>
        </w:tc>
        <w:tc>
          <w:tcPr>
            <w:tcW w:w="7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189,668</w:t>
            </w:r>
          </w:p>
        </w:tc>
      </w:tr>
      <w:tr>
        <w:trPr>
          <w:trHeight w:val="226"/>
        </w:trPr>
        <w:tc>
          <w:tcPr>
            <w:tcW w:w="8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Lease imputed interest</w:t>
            </w:r>
          </w:p>
        </w:tc>
        <w:tc>
          <w:tcPr>
            <w:tcW w:w="7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(14,367)</w:t>
            </w:r>
          </w:p>
        </w:tc>
      </w:tr>
      <w:tr>
        <w:trPr>
          <w:trHeight w:val="213"/>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175,301</w:t>
            </w:r>
          </w:p>
        </w:tc>
      </w:tr>
      <w:tr>
        <w:trPr>
          <w:trHeight w:val="24"/>
        </w:trPr>
        <w:tc>
          <w:tcPr>
            <w:tcW w:w="8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1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$43.7 million and $49.9 million have been included in other liabilities as at December 31, 2022 and December 31, 2021, respectively.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Non-current other liabilities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Non-current other liabilities for the years ended December 31, 2022 and 2021 is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60" w:type="dxa"/>
            <w:vAlign w:val="bottom"/>
            <w:gridSpan w:val="3"/>
          </w:tcPr>
          <w:p>
            <w:pPr>
              <w:ind w:left="660"/>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obligations, net (note 21)</w:t>
            </w:r>
          </w:p>
        </w:tc>
        <w:tc>
          <w:tcPr>
            <w:tcW w:w="2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13,033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16,262</w:t>
            </w:r>
          </w:p>
        </w:tc>
      </w:tr>
      <w:tr>
        <w:trPr>
          <w:trHeight w:val="22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25,227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26,334</w:t>
            </w:r>
          </w:p>
        </w:tc>
      </w:tr>
      <w:tr>
        <w:trPr>
          <w:trHeight w:val="238"/>
        </w:trPr>
        <w:tc>
          <w:tcPr>
            <w:tcW w:w="5940" w:type="dxa"/>
            <w:vAlign w:val="bottom"/>
            <w:tcBorders>
              <w:bottom w:val="single" w:sz="8" w:color="auto"/>
            </w:tcBorders>
            <w:shd w:val="clear" w:color="auto" w:fill="CCEEFF"/>
          </w:tcPr>
          <w:p>
            <w:pPr>
              <w:spacing w:after="0"/>
              <w:rPr>
                <w:sz w:val="20"/>
                <w:szCs w:val="20"/>
                <w:color w:val="auto"/>
              </w:rPr>
            </w:pPr>
          </w:p>
        </w:tc>
        <w:tc>
          <w:tcPr>
            <w:tcW w:w="2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38,260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42,596</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do not expect any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The Company has several non-cancelable operating leases, primarily for facilities, that expire over the next twelve years. These leases generally contain renewal options and require the Company to pay all executory costs such as maintenance and insurance. See </w:t>
      </w:r>
      <w:r>
        <w:rPr>
          <w:rFonts w:ascii="Arial" w:cs="Arial" w:eastAsia="Arial" w:hAnsi="Arial"/>
          <w:sz w:val="16"/>
          <w:szCs w:val="16"/>
          <w:i w:val="1"/>
          <w:iCs w:val="1"/>
          <w:color w:val="auto"/>
        </w:rPr>
        <w:t>note 15 - Operating leases</w:t>
      </w:r>
      <w:r>
        <w:rPr>
          <w:rFonts w:ascii="Arial" w:cs="Arial" w:eastAsia="Arial" w:hAnsi="Arial"/>
          <w:sz w:val="16"/>
          <w:szCs w:val="16"/>
          <w:color w:val="auto"/>
        </w:rPr>
        <w:t xml:space="preserve"> for rental expense pursuant to ASC 842 for the years ended December 31, 2022 and December 31, 2021 and future minimum rental commitments as of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 Capital</w:t>
      </w:r>
    </w:p>
    <w:p>
      <w:pPr>
        <w:spacing w:after="0" w:line="2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Holders of ordinary shares are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are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ectPr>
          <w:pgSz w:w="11900" w:h="16838" w:orient="portrait"/>
          <w:cols w:equalWidth="0" w:num="1">
            <w:col w:w="11240"/>
          </w:cols>
          <w:pgMar w:left="320" w:top="10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29" w:name="page130"/>
    <w:bookmarkEnd w:id="129"/>
    <w:p>
      <w:pPr>
        <w:ind w:left="220"/>
        <w:spacing w:after="0"/>
        <w:rPr>
          <w:sz w:val="20"/>
          <w:szCs w:val="20"/>
          <w:color w:val="auto"/>
        </w:rPr>
      </w:pPr>
      <w:r>
        <w:rPr>
          <w:rFonts w:ascii="Arial" w:cs="Arial" w:eastAsia="Arial" w:hAnsi="Arial"/>
          <w:sz w:val="16"/>
          <w:szCs w:val="16"/>
          <w:i w:val="1"/>
          <w:iCs w:val="1"/>
          <w:color w:val="auto"/>
        </w:rPr>
        <w:t>(a)  Employee share based payments</w:t>
      </w:r>
    </w:p>
    <w:p>
      <w:pPr>
        <w:spacing w:after="0" w:line="2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During the year ended December 31, 2022, 348,286 options were exercised by employees at an average exercise price of $102.87 per share for total proceeds of $35.8 million. During the year ended December 31, 2022, 195,029 ordinary shares were issued in respect of certain RSUs and 46,087 ordinary shares were issued in respect of PSUs previously awarded by the Company.</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2021, 1,065,529 options were exercised by employees at an average exercise price of $111.29 per share for total proceeds of $118.6 million. During the year ended December 31, 2021, 446,404 ordinary shares were issued in respect of certain RSUs and 44,132 ordinary shares were issued in respect of PSUs previously awarded by the Company.</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Company completed the Acquisition of PRA. In accordance with the terms of the Merger Agreement, the Company issued 27,372,427 shares of the Company’s ordinary share capital at par value in exchange for all outstanding PRA shares of common stock.</w:t>
      </w:r>
    </w:p>
    <w:p>
      <w:pPr>
        <w:spacing w:after="0" w:line="236"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During the year ended December 31, 2020, 193,417 options were exercised by employees at an average exercise price of $68.19 per share for total proceeds of $13.2 million. During the year ended December 31, 2020, 144,172 ordinary shares were issued in respect of certain RSUs and 63,516 ordinary shares were issued in respect of PSUs previously awarded by the Company.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(b)  Share Repurchase Program</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July 23, 2019, July 21, 2020, July 20, 2021 and July 26, 2022. On October 3, 2016, the Company commenced a share buyback program of up to $400 million. The share buyback program was completed during the year ended December 31, 2018 with a total of 4,026,576 ordinary shares redeemed for a total consideration of $372.1 million. On January 8, 2019, the Company commenced a further share buyback program of up to 1.0 million ordinary shares which was completed during the year ended December 31, 2019. These shares were redeemed by the Company for a total consideration of $141.6 million. On October 22, 2019, the Company commenced a further share buyback program. At December 31, 2019, 35,100 ordinary shares were redeemed by the Company for a total consideration of $5.3 million. During the year ended December 31, 2020, 1,235,218 ordinary shares were redeemed by the Company under this buyback program for a total consideration of $175.0 million. On February 18, 2022, the Company commenced a share buyback program which was fully complete at March 31, 2022. Under this buyback program, 420,530 ordinary shares were redeemed by the Company for total consideration of $100.0 million.</w:t>
      </w:r>
    </w:p>
    <w:p>
      <w:pPr>
        <w:spacing w:after="0" w:line="200" w:lineRule="exact"/>
        <w:rPr>
          <w:sz w:val="20"/>
          <w:szCs w:val="20"/>
          <w:color w:val="auto"/>
        </w:rPr>
      </w:pP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Under the repurchase program, a broker purchased or may purchase the Company's shares from time to time on the open market or in privately negotiated transactions in accordance with agreed terms and limitations. The program was and may be in the future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in such cases were or may in the future be irrevocable and the trading decisions in respect of the repurchase program were made or will be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19. Restructuring Charges</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 restructuring charge of $31.1 million was recognized during the year ended December 31, 2022 under a restructuring plan adopted following a review of operations. The restructuring plan reflected resource rationalization across the business to improve employee utilization and an office consolidation program to optimize the Company's office footprint. The restructuring plan resulted in a charge of $2.7 million relating to workforce reductions, an impairment of right-of-use assets and associated unavoidable costs totaling $24.5 million and fixed asset impairment of $4.0 million. It is company policy to disclose operating right-of-use asset impairment as a restructuring charge when it is part of a coordinated program to decommission space.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31,105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December 31, 2022, a total liability of $6.0 million was recorded on the Consolidated Balance Sheet relating to restructuring activities. The total liability included $1.4 million of facilities related liabilities of which $0.9 million is included within other liabilities and $0.5 million is included within non-current other liabilities. The remaining provision of $4.6 million relates to workforce reduction and is included within other liabilities.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80" w:type="dxa"/>
            <w:vAlign w:val="bottom"/>
            <w:tcBorders>
              <w:bottom w:val="single" w:sz="8" w:color="auto"/>
            </w:tcBorders>
            <w:gridSpan w:val="3"/>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7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107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7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Additional provision in the year</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4,364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11,273</w:t>
            </w:r>
          </w:p>
        </w:tc>
      </w:tr>
      <w:tr>
        <w:trPr>
          <w:trHeight w:val="226"/>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(5,637)</w:t>
            </w:r>
          </w:p>
        </w:tc>
      </w:tr>
      <w:tr>
        <w:trPr>
          <w:trHeight w:val="213"/>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10,311</w:t>
            </w:r>
          </w:p>
        </w:tc>
      </w:tr>
      <w:tr>
        <w:trPr>
          <w:trHeight w:val="23"/>
        </w:trPr>
        <w:tc>
          <w:tcPr>
            <w:tcW w:w="7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Income Taxes</w:t>
      </w:r>
    </w:p>
    <w:p>
      <w:pPr>
        <w:spacing w:after="0" w:line="2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ind w:left="660"/>
              <w:spacing w:after="0"/>
              <w:rPr>
                <w:sz w:val="20"/>
                <w:szCs w:val="20"/>
                <w:color w:val="auto"/>
              </w:rPr>
            </w:pPr>
            <w:r>
              <w:rPr>
                <w:rFonts w:ascii="Arial" w:cs="Arial" w:eastAsia="Arial" w:hAnsi="Arial"/>
                <w:sz w:val="16"/>
                <w:szCs w:val="16"/>
                <w:color w:val="auto"/>
              </w:rPr>
              <w:t>The components of income before income tax expense are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399"/>
              <w:spacing w:after="0"/>
              <w:rPr>
                <w:sz w:val="20"/>
                <w:szCs w:val="20"/>
                <w:color w:val="auto"/>
              </w:rPr>
            </w:pPr>
            <w:r>
              <w:rPr>
                <w:rFonts w:ascii="Arial" w:cs="Arial" w:eastAsia="Arial" w:hAnsi="Arial"/>
                <w:sz w:val="16"/>
                <w:szCs w:val="16"/>
                <w:color w:val="auto"/>
              </w:rPr>
              <w:t>432,963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499"/>
              <w:spacing w:after="0"/>
              <w:rPr>
                <w:sz w:val="20"/>
                <w:szCs w:val="20"/>
                <w:color w:val="auto"/>
              </w:rPr>
            </w:pPr>
            <w:r>
              <w:rPr>
                <w:rFonts w:ascii="Arial" w:cs="Arial" w:eastAsia="Arial" w:hAnsi="Arial"/>
                <w:sz w:val="16"/>
                <w:szCs w:val="16"/>
                <w:color w:val="auto"/>
              </w:rPr>
              <w:t>231,893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280,310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9"/>
              </w:rPr>
              <w:t>(270,440)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9"/>
              </w:rPr>
              <w:t>(278,413)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41,950</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color w:val="auto"/>
              </w:rPr>
              <w:t>405,328</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243,200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58,945</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rPr>
              <w:t>567,851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center"/>
              <w:ind w:left="499"/>
              <w:spacing w:after="0"/>
              <w:rPr>
                <w:sz w:val="20"/>
                <w:szCs w:val="20"/>
                <w:color w:val="auto"/>
              </w:rPr>
            </w:pPr>
            <w:r>
              <w:rPr>
                <w:rFonts w:ascii="Arial" w:cs="Arial" w:eastAsia="Arial" w:hAnsi="Arial"/>
                <w:sz w:val="16"/>
                <w:szCs w:val="16"/>
                <w:color w:val="auto"/>
              </w:rPr>
              <w:t>196,680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381,205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5"/>
        </w:trPr>
        <w:tc>
          <w:tcPr>
            <w:tcW w:w="6900" w:type="dxa"/>
            <w:vAlign w:val="bottom"/>
          </w:tcPr>
          <w:p>
            <w:pPr>
              <w:ind w:left="660"/>
              <w:spacing w:after="0"/>
              <w:rPr>
                <w:sz w:val="20"/>
                <w:szCs w:val="20"/>
                <w:color w:val="auto"/>
              </w:rPr>
            </w:pPr>
            <w:r>
              <w:rPr>
                <w:rFonts w:ascii="Arial" w:cs="Arial" w:eastAsia="Arial" w:hAnsi="Arial"/>
                <w:sz w:val="16"/>
                <w:szCs w:val="16"/>
                <w:color w:val="auto"/>
              </w:rPr>
              <w:t>The components of income tax expense are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53,248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18,469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28,963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70,395</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14,963</w:t>
            </w:r>
          </w:p>
        </w:tc>
      </w:tr>
      <w:tr>
        <w:trPr>
          <w:trHeight w:val="37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184,396</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46,948</w:t>
            </w:r>
          </w:p>
        </w:tc>
      </w:tr>
      <w:tr>
        <w:trPr>
          <w:trHeight w:val="257"/>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(benefit)/expense: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(6,166)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w:t>
            </w:r>
          </w:p>
        </w:tc>
      </w:tr>
      <w:tr>
        <w:trPr>
          <w:trHeight w:val="38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(benefit)/expense</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(124,985)</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(60,616)</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43"/>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allocated to continuing operations</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7"/>
        </w:trPr>
        <w:tc>
          <w:tcPr>
            <w:tcW w:w="6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Income tax expense was allocated to the following components of other comprehensive</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impact on long term funding</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7,211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3"/>
        </w:trPr>
        <w:tc>
          <w:tcPr>
            <w:tcW w:w="69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47,943</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Ireland's statutory income tax rate is 12.5%. The Company's consolidated reported income tax expense differed from the amount that would result from applying the Irish statutory rate as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Taxes at Irish statutory rate of 12.5% (2021:12.5%; 2020:12.5%)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70,980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24,586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47,651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differential from amortization of 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Foreign and other income taxed at higher rates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52,464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51,273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10,241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&amp; development tax incentives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Movement in valuation allowance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3,101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3,581</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change in tax rates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Change in unrecognized tax benefits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8,392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stock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(3,343)</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41,334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6"/>
          <w:szCs w:val="16"/>
          <w:color w:val="auto"/>
        </w:rPr>
        <w:t>The tax effects of temporary differences that give rise to significant portions of deferred tax assets and deferred tax liabilities are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76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10,927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19,606</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33,449</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37,150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33,354</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1,078,302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1,201,086</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r>
      <w:tr>
        <w:trPr>
          <w:trHeight w:val="378"/>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liabilities recognized</w:t>
            </w:r>
          </w:p>
        </w:tc>
        <w:tc>
          <w:tcPr>
            <w:tcW w:w="28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1,158,693</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1,289,256</w:t>
            </w:r>
          </w:p>
        </w:tc>
      </w:tr>
      <w:tr>
        <w:trPr>
          <w:trHeight w:val="257"/>
        </w:trPr>
        <w:tc>
          <w:tcPr>
            <w:tcW w:w="57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Operating loss and tax credits carryforwards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88,697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86,893</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27,593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36,106</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Accrued expenses and unbilled revenue</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64,016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69,198</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25,557</w:t>
            </w:r>
          </w:p>
        </w:tc>
      </w:tr>
      <w:tr>
        <w:trPr>
          <w:trHeight w:val="213"/>
        </w:trPr>
        <w:tc>
          <w:tcPr>
            <w:tcW w:w="576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2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3,445</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64,924</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2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290,417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297,167</w:t>
            </w: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(45,495)</w:t>
            </w: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recognized</w:t>
            </w:r>
          </w:p>
        </w:tc>
        <w:tc>
          <w:tcPr>
            <w:tcW w:w="2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247,038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251,672</w:t>
            </w:r>
          </w:p>
        </w:tc>
      </w:tr>
      <w:tr>
        <w:trPr>
          <w:trHeight w:val="37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Overall net deferred tax asset/(liability)</w:t>
            </w:r>
          </w:p>
        </w:tc>
        <w:tc>
          <w:tcPr>
            <w:tcW w:w="2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(911,655)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(1,037,584)</w:t>
            </w:r>
          </w:p>
        </w:tc>
      </w:tr>
      <w:tr>
        <w:trPr>
          <w:trHeight w:val="23"/>
        </w:trPr>
        <w:tc>
          <w:tcPr>
            <w:tcW w:w="5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2"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At December 31, 2022 Ireland subsidiaries had tax credit carryforwards for income tax purposes that may be carried forward indefinitely, available for offset against future tax liabilities, if any, of $16.6 million.</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At December 31, 2022 U.S. subsidiaries had U.S. federal and state net operating loss ("NOL") carryforwards of approximately $5.4 million and $401.9 million, respectively. These NOLs are available for offset against future taxable income and the expiry dates are shown in the table below. Of the $5.4 million U.S. federal NOLs, approximately $3.5 million is available for offset against future U.S. federal taxable income in 2023. The subsidiaries' ability to use the remaining U.S. federal and state NOL carryforwards is limited on an annual basis due to change of ownership in 2014, 2017, and 2019, as defined by Section 382 of the Internal Revenue Code of 1986, as amended. Of the U.S. federal NOLs, $5.3 million are limited by Section 382 for the years 2023 - 2036. As of December 31, 2022, U.S subsidiaries also had disallowed interest carryforwards of $93.0 million that can be carried forward indefinitely. These carryforwards are available for offset against future taxable income in the event that the U.S subsidiaries have excess capacity for interest deductions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3" w:name="page134"/>
    <w:bookmarkEnd w:id="133"/>
    <w:p>
      <w:pPr>
        <w:ind w:left="180"/>
        <w:spacing w:after="0"/>
        <w:rPr>
          <w:sz w:val="20"/>
          <w:szCs w:val="20"/>
          <w:color w:val="auto"/>
        </w:rPr>
      </w:pPr>
      <w:r>
        <w:rPr>
          <w:rFonts w:ascii="Arial" w:cs="Arial" w:eastAsia="Arial" w:hAnsi="Arial"/>
          <w:sz w:val="16"/>
          <w:szCs w:val="16"/>
          <w:color w:val="auto"/>
        </w:rPr>
        <w:t>The expected expiry dates of the US NOLs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Federal</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State</w:t>
            </w:r>
          </w:p>
        </w:tc>
      </w:tr>
      <w:tr>
        <w:trPr>
          <w:trHeight w:val="215"/>
        </w:trPr>
        <w:tc>
          <w:tcPr>
            <w:tcW w:w="4580" w:type="dxa"/>
            <w:vAlign w:val="bottom"/>
            <w:tcBorders>
              <w:bottom w:val="single" w:sz="8" w:color="auto"/>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r>
      <w:tr>
        <w:trPr>
          <w:trHeight w:val="209"/>
        </w:trPr>
        <w:tc>
          <w:tcPr>
            <w:tcW w:w="4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2023-2036</w:t>
            </w:r>
          </w:p>
        </w:tc>
        <w:tc>
          <w:tcPr>
            <w:tcW w:w="4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249,530</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2033-2041</w:t>
            </w:r>
          </w:p>
        </w:tc>
        <w:tc>
          <w:tcPr>
            <w:tcW w:w="4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145,632</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6,736</w:t>
            </w:r>
          </w:p>
        </w:tc>
      </w:tr>
      <w:tr>
        <w:trPr>
          <w:trHeight w:val="240"/>
        </w:trPr>
        <w:tc>
          <w:tcPr>
            <w:tcW w:w="4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4580" w:type="dxa"/>
            <w:vAlign w:val="bottom"/>
            <w:tcBorders>
              <w:bottom w:val="single" w:sz="8" w:color="auto"/>
            </w:tcBorders>
            <w:shd w:val="clear" w:color="auto" w:fill="CCEEFF"/>
          </w:tcPr>
          <w:p>
            <w:pPr>
              <w:spacing w:after="0"/>
              <w:rPr>
                <w:sz w:val="20"/>
                <w:szCs w:val="20"/>
                <w:color w:val="auto"/>
              </w:rPr>
            </w:pPr>
          </w:p>
        </w:tc>
        <w:tc>
          <w:tcPr>
            <w:tcW w:w="4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401,898</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we also have general business tax credit carryforwards of approximately $0.8 million that are available to reduce future U.S. federal and state income taxes. The general business tax credits are non-refundable and are due to expire between the years 2026-2038.</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At December 31, 2022 other than those in the U.S. and Ireland, we had operating loss carryforwards for income tax purposes that may be carried forward indefinitely, available to offset against future taxable income, if any, of approximately $37.9 million. At December 31, 2022 those subsidiaries also had additional operating loss carryforwards of $14.8 million which are due to expire between 2023 and 2029 and operating loss carryforwards of $18.2 million which are due to expire between 2030 and 2039. In addition, at December 31, 2022 those subsidiaries had tax credit carryforwards for income tax purposes that may be carried forward indefinitely, available to offset against future tax liabilities, if any, of $4.7 million.</w:t>
      </w:r>
    </w:p>
    <w:p>
      <w:pPr>
        <w:spacing w:after="0" w:line="22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6"/>
          <w:szCs w:val="16"/>
          <w:color w:val="auto"/>
        </w:rPr>
        <w:t>The valuation allowance at December 31, 2022 was approximately $43.4 million. The valuation allowance for deferred tax assets as of December 31, 2021 and December 31, 2020 was $45.5 million and $32.8 million respectively. The net change in the total valuation allowance was a decrease of $2.1 million during 2022 and an increase of $12.8 million during 2021. Of the total decrease of $2.1 million in 2022, $0.8 million was recognized within income tax expense and a decrease of $1.3 million was recognized in Other Comprehensive Income. Of the total increase of $12.8 million in 2021, $9.3 million was in respect of an acquired entity, $4.4 million was recognized within income tax expenses, and $0.9 million was recognized in Other Comprehensive Income.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The valuation allowances at December 31, 2022 and December 31, 2021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loss utilization, projected future taxable income and mitigation strategies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2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recognized a deferred tax liability of $1.6 million (2021: $0.8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6"/>
          <w:szCs w:val="16"/>
          <w:color w:val="auto"/>
        </w:rPr>
        <w:t>A reconciliation of the beginning and ending amount of total unrecognized tax benefits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0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start of year</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20,156</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Increase related to acquired tax positions</w:t>
            </w: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170,047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prior year tax positions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Decrease related to prior year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related to current year tax positions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(844)</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2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20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w:t>
            </w:r>
          </w:p>
        </w:tc>
      </w:tr>
      <w:tr>
        <w:trPr>
          <w:trHeight w:val="375"/>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202,065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19,078</w:t>
            </w:r>
          </w:p>
        </w:tc>
      </w:tr>
      <w:tr>
        <w:trPr>
          <w:trHeight w:val="23"/>
        </w:trPr>
        <w:tc>
          <w:tcPr>
            <w:tcW w:w="50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relevant statute of limitations for unrecognized tax benefits totaling $37.9 million could potentially expire during 2023.</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Included in the balance of total unrecognized tax benefits at December 31, 2022 were potential benefits of $217.6 million, which if recognized, would affect the effective rate on income tax from continuing operations. The balance of total unrecognized tax benefits at December 31, 2021 and December 31, 2020 included potential benefits which, if recognized, would affect the effective rate of income tax from continuing operations of $202.1 million and $19.1 million respectively.</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Interest and penalties recognized during the year ended December 31, 2022 amounted to a net charge of $7.1 million (2021: $1.9 million, 2020: ($0.6 million)) and are included within the income tax expense. Total accrued interest and penalties as of December 31, 2022 and December 31, 2021 were $22.6 million and $15.5 million respectively and are included in closing income taxes payable at those dates.</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Our major tax jurisdictions are Ireland and the United States. We may potentially be subjected to tax audits in both our major jurisdictions. In Ireland, tax periods open to audit include the years ended December 31, 2018, December 31, 2019, December 31, 2020, December 31, 2021 and December 31, 2022. In the United States, tax periods open to audit include the years ended December 31, 2016, December 31, 2017, December 31, 2018, December 31, 2019, December 31, 2020, December 31, 2021 and December 31, 2022. During such audits, local tax authorities may challenge the positions taken by us in our tax returns.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Employee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Plans</w:t>
      </w:r>
    </w:p>
    <w:p>
      <w:pPr>
        <w:spacing w:after="0" w:line="26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Defined contribution or profit sharing style plans ("the Plans") are offered in a number of countries. In some cases, these plans are required by local laws or regulations. Certain employees are eligible to participate in the Plans and participants in the Plans may elect to defer a portion of their pre-tax earnings into a pension plan, which is run by an independent party. The Company matches participant's contributions up to certain levels of the participant's annual compensation.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United States operations maintain retirement plans (the "U.S. Plans") that qualify as a deferred salary arrangement under Section 401(k) of the Internal Revenue Code. Participants in the U.S. Plans may elect to defer a portion of their earnings, up to the Internal Revenue Service annual contribution limit. The Company matches participant's contributions at varying amounts, subject to a maximum of 4.5% of the participant's annual compensation. Contributions to this U.S. Plan are recorded, in the year contributed, as an expense in the Consolidated Statement of Operations. Contributions for the years ended December 31, 2022, December 31, 2021 and December 31, 2020 were $30.2 million, $23.7 million and $17.0 million 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Benefit Plans</w:t>
      </w:r>
    </w:p>
    <w:p>
      <w:pPr>
        <w:spacing w:after="0" w:line="2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Company maintains various retirement plans across the Group, many of which are required by local employment laws. The balances recorded to the balance sheet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Borders>
              <w:top w:val="single" w:sz="8" w:color="auto"/>
              <w:bottom w:val="single" w:sz="8" w:color="auto"/>
            </w:tcBorders>
            <w:shd w:val="clear" w:color="auto" w:fill="CCEEFF"/>
          </w:tcPr>
          <w:p>
            <w:pPr>
              <w:spacing w:after="0"/>
              <w:rPr>
                <w:sz w:val="19"/>
                <w:szCs w:val="19"/>
                <w:color w:val="auto"/>
              </w:rPr>
            </w:pPr>
          </w:p>
        </w:tc>
        <w:tc>
          <w:tcPr>
            <w:tcW w:w="262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7"/>
        </w:trPr>
        <w:tc>
          <w:tcPr>
            <w:tcW w:w="49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6,492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other liabilities (note 16)</w:t>
            </w:r>
          </w:p>
        </w:tc>
        <w:tc>
          <w:tcPr>
            <w:tcW w:w="26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(16,262)</w:t>
            </w:r>
          </w:p>
        </w:tc>
      </w:tr>
    </w:tbl>
    <w:p>
      <w:pPr>
        <w:spacing w:after="0" w:line="200" w:lineRule="exact"/>
        <w:rPr>
          <w:sz w:val="20"/>
          <w:szCs w:val="20"/>
          <w:color w:val="auto"/>
        </w:rPr>
      </w:pP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35" w:name="page136"/>
    <w:bookmarkEnd w:id="135"/>
    <w:p>
      <w:pPr>
        <w:jc w:val="both"/>
        <w:spacing w:after="0" w:line="260" w:lineRule="auto"/>
        <w:rPr>
          <w:sz w:val="20"/>
          <w:szCs w:val="20"/>
          <w:color w:val="auto"/>
        </w:rPr>
      </w:pPr>
      <w:r>
        <w:rPr>
          <w:rFonts w:ascii="Arial" w:cs="Arial" w:eastAsia="Arial" w:hAnsi="Arial"/>
          <w:sz w:val="16"/>
          <w:szCs w:val="16"/>
          <w:color w:val="auto"/>
        </w:rPr>
        <w:t>In addition to the specific defined-benefit schemes shown separately below, the Company maintains several other retirement plans which have a cumulative total net obligation of $11.6 million and $8.0 million recorded to non-current liabilities as of December 31, 2022 and December 31, 2021,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ICON Development Solutions Limited pension plan</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2022, December 31, 2021 and December 31, 2020,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w:t>
      </w:r>
      <w:r>
        <w:rPr>
          <w:rFonts w:ascii="Arial" w:cs="Arial" w:eastAsia="Arial" w:hAnsi="Arial"/>
          <w:sz w:val="16"/>
          <w:szCs w:val="16"/>
          <w:color w:val="auto"/>
        </w:rPr>
        <w:t xml:space="preserve"> </w:t>
      </w:r>
      <w:r>
        <w:rPr>
          <w:rFonts w:ascii="Arial" w:cs="Arial" w:eastAsia="Arial" w:hAnsi="Arial"/>
          <w:sz w:val="16"/>
          <w:szCs w:val="16"/>
          <w:i w:val="1"/>
          <w:iCs w:val="1"/>
          <w:color w:val="auto"/>
        </w:rPr>
        <w:t>Other Postretirement'</w:t>
      </w:r>
      <w:r>
        <w:rPr>
          <w:rFonts w:ascii="Arial" w:cs="Arial" w:eastAsia="Arial" w:hAnsi="Arial"/>
          <w:sz w:val="16"/>
          <w:szCs w:val="16"/>
          <w:color w:val="auto"/>
        </w:rPr>
        <w:t>. The plan has been closed to new entrants with effect from July 1, 2003.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w:t>
            </w:r>
          </w:p>
        </w:tc>
        <w:tc>
          <w:tcPr>
            <w:tcW w:w="3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1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(41,813)</w:t>
            </w:r>
          </w:p>
        </w:tc>
      </w:tr>
      <w:tr>
        <w:trPr>
          <w:trHeight w:val="22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36,198</w:t>
            </w:r>
          </w:p>
        </w:tc>
      </w:tr>
      <w:tr>
        <w:trPr>
          <w:trHeight w:val="238"/>
        </w:trPr>
        <w:tc>
          <w:tcPr>
            <w:tcW w:w="5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The funded status as at December 31, 2022 is included in other long-term receivables on the Consolidated Balance Sheet. The funded status as at December 31, 2021 is included in non-current other liabilities on the Consolidated Balance Sheet.</w:t>
      </w:r>
    </w:p>
    <w:tbl>
      <w:tblPr>
        <w:tblLayout w:type="fixed"/>
        <w:tblInd w:w="0" w:type="dxa"/>
        <w:tblCellMar>
          <w:top w:w="0" w:type="dxa"/>
          <w:left w:w="0" w:type="dxa"/>
          <w:bottom w:w="0" w:type="dxa"/>
          <w:right w:w="0" w:type="dxa"/>
        </w:tblCellMar>
      </w:tblPr>
      <w:tr>
        <w:trPr>
          <w:trHeight w:val="162"/>
        </w:trPr>
        <w:tc>
          <w:tcPr>
            <w:tcW w:w="566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43,988</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(18,636)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(2,097)</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37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41,813</w:t>
            </w:r>
          </w:p>
        </w:tc>
      </w:tr>
      <w:tr>
        <w:trPr>
          <w:trHeight w:val="24"/>
        </w:trPr>
        <w:tc>
          <w:tcPr>
            <w:tcW w:w="5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34,612</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1,171</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2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36,198</w:t>
            </w:r>
          </w:p>
        </w:tc>
      </w:tr>
      <w:tr>
        <w:trPr>
          <w:trHeight w:val="24"/>
        </w:trPr>
        <w:tc>
          <w:tcPr>
            <w:tcW w:w="5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36" w:name="page137"/>
    <w:bookmarkEnd w:id="136"/>
    <w:p>
      <w:pPr>
        <w:ind w:left="66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cost: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60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4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7"/>
              </w:rPr>
              <w:t>134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18"/>
                <w:szCs w:val="18"/>
                <w:color w:val="auto"/>
              </w:rPr>
            </w:pPr>
          </w:p>
        </w:tc>
        <w:tc>
          <w:tcPr>
            <w:tcW w:w="1320" w:type="dxa"/>
            <w:vAlign w:val="bottom"/>
          </w:tcPr>
          <w:p>
            <w:pPr>
              <w:jc w:val="center"/>
              <w:ind w:left="819"/>
              <w:spacing w:after="0"/>
              <w:rPr>
                <w:sz w:val="20"/>
                <w:szCs w:val="20"/>
                <w:color w:val="auto"/>
              </w:rPr>
            </w:pPr>
            <w:r>
              <w:rPr>
                <w:rFonts w:ascii="Arial" w:cs="Arial" w:eastAsia="Arial" w:hAnsi="Arial"/>
                <w:sz w:val="16"/>
                <w:szCs w:val="16"/>
                <w:color w:val="auto"/>
                <w:w w:val="97"/>
              </w:rPr>
              <w:t>665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loss</w:t>
            </w:r>
          </w:p>
        </w:tc>
        <w:tc>
          <w:tcPr>
            <w:tcW w:w="2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7"/>
              </w:rPr>
              <w:t>625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w w:val="97"/>
              </w:rPr>
              <w:t>253</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December 31, 2021 and December 31, 2020:</w:t>
      </w:r>
    </w:p>
    <w:p>
      <w:pPr>
        <w:spacing w:after="0" w:line="282"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December 31, 2022 December 31, 2021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Discount rate</w:t>
            </w:r>
          </w:p>
        </w:tc>
        <w:tc>
          <w:tcPr>
            <w:tcW w:w="18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1.8 %</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1.5 %</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3.4 %</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rate of return on plan assets</w:t>
            </w:r>
          </w:p>
        </w:tc>
        <w:tc>
          <w:tcPr>
            <w:tcW w:w="1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3.8 %</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3.4 %</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r>
      <w:tr>
        <w:trPr>
          <w:trHeight w:val="23"/>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58"/>
        </w:trPr>
        <w:tc>
          <w:tcPr>
            <w:tcW w:w="5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5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Other comprehensive income</w:t>
            </w:r>
          </w:p>
        </w:tc>
        <w:tc>
          <w:tcPr>
            <w:tcW w:w="18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5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 - benefit obligation</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Actuarial loss/(gain) – plan assets</w:t>
            </w:r>
          </w:p>
        </w:tc>
        <w:tc>
          <w:tcPr>
            <w:tcW w:w="1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2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Actuarial loss recognized in net periodic benefit cost</w:t>
            </w:r>
          </w:p>
        </w:tc>
        <w:tc>
          <w:tcPr>
            <w:tcW w:w="1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3"/>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r>
      <w:tr>
        <w:trPr>
          <w:trHeight w:val="24"/>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 into net periodic benefit cost over the next year are $0.3 million and $Nil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in determining the benefit obligation at December 31, 2022 and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6"/>
        </w:trPr>
        <w:tc>
          <w:tcPr>
            <w:tcW w:w="52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460" w:type="dxa"/>
            <w:vAlign w:val="bottom"/>
          </w:tcPr>
          <w:p>
            <w:pPr>
              <w:jc w:val="right"/>
              <w:spacing w:after="0"/>
              <w:rPr>
                <w:sz w:val="20"/>
                <w:szCs w:val="20"/>
                <w:color w:val="auto"/>
              </w:rPr>
            </w:pPr>
            <w:r>
              <w:rPr>
                <w:rFonts w:ascii="Arial" w:cs="Arial" w:eastAsia="Arial" w:hAnsi="Arial"/>
                <w:sz w:val="16"/>
                <w:szCs w:val="16"/>
                <w:color w:val="auto"/>
              </w:rPr>
              <w:t>4.9 %</w:t>
            </w:r>
          </w:p>
        </w:tc>
        <w:tc>
          <w:tcPr>
            <w:tcW w:w="154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41"/>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 single discount rate is used which, when used to discount the projected benefit cash flows underlying a pension scheme with a 19 year duration, gives the same result as a full AA corporate bond yield curve.</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Actuarial gains on the benefit obligation during 2022 resulted from changes in the assumptions compared to those adopted at December 2021. Changes in the assumptions reflect the changes in market conditions from December 2021 to December 2022 and the actuarial gain is primarily due to the change in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Plan Assets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pension plan asset allocation is as follows: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6"/>
          <w:szCs w:val="16"/>
          <w:b w:val="1"/>
          <w:bCs w:val="1"/>
          <w:color w:val="auto"/>
        </w:rPr>
        <w:t>December 31, 2022 December 31,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Government Bonds</w:t>
            </w:r>
          </w:p>
        </w:tc>
        <w:tc>
          <w:tcPr>
            <w:tcW w:w="20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88 %</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Diversified Bonds</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Equities</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Secured Loans and Multi Asset Credit</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34"/>
        </w:trPr>
        <w:tc>
          <w:tcPr>
            <w:tcW w:w="8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2022, the scheme's asset strategy changed to align the plan assets more closely with government and diversified bonds. There is no self-investment in employer related assets. The Company’s assumption for the expected return on plan assets was determined by the weighted average of the long-term expected rate of return on each of the asset classes invested as of the balance sheet date. The expected long-term rate of return on assets is 3.8% at December 31, 2022 and December 31, 2021, respectively.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Fair Value Measurements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8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9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Bonds</w:t>
            </w:r>
          </w:p>
        </w:tc>
        <w:tc>
          <w:tcPr>
            <w:tcW w:w="2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Diversified Bonds</w:t>
            </w:r>
          </w:p>
        </w:tc>
        <w:tc>
          <w:tcPr>
            <w:tcW w:w="2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3,163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2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8,782</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2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13,434</w:t>
            </w: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Secured Loans and Multi Asset Credit</w:t>
            </w:r>
          </w:p>
        </w:tc>
        <w:tc>
          <w:tcPr>
            <w:tcW w:w="2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13,982</w:t>
            </w:r>
          </w:p>
        </w:tc>
      </w:tr>
      <w:tr>
        <w:trPr>
          <w:trHeight w:val="210"/>
        </w:trPr>
        <w:tc>
          <w:tcPr>
            <w:tcW w:w="59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36,198</w:t>
            </w:r>
          </w:p>
        </w:tc>
      </w:tr>
      <w:tr>
        <w:trPr>
          <w:trHeight w:val="24"/>
        </w:trPr>
        <w:tc>
          <w:tcPr>
            <w:tcW w:w="5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value of assets held by the plan are represented by quoted prices in active markets for identical assets and are therefore classified as level 1 investments.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91"/>
        </w:trPr>
        <w:tc>
          <w:tcPr>
            <w:tcW w:w="9640" w:type="dxa"/>
            <w:vAlign w:val="bottom"/>
          </w:tcPr>
          <w:p>
            <w:pPr>
              <w:ind w:left="660"/>
              <w:spacing w:after="0"/>
              <w:rPr>
                <w:sz w:val="20"/>
                <w:szCs w:val="20"/>
                <w:color w:val="auto"/>
              </w:rPr>
            </w:pPr>
            <w:r>
              <w:rPr>
                <w:rFonts w:ascii="Arial" w:cs="Arial" w:eastAsia="Arial" w:hAnsi="Arial"/>
                <w:sz w:val="16"/>
                <w:szCs w:val="16"/>
                <w:color w:val="auto"/>
              </w:rPr>
              <w:t>The Company expects to contribute $0.1 million to the pension fund in the year ending December 31, 2023.</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9640" w:type="dxa"/>
            <w:vAlign w:val="bottom"/>
          </w:tcPr>
          <w:p>
            <w:pPr>
              <w:ind w:left="66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4"/>
        </w:trPr>
        <w:tc>
          <w:tcPr>
            <w:tcW w:w="9640" w:type="dxa"/>
            <w:vAlign w:val="bottom"/>
          </w:tcPr>
          <w:p>
            <w:pPr>
              <w:spacing w:after="0"/>
              <w:rPr>
                <w:sz w:val="9"/>
                <w:szCs w:val="9"/>
                <w:color w:val="auto"/>
              </w:rPr>
            </w:pPr>
          </w:p>
        </w:tc>
        <w:tc>
          <w:tcPr>
            <w:tcW w:w="1580" w:type="dxa"/>
            <w:vAlign w:val="bottom"/>
            <w:gridSpan w:val="2"/>
          </w:tcPr>
          <w:p>
            <w:pPr>
              <w:spacing w:after="0"/>
              <w:rPr>
                <w:sz w:val="9"/>
                <w:szCs w:val="9"/>
                <w:color w:val="auto"/>
              </w:rPr>
            </w:pPr>
          </w:p>
        </w:tc>
      </w:tr>
      <w:tr>
        <w:trPr>
          <w:trHeight w:val="216"/>
        </w:trPr>
        <w:tc>
          <w:tcPr>
            <w:tcW w:w="9640" w:type="dxa"/>
            <w:vAlign w:val="bottom"/>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w:t>
            </w:r>
          </w:p>
        </w:tc>
      </w:tr>
      <w:tr>
        <w:trPr>
          <w:trHeight w:val="207"/>
        </w:trPr>
        <w:tc>
          <w:tcPr>
            <w:tcW w:w="9640" w:type="dxa"/>
            <w:vAlign w:val="bottom"/>
          </w:tcPr>
          <w:p>
            <w:pPr>
              <w:ind w:left="20"/>
              <w:spacing w:after="0"/>
              <w:rPr>
                <w:sz w:val="20"/>
                <w:szCs w:val="20"/>
                <w:color w:val="auto"/>
              </w:rPr>
            </w:pPr>
            <w:r>
              <w:rPr>
                <w:rFonts w:ascii="Arial" w:cs="Arial" w:eastAsia="Arial" w:hAnsi="Arial"/>
                <w:sz w:val="16"/>
                <w:szCs w:val="16"/>
                <w:color w:val="auto"/>
              </w:rPr>
              <w:t>2023</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2025</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2027</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41"/>
        </w:trPr>
        <w:tc>
          <w:tcPr>
            <w:tcW w:w="9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Years 2028 - 2032</w:t>
            </w:r>
          </w:p>
        </w:tc>
        <w:tc>
          <w:tcPr>
            <w:tcW w:w="6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3,614</w:t>
            </w:r>
          </w:p>
        </w:tc>
      </w:tr>
      <w:tr>
        <w:trPr>
          <w:trHeight w:val="20"/>
        </w:trPr>
        <w:tc>
          <w:tcPr>
            <w:tcW w:w="9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withdrawals or commutation of pension for cash.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color w:val="auto"/>
        </w:rPr>
        <w:t>Aptiv Solutions pension plan</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 xml:space="preserve">On May 7, 2014 the Company acquired 100% of the common stock of Aptiv Solutions ("Aptiv").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2022 and December 31, 2021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surplus/(deficit)</w:t>
            </w:r>
          </w:p>
        </w:tc>
        <w:tc>
          <w:tcPr>
            <w:tcW w:w="34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1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1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w:t>
            </w:r>
          </w:p>
        </w:tc>
      </w:tr>
      <w:tr>
        <w:trPr>
          <w:trHeight w:val="21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r>
      <w:tr>
        <w:trPr>
          <w:trHeight w:val="234"/>
        </w:trPr>
        <w:tc>
          <w:tcPr>
            <w:tcW w:w="5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deficit</w:t>
            </w:r>
          </w:p>
        </w:tc>
        <w:tc>
          <w:tcPr>
            <w:tcW w:w="3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funded deficit at December 31, 2022 and December 31, 2021 are included in non-current other liabilities on the Consolidated Balance Sheet.</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change in benefit obligation is presented in the following table. The discount rates used in calculating the benefit obligation in years ended December 31, 2022 and December 31, 2021 were 2.3% and 0.4%,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7,643</w:t>
            </w:r>
          </w:p>
        </w:tc>
      </w:tr>
      <w:tr>
        <w:trPr>
          <w:trHeight w:val="24"/>
        </w:trPr>
        <w:tc>
          <w:tcPr>
            <w:tcW w:w="5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6,964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7,601</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Scheme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 and transferred balances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2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w:t>
            </w:r>
          </w:p>
        </w:tc>
      </w:tr>
      <w:tr>
        <w:trPr>
          <w:trHeight w:val="24"/>
        </w:trPr>
        <w:tc>
          <w:tcPr>
            <w:tcW w:w="5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ind w:right="160"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PRA Switzerland AG pension plan</w:t>
      </w:r>
    </w:p>
    <w:p>
      <w:pPr>
        <w:spacing w:after="0" w:line="2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 xml:space="preserve">On July 1, 2021, the Company completed the Acquisition of PRA. PRA Switzerland AG, a subsidiary of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2022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surplus/(deficit)</w:t>
            </w:r>
          </w:p>
        </w:tc>
        <w:tc>
          <w:tcPr>
            <w:tcW w:w="3040" w:type="dxa"/>
            <w:vAlign w:val="bottom"/>
            <w:shd w:val="clear" w:color="auto" w:fill="CCEEFF"/>
          </w:tcPr>
          <w:p>
            <w:pPr>
              <w:spacing w:after="0"/>
              <w:rPr>
                <w:sz w:val="20"/>
                <w:szCs w:val="20"/>
                <w:color w:val="auto"/>
              </w:rPr>
            </w:pPr>
          </w:p>
        </w:tc>
        <w:tc>
          <w:tcPr>
            <w:tcW w:w="158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shd w:val="clear" w:color="auto" w:fill="CCEEFF"/>
          </w:tcPr>
          <w:p>
            <w:pPr>
              <w:spacing w:after="0"/>
              <w:rPr>
                <w:sz w:val="20"/>
                <w:szCs w:val="20"/>
                <w:color w:val="auto"/>
              </w:rPr>
            </w:pPr>
          </w:p>
        </w:tc>
        <w:tc>
          <w:tcPr>
            <w:tcW w:w="158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40"/>
        </w:trPr>
        <w:tc>
          <w:tcPr>
            <w:tcW w:w="4840" w:type="dxa"/>
            <w:vAlign w:val="bottom"/>
            <w:tcBorders>
              <w:bottom w:val="single" w:sz="8" w:color="auto"/>
            </w:tcBorders>
            <w:shd w:val="clear" w:color="auto" w:fill="CCEEFF"/>
          </w:tcPr>
          <w:p>
            <w:pPr>
              <w:spacing w:after="0"/>
              <w:rPr>
                <w:sz w:val="12"/>
                <w:szCs w:val="12"/>
                <w:color w:val="auto"/>
              </w:rPr>
            </w:pPr>
          </w:p>
        </w:tc>
        <w:tc>
          <w:tcPr>
            <w:tcW w:w="304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60" w:type="dxa"/>
            <w:vAlign w:val="bottom"/>
            <w:gridSpan w:val="3"/>
          </w:tcPr>
          <w:p>
            <w:pPr>
              <w:ind w:left="10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(5,345)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0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4,059</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w w:val="99"/>
              </w:rPr>
              <w:t>3,017</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deficit</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(1,286)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939"/>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funded deficit at December 31, 2022 and December 31, 2021 are included in non-current other liabilities on the Consolidated Balance Sheet.</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change in benefit obligation is presented in the following table. The discount rate used in calculating the benefit obligation in years ended December 31, 2022 and December 31, 2021 was 2.3% and 0.4%, respectively.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340" w:type="dxa"/>
            <w:vAlign w:val="bottom"/>
            <w:shd w:val="clear" w:color="auto" w:fill="CCEEFF"/>
          </w:tcPr>
          <w:p>
            <w:pPr>
              <w:spacing w:after="0"/>
              <w:rPr>
                <w:sz w:val="20"/>
                <w:szCs w:val="20"/>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40"/>
        </w:trPr>
        <w:tc>
          <w:tcPr>
            <w:tcW w:w="5560" w:type="dxa"/>
            <w:vAlign w:val="bottom"/>
            <w:tcBorders>
              <w:bottom w:val="single" w:sz="8" w:color="auto"/>
            </w:tcBorders>
            <w:shd w:val="clear" w:color="auto" w:fill="CCEEFF"/>
          </w:tcPr>
          <w:p>
            <w:pPr>
              <w:spacing w:after="0"/>
              <w:rPr>
                <w:sz w:val="12"/>
                <w:szCs w:val="12"/>
                <w:color w:val="auto"/>
              </w:rPr>
            </w:pPr>
          </w:p>
        </w:tc>
        <w:tc>
          <w:tcPr>
            <w:tcW w:w="234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vMerge w:val="continue"/>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4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2,396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end of year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34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60"/>
        </w:trPr>
        <w:tc>
          <w:tcPr>
            <w:tcW w:w="5560" w:type="dxa"/>
            <w:vAlign w:val="bottom"/>
            <w:tcBorders>
              <w:bottom w:val="single" w:sz="8" w:color="auto"/>
            </w:tcBorders>
            <w:shd w:val="clear" w:color="auto" w:fill="CCEEFF"/>
          </w:tcPr>
          <w:p>
            <w:pPr>
              <w:spacing w:after="0"/>
              <w:rPr>
                <w:sz w:val="13"/>
                <w:szCs w:val="13"/>
                <w:color w:val="auto"/>
              </w:rPr>
            </w:pPr>
          </w:p>
        </w:tc>
        <w:tc>
          <w:tcPr>
            <w:tcW w:w="234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40" w:type="dxa"/>
            <w:vAlign w:val="bottom"/>
            <w:gridSpan w:val="3"/>
          </w:tcPr>
          <w:p>
            <w:pPr>
              <w:jc w:val="right"/>
              <w:ind w:right="11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return on plan assets</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Scheme contributions</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participants’ contributions</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w:t>
            </w:r>
          </w:p>
        </w:tc>
        <w:tc>
          <w:tcPr>
            <w:tcW w:w="2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22. Equity Incentive Schemes and Stock Compensation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Each option granted under the 2008 Option Plans is an employee stock option, or Nonqualified Stock Option ("NSO"), as described in Section 422 or 423 of the Internal Revenue Code. Each grant of an option under the 2008 Options Plans is evidenced by a Stock Option Agreement between the optionee and the Company. The exercise price is specified in each Stock Option Agreement, however option prices are not less than 100% of the fair market value of an ordinary share on the date the option is granted. Share option awards are granted with an exercise price equal to the market price of the Company's shares at date of grant. Share options typically vest over a period of five years from date of grant and expire eight years from date of grant.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Equity Incentive Plans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represent the PRA equity incentive plans, that have been terminated as of July 1, 2021, as to grants of future awards.</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Pursuant to the Merger Agreement, effective on July 1, 2021, each stock option and restricted stock unit under the PRA Plans was assumed by the Company and converted into a stock option or Restricted Share Unit exercisable for or payable in Ordinary Shares based on the ratio of the average trading price per Ordinary Share for the ten days prior to July 1, 2021, and the corresponding value of the Merger consideration for each PRA Share. Accordingly, the plans as detailed below were assumed by the Company.</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PRA Health Sciences, Inc. 2020 Stock Incentive Plan (the "2020 Plan”), 2018 Stock Incentive Plan (the "2018 Plan"), 2014 Omnibus Incentive Plan (the "2014 Plan"), and 2013 Stock Incentive Plan (the "2013 Plan") were amended and restated and assumed by the Registrant effective as of July 1, 2021.</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2020 Stock Incentive Plan, was approved by the PRA stockholders at their annual meeting on May 18, 2020. The 2020 Plan allowed for the issuance of stock options, stock appreciation rights, restricted shares and restricted stock units, other stock-based awards, and performance compensation awards as permitted by applicable laws. The 2020 Plan authorized the issuance of 2.5 million shares of common stock plus all shares that remained available under the prior plan on May 18, 2020.</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2018 Stock Incentive Plan (the “2018 Plan”), was approved by the PRA stockholders at their annual meeting on May 31, 2018. The 2018 Plan allowed for the issuance of stock options, stock appreciation rights, restricted shares and restricted stock units, other stock-based awards, and performance compensation awards as permitted by applicable laws. The 2018 Plan authorized the issuance of 2 million shares of common stock plus all shares that remained available under the 2014 Plan on May 31, 2018 (which included shares carried over from the 2013 Plan).</w:t>
      </w:r>
    </w:p>
    <w:p>
      <w:pPr>
        <w:spacing w:after="0" w:line="21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6"/>
          <w:szCs w:val="16"/>
          <w:color w:val="auto"/>
        </w:rPr>
        <w:t>On November 23, 2014, the PRA Health Sciences, Inc. Board of Directors approved the formation of the 2014 Plan for Key PRA Employees. The 2014 Plan allowed for the issuance of stock options, stock appreciation rights, restricted shares and restricted stock units, other stock-based awards, and performance compensation awards as permitted by applicable laws.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September 23, 2013, the PRA Health Sciences, Inc. Board of Directors approved the formation of the 2013 Plan for Key Employees of Pinnacle Holdco Parent, Inc. and its subsidiaries. The 2013 Plan allowed for the issuance of stock options and other stock-based awards as permitted by applicable laws. The number of shares available for grant under the 2013 Plan was 12.5% of the outstanding shares at closing on a fully diluted basis. The 2013 Plan authorized the issuance of 2,052,909 shares of common stock.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1" w:name="page142"/>
    <w:bookmarkEnd w:id="141"/>
    <w:p>
      <w:pPr>
        <w:ind w:firstLine="648"/>
        <w:spacing w:after="0" w:line="242" w:lineRule="auto"/>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2022, December 31, 2021 and December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 Granted</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223"/>
        </w:trPr>
        <w:tc>
          <w:tcPr>
            <w:tcW w:w="75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Under Plans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2019</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656,107</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87.80</w:t>
            </w:r>
          </w:p>
        </w:tc>
      </w:tr>
      <w:tr>
        <w:trPr>
          <w:trHeight w:val="216"/>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107,737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159.83</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tcPr>
          <w:p>
            <w:pPr>
              <w:jc w:val="right"/>
              <w:spacing w:after="0"/>
              <w:rPr>
                <w:sz w:val="20"/>
                <w:szCs w:val="20"/>
                <w:color w:val="auto"/>
              </w:rPr>
            </w:pPr>
            <w:r>
              <w:rPr>
                <w:rFonts w:ascii="Arial" w:cs="Arial" w:eastAsia="Arial" w:hAnsi="Arial"/>
                <w:sz w:val="16"/>
                <w:szCs w:val="16"/>
                <w:color w:val="auto"/>
              </w:rPr>
              <w:t>(193,417)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68.19</w:t>
            </w:r>
          </w:p>
        </w:tc>
      </w:tr>
      <w:tr>
        <w:trPr>
          <w:trHeight w:val="226"/>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(16,681)</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92.21</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2020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553,746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w:t>
            </w:r>
          </w:p>
        </w:tc>
      </w:tr>
      <w:tr>
        <w:trPr>
          <w:trHeight w:val="216"/>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Assumed through business combinations *</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2,177,130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100,299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177.76</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(1,065,529)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111.29</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Canceled/expired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(70,186)</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128.46</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1,695,460</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110.38</w:t>
            </w:r>
          </w:p>
        </w:tc>
      </w:tr>
      <w:tr>
        <w:trPr>
          <w:trHeight w:val="213"/>
        </w:trPr>
        <w:tc>
          <w:tcPr>
            <w:tcW w:w="7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108,643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229.94</w:t>
            </w:r>
          </w:p>
        </w:tc>
      </w:tr>
      <w:tr>
        <w:trPr>
          <w:trHeight w:val="219"/>
        </w:trPr>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(348,286)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Canceled/expired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r>
      <w:tr>
        <w:trPr>
          <w:trHeight w:val="223"/>
        </w:trPr>
        <w:tc>
          <w:tcPr>
            <w:tcW w:w="7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1,378,119</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119.86</w:t>
            </w:r>
          </w:p>
        </w:tc>
      </w:tr>
      <w:tr>
        <w:trPr>
          <w:trHeight w:val="223"/>
        </w:trPr>
        <w:tc>
          <w:tcPr>
            <w:tcW w:w="7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Vested and exercisable at December 31, 2022</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1,047,803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r>
      <w:tr>
        <w:trPr>
          <w:trHeight w:val="278"/>
        </w:trPr>
        <w:tc>
          <w:tcPr>
            <w:tcW w:w="7500" w:type="dxa"/>
            <w:vAlign w:val="bottom"/>
          </w:tcPr>
          <w:p>
            <w:pPr>
              <w:ind w:left="660"/>
              <w:spacing w:after="0"/>
              <w:rPr>
                <w:sz w:val="20"/>
                <w:szCs w:val="20"/>
                <w:color w:val="auto"/>
              </w:rPr>
            </w:pPr>
            <w:r>
              <w:rPr>
                <w:rFonts w:ascii="Arial" w:cs="Arial" w:eastAsia="Arial" w:hAnsi="Arial"/>
                <w:sz w:val="16"/>
                <w:szCs w:val="16"/>
                <w:color w:val="auto"/>
              </w:rPr>
              <w:t>*Represents stock options issued as replacement awards in connection with the Merger.</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5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weighted average remaining contractual life of options outstanding and options exercisable at December 31, 2022, was 4.69 years and 4.25 years respectively (2021: 5.39 years and 4.55 years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and exercisable share options: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2"/>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Options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80" w:type="dxa"/>
            <w:vAlign w:val="bottom"/>
            <w:tcBorders>
              <w:bottom w:val="single" w:sz="8" w:color="auto"/>
            </w:tcBorders>
            <w:gridSpan w:val="3"/>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Options Exercisable</w:t>
            </w:r>
          </w:p>
        </w:tc>
      </w:tr>
      <w:tr>
        <w:trPr>
          <w:trHeight w:val="156"/>
        </w:trPr>
        <w:tc>
          <w:tcPr>
            <w:tcW w:w="234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rPr>
              <w:t>Range Exercise</w:t>
            </w:r>
          </w:p>
        </w:tc>
        <w:tc>
          <w:tcPr>
            <w:tcW w:w="164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Number of</w:t>
            </w: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c>
          <w:tcPr>
            <w:tcW w:w="160" w:type="dxa"/>
            <w:vAlign w:val="bottom"/>
          </w:tcPr>
          <w:p>
            <w:pPr>
              <w:spacing w:after="0"/>
              <w:rPr>
                <w:sz w:val="13"/>
                <w:szCs w:val="13"/>
                <w:color w:val="auto"/>
              </w:rPr>
            </w:pPr>
          </w:p>
        </w:tc>
        <w:tc>
          <w:tcPr>
            <w:tcW w:w="1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r>
      <w:tr>
        <w:trPr>
          <w:trHeight w:val="162"/>
        </w:trPr>
        <w:tc>
          <w:tcPr>
            <w:tcW w:w="2340" w:type="dxa"/>
            <w:vAlign w:val="bottom"/>
          </w:tcPr>
          <w:p>
            <w:pPr>
              <w:jc w:val="right"/>
              <w:ind w:right="439"/>
              <w:spacing w:after="0" w:line="162" w:lineRule="exact"/>
              <w:rPr>
                <w:sz w:val="20"/>
                <w:szCs w:val="20"/>
                <w:color w:val="auto"/>
              </w:rPr>
            </w:pPr>
            <w:r>
              <w:rPr>
                <w:rFonts w:ascii="Arial" w:cs="Arial" w:eastAsia="Arial" w:hAnsi="Arial"/>
                <w:sz w:val="16"/>
                <w:szCs w:val="16"/>
                <w:b w:val="1"/>
                <w:bCs w:val="1"/>
                <w:color w:val="auto"/>
              </w:rPr>
              <w:t>Price</w:t>
            </w:r>
          </w:p>
        </w:tc>
        <w:tc>
          <w:tcPr>
            <w:tcW w:w="164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60" w:type="dxa"/>
            <w:vAlign w:val="bottom"/>
          </w:tcPr>
          <w:p>
            <w:pPr>
              <w:spacing w:after="0"/>
              <w:rPr>
                <w:sz w:val="14"/>
                <w:szCs w:val="14"/>
                <w:color w:val="auto"/>
              </w:rPr>
            </w:pPr>
          </w:p>
        </w:tc>
        <w:tc>
          <w:tcPr>
            <w:tcW w:w="1740" w:type="dxa"/>
            <w:vAlign w:val="bottom"/>
            <w:gridSpan w:val="2"/>
          </w:tcPr>
          <w:p>
            <w:pPr>
              <w:jc w:val="right"/>
              <w:ind w:right="180"/>
              <w:spacing w:after="0" w:line="162" w:lineRule="exact"/>
              <w:rPr>
                <w:sz w:val="20"/>
                <w:szCs w:val="20"/>
                <w:color w:val="auto"/>
              </w:rPr>
            </w:pPr>
            <w:r>
              <w:rPr>
                <w:rFonts w:ascii="Arial" w:cs="Arial" w:eastAsia="Arial" w:hAnsi="Arial"/>
                <w:sz w:val="16"/>
                <w:szCs w:val="16"/>
                <w:b w:val="1"/>
                <w:bCs w:val="1"/>
                <w:color w:val="auto"/>
              </w:rPr>
              <w:t>Exercise Price</w:t>
            </w:r>
          </w:p>
        </w:tc>
        <w:tc>
          <w:tcPr>
            <w:tcW w:w="18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r>
      <w:tr>
        <w:trPr>
          <w:trHeight w:val="162"/>
        </w:trPr>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5"/>
        </w:trPr>
        <w:tc>
          <w:tcPr>
            <w:tcW w:w="2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37"/>
        </w:trPr>
        <w:tc>
          <w:tcPr>
            <w:tcW w:w="2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14.88 - 96.15</w:t>
            </w: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494,565</w:t>
            </w:r>
          </w:p>
        </w:tc>
        <w:tc>
          <w:tcPr>
            <w:tcW w:w="1560" w:type="dxa"/>
            <w:vAlign w:val="bottom"/>
          </w:tcPr>
          <w:p>
            <w:pPr>
              <w:jc w:val="right"/>
              <w:spacing w:after="0"/>
              <w:rPr>
                <w:sz w:val="20"/>
                <w:szCs w:val="20"/>
                <w:color w:val="auto"/>
              </w:rPr>
            </w:pPr>
            <w:r>
              <w:rPr>
                <w:rFonts w:ascii="Arial" w:cs="Arial" w:eastAsia="Arial" w:hAnsi="Arial"/>
                <w:sz w:val="16"/>
                <w:szCs w:val="16"/>
                <w:color w:val="auto"/>
              </w:rPr>
              <w:t>2.70</w:t>
            </w: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494,565</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103.81 - 124.00</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226,489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203,605</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125.74 - 147.26</w:t>
            </w: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386,518</w:t>
            </w:r>
          </w:p>
        </w:tc>
        <w:tc>
          <w:tcPr>
            <w:tcW w:w="1560" w:type="dxa"/>
            <w:vAlign w:val="bottom"/>
          </w:tcPr>
          <w:p>
            <w:pPr>
              <w:jc w:val="right"/>
              <w:spacing w:after="0"/>
              <w:rPr>
                <w:sz w:val="20"/>
                <w:szCs w:val="20"/>
                <w:color w:val="auto"/>
              </w:rPr>
            </w:pPr>
            <w:r>
              <w:rPr>
                <w:rFonts w:ascii="Arial" w:cs="Arial" w:eastAsia="Arial" w:hAnsi="Arial"/>
                <w:sz w:val="16"/>
                <w:szCs w:val="16"/>
                <w:color w:val="auto"/>
              </w:rPr>
              <w:t>5.65</w:t>
            </w:r>
          </w:p>
        </w:tc>
        <w:tc>
          <w:tcPr>
            <w:tcW w:w="26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303,054</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159.33 - 231.68</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270,547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46,579</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42"/>
        </w:trPr>
        <w:tc>
          <w:tcPr>
            <w:tcW w:w="2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r>
      <w:tr>
        <w:trPr>
          <w:trHeight w:val="223"/>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14.88 - 231.68</w:t>
            </w:r>
          </w:p>
        </w:tc>
        <w:tc>
          <w:tcPr>
            <w:tcW w:w="16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1,378,119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119.86</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1,047,803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102.29</w:t>
            </w:r>
          </w:p>
        </w:tc>
      </w:tr>
    </w:tbl>
    <w:p>
      <w:pPr>
        <w:spacing w:after="0" w:line="2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Options outstanding include both vested and unvested options as at December 31, 2022. Options exercisable represent options which have vested at December 31, 2022. From the date of grant, substantially all options vest over a five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weighted average fair value of options granted during the years ended December 31, 2022, December 31, 2021 and December 31, 2020 was calculated using the Black-Scholes option pricing model. The weighted average fair values and assumptions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6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42.43</w:t>
            </w:r>
          </w:p>
        </w:tc>
      </w:tr>
      <w:tr>
        <w:trPr>
          <w:trHeight w:val="240"/>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1.86 %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0.78 %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0.57 %</w:t>
            </w:r>
          </w:p>
        </w:tc>
      </w:tr>
      <w:tr>
        <w:trPr>
          <w:trHeight w:val="226"/>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r>
    </w:tbl>
    <w:p>
      <w:pPr>
        <w:spacing w:after="0" w:line="3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weighted average fair value of options assumed on the date of the Merger was calculated using the Black-Scholes option pricing model. The weighted average fair values on the date of the Merger and assumptions used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1, 2021</w:t>
            </w:r>
          </w:p>
        </w:tc>
      </w:tr>
      <w:tr>
        <w:trPr>
          <w:trHeight w:val="206"/>
        </w:trPr>
        <w:tc>
          <w:tcPr>
            <w:tcW w:w="2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Weighted average grant date fair value</w:t>
            </w:r>
          </w:p>
        </w:tc>
        <w:tc>
          <w:tcPr>
            <w:tcW w:w="3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107.21</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9"/>
              </w:rPr>
              <w:t>Assumptions:</w:t>
            </w:r>
          </w:p>
        </w:tc>
        <w:tc>
          <w:tcPr>
            <w:tcW w:w="524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0.56 %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Expected life</w:t>
            </w:r>
          </w:p>
        </w:tc>
        <w:tc>
          <w:tcPr>
            <w:tcW w:w="38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years</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and 2021 vest over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3" w:name="page144"/>
    <w:bookmarkEnd w:id="143"/>
    <w:p>
      <w:pPr>
        <w:jc w:val="both"/>
        <w:ind w:firstLine="648"/>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shd w:val="clear" w:color="auto" w:fill="CCEEFF"/>
          </w:tcPr>
          <w:p>
            <w:pPr>
              <w:spacing w:after="0"/>
              <w:rPr>
                <w:sz w:val="16"/>
                <w:szCs w:val="16"/>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PSU</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Weighted</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center"/>
              <w:ind w:left="139"/>
              <w:spacing w:after="0" w:line="162" w:lineRule="exact"/>
              <w:rPr>
                <w:sz w:val="20"/>
                <w:szCs w:val="20"/>
                <w:color w:val="auto"/>
              </w:rPr>
            </w:pPr>
            <w:r>
              <w:rPr>
                <w:rFonts w:ascii="Arial" w:cs="Arial" w:eastAsia="Arial" w:hAnsi="Arial"/>
                <w:sz w:val="16"/>
                <w:szCs w:val="16"/>
                <w:b w:val="1"/>
                <w:bCs w:val="1"/>
                <w:color w:val="auto"/>
              </w:rPr>
              <w:t>Average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439"/>
              <w:spacing w:after="0" w:line="162" w:lineRule="exact"/>
              <w:rPr>
                <w:sz w:val="20"/>
                <w:szCs w:val="20"/>
                <w:color w:val="auto"/>
              </w:rPr>
            </w:pPr>
            <w:r>
              <w:rPr>
                <w:rFonts w:ascii="Arial" w:cs="Arial" w:eastAsia="Arial" w:hAnsi="Arial"/>
                <w:sz w:val="16"/>
                <w:szCs w:val="16"/>
                <w:b w:val="1"/>
                <w:bCs w:val="1"/>
                <w:color w:val="auto"/>
              </w:rPr>
              <w:t>Average</w:t>
            </w:r>
          </w:p>
        </w:tc>
      </w:tr>
      <w:tr>
        <w:trPr>
          <w:trHeight w:val="162"/>
        </w:trPr>
        <w:tc>
          <w:tcPr>
            <w:tcW w:w="4400" w:type="dxa"/>
            <w:vAlign w:val="bottom"/>
            <w:shd w:val="clear" w:color="auto" w:fill="CCEEFF"/>
          </w:tcPr>
          <w:p>
            <w:pPr>
              <w:spacing w:after="0"/>
              <w:rPr>
                <w:sz w:val="14"/>
                <w:szCs w:val="14"/>
                <w:color w:val="auto"/>
              </w:rPr>
            </w:pPr>
          </w:p>
        </w:tc>
        <w:tc>
          <w:tcPr>
            <w:tcW w:w="2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r>
      <w:tr>
        <w:trPr>
          <w:trHeight w:val="215"/>
        </w:trPr>
        <w:tc>
          <w:tcPr>
            <w:tcW w:w="440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Fair Value</w:t>
            </w: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Outstanding at December 31, 2021</w:t>
            </w:r>
          </w:p>
        </w:tc>
        <w:tc>
          <w:tcPr>
            <w:tcW w:w="2840" w:type="dxa"/>
            <w:vAlign w:val="bottom"/>
          </w:tcPr>
          <w:p>
            <w:pPr>
              <w:jc w:val="right"/>
              <w:spacing w:after="0"/>
              <w:rPr>
                <w:sz w:val="20"/>
                <w:szCs w:val="20"/>
                <w:color w:val="auto"/>
              </w:rPr>
            </w:pPr>
            <w:r>
              <w:rPr>
                <w:rFonts w:ascii="Arial" w:cs="Arial" w:eastAsia="Arial" w:hAnsi="Arial"/>
                <w:sz w:val="16"/>
                <w:szCs w:val="16"/>
                <w:color w:val="auto"/>
              </w:rPr>
              <w:t>154,190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179"/>
              <w:spacing w:after="0"/>
              <w:rPr>
                <w:sz w:val="20"/>
                <w:szCs w:val="20"/>
                <w:color w:val="auto"/>
              </w:rPr>
            </w:pPr>
            <w:r>
              <w:rPr>
                <w:rFonts w:ascii="Arial" w:cs="Arial" w:eastAsia="Arial" w:hAnsi="Arial"/>
                <w:sz w:val="16"/>
                <w:szCs w:val="16"/>
                <w:color w:val="auto"/>
                <w:w w:val="98"/>
              </w:rPr>
              <w:t>160.23</w:t>
            </w:r>
          </w:p>
        </w:tc>
        <w:tc>
          <w:tcPr>
            <w:tcW w:w="1160" w:type="dxa"/>
            <w:vAlign w:val="bottom"/>
          </w:tcPr>
          <w:p>
            <w:pPr>
              <w:jc w:val="right"/>
              <w:spacing w:after="0"/>
              <w:rPr>
                <w:sz w:val="20"/>
                <w:szCs w:val="20"/>
                <w:color w:val="auto"/>
              </w:rPr>
            </w:pPr>
            <w:r>
              <w:rPr>
                <w:rFonts w:ascii="Arial" w:cs="Arial" w:eastAsia="Arial" w:hAnsi="Arial"/>
                <w:sz w:val="16"/>
                <w:szCs w:val="16"/>
                <w:color w:val="auto"/>
              </w:rPr>
              <w:t>572,785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191.20</w:t>
            </w:r>
          </w:p>
        </w:tc>
      </w:tr>
      <w:tr>
        <w:trPr>
          <w:trHeight w:val="259"/>
        </w:trPr>
        <w:tc>
          <w:tcPr>
            <w:tcW w:w="440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Granted</w:t>
            </w:r>
          </w:p>
        </w:tc>
        <w:tc>
          <w:tcPr>
            <w:tcW w:w="2840" w:type="dxa"/>
            <w:vAlign w:val="bottom"/>
          </w:tcPr>
          <w:p>
            <w:pPr>
              <w:jc w:val="right"/>
              <w:spacing w:after="0"/>
              <w:rPr>
                <w:sz w:val="20"/>
                <w:szCs w:val="20"/>
                <w:color w:val="auto"/>
              </w:rPr>
            </w:pPr>
            <w:r>
              <w:rPr>
                <w:rFonts w:ascii="Arial" w:cs="Arial" w:eastAsia="Arial" w:hAnsi="Arial"/>
                <w:sz w:val="16"/>
                <w:szCs w:val="16"/>
                <w:color w:val="auto"/>
              </w:rPr>
              <w:t>64,682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179"/>
              <w:spacing w:after="0"/>
              <w:rPr>
                <w:sz w:val="20"/>
                <w:szCs w:val="20"/>
                <w:color w:val="auto"/>
              </w:rPr>
            </w:pPr>
            <w:r>
              <w:rPr>
                <w:rFonts w:ascii="Arial" w:cs="Arial" w:eastAsia="Arial" w:hAnsi="Arial"/>
                <w:sz w:val="16"/>
                <w:szCs w:val="16"/>
                <w:color w:val="auto"/>
                <w:w w:val="98"/>
              </w:rPr>
              <w:t>229.79</w:t>
            </w:r>
          </w:p>
        </w:tc>
        <w:tc>
          <w:tcPr>
            <w:tcW w:w="1160" w:type="dxa"/>
            <w:vAlign w:val="bottom"/>
          </w:tcPr>
          <w:p>
            <w:pPr>
              <w:jc w:val="right"/>
              <w:spacing w:after="0"/>
              <w:rPr>
                <w:sz w:val="20"/>
                <w:szCs w:val="20"/>
                <w:color w:val="auto"/>
              </w:rPr>
            </w:pPr>
            <w:r>
              <w:rPr>
                <w:rFonts w:ascii="Arial" w:cs="Arial" w:eastAsia="Arial" w:hAnsi="Arial"/>
                <w:sz w:val="16"/>
                <w:szCs w:val="16"/>
                <w:color w:val="auto"/>
              </w:rPr>
              <w:t>302,307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left="479"/>
              <w:spacing w:after="0"/>
              <w:rPr>
                <w:sz w:val="20"/>
                <w:szCs w:val="20"/>
                <w:color w:val="auto"/>
              </w:rPr>
            </w:pPr>
            <w:r>
              <w:rPr>
                <w:rFonts w:ascii="Arial" w:cs="Arial" w:eastAsia="Arial" w:hAnsi="Arial"/>
                <w:sz w:val="16"/>
                <w:szCs w:val="16"/>
                <w:color w:val="auto"/>
                <w:w w:val="98"/>
              </w:rPr>
              <w:t>216.85</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140.48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(195,029)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98"/>
              </w:rPr>
              <w:t>174.35</w:t>
            </w: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8"/>
              </w:rPr>
              <w:t>185.90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205.25</w:t>
            </w:r>
          </w:p>
        </w:tc>
      </w:tr>
      <w:tr>
        <w:trPr>
          <w:trHeight w:val="243"/>
        </w:trPr>
        <w:tc>
          <w:tcPr>
            <w:tcW w:w="440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1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152,420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w w:val="98"/>
              </w:rPr>
              <w:t>192.29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582,612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w w:val="98"/>
              </w:rPr>
              <w:t>207.73</w:t>
            </w:r>
          </w:p>
        </w:tc>
      </w:tr>
      <w:tr>
        <w:trPr>
          <w:trHeight w:val="24"/>
        </w:trPr>
        <w:tc>
          <w:tcPr>
            <w:tcW w:w="44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year ended December 31, 2022 totaled $34.1 million (2021: $83.5 million). The share price range for the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$137.47 - $265.96 (2021: $115.11 - $206.71).</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year ended December 31, 2022 totaled $6.5 million (2021: $5.1 million). The share price range for the year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$137.47 - $166.51 (2021: $115.11 - $125.74).</w:t>
      </w:r>
    </w:p>
    <w:p>
      <w:pPr>
        <w:spacing w:after="0" w:line="2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PSUs vest based on service and specified EPS targets over the period 2021 – 2023 and 2022 – 2024. Depending on the actual amount of EPS from 2021 to 2024, up to an additional 76,210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from operations for the year ended December 31, 2022 is stated after charging $70.5 million in respect of non-cash stock compensation expense. Non-cash stock compensation expense has been allocated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22,854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18,551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8,557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17,714</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and integration related *</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133,844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26,271</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Represents the post combination portion of the accelerated vesting of awards following the completion of the Merger</w:t>
      </w:r>
    </w:p>
    <w:p>
      <w:pPr>
        <w:spacing w:after="0" w:line="2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income tax expense for the year ended December 31, 2022 reflects a net income tax benefit of $12.9 million in connection with stock compensation (including excess tax benefits) and the total tax benefit in connection with stock options exercised during 2022 was $7.7 million. The income tax expense for the year ended December 31, 2021 reflects a net income tax benefit of $22.7 million in connection with stock compensation (including excess tax benefits) and the total tax benefit in connection with stock options exercised during 2021 was $23.9 million. The income tax expense for the year ended December 31, 2020 reflects a net income tax benefit of $6.9 million in connection with stock compensation (including excess tax benefits) and the total tax benefit realized in connection with stock options exercised during 2020 was $2.5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Business Segment and Geographical Information</w:t>
      </w: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44" w:name="page145"/>
    <w:bookmarkEnd w:id="144"/>
    <w:p>
      <w:pPr>
        <w:jc w:val="both"/>
        <w:ind w:firstLine="648"/>
        <w:spacing w:after="0" w:line="260" w:lineRule="auto"/>
        <w:rPr>
          <w:sz w:val="20"/>
          <w:szCs w:val="20"/>
          <w:color w:val="auto"/>
        </w:rPr>
      </w:pPr>
      <w:r>
        <w:rPr>
          <w:rFonts w:ascii="Arial" w:cs="Arial" w:eastAsia="Arial" w:hAnsi="Arial"/>
          <w:sz w:val="16"/>
          <w:szCs w:val="16"/>
          <w:color w:val="auto"/>
        </w:rPr>
        <w:t>The Company operates as one reporting segment, which is the provision of outsourced development services on a global basis to the pharmaceutical, biotechnology and medical devices industries.</w:t>
      </w:r>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changes to the basis of segmentation or the measurement basis for the segment results since the prior year.</w:t>
      </w:r>
    </w:p>
    <w:p>
      <w:pPr>
        <w:spacing w:after="0" w:line="248" w:lineRule="exact"/>
        <w:rPr>
          <w:sz w:val="20"/>
          <w:szCs w:val="20"/>
          <w:color w:val="auto"/>
        </w:rPr>
      </w:pPr>
    </w:p>
    <w:p>
      <w:pPr>
        <w:ind w:right="20" w:firstLine="648"/>
        <w:spacing w:after="0" w:line="242" w:lineRule="auto"/>
        <w:rPr>
          <w:sz w:val="20"/>
          <w:szCs w:val="20"/>
          <w:color w:val="auto"/>
        </w:rPr>
      </w:pPr>
      <w:r>
        <w:rPr>
          <w:rFonts w:ascii="Arial" w:cs="Arial" w:eastAsia="Arial" w:hAnsi="Arial"/>
          <w:sz w:val="16"/>
          <w:szCs w:val="16"/>
          <w:color w:val="auto"/>
        </w:rPr>
        <w:t>Reportable geographic information at December 31, 2022 and December 31, 2021 and for the years ended December 31, 2022, December 31, 2021 and December 31, 2020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2"/>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1,984,567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1,365,909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1,181,292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1,618,350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1,175,515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416,884</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3,574,610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2,581,007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925,563</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563,859</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358,395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273,549</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7,741,386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5,480,826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2,797,288</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(including Restructuring) by geographical area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218,088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131,961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276,478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253,799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177,863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254,849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39,132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58,018</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68,501</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21,239</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795,237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378,529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391,500</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ind w:left="120" w:hanging="112"/>
        <w:spacing w:after="0"/>
        <w:tabs>
          <w:tab w:leader="none" w:pos="1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Includes the full amount of the amortization charge associated with the intangible asset acquired in the Merger.</w:t>
      </w:r>
    </w:p>
    <w:p>
      <w:pPr>
        <w:spacing w:after="0" w:line="200" w:lineRule="exact"/>
        <w:rPr>
          <w:rFonts w:ascii="Arial" w:cs="Arial" w:eastAsia="Arial" w:hAnsi="Arial"/>
          <w:sz w:val="16"/>
          <w:szCs w:val="16"/>
          <w:color w:val="auto"/>
        </w:rPr>
      </w:pPr>
    </w:p>
    <w:p>
      <w:pPr>
        <w:spacing w:after="0" w:line="385"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740" w:type="dxa"/>
            <w:vAlign w:val="bottom"/>
            <w:tcBorders>
              <w:bottom w:val="single" w:sz="8" w:color="auto"/>
            </w:tcBorders>
            <w:shd w:val="clear" w:color="auto" w:fill="CCEEFF"/>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4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143,025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118,253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99,721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121,174</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213,311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239,828</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55,312</w:t>
            </w:r>
          </w:p>
        </w:tc>
      </w:tr>
      <w:tr>
        <w:trPr>
          <w:trHeight w:val="40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504,152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534,567</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Net Income Per Ordinary Share</w:t>
      </w:r>
    </w:p>
    <w:p>
      <w:pPr>
        <w:spacing w:after="0" w:line="268"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0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Basic and diluted net income per ordinary share attributable to the Group for the year ended December 31, 2020 includes an adjustment to reflect the accretion of the noncontrolling interest in MeDiNova to its redemption value. The noncontrolling interest was acquired in the year ended December 31, 2020 and therefore no adjustment has been required in the years ended December 31, 2022 and December 31, 2021.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 2022</w:t>
            </w: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171"/>
        </w:trPr>
        <w:tc>
          <w:tcPr>
            <w:tcW w:w="5560" w:type="dxa"/>
            <w:vAlign w:val="bottom"/>
          </w:tcPr>
          <w:p>
            <w:pPr>
              <w:ind w:left="20"/>
              <w:spacing w:after="0" w:line="171"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8"/>
        </w:trPr>
        <w:tc>
          <w:tcPr>
            <w:tcW w:w="5560" w:type="dxa"/>
            <w:vAlign w:val="bottom"/>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81,532,320</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67,110,186</w:t>
            </w:r>
          </w:p>
        </w:tc>
        <w:tc>
          <w:tcPr>
            <w:tcW w:w="1700" w:type="dxa"/>
            <w:vAlign w:val="bottom"/>
          </w:tcPr>
          <w:p>
            <w:pPr>
              <w:jc w:val="right"/>
              <w:spacing w:after="0"/>
              <w:rPr>
                <w:sz w:val="20"/>
                <w:szCs w:val="20"/>
                <w:color w:val="auto"/>
              </w:rPr>
            </w:pPr>
            <w:r>
              <w:rPr>
                <w:rFonts w:ascii="Arial" w:cs="Arial" w:eastAsia="Arial" w:hAnsi="Arial"/>
                <w:sz w:val="16"/>
                <w:szCs w:val="16"/>
                <w:color w:val="auto"/>
              </w:rPr>
              <w:t>52,859,911</w:t>
            </w:r>
          </w:p>
        </w:tc>
      </w:tr>
      <w:tr>
        <w:trPr>
          <w:trHeight w:val="22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2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936,043</w:t>
            </w:r>
          </w:p>
        </w:tc>
        <w:tc>
          <w:tcPr>
            <w:tcW w:w="1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958,125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423,674</w:t>
            </w:r>
          </w:p>
        </w:tc>
      </w:tr>
      <w:tr>
        <w:trPr>
          <w:trHeight w:val="177"/>
        </w:trPr>
        <w:tc>
          <w:tcPr>
            <w:tcW w:w="556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2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82,468,363</w:t>
            </w: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68,068,311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53,283,585</w:t>
            </w:r>
          </w:p>
        </w:tc>
      </w:tr>
      <w:tr>
        <w:trPr>
          <w:trHeight w:val="24"/>
        </w:trPr>
        <w:tc>
          <w:tcPr>
            <w:tcW w:w="5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6"/>
          <w:szCs w:val="16"/>
          <w:color w:val="auto"/>
        </w:rPr>
        <w:t>The reconciliation between net income attributable to the Group per the Consolidated Statement of Operations and the net income used to calculate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20"/>
                <w:szCs w:val="20"/>
                <w:color w:val="auto"/>
              </w:rPr>
            </w:pPr>
            <w:r>
              <w:rPr>
                <w:rFonts w:ascii="Arial" w:cs="Arial" w:eastAsia="Arial" w:hAnsi="Arial"/>
                <w:sz w:val="16"/>
                <w:szCs w:val="16"/>
                <w:color w:val="auto"/>
              </w:rPr>
              <w:t>net income per ordinary share attributable to the Group is as follows:</w:t>
            </w: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76"/>
        </w:trPr>
        <w:tc>
          <w:tcPr>
            <w:tcW w:w="5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5"/>
        </w:trPr>
        <w:tc>
          <w:tcPr>
            <w:tcW w:w="5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505,304</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153,185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332,331</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5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(4,522)</w:t>
            </w:r>
          </w:p>
        </w:tc>
      </w:tr>
      <w:tr>
        <w:trPr>
          <w:trHeight w:val="177"/>
        </w:trPr>
        <w:tc>
          <w:tcPr>
            <w:tcW w:w="52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income attributable to the Group (including NCI redemption</w:t>
            </w:r>
          </w:p>
        </w:tc>
        <w:tc>
          <w:tcPr>
            <w:tcW w:w="5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5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505,304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153,185</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327,809</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2022</w:t>
            </w:r>
          </w:p>
        </w:tc>
        <w:tc>
          <w:tcPr>
            <w:tcW w:w="1900" w:type="dxa"/>
            <w:vAlign w:val="bottom"/>
            <w:tcBorders>
              <w:bottom w:val="single" w:sz="8" w:color="auto"/>
            </w:tcBorders>
            <w:gridSpan w:val="4"/>
            <w:shd w:val="clear" w:color="auto" w:fill="CCEEFF"/>
          </w:tcPr>
          <w:p>
            <w:pPr>
              <w:ind w:left="440"/>
              <w:spacing w:after="0"/>
              <w:rPr>
                <w:sz w:val="20"/>
                <w:szCs w:val="20"/>
                <w:color w:val="auto"/>
              </w:rPr>
            </w:pPr>
            <w:r>
              <w:rPr>
                <w:rFonts w:ascii="Arial" w:cs="Arial" w:eastAsia="Arial" w:hAnsi="Arial"/>
                <w:sz w:val="16"/>
                <w:szCs w:val="16"/>
                <w:b w:val="1"/>
                <w:bCs w:val="1"/>
                <w:color w:val="auto"/>
                <w:w w:val="99"/>
              </w:rPr>
              <w:t>December 31, 2021</w:t>
            </w:r>
          </w:p>
        </w:tc>
        <w:tc>
          <w:tcPr>
            <w:tcW w:w="1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Net income per Ordinary Share attributable to the Group (including</w:t>
            </w: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NCI redemption adjustment):</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rPr>
              <w:t>2.28</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6.13</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left="279"/>
              <w:spacing w:after="0"/>
              <w:rPr>
                <w:sz w:val="20"/>
                <w:szCs w:val="20"/>
                <w:color w:val="auto"/>
              </w:rPr>
            </w:pPr>
            <w:r>
              <w:rPr>
                <w:rFonts w:ascii="Arial" w:cs="Arial" w:eastAsia="Arial" w:hAnsi="Arial"/>
                <w:sz w:val="16"/>
                <w:szCs w:val="16"/>
                <w:color w:val="auto"/>
              </w:rPr>
              <w:t>2.25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5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3"/>
        </w:trPr>
        <w:tc>
          <w:tcPr>
            <w:tcW w:w="5320" w:type="dxa"/>
            <w:vAlign w:val="bottom"/>
          </w:tcPr>
          <w:p>
            <w:pPr>
              <w:spacing w:after="0"/>
              <w:rPr>
                <w:sz w:val="20"/>
                <w:szCs w:val="20"/>
                <w:color w:val="auto"/>
              </w:rPr>
            </w:pPr>
            <w:r>
              <w:rPr>
                <w:rFonts w:ascii="Arial" w:cs="Arial" w:eastAsia="Arial" w:hAnsi="Arial"/>
                <w:sz w:val="16"/>
                <w:szCs w:val="16"/>
                <w:b w:val="1"/>
                <w:bCs w:val="1"/>
                <w:color w:val="auto"/>
              </w:rPr>
              <w:t>25. Accumulated Other Comprehensive Income</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4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gridSpan w:val="4"/>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Currency translation adjustments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(175,369)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 on defined benefit pension plan (note 21)</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7,559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Loss on cash flow hedge</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(3,728)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loss on cash flow hedge</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(171,538)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5"/>
        </w:trPr>
        <w:tc>
          <w:tcPr>
            <w:tcW w:w="5320" w:type="dxa"/>
            <w:vAlign w:val="bottom"/>
          </w:tcPr>
          <w:p>
            <w:pPr>
              <w:spacing w:after="0"/>
              <w:rPr>
                <w:sz w:val="20"/>
                <w:szCs w:val="20"/>
                <w:color w:val="auto"/>
              </w:rPr>
            </w:pPr>
            <w:r>
              <w:rPr>
                <w:rFonts w:ascii="Arial" w:cs="Arial" w:eastAsia="Arial" w:hAnsi="Arial"/>
                <w:sz w:val="16"/>
                <w:szCs w:val="16"/>
                <w:b w:val="1"/>
                <w:bCs w:val="1"/>
                <w:color w:val="auto"/>
              </w:rPr>
              <w:t>26. Supplemental Disclosure of Cash Flow Information</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40" w:type="dxa"/>
            <w:vAlign w:val="bottom"/>
            <w:gridSpan w:val="3"/>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00" w:type="dxa"/>
            <w:vAlign w:val="bottom"/>
            <w:gridSpan w:val="2"/>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5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center"/>
              <w:ind w:right="1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paid for interest</w:t>
            </w: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210,918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106,205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116,322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55,105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Related Parties</w:t>
      </w:r>
    </w:p>
    <w:p>
      <w:pPr>
        <w:spacing w:after="0" w:line="2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Subsidiaries of the Company earned revenue of $2,000 (December 31, 2021: $30,000) from DS Biopharma Limited (formerly Dignity Sciences Limited) during the year. Dr. John Climax is Executive Chairman and a Director and shareholder of DS Biopharma Limited. $12,000 was recorded as due from DS Biopharma Limited at December 31, 2022 (December 31, 2021: $12,000).</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of the Company earned revenue of $235,000 (December 31, 2021: $551,000) from Afimmune Limited during the year. Dr. John Climax is Chief Executive Officer and a Director and shareholder of Afimmune Limited. $263,000 was recorded as due from Afimmune Limited at December 31, 2022 (December 31, 2021: $197,000).</w:t>
      </w:r>
    </w:p>
    <w:p>
      <w:pPr>
        <w:spacing w:after="0" w:line="2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Subsidiaries of the Company earned revenue of $428,000 from Corvus Pharmaceuticals during the year. Dr. Linda Grais serves as a Director and shareholder of Corvus Pharmaceuticals. $231,000 was recorded as due from Corvus Pharmaceuticals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47" w:name="page148"/>
    <w:bookmarkEnd w:id="147"/>
    <w:p>
      <w:pPr>
        <w:jc w:val="both"/>
        <w:ind w:firstLine="648"/>
        <w:spacing w:after="0" w:line="254"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The Company provided corporate support services to Oncacare to the value of $451,000 during the year ended December 31, 2022 (December 31, 2021: $465,000). $715,000 was recorded as due from Oncacare at December 31, 2022 (December 31, 2021: $264,000). During the year ended December 31, 2021, the Company provided a loan of $10 million to Oncacare in order to fund the continued start up of the business' operations. The loan accrues annual interest at 1.6% and the loan is repayable on June 30, 2025. The Company has recorded losses of $3.1 million and $2.2 million representing its pro rata share of the losses in Oncacare during the year ended December 31, 2022 and December 31, 2021, respectively. The carrying value of the Company's investment in Oncacare was reduced by $2.3 million of pro rata losses. The remaining $0.8 million in pro rata losses served to reduce the carrying value of the Company's loan receivable from Oncacare. At December 31, 2022 accrued interest of $183,000 remained outstanding.</w:t>
      </w:r>
    </w:p>
    <w:p>
      <w:pPr>
        <w:spacing w:after="0" w:line="2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majority investor in Oncacare has the right to sell the 51% majority voting share capital exclusively to the Company in an eighteen month period, commencing January 1, 2023 and ICON also has the right to acquire the 51% majority voting share capital from August 1, 2025.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Subsequent Events</w:t>
      </w:r>
    </w:p>
    <w:p>
      <w:pPr>
        <w:spacing w:after="0" w:line="2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has evaluated subsequent events from the Balance Sheet date through February 24, 2023, the date at which the consolidated financial statements were available to be issued. The Company has determined that there are no items to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 xml:space="preserve">Item 19. </w:t>
      </w:r>
      <w:r>
        <w:rPr>
          <w:rFonts w:ascii="Arial" w:cs="Arial" w:eastAsia="Arial" w:hAnsi="Arial"/>
          <w:sz w:val="16"/>
          <w:szCs w:val="16"/>
          <w:b w:val="1"/>
          <w:bCs w:val="1"/>
          <w:i w:val="1"/>
          <w:iCs w:val="1"/>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20"/>
        <w:spacing w:after="0"/>
        <w:tabs>
          <w:tab w:leader="none" w:pos="19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gridSpan w:val="3"/>
            <w:shd w:val="clear" w:color="auto" w:fill="CCEEFF"/>
          </w:tcPr>
          <w:p>
            <w:pPr>
              <w:ind w:left="20"/>
              <w:spacing w:after="0"/>
              <w:rPr>
                <w:rFonts w:ascii="Arial" w:cs="Arial" w:eastAsia="Arial" w:hAnsi="Arial"/>
                <w:sz w:val="16"/>
                <w:szCs w:val="16"/>
                <w:color w:val="0000FF"/>
              </w:rPr>
            </w:pPr>
            <w:hyperlink r:id="rId192">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CCEEFF"/>
            </w:tcBorders>
            <w:shd w:val="clear" w:color="auto" w:fill="CCEEFF"/>
          </w:tcPr>
          <w:p>
            <w:pPr>
              <w:ind w:left="360"/>
              <w:spacing w:after="0" w:line="144" w:lineRule="exact"/>
              <w:rPr>
                <w:sz w:val="20"/>
                <w:szCs w:val="20"/>
                <w:color w:val="auto"/>
              </w:rPr>
            </w:pPr>
            <w:r>
              <w:rPr>
                <w:rFonts w:ascii="Arial" w:cs="Arial" w:eastAsia="Arial" w:hAnsi="Arial"/>
                <w:sz w:val="16"/>
                <w:szCs w:val="16"/>
                <w:color w:val="auto"/>
              </w:rPr>
              <w:t>Sub, Inc and PRA Health Sciences, Inc. (incorporated by reference to exhibit 2.1 to the Form 6K (file No. 333-08704) filed on</w:t>
            </w:r>
          </w:p>
        </w:tc>
      </w:tr>
      <w:tr>
        <w:trPr>
          <w:trHeight w:val="201"/>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February 24, 2021.</w:t>
            </w:r>
          </w:p>
        </w:tc>
      </w:tr>
      <w:tr>
        <w:trPr>
          <w:trHeight w:val="257"/>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40" w:type="dxa"/>
            <w:vAlign w:val="bottom"/>
          </w:tcPr>
          <w:p>
            <w:pPr>
              <w:spacing w:after="0"/>
              <w:rPr>
                <w:sz w:val="22"/>
                <w:szCs w:val="22"/>
                <w:color w:val="auto"/>
              </w:rPr>
            </w:pPr>
          </w:p>
        </w:tc>
      </w:tr>
      <w:tr>
        <w:trPr>
          <w:trHeight w:val="196"/>
        </w:trPr>
        <w:tc>
          <w:tcPr>
            <w:tcW w:w="34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0000FF"/>
              </w:rPr>
              <w:t>2.</w:t>
            </w:r>
            <w:r>
              <w:rPr>
                <w:rFonts w:ascii="Arial" w:cs="Arial" w:eastAsia="Arial" w:hAnsi="Arial"/>
                <w:sz w:val="16"/>
                <w:szCs w:val="16"/>
                <w:u w:val="single" w:color="auto"/>
                <w:color w:val="0000FF"/>
              </w:rPr>
              <w:t>2*</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93">
              <w:r>
                <w:rPr>
                  <w:rFonts w:ascii="Arial" w:cs="Arial" w:eastAsia="Arial" w:hAnsi="Arial"/>
                  <w:sz w:val="16"/>
                  <w:szCs w:val="16"/>
                  <w:color w:val="0000FF"/>
                </w:rPr>
                <w:t>2.</w:t>
              </w:r>
              <w:r>
                <w:rPr>
                  <w:rFonts w:ascii="Arial" w:cs="Arial" w:eastAsia="Arial" w:hAnsi="Arial"/>
                  <w:sz w:val="16"/>
                  <w:szCs w:val="16"/>
                  <w:u w:val="single" w:color="auto"/>
                  <w:color w:val="0000FF"/>
                </w:rPr>
                <w:t>3</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Credit Agreement, dated as of July 1, 2021, by and among ICON Luxembourg, S.À R.L., ICON Clinical Investments, LLC, Indigo</w:t>
            </w:r>
          </w:p>
        </w:tc>
      </w:tr>
      <w:tr>
        <w:trPr>
          <w:trHeight w:val="184"/>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9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Merger Sub, Inc. (which, after giving effect to the Merger on the Closing Date was succeeded by PRA Health Sciences, Inc.),</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ICON Public Limited Company, the other borrowers party thereto from time to time, the subsidiary guarantors party thereto from</w:t>
            </w: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time to time, lenders party thereto Citibank, N.A., as administrative agent, and Citibank, N.A., London Branch, as collateral agent</w:t>
            </w: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99.1 to the Form 6K (File No. 333-08704) filed on July 1, 2021).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94">
              <w:r>
                <w:rPr>
                  <w:rFonts w:ascii="Arial" w:cs="Arial" w:eastAsia="Arial" w:hAnsi="Arial"/>
                  <w:sz w:val="16"/>
                  <w:szCs w:val="16"/>
                  <w:color w:val="0000FF"/>
                </w:rPr>
                <w:t>2.</w:t>
              </w:r>
              <w:r>
                <w:rPr>
                  <w:rFonts w:ascii="Arial" w:cs="Arial" w:eastAsia="Arial" w:hAnsi="Arial"/>
                  <w:sz w:val="16"/>
                  <w:szCs w:val="16"/>
                  <w:u w:val="single" w:color="auto"/>
                  <w:color w:val="0000FF"/>
                </w:rPr>
                <w:t>4</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Indenture, dated as of July 1, 2021, by and among Indigo Merger Sub, Inc., PRA Health Sciences, Inc., the guarantors party</w:t>
            </w:r>
          </w:p>
        </w:tc>
      </w:tr>
      <w:tr>
        <w:trPr>
          <w:trHeight w:val="184"/>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9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thereto and Citibank, N.A., London Branch as trustee, notes collateral agent, paying agent, transfer agent and registrar</w:t>
            </w:r>
          </w:p>
        </w:tc>
      </w:tr>
      <w:tr>
        <w:trPr>
          <w:trHeight w:val="214"/>
        </w:trPr>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(incorporated by reference to exhibit 99.2 to the Form 6K (File No. 333-08704) filed on July 1, 2021).</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6"/>
        </w:trPr>
        <w:tc>
          <w:tcPr>
            <w:tcW w:w="34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0000FF"/>
              </w:rPr>
              <w:t>2.</w:t>
            </w:r>
            <w:r>
              <w:rPr>
                <w:rFonts w:ascii="Arial" w:cs="Arial" w:eastAsia="Arial" w:hAnsi="Arial"/>
                <w:sz w:val="16"/>
                <w:szCs w:val="16"/>
                <w:u w:val="single" w:color="auto"/>
                <w:color w:val="0000FF"/>
              </w:rPr>
              <w:t>5*</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Amendment No. 1 to the Credit Agreement referred to at Exhibit 2.3, dated as of November 29, 2022, by and among ICON</w:t>
            </w:r>
          </w:p>
        </w:tc>
      </w:tr>
      <w:tr>
        <w:trPr>
          <w:trHeight w:val="203"/>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9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Public Limited Company and Citibank, N.A., as administrative agent.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6"/>
        </w:trPr>
        <w:tc>
          <w:tcPr>
            <w:tcW w:w="3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95">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CCEEFF"/>
            </w:tcBorders>
            <w:shd w:val="clear" w:color="auto" w:fill="CCEEFF"/>
          </w:tcPr>
          <w:p>
            <w:pPr>
              <w:ind w:left="360"/>
              <w:spacing w:after="0" w:line="177" w:lineRule="exact"/>
              <w:rPr>
                <w:sz w:val="20"/>
                <w:szCs w:val="20"/>
                <w:color w:val="auto"/>
              </w:rPr>
            </w:pPr>
            <w:r>
              <w:rPr>
                <w:rFonts w:ascii="Arial" w:cs="Arial" w:eastAsia="Arial" w:hAnsi="Arial"/>
                <w:sz w:val="16"/>
                <w:szCs w:val="16"/>
                <w:color w:val="auto"/>
              </w:rPr>
              <w:t>filed on July 25, 2016).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12.</w:t>
            </w:r>
            <w:r>
              <w:rPr>
                <w:rFonts w:ascii="Arial" w:cs="Arial" w:eastAsia="Arial" w:hAnsi="Arial"/>
                <w:sz w:val="16"/>
                <w:szCs w:val="16"/>
                <w:u w:val="single" w:color="auto"/>
                <w:color w:val="0000FF"/>
              </w:rPr>
              <w:t>1*</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302 certifications.</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12.</w:t>
            </w:r>
            <w:r>
              <w:rPr>
                <w:rFonts w:ascii="Arial" w:cs="Arial" w:eastAsia="Arial" w:hAnsi="Arial"/>
                <w:sz w:val="16"/>
                <w:szCs w:val="16"/>
                <w:u w:val="single" w:color="auto"/>
                <w:color w:val="0000FF"/>
              </w:rPr>
              <w:t>2*</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Section 906 certifications.</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4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21.</w:t>
            </w:r>
            <w:r>
              <w:rPr>
                <w:rFonts w:ascii="Arial" w:cs="Arial" w:eastAsia="Arial" w:hAnsi="Arial"/>
                <w:sz w:val="16"/>
                <w:szCs w:val="16"/>
                <w:u w:val="single" w:color="auto"/>
                <w:color w:val="0000FF"/>
              </w:rPr>
              <w:t>1</w:t>
            </w:r>
          </w:p>
        </w:tc>
        <w:tc>
          <w:tcPr>
            <w:tcW w:w="11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196"/>
        </w:trPr>
        <w:tc>
          <w:tcPr>
            <w:tcW w:w="1580" w:type="dxa"/>
            <w:vAlign w:val="bottom"/>
            <w:gridSpan w:val="6"/>
            <w:shd w:val="clear" w:color="auto" w:fill="CCEEFF"/>
          </w:tcPr>
          <w:p>
            <w:pPr>
              <w:ind w:left="20"/>
              <w:spacing w:after="0" w:line="175" w:lineRule="exact"/>
              <w:rPr>
                <w:sz w:val="20"/>
                <w:szCs w:val="20"/>
                <w:color w:val="auto"/>
              </w:rPr>
            </w:pPr>
            <w:r>
              <w:rPr>
                <w:rFonts w:ascii="Arial" w:cs="Arial" w:eastAsia="Arial" w:hAnsi="Arial"/>
                <w:sz w:val="16"/>
                <w:szCs w:val="16"/>
                <w:color w:val="0000FF"/>
              </w:rPr>
              <w:t>23.</w:t>
            </w:r>
            <w:r>
              <w:rPr>
                <w:rFonts w:ascii="Arial" w:cs="Arial" w:eastAsia="Arial" w:hAnsi="Arial"/>
                <w:sz w:val="16"/>
                <w:szCs w:val="16"/>
                <w:u w:val="single" w:color="auto"/>
                <w:color w:val="0000FF"/>
              </w:rPr>
              <w:t>1*</w:t>
            </w:r>
          </w:p>
        </w:tc>
        <w:tc>
          <w:tcPr>
            <w:tcW w:w="964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Consent of KPMG, Independent Registered Public Accounting Firm.</w:t>
            </w: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640" w:type="dxa"/>
            <w:vAlign w:val="bottom"/>
            <w:tcBorders>
              <w:top w:val="single" w:sz="8" w:color="CCEEFF"/>
            </w:tcBorders>
          </w:tcPr>
          <w:p>
            <w:pPr>
              <w:spacing w:after="0"/>
              <w:rPr>
                <w:sz w:val="23"/>
                <w:szCs w:val="23"/>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101.1*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Interactive Data Files (Inline XBRL – Related Documents).</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Cover Page Interactive Data File (embedded within the Inline XBRL document and included in Exhibit 101)</w:t>
            </w:r>
          </w:p>
        </w:tc>
      </w:tr>
      <w:tr>
        <w:trPr>
          <w:trHeight w:val="520"/>
        </w:trPr>
        <w:tc>
          <w:tcPr>
            <w:tcW w:w="1580" w:type="dxa"/>
            <w:vAlign w:val="bottom"/>
            <w:gridSpan w:val="6"/>
          </w:tcPr>
          <w:p>
            <w:pPr>
              <w:spacing w:after="0"/>
              <w:rPr>
                <w:sz w:val="20"/>
                <w:szCs w:val="20"/>
                <w:color w:val="auto"/>
              </w:rPr>
            </w:pPr>
            <w:r>
              <w:rPr>
                <w:rFonts w:ascii="Arial" w:cs="Arial" w:eastAsia="Arial" w:hAnsi="Arial"/>
                <w:sz w:val="16"/>
                <w:szCs w:val="16"/>
                <w:color w:val="auto"/>
              </w:rPr>
              <w:t>*  Filed herewith</w:t>
            </w:r>
          </w:p>
        </w:tc>
        <w:tc>
          <w:tcPr>
            <w:tcW w:w="9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10795</wp:posOffset>
            </wp:positionV>
            <wp:extent cx="30346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3034665" cy="17145"/>
                    </a:xfrm>
                    <a:prstGeom prst="rect">
                      <a:avLst/>
                    </a:prstGeom>
                    <a:noFill/>
                  </pic:spPr>
                </pic:pic>
              </a:graphicData>
            </a:graphic>
          </wp:anchor>
        </w:drawing>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Chief Financial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2023</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891"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Under Section 12 of the Exchange Act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ICON plc (“we,” “us,” and “our”) had the following series of securities registered pursuant to Section 12(b) of the Exchange Act:</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340" w:type="dxa"/>
            <w:vAlign w:val="bottom"/>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w:t>
            </w:r>
          </w:p>
        </w:tc>
        <w:tc>
          <w:tcPr>
            <w:tcW w:w="340" w:type="dxa"/>
            <w:vAlign w:val="bottom"/>
          </w:tcPr>
          <w:p>
            <w:pPr>
              <w:spacing w:after="0"/>
              <w:rPr>
                <w:sz w:val="18"/>
                <w:szCs w:val="18"/>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88"/>
        </w:trPr>
        <w:tc>
          <w:tcPr>
            <w:tcW w:w="4300" w:type="dxa"/>
            <w:vAlign w:val="bottom"/>
            <w:gridSpan w:val="2"/>
          </w:tcPr>
          <w:p>
            <w:pPr>
              <w:ind w:left="20"/>
              <w:spacing w:after="0"/>
              <w:rPr>
                <w:sz w:val="20"/>
                <w:szCs w:val="20"/>
                <w:color w:val="auto"/>
              </w:rPr>
            </w:pPr>
            <w:r>
              <w:rPr>
                <w:rFonts w:ascii="Arial" w:cs="Arial" w:eastAsia="Arial" w:hAnsi="Arial"/>
                <w:sz w:val="16"/>
                <w:szCs w:val="16"/>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ICLR</w:t>
            </w:r>
          </w:p>
        </w:tc>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Ordinary Shares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10.General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10.A.1. Limitations or qualifications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10.A.2. Other rights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10.A.3. Type and class of securities</w:t>
      </w:r>
    </w:p>
    <w:p>
      <w:pPr>
        <w:spacing w:after="0" w:line="79" w:lineRule="exact"/>
        <w:rPr>
          <w:sz w:val="20"/>
          <w:szCs w:val="20"/>
          <w:color w:val="auto"/>
        </w:rPr>
      </w:pPr>
    </w:p>
    <w:p>
      <w:pPr>
        <w:jc w:val="both"/>
        <w:ind w:firstLine="192"/>
        <w:spacing w:after="0" w:line="262" w:lineRule="auto"/>
        <w:rPr>
          <w:sz w:val="20"/>
          <w:szCs w:val="20"/>
          <w:color w:val="auto"/>
        </w:rPr>
      </w:pPr>
      <w:r>
        <w:rPr>
          <w:rFonts w:ascii="Arial" w:cs="Arial" w:eastAsia="Arial" w:hAnsi="Arial"/>
          <w:sz w:val="16"/>
          <w:szCs w:val="16"/>
          <w:color w:val="auto"/>
        </w:rPr>
        <w:t>Each ICON plc share has nominal value of €0.06 per share. The respective number of shares that have been issued as of December 31, 2022 is given in the Consolidated Balance Sheet of the annual report on Form 20-F for the fiscal year ended December 31, 2022. All ICON shares have equal voting rights and carry equal entitlements to dividends. No participation certificates, non-voting equity securities or profit-sharing certificates have been issued.</w:t>
      </w:r>
    </w:p>
    <w:p>
      <w:pPr>
        <w:spacing w:after="0" w:line="12"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Item 10.A.4. Pre-emptive rights</w:t>
      </w:r>
    </w:p>
    <w:p>
      <w:pPr>
        <w:spacing w:after="0" w:line="93"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10.B Memorandum and articles of association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10.B.1 Shareholder Rights, Preferences and Dividends Attaching to Shares</w:t>
      </w:r>
    </w:p>
    <w:p>
      <w:pPr>
        <w:spacing w:after="0" w:line="79" w:lineRule="exact"/>
        <w:rPr>
          <w:sz w:val="20"/>
          <w:szCs w:val="20"/>
          <w:color w:val="auto"/>
        </w:rPr>
      </w:pPr>
    </w:p>
    <w:p>
      <w:pPr>
        <w:jc w:val="both"/>
        <w:ind w:firstLine="210"/>
        <w:spacing w:after="0" w:line="254"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10.B.2. Action Necessary to Change the Rights of Shareholders</w:t>
      </w:r>
    </w:p>
    <w:p>
      <w:pPr>
        <w:spacing w:after="0" w:line="79" w:lineRule="exact"/>
        <w:rPr>
          <w:sz w:val="20"/>
          <w:szCs w:val="20"/>
          <w:color w:val="auto"/>
        </w:rPr>
      </w:pPr>
    </w:p>
    <w:p>
      <w:pPr>
        <w:jc w:val="both"/>
        <w:ind w:right="20" w:firstLine="275"/>
        <w:spacing w:after="0" w:line="278"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10.B.3 Annual and General Meetings</w:t>
      </w:r>
    </w:p>
    <w:p>
      <w:pPr>
        <w:spacing w:after="0" w:line="79" w:lineRule="exact"/>
        <w:rPr>
          <w:sz w:val="20"/>
          <w:szCs w:val="20"/>
          <w:color w:val="auto"/>
        </w:rPr>
      </w:pPr>
    </w:p>
    <w:p>
      <w:pPr>
        <w:jc w:val="both"/>
        <w:ind w:firstLine="191"/>
        <w:spacing w:after="0" w:line="258"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91" w:right="339" w:bottom="1440" w:gutter="0" w:footer="0" w:header="0"/>
        </w:sectPr>
      </w:pPr>
    </w:p>
    <w:bookmarkStart w:id="151" w:name="page152"/>
    <w:bookmarkEnd w:id="151"/>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10.B.4 Limitations on the Right to Own Shares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 Disclosure of Share Ownership</w:t>
      </w:r>
    </w:p>
    <w:p>
      <w:pPr>
        <w:spacing w:after="0" w:line="79" w:lineRule="exact"/>
        <w:rPr>
          <w:sz w:val="20"/>
          <w:szCs w:val="20"/>
          <w:color w:val="auto"/>
        </w:rPr>
      </w:pPr>
    </w:p>
    <w:p>
      <w:pPr>
        <w:jc w:val="both"/>
        <w:ind w:firstLine="236"/>
        <w:spacing w:after="0" w:line="258"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ectPr>
          <w:pgSz w:w="11900" w:h="16838" w:orient="portrait"/>
          <w:cols w:equalWidth="0" w:num="1">
            <w:col w:w="11240"/>
          </w:cols>
          <w:pgMar w:left="320" w:top="1440" w:right="339" w:bottom="1440" w:gutter="0" w:footer="0" w:header="0"/>
        </w:sectPr>
      </w:pPr>
    </w:p>
    <w:bookmarkStart w:id="152" w:name="page153"/>
    <w:bookmarkEnd w:id="152"/>
    <w:p>
      <w:pPr>
        <w:ind w:left="10240"/>
        <w:spacing w:after="0"/>
        <w:rPr>
          <w:sz w:val="20"/>
          <w:szCs w:val="20"/>
          <w:color w:val="auto"/>
        </w:rPr>
      </w:pPr>
      <w:r>
        <w:rPr>
          <w:rFonts w:ascii="Arial" w:cs="Arial" w:eastAsia="Arial" w:hAnsi="Arial"/>
          <w:sz w:val="19"/>
          <w:szCs w:val="19"/>
          <w:b w:val="1"/>
          <w:bCs w:val="1"/>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CREDIT AGREEMENT</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This FIRST AMENDMENT to the Credit Agreement referred to below, dated as of November 29, 2022 (this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by and among ICON PUBLIC LIMITED COMPANY, an Irish public limited company (“</w:t>
      </w:r>
      <w:r>
        <w:rPr>
          <w:rFonts w:ascii="Arial" w:cs="Arial" w:eastAsia="Arial" w:hAnsi="Arial"/>
          <w:sz w:val="22"/>
          <w:szCs w:val="22"/>
          <w:u w:val="single" w:color="auto"/>
          <w:color w:val="auto"/>
        </w:rPr>
        <w:t>Holdings</w:t>
      </w:r>
      <w:r>
        <w:rPr>
          <w:rFonts w:ascii="Arial" w:cs="Arial" w:eastAsia="Arial" w:hAnsi="Arial"/>
          <w:sz w:val="22"/>
          <w:szCs w:val="22"/>
          <w:color w:val="auto"/>
        </w:rPr>
        <w:t>”), and CITIBANK, N.A.,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Capitalized terms not otherwise defined in this First Amendment have the same meanings as specified in the Credit Agreement, as amended by this First Amendment (the “</w:t>
      </w:r>
      <w:r>
        <w:rPr>
          <w:rFonts w:ascii="Arial" w:cs="Arial" w:eastAsia="Arial" w:hAnsi="Arial"/>
          <w:sz w:val="22"/>
          <w:szCs w:val="22"/>
          <w:u w:val="single" w:color="auto"/>
          <w:color w:val="auto"/>
        </w:rPr>
        <w:t>Amended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WHEREAS, ICON LUXEMBOURG, S.À R.L., a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xml:space="preserve"> incorporated and existing under Luxembourg law, having its registered office at 61, rue de Rollingergrund, L-2440, Luxembourg and registered with the Luxembourg register of commerce and companies (</w:t>
      </w:r>
      <w:r>
        <w:rPr>
          <w:rFonts w:ascii="Arial" w:cs="Arial" w:eastAsia="Arial" w:hAnsi="Arial"/>
          <w:sz w:val="19"/>
          <w:szCs w:val="19"/>
          <w:i w:val="1"/>
          <w:iCs w:val="1"/>
          <w:color w:val="auto"/>
        </w:rPr>
        <w:t>R.C.S. Luxembourg</w:t>
      </w:r>
      <w:r>
        <w:rPr>
          <w:rFonts w:ascii="Arial" w:cs="Arial" w:eastAsia="Arial" w:hAnsi="Arial"/>
          <w:sz w:val="19"/>
          <w:szCs w:val="19"/>
          <w:color w:val="auto"/>
        </w:rPr>
        <w:t>) under number B66588 (the “</w:t>
      </w:r>
      <w:r>
        <w:rPr>
          <w:rFonts w:ascii="Arial" w:cs="Arial" w:eastAsia="Arial" w:hAnsi="Arial"/>
          <w:sz w:val="19"/>
          <w:szCs w:val="19"/>
          <w:u w:val="single" w:color="auto"/>
          <w:color w:val="auto"/>
        </w:rPr>
        <w:t>Lux Borrower</w:t>
      </w:r>
      <w:r>
        <w:rPr>
          <w:rFonts w:ascii="Arial" w:cs="Arial" w:eastAsia="Arial" w:hAnsi="Arial"/>
          <w:sz w:val="19"/>
          <w:szCs w:val="19"/>
          <w:color w:val="auto"/>
        </w:rPr>
        <w:t>”), ICON Clinical Investments, LLC, a Delaware limited liability company (the “</w:t>
      </w:r>
      <w:r>
        <w:rPr>
          <w:rFonts w:ascii="Arial" w:cs="Arial" w:eastAsia="Arial" w:hAnsi="Arial"/>
          <w:sz w:val="19"/>
          <w:szCs w:val="19"/>
          <w:u w:val="single" w:color="auto"/>
          <w:color w:val="auto"/>
        </w:rPr>
        <w:t>Lux U.S. Subsidiary Borrower</w:t>
      </w:r>
      <w:r>
        <w:rPr>
          <w:rFonts w:ascii="Arial" w:cs="Arial" w:eastAsia="Arial" w:hAnsi="Arial"/>
          <w:sz w:val="19"/>
          <w:szCs w:val="19"/>
          <w:color w:val="auto"/>
        </w:rPr>
        <w:t xml:space="preserve"> ”), PRA Health Sciences, Inc., a Delaware corporation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and together with the Lux Borrower and Lux U.S. Subsidiary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Holdings, the other parties party thereto, and the several financial institutions parties from time to time, as lender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entered into that certain Credit Agreement, dated as of July 1, 2021 (as amended, restated, amended and restated, supplemented or otherwise modified prior to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WHEREAS, Holdings has requested and the Administrative Agent hereby provides notice to each of the other parties to the Credit Agreement, that pursuant to clause (i)(a) of the defined term USD Early Opt-in Election of the Credit Agreement, at least five currently outstanding Dollar denominated syndicated credit facilities in the U.S. syndicated loan market on or about the date hereof contain (as a result of amendment or originally executed) a USD SOFR-based rate as a benchmark rate;</w:t>
      </w:r>
    </w:p>
    <w:p>
      <w:pPr>
        <w:spacing w:after="0" w:line="14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Administrative Agent and Holdings have jointly elected to declare that an USD Early Opt-in Election has occurred pursuant to clause (ii) of the defined term Early Opt-in Election of the Credit Agreement and have determined in accordance with the Credit Agreement that USD LIBOR should be replaced with USD Term SOFR as a benchmark rate for purposes of the Credit Agreement and the other Loan Documents; and</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in accordance with Section 2.14(a) of the Credit Agreement, Holdings and the Administrative Agent are willing to effect the amendments set forth herein and agree to the terms of the Amended Credit Agreement, in each case, on the terms and subject to the terms and conditions in this First Amendment.</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AMENDMENTS TO CREDIT AGREEMENT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Early-Opt In Election</w:t>
      </w:r>
      <w:r>
        <w:rPr>
          <w:rFonts w:ascii="Arial" w:cs="Arial" w:eastAsia="Arial" w:hAnsi="Arial"/>
          <w:sz w:val="21"/>
          <w:szCs w:val="21"/>
          <w:color w:val="auto"/>
        </w:rPr>
        <w:t>. In accordance with clauses (i) and (ii) of the defined term Early Opt-in Election of the Credit Agreement, at the request of Holdings, the Administrative Agent has provided notice to the parties under the Credit Agreement, and the Administrative Agent and Holdings have jointly elected to declare that an USD Early Opt-in Election has occurred and have elected to replace, in accordance with clause (i)(A) of the definition of USD Benchmark Replacement, the USD LIBOR-based rate with a USD SOFR-based rate as set forth in the Amended Credit Agreement.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Amendment of Existing Credit Agreement; Existing Term Loans.</w:t>
      </w:r>
    </w:p>
    <w:p>
      <w:pPr>
        <w:spacing w:after="0" w:line="179" w:lineRule="exact"/>
        <w:rPr>
          <w:sz w:val="20"/>
          <w:szCs w:val="20"/>
          <w:color w:val="auto"/>
        </w:rPr>
      </w:pPr>
    </w:p>
    <w:p>
      <w:pPr>
        <w:jc w:val="both"/>
        <w:ind w:firstLine="656"/>
        <w:spacing w:after="0" w:line="224" w:lineRule="auto"/>
        <w:tabs>
          <w:tab w:leader="none" w:pos="1293"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On the First Amendment Effective Date, the Borrower and the Administrative Agent hereto agree that the Credit Agreement shall hereby be amended in accordance with Section 2.14(a) and the definition of USD Benchmark Replacement Conforming Changes, to delete the stricken text (indicated textually in the same manner as the following example: </w:t>
      </w:r>
      <w:r>
        <w:rPr>
          <w:rFonts w:ascii="Arial" w:cs="Arial" w:eastAsia="Arial" w:hAnsi="Arial"/>
          <w:sz w:val="21"/>
          <w:szCs w:val="21"/>
          <w:b w:val="1"/>
          <w:bCs w:val="1"/>
          <w:color w:val="FF0000"/>
          <w:strike w:val="1"/>
        </w:rPr>
        <w:t>stricken text</w:t>
      </w:r>
      <w:r>
        <w:rPr>
          <w:rFonts w:ascii="Arial" w:cs="Arial" w:eastAsia="Arial" w:hAnsi="Arial"/>
          <w:sz w:val="21"/>
          <w:szCs w:val="21"/>
          <w:color w:val="000000"/>
        </w:rPr>
        <w:t>) and to add the double-underlined text (indicated textually in the same manner as the following example:</w:t>
      </w:r>
      <w:r>
        <w:rPr>
          <w:rFonts w:ascii="Arial" w:cs="Arial" w:eastAsia="Arial" w:hAnsi="Arial"/>
          <w:sz w:val="21"/>
          <w:szCs w:val="21"/>
          <w:b w:val="1"/>
          <w:bCs w:val="1"/>
          <w:color w:val="FF0000"/>
        </w:rPr>
        <w:t xml:space="preserve"> </w:t>
      </w:r>
      <w:r>
        <w:rPr>
          <w:rFonts w:ascii="Arial" w:cs="Arial" w:eastAsia="Arial" w:hAnsi="Arial"/>
          <w:sz w:val="21"/>
          <w:szCs w:val="21"/>
          <w:b w:val="1"/>
          <w:bCs w:val="1"/>
          <w:u w:val="single" w:color="auto"/>
          <w:color w:val="0F14E1"/>
        </w:rPr>
        <w:t>double-underlined text</w:t>
      </w:r>
      <w:r>
        <w:rPr>
          <w:rFonts w:ascii="Arial" w:cs="Arial" w:eastAsia="Arial" w:hAnsi="Arial"/>
          <w:sz w:val="21"/>
          <w:szCs w:val="21"/>
          <w:color w:val="000000"/>
        </w:rPr>
        <w:t>) as set forth in the Amended Credit Agreement attached hereto as</w:t>
      </w:r>
      <w:r>
        <w:rPr>
          <w:rFonts w:ascii="Arial" w:cs="Arial" w:eastAsia="Arial" w:hAnsi="Arial"/>
          <w:sz w:val="21"/>
          <w:szCs w:val="21"/>
          <w:b w:val="1"/>
          <w:bCs w:val="1"/>
          <w:color w:val="0F14E1"/>
        </w:rPr>
        <w:t xml:space="preserve"> </w:t>
      </w:r>
      <w:r>
        <w:rPr>
          <w:rFonts w:ascii="Arial" w:cs="Arial" w:eastAsia="Arial" w:hAnsi="Arial"/>
          <w:sz w:val="21"/>
          <w:szCs w:val="21"/>
          <w:u w:val="single" w:color="auto"/>
          <w:color w:val="000000"/>
        </w:rPr>
        <w:t>Exhibit A</w:t>
      </w:r>
      <w:r>
        <w:rPr>
          <w:rFonts w:ascii="Arial" w:cs="Arial" w:eastAsia="Arial" w:hAnsi="Arial"/>
          <w:sz w:val="21"/>
          <w:szCs w:val="21"/>
          <w:color w:val="000000"/>
        </w:rPr>
        <w:t>, subject to the satisfaction of the</w:t>
      </w:r>
      <w:r>
        <w:rPr>
          <w:rFonts w:ascii="Arial" w:cs="Arial" w:eastAsia="Arial" w:hAnsi="Arial"/>
          <w:sz w:val="21"/>
          <w:szCs w:val="21"/>
          <w:b w:val="1"/>
          <w:bCs w:val="1"/>
          <w:color w:val="0F14E1"/>
        </w:rPr>
        <w:t xml:space="preserve"> </w:t>
      </w:r>
      <w:r>
        <w:rPr>
          <w:rFonts w:ascii="Arial" w:cs="Arial" w:eastAsia="Arial" w:hAnsi="Arial"/>
          <w:sz w:val="21"/>
          <w:szCs w:val="21"/>
          <w:color w:val="000000"/>
        </w:rPr>
        <w:t xml:space="preserve">conditions precedent set forth in </w:t>
      </w:r>
      <w:r>
        <w:rPr>
          <w:rFonts w:ascii="Arial" w:cs="Arial" w:eastAsia="Arial" w:hAnsi="Arial"/>
          <w:sz w:val="21"/>
          <w:szCs w:val="21"/>
          <w:u w:val="single" w:color="auto"/>
          <w:color w:val="000000"/>
        </w:rPr>
        <w:t>Article II</w:t>
      </w:r>
      <w:r>
        <w:rPr>
          <w:rFonts w:ascii="Arial" w:cs="Arial" w:eastAsia="Arial" w:hAnsi="Arial"/>
          <w:sz w:val="21"/>
          <w:szCs w:val="21"/>
          <w:color w:val="000000"/>
        </w:rPr>
        <w:t xml:space="preserve"> below.</w:t>
      </w:r>
    </w:p>
    <w:p>
      <w:pPr>
        <w:spacing w:after="0" w:line="159" w:lineRule="exact"/>
        <w:rPr>
          <w:rFonts w:ascii="Arial" w:cs="Arial" w:eastAsia="Arial" w:hAnsi="Arial"/>
          <w:sz w:val="21"/>
          <w:szCs w:val="21"/>
          <w:color w:val="auto"/>
        </w:rPr>
      </w:pPr>
    </w:p>
    <w:p>
      <w:pPr>
        <w:ind w:firstLine="656"/>
        <w:spacing w:after="0" w:line="232" w:lineRule="auto"/>
        <w:tabs>
          <w:tab w:leader="none" w:pos="1291"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of the Existing Credit Agreement is hereby amended and restated in its entirety in the form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58" w:lineRule="exact"/>
        <w:rPr>
          <w:rFonts w:ascii="Arial" w:cs="Arial" w:eastAsia="Arial" w:hAnsi="Arial"/>
          <w:sz w:val="22"/>
          <w:szCs w:val="22"/>
          <w:color w:val="auto"/>
        </w:rPr>
      </w:pPr>
    </w:p>
    <w:p>
      <w:pPr>
        <w:jc w:val="both"/>
        <w:ind w:firstLine="656"/>
        <w:spacing w:after="0" w:line="224" w:lineRule="auto"/>
        <w:tabs>
          <w:tab w:leader="none" w:pos="1293"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Existing Loans</w:t>
      </w:r>
      <w:r>
        <w:rPr>
          <w:rFonts w:ascii="Arial" w:cs="Arial" w:eastAsia="Arial" w:hAnsi="Arial"/>
          <w:sz w:val="21"/>
          <w:szCs w:val="21"/>
          <w:color w:val="auto"/>
        </w:rPr>
        <w:t>. The Administrative Agent and Holdings confirm and agree that the Term Loans and Revolving Loans outstanding on the date hereof as Eurocurrency Rate Loans (as defined in the Credit Agreement prior to giving effect to this First Amendment) with an Interest Period ending after the First Amendment Effective Date, may remain outstanding as such until the conclusion of such applicable Interest Period, at which point such Term Loans and Revolving Loans, as applicable, shall be converted to USD Term SOFR Loans bearing interest at a rate determined by reference to the USD Adjusted Term SOFR in accordance with the terms of the Credit Agreement.</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22"/>
          <w:szCs w:val="22"/>
          <w:u w:val="single" w:color="auto"/>
          <w:color w:val="auto"/>
        </w:rPr>
        <w:t>Article II</w:t>
      </w:r>
    </w:p>
    <w:p>
      <w:pPr>
        <w:spacing w:after="0" w:line="179"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CONDITIONS TO EFFECTIVENESS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effectiveness of this First Amendment will occur as set forth below.</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First Amendment</w:t>
      </w:r>
      <w:r>
        <w:rPr>
          <w:rFonts w:ascii="Arial" w:cs="Arial" w:eastAsia="Arial" w:hAnsi="Arial"/>
          <w:sz w:val="22"/>
          <w:szCs w:val="22"/>
          <w:color w:val="auto"/>
        </w:rPr>
        <w:t xml:space="preserve">. The effectiveness of the Amendments contained in </w:t>
      </w: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are subject to the satisfaction (or written waiver) of the following conditions (the date of satisfaction of such conditions being referred to herein as the “</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w:t>
      </w:r>
    </w:p>
    <w:p>
      <w:pPr>
        <w:spacing w:after="0" w:line="159" w:lineRule="exact"/>
        <w:rPr>
          <w:sz w:val="20"/>
          <w:szCs w:val="20"/>
          <w:color w:val="auto"/>
        </w:rPr>
      </w:pPr>
    </w:p>
    <w:p>
      <w:pPr>
        <w:ind w:firstLine="656"/>
        <w:spacing w:after="0" w:line="232" w:lineRule="auto"/>
        <w:tabs>
          <w:tab w:leader="none" w:pos="1293"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Administrative Agent shall have received this First Amendment, executed and delivered by Holdings and the Administrative Agent.</w:t>
      </w:r>
    </w:p>
    <w:p>
      <w:pPr>
        <w:spacing w:after="0" w:line="158" w:lineRule="exact"/>
        <w:rPr>
          <w:rFonts w:ascii="Arial" w:cs="Arial" w:eastAsia="Arial" w:hAnsi="Arial"/>
          <w:sz w:val="22"/>
          <w:szCs w:val="22"/>
          <w:color w:val="auto"/>
        </w:rPr>
      </w:pPr>
    </w:p>
    <w:p>
      <w:pPr>
        <w:jc w:val="both"/>
        <w:ind w:firstLine="656"/>
        <w:spacing w:after="0" w:line="234" w:lineRule="auto"/>
        <w:tabs>
          <w:tab w:leader="none" w:pos="1291"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Administrative Agent shall have given notice to the Lenders of the Early Opt-in Election represented by this First Amendment on November 17, 2022, and shall have not received by 5:00 p.m. (New York City time) on November 28, 2022, written notice of objection to this First Amendment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induce the other parties hereto to enter into this First Amendment, Holdings represents and warrants to each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Lenders and the Administrative Agent that, as of the First Amendment Effective Date:</w:t>
      </w:r>
    </w:p>
    <w:p>
      <w:pPr>
        <w:spacing w:after="0" w:line="161" w:lineRule="exact"/>
        <w:rPr>
          <w:sz w:val="20"/>
          <w:szCs w:val="20"/>
          <w:color w:val="auto"/>
        </w:rPr>
      </w:pPr>
    </w:p>
    <w:p>
      <w:pPr>
        <w:jc w:val="both"/>
        <w:ind w:firstLine="656"/>
        <w:spacing w:after="0" w:line="226" w:lineRule="auto"/>
        <w:tabs>
          <w:tab w:leader="none" w:pos="1293"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this First Amendment has been duly authorized, executed and delivered by Holdings and constitutes, and the Amended Credit Agreement constitutes, the legal, valid and binding obligation of Holdings, enforceable against Holdings in accordance with its terms, except as such enforcement may be limited by applicable bankruptcy, insolvency, reorganization, moratorium or similar laws affecting the enforcement of creditors’ rights generally and by general equitable principles (whether enforcement is sought by proceedings in equity or at law); and</w:t>
      </w:r>
    </w:p>
    <w:p>
      <w:pPr>
        <w:spacing w:after="0" w:line="159" w:lineRule="exact"/>
        <w:rPr>
          <w:rFonts w:ascii="Arial" w:cs="Arial" w:eastAsia="Arial" w:hAnsi="Arial"/>
          <w:sz w:val="21"/>
          <w:szCs w:val="21"/>
          <w:color w:val="auto"/>
        </w:rPr>
      </w:pPr>
    </w:p>
    <w:p>
      <w:pPr>
        <w:ind w:firstLine="656"/>
        <w:spacing w:after="0" w:line="232" w:lineRule="auto"/>
        <w:tabs>
          <w:tab w:leader="none" w:pos="1291"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on the First Amendment Effective Date both before and after giving effect to the transactions contemplated hereunder.</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22"/>
          <w:szCs w:val="22"/>
          <w:u w:val="single" w:color="auto"/>
          <w:color w:val="auto"/>
        </w:rPr>
        <w:t>Article IV</w:t>
      </w:r>
    </w:p>
    <w:p>
      <w:pPr>
        <w:spacing w:after="0" w:line="17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EFFECTS ON LOAN DOCUMENTS</w:t>
      </w:r>
    </w:p>
    <w:p>
      <w:pPr>
        <w:spacing w:after="0" w:line="17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Except as specifically amended herein or contemplated hereby, all Loan Documents shall continue to be in full force and effect and are hereby in all respects ratified and confirmed. Except as specifically amended herein or contemplated hereby, the execution, delivery and effectiveness of this First Amendment shall not operate as a waiver of any right, power or remedy of any Lender or the Administrative Agent under any of the Loan Documents, nor constitute a waiver of any provision of the Loan Documents or in any way limit, impair or otherwise affect the rights and remedies of the Lenders or the Administrative Agent under the Loan Documents. Holdings acknowledges and agrees that, on and after the First Amendment Effective Date, this First Amendment shall constitute a Loan Document for all purposes of the Amended Credit Agreement. On and after the First Amendment Effective Date, each reference in the Amended Credit Agreement to “this Agreement”, “hereunder”, “hereof”, “herein” or words of like import referring to the Credit Agreement, and each reference in the other Loan Documents to “Credit Agreement”, “thereunder”, “thereof” or words of like import referring to the Credit Agreement shall mean and be a reference to the Amended Credit Agreement, and this First Amendment and the Amended Credit Agreement shall be read together and construed as a single instrument. Nothing herein shall be deemed to entitle the Borrower to a further consent to, or a further waiver, amendment, modification or other change of, any of the terms, conditions, obligations, covenants or agreements contained in the Amended Credit Agreement or any other Loan Document in similar or different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55" w:name="page156"/>
    <w:bookmarkEnd w:id="155"/>
    <w:p>
      <w:pPr>
        <w:ind w:left="4980"/>
        <w:spacing w:after="0"/>
        <w:rPr>
          <w:sz w:val="20"/>
          <w:szCs w:val="20"/>
          <w:color w:val="auto"/>
        </w:rPr>
      </w:pPr>
      <w:r>
        <w:rPr>
          <w:rFonts w:ascii="Arial" w:cs="Arial" w:eastAsia="Arial" w:hAnsi="Arial"/>
          <w:sz w:val="22"/>
          <w:szCs w:val="22"/>
          <w:u w:val="single" w:color="auto"/>
          <w:color w:val="auto"/>
        </w:rPr>
        <w:t>Article V</w:t>
      </w:r>
    </w:p>
    <w:p>
      <w:pPr>
        <w:ind w:left="4720"/>
        <w:spacing w:after="0"/>
        <w:rPr>
          <w:sz w:val="20"/>
          <w:szCs w:val="20"/>
          <w:color w:val="auto"/>
        </w:rPr>
      </w:pPr>
      <w:r>
        <w:rPr>
          <w:rFonts w:ascii="Arial" w:cs="Arial" w:eastAsia="Arial" w:hAnsi="Arial"/>
          <w:sz w:val="22"/>
          <w:szCs w:val="22"/>
          <w:color w:val="auto"/>
        </w:rPr>
        <w:t>MISCELLANEOUS</w:t>
      </w:r>
    </w:p>
    <w:p>
      <w:pPr>
        <w:spacing w:after="0" w:line="161"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Execution by the Administrative Agent</w:t>
      </w:r>
      <w:r>
        <w:rPr>
          <w:rFonts w:ascii="Arial" w:cs="Arial" w:eastAsia="Arial" w:hAnsi="Arial"/>
          <w:sz w:val="19"/>
          <w:szCs w:val="19"/>
          <w:color w:val="auto"/>
        </w:rPr>
        <w:t xml:space="preserve">. The Administrative Agent is entering into, and signing, this First Amendment in respect of the amendments set forth in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hereof, in accordance with the definition of Early Opt-in Election.</w:t>
      </w:r>
    </w:p>
    <w:p>
      <w:pPr>
        <w:spacing w:after="0" w:line="1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Indemnification</w:t>
      </w:r>
      <w:r>
        <w:rPr>
          <w:rFonts w:ascii="Arial" w:cs="Arial" w:eastAsia="Arial" w:hAnsi="Arial"/>
          <w:sz w:val="21"/>
          <w:szCs w:val="21"/>
          <w:color w:val="auto"/>
        </w:rPr>
        <w:t>. The Borrower hereby confirms that the indemnification provisions set forth in Section 9.03 of the Amended Credit Agreement shall apply to this First Amendment and the transactions contemplated hereby.</w:t>
      </w:r>
    </w:p>
    <w:p>
      <w:pPr>
        <w:spacing w:after="0" w:line="15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Reaffirmation</w:t>
      </w:r>
      <w:r>
        <w:rPr>
          <w:rFonts w:ascii="Arial" w:cs="Arial" w:eastAsia="Arial" w:hAnsi="Arial"/>
          <w:sz w:val="21"/>
          <w:szCs w:val="21"/>
          <w:color w:val="auto"/>
        </w:rPr>
        <w:t>. Holdings, on behalf of each of the Loan Parties, each as party to the Credit Agreement, the Collateral Documents and the other Loan Documents to which it is a party, in each case as amended, supplemented or otherwise modified from time to time, hereby (i) reaffirms (A) each Lien granted by it to the Administrative Agent for the benefit of the Secured Parties and (B) any guaranties made by it pursuant to the Credit Agreement, and (ii) acknowledges and agrees that the grants of security interests by the Loan Parties contained in the Collateral Documents shall remain in full force and effect after giving effect to the First Amendment. Nothing contained in this First Amendment shall be construed as substitution or novation of the obligations outstanding under the Credit Agreement or the other Loan Documents, which shall remain in full force and effect, except to any extent modified hereby.</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Amendments; Execution in Counterparts; Severability</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98" w:lineRule="auto"/>
        <w:tabs>
          <w:tab w:leader="none" w:pos="129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This First Amendment may not be amended nor may any provision hereof be waived except pursuant to a writing signed by Holdings and the Administrative Agent, in each case to the extent required by the Amended Credit Agreement; and</w:t>
      </w:r>
    </w:p>
    <w:p>
      <w:pPr>
        <w:spacing w:after="0" w:line="105" w:lineRule="exact"/>
        <w:rPr>
          <w:rFonts w:ascii="Arial" w:cs="Arial" w:eastAsia="Arial" w:hAnsi="Arial"/>
          <w:sz w:val="19"/>
          <w:szCs w:val="19"/>
          <w:color w:val="auto"/>
        </w:rPr>
      </w:pPr>
    </w:p>
    <w:p>
      <w:pPr>
        <w:jc w:val="both"/>
        <w:ind w:firstLine="656"/>
        <w:spacing w:after="0" w:line="218" w:lineRule="auto"/>
        <w:tabs>
          <w:tab w:leader="none" w:pos="129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provision of this First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Governing Law; Waiver of Jury Trial; Jurisdiction</w:t>
      </w:r>
      <w:r>
        <w:rPr>
          <w:rFonts w:ascii="Arial" w:cs="Arial" w:eastAsia="Arial" w:hAnsi="Arial"/>
          <w:sz w:val="22"/>
          <w:szCs w:val="22"/>
          <w:color w:val="auto"/>
        </w:rPr>
        <w:t xml:space="preserve">. THIS AGREEMENT AND THE RIGHTS AND OBLIGATIONS OF THE PARTIES UNDER THIS AGREEMENT SHALL BE GOVERNED BY, AND CONSTRUED AND INTERPRETED IN ACCORDANCE WITH, THE LAWS OF THE STATE OF NEW YORK. EACH PARTY HERETO HEREBY IRREVOCABLY AND UNCONDITIONALLY WAIVES TRIAL BY JURY IN ANY LEGAL ACTION OR PROCEEDING RELATING TO THIS FIRST AMENDMENT, THE AMENDED CREDIT AGREEMENT OR ANY OTHER LOAN DOCUMENT AND FOR ANY COUNTERCLAIM THEREIN. The provisions of </w:t>
      </w:r>
      <w:r>
        <w:rPr>
          <w:rFonts w:ascii="Arial" w:cs="Arial" w:eastAsia="Arial" w:hAnsi="Arial"/>
          <w:sz w:val="22"/>
          <w:szCs w:val="22"/>
          <w:u w:val="single" w:color="auto"/>
          <w:color w:val="auto"/>
        </w:rPr>
        <w:t>Section 9.09</w:t>
      </w:r>
      <w:r>
        <w:rPr>
          <w:rFonts w:ascii="Arial" w:cs="Arial" w:eastAsia="Arial" w:hAnsi="Arial"/>
          <w:sz w:val="22"/>
          <w:szCs w:val="22"/>
          <w:color w:val="auto"/>
        </w:rPr>
        <w:t xml:space="preserve"> of the Amended Credit Agreement are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in this First Amendment are included herein for convenience of reference only, are not part of this First Amendment and are not to affect the construction of, or to be taken into consideration in interpreting, this First Amendment.</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Counterparts</w:t>
      </w:r>
      <w:r>
        <w:rPr>
          <w:rFonts w:ascii="Arial" w:cs="Arial" w:eastAsia="Arial" w:hAnsi="Arial"/>
          <w:sz w:val="22"/>
          <w:szCs w:val="22"/>
          <w:color w:val="auto"/>
        </w:rPr>
        <w:t>. This First Amendment may be executed by one or more of the parties to this First Amendment on any number of separate counterparts, and all of said counterparts taken together shall be deemed to constitute one and the same instrument. Delivery of an executed counterpart of a signature page of this First Amendment by facsimile transmission or electronic transmission (e.g., “pdf” or “tif”) shall be effective as delivery of a manually executed counterpart of this First Amendment. Without limitation of the foregoing, the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82" w:right="339" w:bottom="1440" w:gutter="0" w:footer="0" w:header="0"/>
        </w:sectPr>
      </w:pPr>
    </w:p>
    <w:bookmarkStart w:id="156" w:name="page157"/>
    <w:bookmarkEnd w:id="156"/>
    <w:p>
      <w:pPr>
        <w:jc w:val="both"/>
        <w:spacing w:after="0" w:line="226" w:lineRule="auto"/>
        <w:rPr>
          <w:sz w:val="20"/>
          <w:szCs w:val="20"/>
          <w:color w:val="auto"/>
        </w:rPr>
      </w:pPr>
      <w:r>
        <w:rPr>
          <w:rFonts w:ascii="Arial" w:cs="Arial" w:eastAsia="Arial" w:hAnsi="Arial"/>
          <w:sz w:val="21"/>
          <w:szCs w:val="21"/>
          <w:color w:val="auto"/>
        </w:rPr>
        <w:t>“execution”, “executed”, “signed”, “signature” and words of like import shall be deemed to include electronic signatures, each of which shall be of the same legal effect, validity or enforceability as a manually executed signature or the use of a paper-based recordkeeping system, as the case may be, to the extent and as provided for in applicable law, including the Federal Electronic Signatures in Global and National Commerce Act, the New York State Electronic Signatures and Records Act, or any other similar state laws based on the Uniform Electronic Transaction Act.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57" w:name="page158"/>
    <w:bookmarkEnd w:id="157"/>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First Amendment to be duly executed and delivered by their respective proper and duly authorized officers as of the day and year first above written.</w:t>
      </w:r>
    </w:p>
    <w:p>
      <w:pPr>
        <w:spacing w:after="0" w:line="15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ICON PUBLIC LIMITED COMPANY, as Holdings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 /s/ Brendan Brennan______________________</w:t>
      </w:r>
    </w:p>
    <w:p>
      <w:pPr>
        <w:ind w:left="3580"/>
        <w:spacing w:after="0" w:line="204" w:lineRule="auto"/>
        <w:rPr>
          <w:sz w:val="20"/>
          <w:szCs w:val="20"/>
          <w:color w:val="auto"/>
        </w:rPr>
      </w:pPr>
      <w:r>
        <w:rPr>
          <w:rFonts w:ascii="Arial" w:cs="Arial" w:eastAsia="Arial" w:hAnsi="Arial"/>
          <w:sz w:val="22"/>
          <w:szCs w:val="22"/>
          <w:color w:val="auto"/>
        </w:rPr>
        <w:t>Name: Brendan Brennan</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Chief Financial Officer, 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[Signature Page to First Amendment to Credit Agreement]</w:t>
      </w:r>
    </w:p>
    <w:p>
      <w:pPr>
        <w:sectPr>
          <w:pgSz w:w="11900" w:h="16838" w:orient="portrait"/>
          <w:cols w:equalWidth="0" w:num="1">
            <w:col w:w="11220"/>
          </w:cols>
          <w:pgMar w:left="320" w:top="1401" w:right="359" w:bottom="1440" w:gutter="0" w:footer="0" w:header="0"/>
        </w:sectPr>
      </w:pPr>
    </w:p>
    <w:bookmarkStart w:id="158" w:name="page159"/>
    <w:bookmarkEnd w:id="158"/>
    <w:p>
      <w:pPr>
        <w:ind w:left="2780"/>
        <w:spacing w:after="0"/>
        <w:rPr>
          <w:sz w:val="20"/>
          <w:szCs w:val="20"/>
          <w:color w:val="auto"/>
        </w:rPr>
      </w:pPr>
      <w:r>
        <w:rPr>
          <w:rFonts w:ascii="Arial" w:cs="Arial" w:eastAsia="Arial" w:hAnsi="Arial"/>
          <w:sz w:val="22"/>
          <w:szCs w:val="22"/>
          <w:b w:val="1"/>
          <w:bCs w:val="1"/>
          <w:color w:val="auto"/>
        </w:rPr>
        <w:t>Administrative Agent:</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_______/s/ Louise O’Mara_____________</w:t>
      </w:r>
    </w:p>
    <w:p>
      <w:pPr>
        <w:ind w:left="3180"/>
        <w:spacing w:after="0" w:line="204" w:lineRule="auto"/>
        <w:rPr>
          <w:sz w:val="20"/>
          <w:szCs w:val="20"/>
          <w:color w:val="auto"/>
        </w:rPr>
      </w:pPr>
      <w:r>
        <w:rPr>
          <w:rFonts w:ascii="Arial" w:cs="Arial" w:eastAsia="Arial" w:hAnsi="Arial"/>
          <w:sz w:val="22"/>
          <w:szCs w:val="22"/>
          <w:color w:val="auto"/>
        </w:rPr>
        <w:t>Name: Louise O’Mara</w:t>
      </w:r>
    </w:p>
    <w:p>
      <w:pPr>
        <w:spacing w:after="0" w:line="1"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9019"/>
          </w:cols>
          <w:pgMar w:left="1440" w:top="1395"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Amended Credit Agreement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395" w:right="1440" w:bottom="1440" w:gutter="0" w:footer="0" w:header="0"/>
        </w:sectPr>
      </w:pPr>
    </w:p>
    <w:bookmarkStart w:id="160" w:name="page161"/>
    <w:bookmarkEnd w:id="160"/>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I - Form of Borrowing Request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4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560070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CREDIT AGREEMENT</w:t>
      </w:r>
    </w:p>
    <w:p>
      <w:pPr>
        <w:spacing w:after="0" w:line="14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dated as of</w:t>
      </w:r>
    </w:p>
    <w:p>
      <w:pPr>
        <w:spacing w:after="0" w:line="15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July 1, 2021</w:t>
      </w:r>
    </w:p>
    <w:p>
      <w:pPr>
        <w:jc w:val="center"/>
        <w:ind w:right="1120"/>
        <w:spacing w:after="0"/>
        <w:rPr>
          <w:sz w:val="20"/>
          <w:szCs w:val="20"/>
          <w:color w:val="auto"/>
        </w:rPr>
      </w:pPr>
      <w:r>
        <w:rPr>
          <w:rFonts w:ascii="Arial" w:cs="Arial" w:eastAsia="Arial" w:hAnsi="Arial"/>
          <w:sz w:val="16"/>
          <w:szCs w:val="16"/>
          <w:b w:val="1"/>
          <w:bCs w:val="1"/>
          <w:u w:val="single" w:color="auto"/>
          <w:color w:val="0000FF"/>
        </w:rPr>
        <w:t>(as amended by the First Amendment, dated as of November 29, 2022)</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among</w:t>
      </w:r>
    </w:p>
    <w:p>
      <w:pPr>
        <w:spacing w:after="0" w:line="210"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ICON LUXEMBOURG, S.À R.L.,</w:t>
      </w:r>
    </w:p>
    <w:p>
      <w:pPr>
        <w:ind w:left="3160"/>
        <w:spacing w:after="0" w:line="197" w:lineRule="auto"/>
        <w:rPr>
          <w:sz w:val="20"/>
          <w:szCs w:val="20"/>
          <w:color w:val="auto"/>
        </w:rPr>
      </w:pPr>
      <w:r>
        <w:rPr>
          <w:rFonts w:ascii="Arial" w:cs="Arial" w:eastAsia="Arial" w:hAnsi="Arial"/>
          <w:sz w:val="20"/>
          <w:szCs w:val="20"/>
          <w:b w:val="1"/>
          <w:bCs w:val="1"/>
          <w:color w:val="auto"/>
        </w:rPr>
        <w:t>INDIGO MERGER SUB, INC.,</w:t>
      </w:r>
    </w:p>
    <w:p>
      <w:pPr>
        <w:ind w:left="2660"/>
        <w:spacing w:after="0" w:line="211" w:lineRule="auto"/>
        <w:rPr>
          <w:sz w:val="20"/>
          <w:szCs w:val="20"/>
          <w:color w:val="auto"/>
        </w:rPr>
      </w:pPr>
      <w:r>
        <w:rPr>
          <w:rFonts w:ascii="Arial" w:cs="Arial" w:eastAsia="Arial" w:hAnsi="Arial"/>
          <w:sz w:val="20"/>
          <w:szCs w:val="20"/>
          <w:b w:val="1"/>
          <w:bCs w:val="1"/>
          <w:color w:val="auto"/>
        </w:rPr>
        <w:t>ICON CLINICAL RESEARCH LIMITED,</w:t>
      </w:r>
    </w:p>
    <w:p>
      <w:pPr>
        <w:ind w:left="2080"/>
        <w:spacing w:after="0" w:line="211" w:lineRule="auto"/>
        <w:rPr>
          <w:sz w:val="20"/>
          <w:szCs w:val="20"/>
          <w:color w:val="auto"/>
        </w:rPr>
      </w:pPr>
      <w:r>
        <w:rPr>
          <w:rFonts w:ascii="Arial" w:cs="Arial" w:eastAsia="Arial" w:hAnsi="Arial"/>
          <w:sz w:val="20"/>
          <w:szCs w:val="20"/>
          <w:b w:val="1"/>
          <w:bCs w:val="1"/>
          <w:color w:val="auto"/>
        </w:rPr>
        <w:t>ICON GLOBAL TREASURY UNLIMITED COMPANY,</w:t>
      </w:r>
    </w:p>
    <w:p>
      <w:pPr>
        <w:ind w:left="3300"/>
        <w:spacing w:after="0" w:line="198" w:lineRule="auto"/>
        <w:rPr>
          <w:sz w:val="20"/>
          <w:szCs w:val="20"/>
          <w:color w:val="auto"/>
        </w:rPr>
      </w:pPr>
      <w:r>
        <w:rPr>
          <w:rFonts w:ascii="Arial" w:cs="Arial" w:eastAsia="Arial" w:hAnsi="Arial"/>
          <w:sz w:val="20"/>
          <w:szCs w:val="20"/>
          <w:b w:val="1"/>
          <w:bCs w:val="1"/>
          <w:color w:val="auto"/>
        </w:rPr>
        <w:t>ICON US HOLDINGS INC.</w:t>
      </w:r>
    </w:p>
    <w:p>
      <w:pPr>
        <w:jc w:val="center"/>
        <w:ind w:right="1120"/>
        <w:spacing w:after="0" w:line="211" w:lineRule="auto"/>
        <w:rPr>
          <w:sz w:val="20"/>
          <w:szCs w:val="20"/>
          <w:color w:val="auto"/>
        </w:rPr>
      </w:pPr>
      <w:r>
        <w:rPr>
          <w:rFonts w:ascii="Arial" w:cs="Arial" w:eastAsia="Arial" w:hAnsi="Arial"/>
          <w:sz w:val="20"/>
          <w:szCs w:val="20"/>
          <w:b w:val="1"/>
          <w:bCs w:val="1"/>
          <w:color w:val="auto"/>
        </w:rPr>
        <w:t>and ICON CLINICAL INVESTMENTS, LLC,</w:t>
      </w:r>
    </w:p>
    <w:p>
      <w:pPr>
        <w:jc w:val="center"/>
        <w:ind w:right="1120"/>
        <w:spacing w:after="0"/>
        <w:rPr>
          <w:sz w:val="20"/>
          <w:szCs w:val="20"/>
          <w:color w:val="auto"/>
        </w:rPr>
      </w:pPr>
      <w:r>
        <w:rPr>
          <w:rFonts w:ascii="Arial" w:cs="Arial" w:eastAsia="Arial" w:hAnsi="Arial"/>
          <w:sz w:val="20"/>
          <w:szCs w:val="20"/>
          <w:b w:val="1"/>
          <w:bCs w:val="1"/>
          <w:color w:val="auto"/>
        </w:rPr>
        <w:t>as Borrowers</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ICON PUBLIC LIMITED COMPANY,</w:t>
      </w:r>
    </w:p>
    <w:p>
      <w:pPr>
        <w:jc w:val="center"/>
        <w:ind w:right="1120"/>
        <w:spacing w:after="0"/>
        <w:rPr>
          <w:sz w:val="20"/>
          <w:szCs w:val="20"/>
          <w:color w:val="auto"/>
        </w:rPr>
      </w:pPr>
      <w:r>
        <w:rPr>
          <w:rFonts w:ascii="Arial" w:cs="Arial" w:eastAsia="Arial" w:hAnsi="Arial"/>
          <w:sz w:val="20"/>
          <w:szCs w:val="20"/>
          <w:b w:val="1"/>
          <w:bCs w:val="1"/>
          <w:color w:val="auto"/>
        </w:rPr>
        <w:t>as Holdings and a Guarantor,</w:t>
      </w:r>
    </w:p>
    <w:p>
      <w:pPr>
        <w:spacing w:after="0" w:line="13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SUBSIDIARY GUARANTORS PARTY HERETO,</w:t>
      </w:r>
    </w:p>
    <w:p>
      <w:pPr>
        <w:jc w:val="center"/>
        <w:ind w:right="1120"/>
        <w:spacing w:after="0"/>
        <w:rPr>
          <w:sz w:val="20"/>
          <w:szCs w:val="20"/>
          <w:color w:val="auto"/>
        </w:rPr>
      </w:pPr>
      <w:r>
        <w:rPr>
          <w:rFonts w:ascii="Arial" w:cs="Arial" w:eastAsia="Arial" w:hAnsi="Arial"/>
          <w:sz w:val="20"/>
          <w:szCs w:val="20"/>
          <w:b w:val="1"/>
          <w:bCs w:val="1"/>
          <w:color w:val="auto"/>
        </w:rPr>
        <w:t>as Subsidiary Guarantors</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The Lenders Party Hereto,</w:t>
      </w:r>
    </w:p>
    <w:p>
      <w:pPr>
        <w:spacing w:after="0" w:line="19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CITIBANK, N.A.,</w:t>
      </w:r>
    </w:p>
    <w:p>
      <w:pPr>
        <w:jc w:val="center"/>
        <w:ind w:right="1120"/>
        <w:spacing w:after="0"/>
        <w:rPr>
          <w:sz w:val="20"/>
          <w:szCs w:val="20"/>
          <w:color w:val="auto"/>
        </w:rPr>
      </w:pPr>
      <w:r>
        <w:rPr>
          <w:rFonts w:ascii="Arial" w:cs="Arial" w:eastAsia="Arial" w:hAnsi="Arial"/>
          <w:sz w:val="20"/>
          <w:szCs w:val="20"/>
          <w:b w:val="1"/>
          <w:bCs w:val="1"/>
          <w:color w:val="auto"/>
        </w:rPr>
        <w:t>as Administrative Agent</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19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CITIBANK, N.A., LONDON BRANCH,</w:t>
      </w:r>
    </w:p>
    <w:p>
      <w:pPr>
        <w:jc w:val="center"/>
        <w:ind w:right="1120"/>
        <w:spacing w:after="0" w:line="211" w:lineRule="auto"/>
        <w:rPr>
          <w:sz w:val="20"/>
          <w:szCs w:val="20"/>
          <w:color w:val="auto"/>
        </w:rPr>
      </w:pPr>
      <w:r>
        <w:rPr>
          <w:rFonts w:ascii="Arial" w:cs="Arial" w:eastAsia="Arial" w:hAnsi="Arial"/>
          <w:sz w:val="20"/>
          <w:szCs w:val="20"/>
          <w:b w:val="1"/>
          <w:bCs w:val="1"/>
          <w:color w:val="auto"/>
        </w:rPr>
        <w:t>as Collateral Agent</w:t>
      </w:r>
    </w:p>
    <w:p>
      <w:pPr>
        <w:ind w:left="2980"/>
        <w:spacing w:after="0"/>
        <w:rPr>
          <w:sz w:val="20"/>
          <w:szCs w:val="20"/>
          <w:color w:val="auto"/>
        </w:rPr>
      </w:pPr>
      <w:r>
        <w:rPr>
          <w:rFonts w:ascii="Arial" w:cs="Arial" w:eastAsia="Arial" w:hAnsi="Arial"/>
          <w:sz w:val="20"/>
          <w:szCs w:val="20"/>
          <w:b w:val="1"/>
          <w:bCs w:val="1"/>
          <w:color w:val="auto"/>
        </w:rPr>
        <w:t>_______________________________</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CITIGROUP GLOBAL MARKETS INC. and</w:t>
      </w:r>
    </w:p>
    <w:p>
      <w:pPr>
        <w:jc w:val="center"/>
        <w:ind w:right="1120"/>
        <w:spacing w:after="0" w:line="211" w:lineRule="auto"/>
        <w:rPr>
          <w:sz w:val="20"/>
          <w:szCs w:val="20"/>
          <w:color w:val="auto"/>
        </w:rPr>
      </w:pPr>
      <w:r>
        <w:rPr>
          <w:rFonts w:ascii="Arial" w:cs="Arial" w:eastAsia="Arial" w:hAnsi="Arial"/>
          <w:sz w:val="20"/>
          <w:szCs w:val="20"/>
          <w:b w:val="1"/>
          <w:bCs w:val="1"/>
          <w:color w:val="auto"/>
        </w:rPr>
        <w:t>J.P. MORGAN SECURITIES PLC,</w:t>
      </w:r>
    </w:p>
    <w:p>
      <w:pPr>
        <w:ind w:left="3580"/>
        <w:spacing w:after="0"/>
        <w:rPr>
          <w:sz w:val="20"/>
          <w:szCs w:val="20"/>
          <w:color w:val="auto"/>
        </w:rPr>
      </w:pPr>
      <w:r>
        <w:rPr>
          <w:rFonts w:ascii="Arial" w:cs="Arial" w:eastAsia="Arial" w:hAnsi="Arial"/>
          <w:sz w:val="20"/>
          <w:szCs w:val="20"/>
          <w:b w:val="1"/>
          <w:bCs w:val="1"/>
          <w:color w:val="auto"/>
        </w:rPr>
        <w:t>as Joint Bookrunners,</w:t>
      </w:r>
    </w:p>
    <w:p>
      <w:pPr>
        <w:spacing w:after="0" w:line="175"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CITIGROUP GLOBAL MARKETS INC.,</w:t>
      </w:r>
    </w:p>
    <w:p>
      <w:pPr>
        <w:ind w:left="3280"/>
        <w:spacing w:after="0" w:line="211" w:lineRule="auto"/>
        <w:rPr>
          <w:sz w:val="20"/>
          <w:szCs w:val="20"/>
          <w:color w:val="auto"/>
        </w:rPr>
      </w:pPr>
      <w:r>
        <w:rPr>
          <w:rFonts w:ascii="Arial" w:cs="Arial" w:eastAsia="Arial" w:hAnsi="Arial"/>
          <w:sz w:val="20"/>
          <w:szCs w:val="20"/>
          <w:b w:val="1"/>
          <w:bCs w:val="1"/>
          <w:color w:val="auto"/>
        </w:rPr>
        <w:t>BANCO SANTANDER S.A.,</w:t>
      </w:r>
    </w:p>
    <w:p>
      <w:pPr>
        <w:ind w:left="2860"/>
        <w:spacing w:after="0" w:line="197" w:lineRule="auto"/>
        <w:rPr>
          <w:sz w:val="20"/>
          <w:szCs w:val="20"/>
          <w:color w:val="auto"/>
        </w:rPr>
      </w:pPr>
      <w:r>
        <w:rPr>
          <w:rFonts w:ascii="Arial" w:cs="Arial" w:eastAsia="Arial" w:hAnsi="Arial"/>
          <w:sz w:val="20"/>
          <w:szCs w:val="20"/>
          <w:b w:val="1"/>
          <w:bCs w:val="1"/>
          <w:color w:val="auto"/>
        </w:rPr>
        <w:t>HSBC CONTINENTAL EUROPE SA,</w:t>
      </w:r>
    </w:p>
    <w:p>
      <w:pPr>
        <w:spacing w:after="0" w:line="1" w:lineRule="exact"/>
        <w:rPr>
          <w:sz w:val="20"/>
          <w:szCs w:val="20"/>
          <w:color w:val="auto"/>
        </w:rPr>
      </w:pPr>
    </w:p>
    <w:p>
      <w:pPr>
        <w:jc w:val="center"/>
        <w:ind w:left="1540" w:right="2640"/>
        <w:spacing w:after="0" w:line="222" w:lineRule="auto"/>
        <w:rPr>
          <w:sz w:val="20"/>
          <w:szCs w:val="20"/>
          <w:color w:val="auto"/>
        </w:rPr>
      </w:pPr>
      <w:r>
        <w:rPr>
          <w:rFonts w:ascii="Arial" w:cs="Arial" w:eastAsia="Arial" w:hAnsi="Arial"/>
          <w:sz w:val="20"/>
          <w:szCs w:val="20"/>
          <w:b w:val="1"/>
          <w:bCs w:val="1"/>
          <w:color w:val="auto"/>
        </w:rPr>
        <w:t>J.P. MORGAN SECURITIES PLC and MORGAN STANLEY BANK INTERNATIONAL LIMITED, 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426720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80"/>
        <w:spacing w:after="0"/>
        <w:rPr>
          <w:sz w:val="20"/>
          <w:szCs w:val="20"/>
          <w:color w:val="auto"/>
        </w:rPr>
      </w:pPr>
      <w:r>
        <w:rPr>
          <w:rFonts w:ascii="Arial" w:cs="Arial" w:eastAsia="Arial" w:hAnsi="Arial"/>
          <w:sz w:val="14"/>
          <w:szCs w:val="14"/>
          <w:u w:val="single" w:color="auto"/>
          <w:color w:val="0000FF"/>
        </w:rPr>
        <w:t>|</w:t>
      </w:r>
    </w:p>
    <w:p>
      <w:pPr>
        <w:sectPr>
          <w:pgSz w:w="11900" w:h="16838" w:orient="portrait"/>
          <w:cols w:equalWidth="0" w:num="1">
            <w:col w:w="10120"/>
          </w:cols>
          <w:pgMar w:left="1440" w:top="108"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color w:val="auto"/>
        </w:rPr>
        <w:t>TABLE OF CONTENTS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gridSpan w:val="2"/>
          </w:tcPr>
          <w:p>
            <w:pPr>
              <w:spacing w:after="0"/>
              <w:rPr>
                <w:sz w:val="20"/>
                <w:szCs w:val="20"/>
                <w:color w:val="auto"/>
              </w:rPr>
            </w:pPr>
            <w:r>
              <w:rPr>
                <w:rFonts w:ascii="Arial" w:cs="Arial" w:eastAsia="Arial" w:hAnsi="Arial"/>
                <w:sz w:val="20"/>
                <w:szCs w:val="20"/>
                <w:color w:val="auto"/>
              </w:rPr>
              <w:t>ARTICLE I DEFINITIONS</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31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1.01</w:t>
            </w:r>
          </w:p>
        </w:tc>
        <w:tc>
          <w:tcPr>
            <w:tcW w:w="2100" w:type="dxa"/>
            <w:vAlign w:val="bottom"/>
            <w:gridSpan w:val="13"/>
          </w:tcPr>
          <w:p>
            <w:pPr>
              <w:ind w:left="100"/>
              <w:spacing w:after="0"/>
              <w:rPr>
                <w:sz w:val="20"/>
                <w:szCs w:val="20"/>
                <w:color w:val="auto"/>
              </w:rPr>
            </w:pPr>
            <w:r>
              <w:rPr>
                <w:rFonts w:ascii="Arial" w:cs="Arial" w:eastAsia="Arial" w:hAnsi="Arial"/>
                <w:sz w:val="20"/>
                <w:szCs w:val="20"/>
                <w:color w:val="auto"/>
              </w:rPr>
              <w:t>Defined Terms  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1.02</w:t>
            </w:r>
          </w:p>
        </w:tc>
        <w:tc>
          <w:tcPr>
            <w:tcW w:w="3380" w:type="dxa"/>
            <w:vAlign w:val="bottom"/>
            <w:gridSpan w:val="34"/>
          </w:tcPr>
          <w:p>
            <w:pPr>
              <w:ind w:left="100"/>
              <w:spacing w:after="0"/>
              <w:rPr>
                <w:sz w:val="20"/>
                <w:szCs w:val="20"/>
                <w:color w:val="auto"/>
              </w:rPr>
            </w:pPr>
            <w:r>
              <w:rPr>
                <w:rFonts w:ascii="Arial" w:cs="Arial" w:eastAsia="Arial" w:hAnsi="Arial"/>
                <w:sz w:val="20"/>
                <w:szCs w:val="20"/>
                <w:color w:val="auto"/>
                <w:w w:val="94"/>
              </w:rPr>
              <w:t>Classification of Loans and Borrowings</w:t>
            </w:r>
          </w:p>
        </w:tc>
        <w:tc>
          <w:tcPr>
            <w:tcW w:w="280" w:type="dxa"/>
            <w:vAlign w:val="bottom"/>
            <w:gridSpan w:val="4"/>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1.03</w:t>
            </w:r>
          </w:p>
        </w:tc>
        <w:tc>
          <w:tcPr>
            <w:tcW w:w="1560" w:type="dxa"/>
            <w:vAlign w:val="bottom"/>
            <w:gridSpan w:val="8"/>
          </w:tcPr>
          <w:p>
            <w:pPr>
              <w:ind w:left="100"/>
              <w:spacing w:after="0"/>
              <w:rPr>
                <w:sz w:val="20"/>
                <w:szCs w:val="20"/>
                <w:color w:val="auto"/>
              </w:rPr>
            </w:pPr>
            <w:r>
              <w:rPr>
                <w:rFonts w:ascii="Arial" w:cs="Arial" w:eastAsia="Arial" w:hAnsi="Arial"/>
                <w:sz w:val="20"/>
                <w:szCs w:val="20"/>
                <w:color w:val="auto"/>
                <w:w w:val="96"/>
              </w:rPr>
              <w:t>Terms Generally</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1.04</w:t>
            </w:r>
          </w:p>
        </w:tc>
        <w:tc>
          <w:tcPr>
            <w:tcW w:w="2380" w:type="dxa"/>
            <w:vAlign w:val="bottom"/>
            <w:gridSpan w:val="17"/>
          </w:tcPr>
          <w:p>
            <w:pPr>
              <w:ind w:left="100"/>
              <w:spacing w:after="0"/>
              <w:rPr>
                <w:sz w:val="20"/>
                <w:szCs w:val="20"/>
                <w:color w:val="auto"/>
              </w:rPr>
            </w:pPr>
            <w:r>
              <w:rPr>
                <w:rFonts w:ascii="Arial" w:cs="Arial" w:eastAsia="Arial" w:hAnsi="Arial"/>
                <w:sz w:val="20"/>
                <w:szCs w:val="20"/>
                <w:color w:val="auto"/>
                <w:w w:val="99"/>
              </w:rPr>
              <w:t>Accounting Terms; GAAP</w:t>
            </w:r>
          </w:p>
        </w:tc>
        <w:tc>
          <w:tcPr>
            <w:tcW w:w="200" w:type="dxa"/>
            <w:vAlign w:val="bottom"/>
            <w:gridSpan w:val="5"/>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79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1.05</w:t>
            </w:r>
          </w:p>
        </w:tc>
        <w:tc>
          <w:tcPr>
            <w:tcW w:w="1020" w:type="dxa"/>
            <w:vAlign w:val="bottom"/>
            <w:gridSpan w:val="3"/>
          </w:tcPr>
          <w:p>
            <w:pPr>
              <w:ind w:left="100"/>
              <w:spacing w:after="0"/>
              <w:rPr>
                <w:sz w:val="20"/>
                <w:szCs w:val="20"/>
                <w:color w:val="auto"/>
              </w:rPr>
            </w:pPr>
            <w:r>
              <w:rPr>
                <w:rFonts w:ascii="Arial" w:cs="Arial" w:eastAsia="Arial" w:hAnsi="Arial"/>
                <w:sz w:val="20"/>
                <w:szCs w:val="20"/>
                <w:color w:val="auto"/>
                <w:w w:val="93"/>
              </w:rPr>
              <w:t>[Reserved]</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79</w:t>
            </w:r>
          </w:p>
        </w:tc>
        <w:tc>
          <w:tcPr>
            <w:tcW w:w="240" w:type="dxa"/>
            <w:vAlign w:val="bottom"/>
            <w:gridSpan w:val="3"/>
          </w:tcPr>
          <w:p>
            <w:pPr>
              <w:jc w:val="right"/>
              <w:spacing w:after="0"/>
              <w:rPr>
                <w:sz w:val="20"/>
                <w:szCs w:val="20"/>
                <w:color w:val="auto"/>
              </w:rPr>
            </w:pPr>
            <w:r>
              <w:rPr>
                <w:rFonts w:ascii="Arial" w:cs="Arial" w:eastAsia="Arial" w:hAnsi="Arial"/>
                <w:sz w:val="20"/>
                <w:szCs w:val="20"/>
                <w:color w:val="0000FF"/>
                <w:w w:val="80"/>
              </w:rPr>
              <w:t>80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1.06</w:t>
            </w:r>
          </w:p>
        </w:tc>
        <w:tc>
          <w:tcPr>
            <w:tcW w:w="2840" w:type="dxa"/>
            <w:vAlign w:val="bottom"/>
            <w:gridSpan w:val="27"/>
          </w:tcPr>
          <w:p>
            <w:pPr>
              <w:ind w:left="100"/>
              <w:spacing w:after="0"/>
              <w:rPr>
                <w:sz w:val="20"/>
                <w:szCs w:val="20"/>
                <w:color w:val="auto"/>
              </w:rPr>
            </w:pPr>
            <w:r>
              <w:rPr>
                <w:rFonts w:ascii="Arial" w:cs="Arial" w:eastAsia="Arial" w:hAnsi="Arial"/>
                <w:sz w:val="20"/>
                <w:szCs w:val="20"/>
                <w:color w:val="auto"/>
                <w:w w:val="97"/>
              </w:rPr>
              <w:t>Special Luxembourg Provisions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0"/>
              </w:rPr>
              <w:t>80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1.07</w:t>
            </w:r>
          </w:p>
        </w:tc>
        <w:tc>
          <w:tcPr>
            <w:tcW w:w="3660" w:type="dxa"/>
            <w:vAlign w:val="bottom"/>
            <w:gridSpan w:val="38"/>
          </w:tcPr>
          <w:p>
            <w:pPr>
              <w:ind w:left="100"/>
              <w:spacing w:after="0"/>
              <w:rPr>
                <w:sz w:val="20"/>
                <w:szCs w:val="20"/>
                <w:color w:val="auto"/>
              </w:rPr>
            </w:pPr>
            <w:r>
              <w:rPr>
                <w:rFonts w:ascii="Arial" w:cs="Arial" w:eastAsia="Arial" w:hAnsi="Arial"/>
                <w:sz w:val="20"/>
                <w:szCs w:val="20"/>
                <w:color w:val="auto"/>
                <w:w w:val="93"/>
              </w:rPr>
              <w:t>Certain Conditions, Calculations and Tests</w:t>
            </w:r>
          </w:p>
        </w:tc>
        <w:tc>
          <w:tcPr>
            <w:tcW w:w="400" w:type="dxa"/>
            <w:vAlign w:val="bottom"/>
            <w:gridSpan w:val="3"/>
          </w:tcPr>
          <w:p>
            <w:pPr>
              <w:jc w:val="right"/>
              <w:ind w:right="180"/>
              <w:spacing w:after="0"/>
              <w:rPr>
                <w:sz w:val="20"/>
                <w:szCs w:val="20"/>
                <w:color w:val="auto"/>
              </w:rPr>
            </w:pPr>
            <w:r>
              <w:rPr>
                <w:rFonts w:ascii="Arial" w:cs="Arial" w:eastAsia="Arial" w:hAnsi="Arial"/>
                <w:sz w:val="20"/>
                <w:szCs w:val="20"/>
                <w:color w:val="auto"/>
                <w:w w:val="89"/>
              </w:rPr>
              <w:t>80</w:t>
            </w: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1.08</w:t>
            </w:r>
          </w:p>
        </w:tc>
        <w:tc>
          <w:tcPr>
            <w:tcW w:w="1020" w:type="dxa"/>
            <w:vAlign w:val="bottom"/>
            <w:gridSpan w:val="3"/>
          </w:tcPr>
          <w:p>
            <w:pPr>
              <w:ind w:left="100"/>
              <w:spacing w:after="0"/>
              <w:rPr>
                <w:sz w:val="20"/>
                <w:szCs w:val="20"/>
                <w:color w:val="auto"/>
              </w:rPr>
            </w:pPr>
            <w:r>
              <w:rPr>
                <w:rFonts w:ascii="Arial" w:cs="Arial" w:eastAsia="Arial" w:hAnsi="Arial"/>
                <w:sz w:val="20"/>
                <w:szCs w:val="20"/>
                <w:color w:val="auto"/>
              </w:rPr>
              <w:t>Divisions</w:t>
            </w:r>
          </w:p>
        </w:tc>
        <w:tc>
          <w:tcPr>
            <w:tcW w:w="340" w:type="dxa"/>
            <w:vAlign w:val="bottom"/>
            <w:gridSpan w:val="3"/>
          </w:tcPr>
          <w:p>
            <w:pPr>
              <w:jc w:val="right"/>
              <w:ind w:right="1"/>
              <w:spacing w:after="0"/>
              <w:rPr>
                <w:sz w:val="20"/>
                <w:szCs w:val="20"/>
                <w:color w:val="auto"/>
              </w:rPr>
            </w:pPr>
            <w:r>
              <w:rPr>
                <w:rFonts w:ascii="Arial" w:cs="Arial" w:eastAsia="Arial" w:hAnsi="Arial"/>
                <w:sz w:val="20"/>
                <w:szCs w:val="20"/>
                <w:color w:val="auto"/>
                <w:w w:val="98"/>
              </w:rPr>
              <w:t>83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1"/>
        </w:trPr>
        <w:tc>
          <w:tcPr>
            <w:tcW w:w="2380" w:type="dxa"/>
            <w:vAlign w:val="bottom"/>
            <w:gridSpan w:val="2"/>
          </w:tcPr>
          <w:p>
            <w:pPr>
              <w:spacing w:after="0"/>
              <w:rPr>
                <w:sz w:val="20"/>
                <w:szCs w:val="20"/>
                <w:color w:val="auto"/>
              </w:rPr>
            </w:pPr>
            <w:r>
              <w:rPr>
                <w:rFonts w:ascii="Arial" w:cs="Arial" w:eastAsia="Arial" w:hAnsi="Arial"/>
                <w:sz w:val="20"/>
                <w:szCs w:val="20"/>
                <w:color w:val="auto"/>
                <w:w w:val="98"/>
              </w:rPr>
              <w:t>ARTICLE II THE CREDITS</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83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2.01</w:t>
            </w:r>
          </w:p>
        </w:tc>
        <w:tc>
          <w:tcPr>
            <w:tcW w:w="2100" w:type="dxa"/>
            <w:vAlign w:val="bottom"/>
            <w:gridSpan w:val="13"/>
          </w:tcPr>
          <w:p>
            <w:pPr>
              <w:ind w:left="100"/>
              <w:spacing w:after="0"/>
              <w:rPr>
                <w:sz w:val="20"/>
                <w:szCs w:val="20"/>
                <w:color w:val="auto"/>
              </w:rPr>
            </w:pPr>
            <w:r>
              <w:rPr>
                <w:rFonts w:ascii="Arial" w:cs="Arial" w:eastAsia="Arial" w:hAnsi="Arial"/>
                <w:sz w:val="20"/>
                <w:szCs w:val="20"/>
                <w:color w:val="auto"/>
                <w:w w:val="89"/>
              </w:rPr>
              <w:t>Commitments and Loans</w:t>
            </w:r>
          </w:p>
        </w:tc>
        <w:tc>
          <w:tcPr>
            <w:tcW w:w="460" w:type="dxa"/>
            <w:vAlign w:val="bottom"/>
            <w:gridSpan w:val="8"/>
          </w:tcPr>
          <w:p>
            <w:pPr>
              <w:jc w:val="right"/>
              <w:ind w:right="80"/>
              <w:spacing w:after="0"/>
              <w:rPr>
                <w:sz w:val="20"/>
                <w:szCs w:val="20"/>
                <w:color w:val="auto"/>
              </w:rPr>
            </w:pPr>
            <w:r>
              <w:rPr>
                <w:rFonts w:ascii="Arial" w:cs="Arial" w:eastAsia="Arial" w:hAnsi="Arial"/>
                <w:sz w:val="20"/>
                <w:szCs w:val="20"/>
                <w:color w:val="auto"/>
              </w:rPr>
              <w:t>83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2.02</w:t>
            </w:r>
          </w:p>
        </w:tc>
        <w:tc>
          <w:tcPr>
            <w:tcW w:w="2100" w:type="dxa"/>
            <w:vAlign w:val="bottom"/>
            <w:gridSpan w:val="13"/>
          </w:tcPr>
          <w:p>
            <w:pPr>
              <w:ind w:left="100"/>
              <w:spacing w:after="0"/>
              <w:rPr>
                <w:sz w:val="20"/>
                <w:szCs w:val="20"/>
                <w:color w:val="auto"/>
              </w:rPr>
            </w:pPr>
            <w:r>
              <w:rPr>
                <w:rFonts w:ascii="Arial" w:cs="Arial" w:eastAsia="Arial" w:hAnsi="Arial"/>
                <w:sz w:val="20"/>
                <w:szCs w:val="20"/>
                <w:color w:val="auto"/>
                <w:w w:val="99"/>
              </w:rPr>
              <w:t>Loans and Borrowings</w:t>
            </w:r>
          </w:p>
        </w:tc>
        <w:tc>
          <w:tcPr>
            <w:tcW w:w="260" w:type="dxa"/>
            <w:vAlign w:val="bottom"/>
            <w:gridSpan w:val="3"/>
          </w:tcPr>
          <w:p>
            <w:pPr>
              <w:spacing w:after="0"/>
              <w:rPr>
                <w:sz w:val="20"/>
                <w:szCs w:val="20"/>
                <w:color w:val="auto"/>
              </w:rPr>
            </w:pPr>
            <w:r>
              <w:rPr>
                <w:rFonts w:ascii="Arial" w:cs="Arial" w:eastAsia="Arial" w:hAnsi="Arial"/>
                <w:sz w:val="20"/>
                <w:szCs w:val="20"/>
                <w:color w:val="auto"/>
              </w:rPr>
              <w:t>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2.03</w:t>
            </w:r>
          </w:p>
        </w:tc>
        <w:tc>
          <w:tcPr>
            <w:tcW w:w="2100" w:type="dxa"/>
            <w:vAlign w:val="bottom"/>
            <w:gridSpan w:val="13"/>
          </w:tcPr>
          <w:p>
            <w:pPr>
              <w:ind w:left="100"/>
              <w:spacing w:after="0"/>
              <w:rPr>
                <w:sz w:val="20"/>
                <w:szCs w:val="20"/>
                <w:color w:val="auto"/>
              </w:rPr>
            </w:pPr>
            <w:r>
              <w:rPr>
                <w:rFonts w:ascii="Arial" w:cs="Arial" w:eastAsia="Arial" w:hAnsi="Arial"/>
                <w:sz w:val="20"/>
                <w:szCs w:val="20"/>
                <w:color w:val="auto"/>
                <w:w w:val="90"/>
              </w:rPr>
              <w:t>Requests for Borrowings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84</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2.04</w:t>
            </w:r>
          </w:p>
        </w:tc>
        <w:tc>
          <w:tcPr>
            <w:tcW w:w="2840" w:type="dxa"/>
            <w:vAlign w:val="bottom"/>
            <w:gridSpan w:val="27"/>
          </w:tcPr>
          <w:p>
            <w:pPr>
              <w:ind w:left="100"/>
              <w:spacing w:after="0"/>
              <w:rPr>
                <w:sz w:val="20"/>
                <w:szCs w:val="20"/>
                <w:color w:val="auto"/>
              </w:rPr>
            </w:pPr>
            <w:r>
              <w:rPr>
                <w:rFonts w:ascii="Arial" w:cs="Arial" w:eastAsia="Arial" w:hAnsi="Arial"/>
                <w:sz w:val="20"/>
                <w:szCs w:val="20"/>
                <w:color w:val="auto"/>
                <w:w w:val="94"/>
              </w:rPr>
              <w:t>Determination of Dollar Amounts</w:t>
            </w: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FF0000"/>
                <w:strike w:val="1"/>
                <w:w w:val="98"/>
              </w:rPr>
              <w:t>85</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86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2"/>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2.05</w:t>
            </w:r>
          </w:p>
        </w:tc>
        <w:tc>
          <w:tcPr>
            <w:tcW w:w="1560" w:type="dxa"/>
            <w:vAlign w:val="bottom"/>
            <w:gridSpan w:val="8"/>
          </w:tcPr>
          <w:p>
            <w:pPr>
              <w:ind w:left="100"/>
              <w:spacing w:after="0"/>
              <w:rPr>
                <w:sz w:val="20"/>
                <w:szCs w:val="20"/>
                <w:color w:val="auto"/>
              </w:rPr>
            </w:pPr>
            <w:r>
              <w:rPr>
                <w:rFonts w:ascii="Arial" w:cs="Arial" w:eastAsia="Arial" w:hAnsi="Arial"/>
                <w:sz w:val="20"/>
                <w:szCs w:val="20"/>
                <w:color w:val="auto"/>
                <w:w w:val="97"/>
              </w:rPr>
              <w:t>Swingline Loans</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86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2.06</w:t>
            </w:r>
          </w:p>
        </w:tc>
        <w:tc>
          <w:tcPr>
            <w:tcW w:w="1560" w:type="dxa"/>
            <w:vAlign w:val="bottom"/>
            <w:gridSpan w:val="8"/>
          </w:tcPr>
          <w:p>
            <w:pPr>
              <w:ind w:left="100"/>
              <w:spacing w:after="0"/>
              <w:rPr>
                <w:sz w:val="20"/>
                <w:szCs w:val="20"/>
                <w:color w:val="auto"/>
              </w:rPr>
            </w:pPr>
            <w:r>
              <w:rPr>
                <w:rFonts w:ascii="Arial" w:cs="Arial" w:eastAsia="Arial" w:hAnsi="Arial"/>
                <w:sz w:val="20"/>
                <w:szCs w:val="20"/>
                <w:color w:val="auto"/>
                <w:w w:val="99"/>
              </w:rPr>
              <w:t>Letters of Credit</w:t>
            </w:r>
          </w:p>
        </w:tc>
        <w:tc>
          <w:tcPr>
            <w:tcW w:w="40" w:type="dxa"/>
            <w:vAlign w:val="bottom"/>
          </w:tcPr>
          <w:p>
            <w:pPr>
              <w:spacing w:after="0"/>
              <w:rPr>
                <w:sz w:val="23"/>
                <w:szCs w:val="23"/>
                <w:color w:val="auto"/>
              </w:rPr>
            </w:pPr>
          </w:p>
        </w:tc>
        <w:tc>
          <w:tcPr>
            <w:tcW w:w="300" w:type="dxa"/>
            <w:vAlign w:val="bottom"/>
          </w:tcPr>
          <w:p>
            <w:pPr>
              <w:jc w:val="right"/>
              <w:ind w:right="1"/>
              <w:spacing w:after="0"/>
              <w:rPr>
                <w:sz w:val="20"/>
                <w:szCs w:val="20"/>
                <w:color w:val="auto"/>
              </w:rPr>
            </w:pPr>
            <w:r>
              <w:rPr>
                <w:rFonts w:ascii="Arial" w:cs="Arial" w:eastAsia="Arial" w:hAnsi="Arial"/>
                <w:sz w:val="20"/>
                <w:szCs w:val="20"/>
                <w:color w:val="FF0000"/>
                <w:strike w:val="1"/>
                <w:w w:val="80"/>
              </w:rPr>
              <w:t>87</w:t>
            </w:r>
          </w:p>
        </w:tc>
        <w:tc>
          <w:tcPr>
            <w:tcW w:w="180" w:type="dxa"/>
            <w:vAlign w:val="bottom"/>
            <w:gridSpan w:val="2"/>
          </w:tcPr>
          <w:p>
            <w:pPr>
              <w:spacing w:after="0"/>
              <w:rPr>
                <w:sz w:val="20"/>
                <w:szCs w:val="20"/>
                <w:color w:val="auto"/>
              </w:rPr>
            </w:pPr>
            <w:r>
              <w:rPr>
                <w:rFonts w:ascii="Arial" w:cs="Arial" w:eastAsia="Arial" w:hAnsi="Arial"/>
                <w:sz w:val="20"/>
                <w:szCs w:val="20"/>
                <w:color w:val="0000FF"/>
                <w:w w:val="71"/>
              </w:rPr>
              <w:t>88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2.07</w:t>
            </w:r>
          </w:p>
        </w:tc>
        <w:tc>
          <w:tcPr>
            <w:tcW w:w="2100" w:type="dxa"/>
            <w:vAlign w:val="bottom"/>
            <w:gridSpan w:val="13"/>
          </w:tcPr>
          <w:p>
            <w:pPr>
              <w:ind w:left="100"/>
              <w:spacing w:after="0"/>
              <w:rPr>
                <w:sz w:val="20"/>
                <w:szCs w:val="20"/>
                <w:color w:val="auto"/>
              </w:rPr>
            </w:pPr>
            <w:r>
              <w:rPr>
                <w:rFonts w:ascii="Arial" w:cs="Arial" w:eastAsia="Arial" w:hAnsi="Arial"/>
                <w:sz w:val="20"/>
                <w:szCs w:val="20"/>
                <w:color w:val="auto"/>
                <w:w w:val="98"/>
              </w:rPr>
              <w:t>Funding of Borrowings</w:t>
            </w:r>
          </w:p>
        </w:tc>
        <w:tc>
          <w:tcPr>
            <w:tcW w:w="4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20"/>
                <w:szCs w:val="20"/>
                <w:color w:val="FF0000"/>
                <w:strike w:val="1"/>
                <w:w w:val="80"/>
              </w:rPr>
              <w:t>92</w:t>
            </w:r>
          </w:p>
        </w:tc>
        <w:tc>
          <w:tcPr>
            <w:tcW w:w="2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0"/>
              </w:rPr>
              <w:t>93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2.08</w:t>
            </w:r>
          </w:p>
        </w:tc>
        <w:tc>
          <w:tcPr>
            <w:tcW w:w="1560" w:type="dxa"/>
            <w:vAlign w:val="bottom"/>
            <w:gridSpan w:val="8"/>
          </w:tcPr>
          <w:p>
            <w:pPr>
              <w:ind w:left="100"/>
              <w:spacing w:after="0"/>
              <w:rPr>
                <w:sz w:val="20"/>
                <w:szCs w:val="20"/>
                <w:color w:val="auto"/>
              </w:rPr>
            </w:pPr>
            <w:r>
              <w:rPr>
                <w:rFonts w:ascii="Arial" w:cs="Arial" w:eastAsia="Arial" w:hAnsi="Arial"/>
                <w:sz w:val="20"/>
                <w:szCs w:val="20"/>
                <w:color w:val="auto"/>
                <w:w w:val="92"/>
              </w:rPr>
              <w:t>Interest Elections</w:t>
            </w:r>
          </w:p>
        </w:tc>
        <w:tc>
          <w:tcPr>
            <w:tcW w:w="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FF0000"/>
                <w:strike w:val="1"/>
              </w:rPr>
              <w:t>93</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2.09</w:t>
            </w:r>
          </w:p>
        </w:tc>
        <w:tc>
          <w:tcPr>
            <w:tcW w:w="3660" w:type="dxa"/>
            <w:vAlign w:val="bottom"/>
            <w:gridSpan w:val="38"/>
          </w:tcPr>
          <w:p>
            <w:pPr>
              <w:ind w:left="100"/>
              <w:spacing w:after="0"/>
              <w:rPr>
                <w:sz w:val="20"/>
                <w:szCs w:val="20"/>
                <w:color w:val="auto"/>
              </w:rPr>
            </w:pPr>
            <w:r>
              <w:rPr>
                <w:rFonts w:ascii="Arial" w:cs="Arial" w:eastAsia="Arial" w:hAnsi="Arial"/>
                <w:sz w:val="20"/>
                <w:szCs w:val="20"/>
                <w:color w:val="auto"/>
                <w:w w:val="90"/>
              </w:rPr>
              <w:t>Termination and Reduction of Commitments</w:t>
            </w:r>
          </w:p>
        </w:tc>
        <w:tc>
          <w:tcPr>
            <w:tcW w:w="400" w:type="dxa"/>
            <w:vAlign w:val="bottom"/>
            <w:gridSpan w:val="3"/>
          </w:tcPr>
          <w:p>
            <w:pPr>
              <w:jc w:val="right"/>
              <w:ind w:right="20"/>
              <w:spacing w:after="0"/>
              <w:rPr>
                <w:sz w:val="20"/>
                <w:szCs w:val="20"/>
                <w:color w:val="auto"/>
              </w:rPr>
            </w:pPr>
            <w:r>
              <w:rPr>
                <w:rFonts w:ascii="Arial" w:cs="Arial" w:eastAsia="Arial" w:hAnsi="Arial"/>
                <w:sz w:val="20"/>
                <w:szCs w:val="20"/>
                <w:color w:val="auto"/>
              </w:rPr>
              <w:t>95</w:t>
            </w: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2.10</w:t>
            </w:r>
          </w:p>
        </w:tc>
        <w:tc>
          <w:tcPr>
            <w:tcW w:w="3380" w:type="dxa"/>
            <w:vAlign w:val="bottom"/>
            <w:gridSpan w:val="34"/>
          </w:tcPr>
          <w:p>
            <w:pPr>
              <w:ind w:left="100"/>
              <w:spacing w:after="0"/>
              <w:rPr>
                <w:sz w:val="20"/>
                <w:szCs w:val="20"/>
                <w:color w:val="auto"/>
              </w:rPr>
            </w:pPr>
            <w:r>
              <w:rPr>
                <w:rFonts w:ascii="Arial" w:cs="Arial" w:eastAsia="Arial" w:hAnsi="Arial"/>
                <w:sz w:val="20"/>
                <w:szCs w:val="20"/>
                <w:color w:val="auto"/>
                <w:w w:val="93"/>
              </w:rPr>
              <w:t>Repayment of Loans; Evidence of Debt</w:t>
            </w:r>
          </w:p>
        </w:tc>
        <w:tc>
          <w:tcPr>
            <w:tcW w:w="260" w:type="dxa"/>
            <w:vAlign w:val="bottom"/>
            <w:gridSpan w:val="3"/>
          </w:tcPr>
          <w:p>
            <w:pPr>
              <w:jc w:val="right"/>
              <w:spacing w:after="0"/>
              <w:rPr>
                <w:sz w:val="20"/>
                <w:szCs w:val="20"/>
                <w:color w:val="auto"/>
              </w:rPr>
            </w:pPr>
            <w:r>
              <w:rPr>
                <w:rFonts w:ascii="Arial" w:cs="Arial" w:eastAsia="Arial" w:hAnsi="Arial"/>
                <w:sz w:val="20"/>
                <w:szCs w:val="20"/>
                <w:color w:val="FF0000"/>
                <w:strike w:val="1"/>
              </w:rPr>
              <w:t>95</w:t>
            </w:r>
          </w:p>
        </w:tc>
        <w:tc>
          <w:tcPr>
            <w:tcW w:w="420" w:type="dxa"/>
            <w:vAlign w:val="bottom"/>
            <w:gridSpan w:val="4"/>
          </w:tcPr>
          <w:p>
            <w:pPr>
              <w:jc w:val="right"/>
              <w:ind w:right="220"/>
              <w:spacing w:after="0"/>
              <w:rPr>
                <w:sz w:val="20"/>
                <w:szCs w:val="20"/>
                <w:color w:val="auto"/>
              </w:rPr>
            </w:pPr>
            <w:r>
              <w:rPr>
                <w:rFonts w:ascii="Arial" w:cs="Arial" w:eastAsia="Arial" w:hAnsi="Arial"/>
                <w:sz w:val="20"/>
                <w:szCs w:val="20"/>
                <w:color w:val="0000FF"/>
                <w:w w:val="80"/>
              </w:rPr>
              <w:t>96</w:t>
            </w: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2.11</w:t>
            </w:r>
          </w:p>
        </w:tc>
        <w:tc>
          <w:tcPr>
            <w:tcW w:w="2000" w:type="dxa"/>
            <w:vAlign w:val="bottom"/>
            <w:gridSpan w:val="11"/>
          </w:tcPr>
          <w:p>
            <w:pPr>
              <w:ind w:left="100"/>
              <w:spacing w:after="0"/>
              <w:rPr>
                <w:sz w:val="20"/>
                <w:szCs w:val="20"/>
                <w:color w:val="auto"/>
              </w:rPr>
            </w:pPr>
            <w:r>
              <w:rPr>
                <w:rFonts w:ascii="Arial" w:cs="Arial" w:eastAsia="Arial" w:hAnsi="Arial"/>
                <w:sz w:val="20"/>
                <w:szCs w:val="20"/>
                <w:color w:val="auto"/>
                <w:w w:val="97"/>
              </w:rPr>
              <w:t>Prepayment of Loans</w:t>
            </w:r>
          </w:p>
        </w:tc>
        <w:tc>
          <w:tcPr>
            <w:tcW w:w="180" w:type="dxa"/>
            <w:vAlign w:val="bottom"/>
            <w:gridSpan w:val="4"/>
          </w:tcPr>
          <w:p>
            <w:pPr>
              <w:jc w:val="right"/>
              <w:spacing w:after="0"/>
              <w:rPr>
                <w:sz w:val="20"/>
                <w:szCs w:val="20"/>
                <w:color w:val="auto"/>
              </w:rPr>
            </w:pPr>
            <w:r>
              <w:rPr>
                <w:rFonts w:ascii="Arial" w:cs="Arial" w:eastAsia="Arial" w:hAnsi="Arial"/>
                <w:sz w:val="20"/>
                <w:szCs w:val="20"/>
                <w:color w:val="FF0000"/>
                <w:strike w:val="1"/>
                <w:w w:val="71"/>
              </w:rPr>
              <w:t>96</w:t>
            </w:r>
          </w:p>
        </w:tc>
        <w:tc>
          <w:tcPr>
            <w:tcW w:w="220" w:type="dxa"/>
            <w:vAlign w:val="bottom"/>
            <w:gridSpan w:val="3"/>
          </w:tcPr>
          <w:p>
            <w:pPr>
              <w:spacing w:after="0"/>
              <w:rPr>
                <w:sz w:val="20"/>
                <w:szCs w:val="20"/>
                <w:color w:val="auto"/>
              </w:rPr>
            </w:pPr>
            <w:r>
              <w:rPr>
                <w:rFonts w:ascii="Arial" w:cs="Arial" w:eastAsia="Arial" w:hAnsi="Arial"/>
                <w:sz w:val="20"/>
                <w:szCs w:val="20"/>
                <w:color w:val="0000FF"/>
                <w:w w:val="89"/>
              </w:rPr>
              <w:t>97</w:t>
            </w:r>
          </w:p>
        </w:tc>
        <w:tc>
          <w:tcPr>
            <w:tcW w:w="100" w:type="dxa"/>
            <w:vAlign w:val="bottom"/>
            <w:gridSpan w:val="2"/>
          </w:tcPr>
          <w:p>
            <w:pPr>
              <w:spacing w:after="0"/>
              <w:rPr>
                <w:sz w:val="24"/>
                <w:szCs w:val="24"/>
                <w:color w:val="auto"/>
              </w:rPr>
            </w:pPr>
          </w:p>
        </w:tc>
        <w:tc>
          <w:tcPr>
            <w:tcW w:w="1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2.12</w:t>
            </w:r>
          </w:p>
        </w:tc>
        <w:tc>
          <w:tcPr>
            <w:tcW w:w="640" w:type="dxa"/>
            <w:vAlign w:val="bottom"/>
          </w:tcPr>
          <w:p>
            <w:pPr>
              <w:ind w:left="100"/>
              <w:spacing w:after="0"/>
              <w:rPr>
                <w:sz w:val="20"/>
                <w:szCs w:val="20"/>
                <w:color w:val="auto"/>
              </w:rPr>
            </w:pPr>
            <w:r>
              <w:rPr>
                <w:rFonts w:ascii="Arial" w:cs="Arial" w:eastAsia="Arial" w:hAnsi="Arial"/>
                <w:sz w:val="20"/>
                <w:szCs w:val="20"/>
                <w:color w:val="auto"/>
              </w:rPr>
              <w:t>Fees</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w w:val="89"/>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2.13</w:t>
            </w:r>
          </w:p>
        </w:tc>
        <w:tc>
          <w:tcPr>
            <w:tcW w:w="900" w:type="dxa"/>
            <w:vAlign w:val="bottom"/>
            <w:gridSpan w:val="2"/>
          </w:tcPr>
          <w:p>
            <w:pPr>
              <w:ind w:left="100"/>
              <w:spacing w:after="0"/>
              <w:rPr>
                <w:sz w:val="20"/>
                <w:szCs w:val="20"/>
                <w:color w:val="auto"/>
              </w:rPr>
            </w:pPr>
            <w:r>
              <w:rPr>
                <w:rFonts w:ascii="Arial" w:cs="Arial" w:eastAsia="Arial" w:hAnsi="Arial"/>
                <w:sz w:val="20"/>
                <w:szCs w:val="20"/>
                <w:color w:val="auto"/>
              </w:rPr>
              <w:t>Interest</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102</w:t>
            </w:r>
          </w:p>
        </w:tc>
        <w:tc>
          <w:tcPr>
            <w:tcW w:w="360" w:type="dxa"/>
            <w:vAlign w:val="bottom"/>
            <w:gridSpan w:val="3"/>
          </w:tcPr>
          <w:p>
            <w:pPr>
              <w:jc w:val="right"/>
              <w:ind w:right="80"/>
              <w:spacing w:after="0"/>
              <w:rPr>
                <w:sz w:val="20"/>
                <w:szCs w:val="20"/>
                <w:color w:val="auto"/>
              </w:rPr>
            </w:pPr>
            <w:r>
              <w:rPr>
                <w:rFonts w:ascii="Arial" w:cs="Arial" w:eastAsia="Arial" w:hAnsi="Arial"/>
                <w:sz w:val="20"/>
                <w:szCs w:val="20"/>
                <w:color w:val="0000FF"/>
                <w:w w:val="77"/>
              </w:rPr>
              <w:t>103</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
        </w:trPr>
        <w:tc>
          <w:tcPr>
            <w:tcW w:w="174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2.14</w:t>
            </w:r>
          </w:p>
        </w:tc>
        <w:tc>
          <w:tcPr>
            <w:tcW w:w="2840" w:type="dxa"/>
            <w:vAlign w:val="bottom"/>
            <w:gridSpan w:val="27"/>
          </w:tcPr>
          <w:p>
            <w:pPr>
              <w:ind w:left="100"/>
              <w:spacing w:after="0"/>
              <w:rPr>
                <w:sz w:val="20"/>
                <w:szCs w:val="20"/>
                <w:color w:val="auto"/>
              </w:rPr>
            </w:pPr>
            <w:r>
              <w:rPr>
                <w:rFonts w:ascii="Arial" w:cs="Arial" w:eastAsia="Arial" w:hAnsi="Arial"/>
                <w:sz w:val="20"/>
                <w:szCs w:val="20"/>
                <w:color w:val="auto"/>
                <w:w w:val="93"/>
              </w:rPr>
              <w:t>Benchmark Replacement Setting</w:t>
            </w: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rPr>
              <w:t>103</w:t>
            </w:r>
          </w:p>
        </w:tc>
        <w:tc>
          <w:tcPr>
            <w:tcW w:w="3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3"/>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2.15</w:t>
            </w:r>
          </w:p>
        </w:tc>
        <w:tc>
          <w:tcPr>
            <w:tcW w:w="1560" w:type="dxa"/>
            <w:vAlign w:val="bottom"/>
            <w:gridSpan w:val="8"/>
          </w:tcPr>
          <w:p>
            <w:pPr>
              <w:ind w:left="100"/>
              <w:spacing w:after="0"/>
              <w:rPr>
                <w:sz w:val="20"/>
                <w:szCs w:val="20"/>
                <w:color w:val="auto"/>
              </w:rPr>
            </w:pPr>
            <w:r>
              <w:rPr>
                <w:rFonts w:ascii="Arial" w:cs="Arial" w:eastAsia="Arial" w:hAnsi="Arial"/>
                <w:sz w:val="20"/>
                <w:szCs w:val="20"/>
                <w:color w:val="auto"/>
                <w:w w:val="98"/>
              </w:rPr>
              <w:t>Increased Costs</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106</w:t>
            </w:r>
          </w:p>
        </w:tc>
        <w:tc>
          <w:tcPr>
            <w:tcW w:w="24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3"/>
              </w:rPr>
              <w:t>107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4100" w:type="dxa"/>
            <w:vAlign w:val="bottom"/>
            <w:gridSpan w:val="17"/>
          </w:tcPr>
          <w:p>
            <w:pPr>
              <w:ind w:left="660"/>
              <w:spacing w:after="0"/>
              <w:rPr>
                <w:sz w:val="20"/>
                <w:szCs w:val="20"/>
                <w:color w:val="auto"/>
              </w:rPr>
            </w:pPr>
            <w:r>
              <w:rPr>
                <w:rFonts w:ascii="Arial" w:cs="Arial" w:eastAsia="Arial" w:hAnsi="Arial"/>
                <w:sz w:val="20"/>
                <w:szCs w:val="20"/>
                <w:color w:val="auto"/>
                <w:w w:val="97"/>
              </w:rPr>
              <w:t>Section 2.16  Break Funding Payments.</w:t>
            </w:r>
          </w:p>
        </w:tc>
        <w:tc>
          <w:tcPr>
            <w:tcW w:w="280" w:type="dxa"/>
            <w:vAlign w:val="bottom"/>
            <w:gridSpan w:val="7"/>
          </w:tcPr>
          <w:p>
            <w:pPr>
              <w:spacing w:after="0"/>
              <w:rPr>
                <w:sz w:val="20"/>
                <w:szCs w:val="20"/>
                <w:color w:val="auto"/>
              </w:rPr>
            </w:pPr>
            <w:r>
              <w:rPr>
                <w:rFonts w:ascii="Arial" w:cs="Arial" w:eastAsia="Arial" w:hAnsi="Arial"/>
                <w:sz w:val="20"/>
                <w:szCs w:val="20"/>
                <w:color w:val="FF0000"/>
                <w:strike w:val="1"/>
                <w:w w:val="77"/>
              </w:rPr>
              <w:t>107</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108</w:t>
            </w:r>
          </w:p>
        </w:tc>
        <w:tc>
          <w:tcPr>
            <w:tcW w:w="100" w:type="dxa"/>
            <w:vAlign w:val="bottom"/>
          </w:tcPr>
          <w:p>
            <w:pPr>
              <w:spacing w:after="0"/>
              <w:rPr>
                <w:sz w:val="24"/>
                <w:szCs w:val="24"/>
                <w:color w:val="auto"/>
              </w:rPr>
            </w:pPr>
          </w:p>
        </w:tc>
        <w:tc>
          <w:tcPr>
            <w:tcW w:w="3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2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2.17</w:t>
            </w:r>
          </w:p>
        </w:tc>
        <w:tc>
          <w:tcPr>
            <w:tcW w:w="640" w:type="dxa"/>
            <w:vAlign w:val="bottom"/>
          </w:tcPr>
          <w:p>
            <w:pPr>
              <w:ind w:left="100"/>
              <w:spacing w:after="0"/>
              <w:rPr>
                <w:sz w:val="20"/>
                <w:szCs w:val="20"/>
                <w:color w:val="auto"/>
              </w:rPr>
            </w:pPr>
            <w:r>
              <w:rPr>
                <w:rFonts w:ascii="Arial" w:cs="Arial" w:eastAsia="Arial" w:hAnsi="Arial"/>
                <w:sz w:val="20"/>
                <w:szCs w:val="20"/>
                <w:color w:val="auto"/>
                <w:w w:val="86"/>
              </w:rPr>
              <w:t>Taxes.</w:t>
            </w:r>
          </w:p>
        </w:tc>
        <w:tc>
          <w:tcPr>
            <w:tcW w:w="520" w:type="dxa"/>
            <w:vAlign w:val="bottom"/>
            <w:gridSpan w:val="3"/>
          </w:tcPr>
          <w:p>
            <w:pPr>
              <w:jc w:val="right"/>
              <w:spacing w:after="0"/>
              <w:rPr>
                <w:sz w:val="20"/>
                <w:szCs w:val="20"/>
                <w:color w:val="auto"/>
              </w:rPr>
            </w:pPr>
            <w:r>
              <w:rPr>
                <w:rFonts w:ascii="Arial" w:cs="Arial" w:eastAsia="Arial" w:hAnsi="Arial"/>
                <w:sz w:val="20"/>
                <w:szCs w:val="20"/>
                <w:color w:val="auto"/>
              </w:rPr>
              <w:t>108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8940" w:type="dxa"/>
            <w:vAlign w:val="bottom"/>
            <w:gridSpan w:val="43"/>
          </w:tcPr>
          <w:p>
            <w:pPr>
              <w:ind w:left="660"/>
              <w:spacing w:after="0"/>
              <w:rPr>
                <w:sz w:val="20"/>
                <w:szCs w:val="20"/>
                <w:color w:val="auto"/>
              </w:rPr>
            </w:pPr>
            <w:r>
              <w:rPr>
                <w:rFonts w:ascii="Arial" w:cs="Arial" w:eastAsia="Arial" w:hAnsi="Arial"/>
                <w:sz w:val="20"/>
                <w:szCs w:val="20"/>
                <w:color w:val="auto"/>
                <w:w w:val="92"/>
              </w:rPr>
              <w:t>Section 2.18  Payments Generally; Allocations of Proceeds; Pro Rata Treatment; Sharing of Set-offs.</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112</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113</w:t>
            </w:r>
          </w:p>
        </w:tc>
      </w:tr>
      <w:tr>
        <w:trPr>
          <w:trHeight w:val="335"/>
        </w:trPr>
        <w:tc>
          <w:tcPr>
            <w:tcW w:w="9520" w:type="dxa"/>
            <w:vAlign w:val="bottom"/>
            <w:gridSpan w:val="45"/>
          </w:tcPr>
          <w:p>
            <w:pPr>
              <w:ind w:left="660"/>
              <w:spacing w:after="0"/>
              <w:rPr>
                <w:sz w:val="20"/>
                <w:szCs w:val="20"/>
                <w:color w:val="auto"/>
              </w:rPr>
            </w:pPr>
            <w:r>
              <w:rPr>
                <w:rFonts w:ascii="Arial" w:cs="Arial" w:eastAsia="Arial" w:hAnsi="Arial"/>
                <w:sz w:val="20"/>
                <w:szCs w:val="20"/>
                <w:color w:val="auto"/>
              </w:rPr>
              <w:t>Section 2.19  Mitigation Obligations; Replacement of Lenders.  115</w:t>
            </w:r>
          </w:p>
        </w:tc>
      </w:tr>
      <w:tr>
        <w:trPr>
          <w:trHeight w:val="253"/>
        </w:trPr>
        <w:tc>
          <w:tcPr>
            <w:tcW w:w="4500" w:type="dxa"/>
            <w:vAlign w:val="bottom"/>
            <w:gridSpan w:val="26"/>
          </w:tcPr>
          <w:p>
            <w:pPr>
              <w:ind w:left="660"/>
              <w:spacing w:after="0"/>
              <w:rPr>
                <w:sz w:val="20"/>
                <w:szCs w:val="20"/>
                <w:color w:val="auto"/>
              </w:rPr>
            </w:pPr>
            <w:r>
              <w:rPr>
                <w:rFonts w:ascii="Arial" w:cs="Arial" w:eastAsia="Arial" w:hAnsi="Arial"/>
                <w:sz w:val="20"/>
                <w:szCs w:val="20"/>
                <w:color w:val="auto"/>
                <w:w w:val="96"/>
              </w:rPr>
              <w:t>Section 2.20  Incremental Credit Extensions.</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115</w:t>
            </w:r>
          </w:p>
        </w:tc>
        <w:tc>
          <w:tcPr>
            <w:tcW w:w="340" w:type="dxa"/>
            <w:vAlign w:val="bottom"/>
            <w:gridSpan w:val="5"/>
          </w:tcPr>
          <w:p>
            <w:pPr>
              <w:spacing w:after="0"/>
              <w:rPr>
                <w:sz w:val="20"/>
                <w:szCs w:val="20"/>
                <w:color w:val="auto"/>
              </w:rPr>
            </w:pPr>
            <w:r>
              <w:rPr>
                <w:rFonts w:ascii="Arial" w:cs="Arial" w:eastAsia="Arial" w:hAnsi="Arial"/>
                <w:sz w:val="20"/>
                <w:szCs w:val="20"/>
                <w:color w:val="0000FF"/>
                <w:w w:val="95"/>
              </w:rPr>
              <w:t>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90"/>
        </w:trPr>
        <w:tc>
          <w:tcPr>
            <w:tcW w:w="3640" w:type="dxa"/>
            <w:vAlign w:val="bottom"/>
            <w:gridSpan w:val="11"/>
          </w:tcPr>
          <w:p>
            <w:pPr>
              <w:ind w:left="660"/>
              <w:spacing w:after="0"/>
              <w:rPr>
                <w:sz w:val="20"/>
                <w:szCs w:val="20"/>
                <w:color w:val="auto"/>
              </w:rPr>
            </w:pPr>
            <w:r>
              <w:rPr>
                <w:rFonts w:ascii="Arial" w:cs="Arial" w:eastAsia="Arial" w:hAnsi="Arial"/>
                <w:sz w:val="20"/>
                <w:szCs w:val="20"/>
                <w:color w:val="auto"/>
                <w:w w:val="97"/>
              </w:rPr>
              <w:t>Section 2.21  Judgment Currency.</w:t>
            </w: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w w:val="77"/>
              </w:rPr>
              <w:t>119</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120</w:t>
            </w:r>
          </w:p>
        </w:tc>
        <w:tc>
          <w:tcPr>
            <w:tcW w:w="3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5220" w:type="dxa"/>
            <w:vAlign w:val="bottom"/>
            <w:gridSpan w:val="36"/>
          </w:tcPr>
          <w:p>
            <w:pPr>
              <w:ind w:left="660"/>
              <w:spacing w:after="0"/>
              <w:rPr>
                <w:sz w:val="20"/>
                <w:szCs w:val="20"/>
                <w:color w:val="auto"/>
              </w:rPr>
            </w:pPr>
            <w:r>
              <w:rPr>
                <w:rFonts w:ascii="Arial" w:cs="Arial" w:eastAsia="Arial" w:hAnsi="Arial"/>
                <w:sz w:val="20"/>
                <w:szCs w:val="20"/>
                <w:color w:val="auto"/>
                <w:w w:val="95"/>
              </w:rPr>
              <w:t>Section 2.22  Extensions of Loans and Commitments.</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77"/>
              </w:rPr>
              <w:t>119</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120</w:t>
            </w:r>
          </w:p>
        </w:tc>
        <w:tc>
          <w:tcPr>
            <w:tcW w:w="3720" w:type="dxa"/>
            <w:vAlign w:val="bottom"/>
            <w:gridSpan w:val="3"/>
          </w:tcPr>
          <w:p>
            <w:pPr>
              <w:spacing w:after="0"/>
              <w:rPr>
                <w:sz w:val="24"/>
                <w:szCs w:val="24"/>
                <w:color w:val="auto"/>
              </w:rPr>
            </w:pPr>
          </w:p>
        </w:tc>
      </w:tr>
      <w:tr>
        <w:trPr>
          <w:trHeight w:val="277"/>
        </w:trPr>
        <w:tc>
          <w:tcPr>
            <w:tcW w:w="3640" w:type="dxa"/>
            <w:vAlign w:val="bottom"/>
            <w:gridSpan w:val="11"/>
          </w:tcPr>
          <w:p>
            <w:pPr>
              <w:ind w:left="660"/>
              <w:spacing w:after="0"/>
              <w:rPr>
                <w:sz w:val="20"/>
                <w:szCs w:val="20"/>
                <w:color w:val="auto"/>
              </w:rPr>
            </w:pPr>
            <w:r>
              <w:rPr>
                <w:rFonts w:ascii="Arial" w:cs="Arial" w:eastAsia="Arial" w:hAnsi="Arial"/>
                <w:sz w:val="20"/>
                <w:szCs w:val="20"/>
                <w:color w:val="auto"/>
                <w:w w:val="99"/>
              </w:rPr>
              <w:t>Section 2.23  Loan Repurchases.</w:t>
            </w:r>
          </w:p>
        </w:tc>
        <w:tc>
          <w:tcPr>
            <w:tcW w:w="200" w:type="dxa"/>
            <w:vAlign w:val="bottom"/>
            <w:gridSpan w:val="3"/>
          </w:tcPr>
          <w:p>
            <w:pPr>
              <w:spacing w:after="0"/>
              <w:rPr>
                <w:sz w:val="20"/>
                <w:szCs w:val="20"/>
                <w:color w:val="auto"/>
              </w:rPr>
            </w:pPr>
            <w:r>
              <w:rPr>
                <w:rFonts w:ascii="Arial" w:cs="Arial" w:eastAsia="Arial" w:hAnsi="Arial"/>
                <w:sz w:val="15"/>
                <w:szCs w:val="15"/>
                <w:color w:val="FF0000"/>
                <w:strike w:val="1"/>
                <w:w w:val="71"/>
              </w:rPr>
              <w:t>122</w:t>
            </w:r>
          </w:p>
        </w:tc>
        <w:tc>
          <w:tcPr>
            <w:tcW w:w="3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3"/>
              </w:rPr>
              <w:t>123</w:t>
            </w:r>
          </w:p>
        </w:tc>
        <w:tc>
          <w:tcPr>
            <w:tcW w:w="4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5"/>
        </w:trPr>
        <w:tc>
          <w:tcPr>
            <w:tcW w:w="4580" w:type="dxa"/>
            <w:vAlign w:val="bottom"/>
            <w:gridSpan w:val="28"/>
          </w:tcPr>
          <w:p>
            <w:pPr>
              <w:ind w:left="660"/>
              <w:spacing w:after="0"/>
              <w:rPr>
                <w:sz w:val="20"/>
                <w:szCs w:val="20"/>
                <w:color w:val="auto"/>
              </w:rPr>
            </w:pPr>
            <w:r>
              <w:rPr>
                <w:rFonts w:ascii="Arial" w:cs="Arial" w:eastAsia="Arial" w:hAnsi="Arial"/>
                <w:sz w:val="20"/>
                <w:szCs w:val="20"/>
                <w:color w:val="auto"/>
                <w:w w:val="99"/>
              </w:rPr>
              <w:t>Section 2.24  Refinancing Amendment.  124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2.25</w:t>
            </w:r>
          </w:p>
        </w:tc>
        <w:tc>
          <w:tcPr>
            <w:tcW w:w="1020" w:type="dxa"/>
            <w:vAlign w:val="bottom"/>
            <w:gridSpan w:val="3"/>
          </w:tcPr>
          <w:p>
            <w:pPr>
              <w:ind w:left="100"/>
              <w:spacing w:after="0"/>
              <w:rPr>
                <w:sz w:val="20"/>
                <w:szCs w:val="20"/>
                <w:color w:val="auto"/>
              </w:rPr>
            </w:pPr>
            <w:r>
              <w:rPr>
                <w:rFonts w:ascii="Arial" w:cs="Arial" w:eastAsia="Arial" w:hAnsi="Arial"/>
                <w:sz w:val="20"/>
                <w:szCs w:val="20"/>
                <w:color w:val="auto"/>
              </w:rPr>
              <w:t>Illegality.</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w w:val="89"/>
              </w:rPr>
              <w:t>125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47" w:lineRule="exact"/>
        <w:rPr>
          <w:sz w:val="20"/>
          <w:szCs w:val="20"/>
          <w:color w:val="auto"/>
        </w:rPr>
      </w:pPr>
    </w:p>
    <w:p>
      <w:pPr>
        <w:ind w:left="660"/>
        <w:spacing w:after="0"/>
        <w:tabs>
          <w:tab w:leader="none" w:pos="1820" w:val="left"/>
          <w:tab w:leader="none" w:pos="3600" w:val="left"/>
        </w:tabs>
        <w:rPr>
          <w:sz w:val="20"/>
          <w:szCs w:val="20"/>
          <w:color w:val="auto"/>
        </w:rPr>
      </w:pPr>
      <w:r>
        <w:rPr>
          <w:rFonts w:ascii="Arial" w:cs="Arial" w:eastAsia="Arial" w:hAnsi="Arial"/>
          <w:sz w:val="20"/>
          <w:szCs w:val="20"/>
          <w:color w:val="auto"/>
        </w:rPr>
        <w:t>Section 2.26</w:t>
        <w:tab/>
        <w:t>Defaulting Lenders.</w:t>
      </w:r>
      <w:r>
        <w:rPr>
          <w:sz w:val="20"/>
          <w:szCs w:val="20"/>
          <w:color w:val="auto"/>
        </w:rPr>
        <w:tab/>
      </w:r>
      <w:r>
        <w:rPr>
          <w:rFonts w:ascii="Arial" w:cs="Arial" w:eastAsia="Arial" w:hAnsi="Arial"/>
          <w:sz w:val="16"/>
          <w:szCs w:val="16"/>
          <w:color w:val="FF0000"/>
          <w:strike w:val="1"/>
        </w:rPr>
        <w:t>125</w:t>
      </w:r>
      <w:r>
        <w:rPr>
          <w:rFonts w:ascii="Arial" w:cs="Arial" w:eastAsia="Arial" w:hAnsi="Arial"/>
          <w:sz w:val="16"/>
          <w:szCs w:val="16"/>
          <w:u w:val="single" w:color="auto"/>
          <w:color w:val="0000FF"/>
          <w:strike w:val="1"/>
        </w:rPr>
        <w:t>126</w:t>
      </w:r>
    </w:p>
    <w:p>
      <w:pPr>
        <w:spacing w:after="0" w:line="81" w:lineRule="exact"/>
        <w:rPr>
          <w:sz w:val="20"/>
          <w:szCs w:val="20"/>
          <w:color w:val="auto"/>
        </w:rPr>
      </w:pPr>
    </w:p>
    <w:p>
      <w:pPr>
        <w:spacing w:after="0"/>
        <w:tabs>
          <w:tab w:leader="none" w:pos="4900" w:val="left"/>
        </w:tabs>
        <w:rPr>
          <w:sz w:val="20"/>
          <w:szCs w:val="20"/>
          <w:color w:val="auto"/>
        </w:rPr>
      </w:pPr>
      <w:r>
        <w:rPr>
          <w:rFonts w:ascii="Arial" w:cs="Arial" w:eastAsia="Arial" w:hAnsi="Arial"/>
          <w:sz w:val="20"/>
          <w:szCs w:val="20"/>
          <w:color w:val="auto"/>
        </w:rPr>
        <w:t>ARTICLE III REPRESENTATIONS AND WARRANTIES</w:t>
      </w:r>
      <w:r>
        <w:rPr>
          <w:sz w:val="20"/>
          <w:szCs w:val="20"/>
          <w:color w:val="auto"/>
        </w:rPr>
        <w:tab/>
      </w:r>
      <w:r>
        <w:rPr>
          <w:rFonts w:ascii="Arial" w:cs="Arial" w:eastAsia="Arial" w:hAnsi="Arial"/>
          <w:sz w:val="16"/>
          <w:szCs w:val="16"/>
          <w:color w:val="FF0000"/>
          <w:strike w:val="1"/>
        </w:rPr>
        <w:t>127</w:t>
      </w:r>
      <w:r>
        <w:rPr>
          <w:rFonts w:ascii="Arial" w:cs="Arial" w:eastAsia="Arial" w:hAnsi="Arial"/>
          <w:sz w:val="16"/>
          <w:szCs w:val="16"/>
          <w:u w:val="single" w:color="auto"/>
          <w:color w:val="0000FF"/>
          <w:strike w:val="1"/>
        </w:rPr>
        <w:t>128</w:t>
      </w:r>
    </w:p>
    <w:p>
      <w:pPr>
        <w:sectPr>
          <w:pgSz w:w="11900" w:h="16838" w:orient="portrait"/>
          <w:cols w:equalWidth="0" w:num="1">
            <w:col w:w="11240"/>
          </w:cols>
          <w:pgMar w:left="320" w:top="10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u w:val="single" w:color="auto"/>
          <w:color w:val="auto"/>
        </w:rPr>
        <w:t>Table of Contents</w:t>
      </w:r>
    </w:p>
    <w:p>
      <w:pPr>
        <w:jc w:val="center"/>
        <w:spacing w:after="0"/>
        <w:rPr>
          <w:sz w:val="20"/>
          <w:szCs w:val="20"/>
          <w:color w:val="auto"/>
        </w:rPr>
      </w:pPr>
      <w:r>
        <w:rPr>
          <w:rFonts w:ascii="Arial" w:cs="Arial" w:eastAsia="Arial" w:hAnsi="Arial"/>
          <w:sz w:val="20"/>
          <w:szCs w:val="20"/>
          <w:color w:val="auto"/>
        </w:rPr>
        <w:t>(continued)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3.01</w:t>
            </w:r>
          </w:p>
        </w:tc>
        <w:tc>
          <w:tcPr>
            <w:tcW w:w="3080" w:type="dxa"/>
            <w:vAlign w:val="bottom"/>
            <w:gridSpan w:val="29"/>
          </w:tcPr>
          <w:p>
            <w:pPr>
              <w:ind w:left="100"/>
              <w:spacing w:after="0"/>
              <w:rPr>
                <w:sz w:val="20"/>
                <w:szCs w:val="20"/>
                <w:color w:val="auto"/>
              </w:rPr>
            </w:pPr>
            <w:r>
              <w:rPr>
                <w:rFonts w:ascii="Arial" w:cs="Arial" w:eastAsia="Arial" w:hAnsi="Arial"/>
                <w:sz w:val="20"/>
                <w:szCs w:val="20"/>
                <w:color w:val="auto"/>
                <w:w w:val="95"/>
              </w:rPr>
              <w:t>Organization; Powers; Subsidiaries</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127</w:t>
            </w:r>
          </w:p>
        </w:tc>
        <w:tc>
          <w:tcPr>
            <w:tcW w:w="480" w:type="dxa"/>
            <w:vAlign w:val="bottom"/>
            <w:gridSpan w:val="6"/>
          </w:tcPr>
          <w:p>
            <w:pPr>
              <w:jc w:val="right"/>
              <w:ind w:right="180"/>
              <w:spacing w:after="0"/>
              <w:rPr>
                <w:sz w:val="20"/>
                <w:szCs w:val="20"/>
                <w:color w:val="auto"/>
              </w:rPr>
            </w:pPr>
            <w:r>
              <w:rPr>
                <w:rFonts w:ascii="Arial" w:cs="Arial" w:eastAsia="Arial" w:hAnsi="Arial"/>
                <w:sz w:val="20"/>
                <w:szCs w:val="20"/>
                <w:color w:val="0000FF"/>
                <w:w w:val="83"/>
              </w:rPr>
              <w:t>128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3.02</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5"/>
              </w:rPr>
              <w:t>Authorization; Enforceability</w:t>
            </w:r>
          </w:p>
        </w:tc>
        <w:tc>
          <w:tcPr>
            <w:tcW w:w="80" w:type="dxa"/>
            <w:vAlign w:val="bottom"/>
          </w:tcPr>
          <w:p>
            <w:pPr>
              <w:spacing w:after="0"/>
              <w:rPr>
                <w:sz w:val="24"/>
                <w:szCs w:val="24"/>
                <w:color w:val="auto"/>
              </w:rPr>
            </w:pPr>
          </w:p>
        </w:tc>
        <w:tc>
          <w:tcPr>
            <w:tcW w:w="360" w:type="dxa"/>
            <w:vAlign w:val="bottom"/>
            <w:gridSpan w:val="7"/>
          </w:tcPr>
          <w:p>
            <w:pPr>
              <w:jc w:val="right"/>
              <w:spacing w:after="0"/>
              <w:rPr>
                <w:sz w:val="20"/>
                <w:szCs w:val="20"/>
                <w:color w:val="auto"/>
              </w:rPr>
            </w:pPr>
            <w:r>
              <w:rPr>
                <w:rFonts w:ascii="Arial" w:cs="Arial" w:eastAsia="Arial" w:hAnsi="Arial"/>
                <w:sz w:val="20"/>
                <w:szCs w:val="20"/>
                <w:color w:val="FF0000"/>
                <w:strike w:val="1"/>
              </w:rPr>
              <w:t>128</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129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3.03</w:t>
            </w:r>
          </w:p>
        </w:tc>
        <w:tc>
          <w:tcPr>
            <w:tcW w:w="3260" w:type="dxa"/>
            <w:vAlign w:val="bottom"/>
            <w:gridSpan w:val="34"/>
          </w:tcPr>
          <w:p>
            <w:pPr>
              <w:ind w:left="100"/>
              <w:spacing w:after="0"/>
              <w:rPr>
                <w:sz w:val="20"/>
                <w:szCs w:val="20"/>
                <w:color w:val="auto"/>
              </w:rPr>
            </w:pPr>
            <w:r>
              <w:rPr>
                <w:rFonts w:ascii="Arial" w:cs="Arial" w:eastAsia="Arial" w:hAnsi="Arial"/>
                <w:sz w:val="20"/>
                <w:szCs w:val="20"/>
                <w:color w:val="auto"/>
                <w:w w:val="92"/>
              </w:rPr>
              <w:t>Governmental Approvals; No Conflicts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4"/>
          </w:tcPr>
          <w:p>
            <w:pPr>
              <w:jc w:val="right"/>
              <w:ind w:right="140"/>
              <w:spacing w:after="0"/>
              <w:rPr>
                <w:sz w:val="20"/>
                <w:szCs w:val="20"/>
                <w:color w:val="auto"/>
              </w:rPr>
            </w:pPr>
            <w:r>
              <w:rPr>
                <w:rFonts w:ascii="Arial" w:cs="Arial" w:eastAsia="Arial" w:hAnsi="Arial"/>
                <w:sz w:val="20"/>
                <w:szCs w:val="20"/>
                <w:color w:val="FF0000"/>
                <w:strike w:val="1"/>
                <w:w w:val="83"/>
              </w:rPr>
              <w:t>128</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0000FF"/>
                <w:w w:val="76"/>
              </w:rPr>
              <w:t>129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3.04</w:t>
            </w:r>
          </w:p>
        </w:tc>
        <w:tc>
          <w:tcPr>
            <w:tcW w:w="4300" w:type="dxa"/>
            <w:vAlign w:val="bottom"/>
            <w:gridSpan w:val="47"/>
          </w:tcPr>
          <w:p>
            <w:pPr>
              <w:ind w:left="100"/>
              <w:spacing w:after="0"/>
              <w:rPr>
                <w:sz w:val="20"/>
                <w:szCs w:val="20"/>
                <w:color w:val="auto"/>
              </w:rPr>
            </w:pPr>
            <w:r>
              <w:rPr>
                <w:rFonts w:ascii="Arial" w:cs="Arial" w:eastAsia="Arial" w:hAnsi="Arial"/>
                <w:sz w:val="20"/>
                <w:szCs w:val="20"/>
                <w:color w:val="auto"/>
                <w:w w:val="95"/>
              </w:rPr>
              <w:t>Financial Condition; No Material Adverse Change</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128</w:t>
            </w:r>
          </w:p>
        </w:tc>
        <w:tc>
          <w:tcPr>
            <w:tcW w:w="3120" w:type="dxa"/>
            <w:vAlign w:val="bottom"/>
            <w:gridSpan w:val="2"/>
          </w:tcPr>
          <w:p>
            <w:pPr>
              <w:jc w:val="right"/>
              <w:ind w:right="2820"/>
              <w:spacing w:after="0"/>
              <w:rPr>
                <w:sz w:val="20"/>
                <w:szCs w:val="20"/>
                <w:color w:val="auto"/>
              </w:rPr>
            </w:pPr>
            <w:r>
              <w:rPr>
                <w:rFonts w:ascii="Arial" w:cs="Arial" w:eastAsia="Arial" w:hAnsi="Arial"/>
                <w:sz w:val="20"/>
                <w:szCs w:val="20"/>
                <w:color w:val="0000FF"/>
                <w:w w:val="83"/>
              </w:rPr>
              <w:t>129</w:t>
            </w: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3.05</w:t>
            </w:r>
          </w:p>
        </w:tc>
        <w:tc>
          <w:tcPr>
            <w:tcW w:w="980" w:type="dxa"/>
            <w:vAlign w:val="bottom"/>
            <w:gridSpan w:val="2"/>
          </w:tcPr>
          <w:p>
            <w:pPr>
              <w:ind w:left="100"/>
              <w:spacing w:after="0"/>
              <w:rPr>
                <w:sz w:val="20"/>
                <w:szCs w:val="20"/>
                <w:color w:val="auto"/>
              </w:rPr>
            </w:pPr>
            <w:r>
              <w:rPr>
                <w:rFonts w:ascii="Arial" w:cs="Arial" w:eastAsia="Arial" w:hAnsi="Arial"/>
                <w:sz w:val="20"/>
                <w:szCs w:val="20"/>
                <w:color w:val="auto"/>
                <w:w w:val="94"/>
              </w:rPr>
              <w:t>Properties</w:t>
            </w:r>
          </w:p>
        </w:tc>
        <w:tc>
          <w:tcPr>
            <w:tcW w:w="440" w:type="dxa"/>
            <w:vAlign w:val="bottom"/>
            <w:gridSpan w:val="5"/>
          </w:tcPr>
          <w:p>
            <w:pPr>
              <w:jc w:val="right"/>
              <w:ind w:right="20"/>
              <w:spacing w:after="0"/>
              <w:rPr>
                <w:sz w:val="20"/>
                <w:szCs w:val="20"/>
                <w:color w:val="auto"/>
              </w:rPr>
            </w:pPr>
            <w:r>
              <w:rPr>
                <w:rFonts w:ascii="Arial" w:cs="Arial" w:eastAsia="Arial" w:hAnsi="Arial"/>
                <w:sz w:val="20"/>
                <w:szCs w:val="20"/>
                <w:color w:val="auto"/>
              </w:rPr>
              <w:t>129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3.06</w:t>
            </w:r>
          </w:p>
        </w:tc>
        <w:tc>
          <w:tcPr>
            <w:tcW w:w="3860" w:type="dxa"/>
            <w:vAlign w:val="bottom"/>
            <w:gridSpan w:val="41"/>
          </w:tcPr>
          <w:p>
            <w:pPr>
              <w:ind w:left="100"/>
              <w:spacing w:after="0"/>
              <w:rPr>
                <w:sz w:val="20"/>
                <w:szCs w:val="20"/>
                <w:color w:val="auto"/>
              </w:rPr>
            </w:pPr>
            <w:r>
              <w:rPr>
                <w:rFonts w:ascii="Arial" w:cs="Arial" w:eastAsia="Arial" w:hAnsi="Arial"/>
                <w:sz w:val="20"/>
                <w:szCs w:val="20"/>
                <w:color w:val="auto"/>
                <w:w w:val="96"/>
              </w:rPr>
              <w:t>Litigation, Environmental and Labor Matters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129</w:t>
            </w:r>
          </w:p>
        </w:tc>
        <w:tc>
          <w:tcPr>
            <w:tcW w:w="440" w:type="dxa"/>
            <w:vAlign w:val="bottom"/>
            <w:gridSpan w:val="5"/>
          </w:tcPr>
          <w:p>
            <w:pPr>
              <w:jc w:val="right"/>
              <w:ind w:right="140"/>
              <w:spacing w:after="0"/>
              <w:rPr>
                <w:sz w:val="20"/>
                <w:szCs w:val="20"/>
                <w:color w:val="auto"/>
              </w:rPr>
            </w:pPr>
            <w:r>
              <w:rPr>
                <w:rFonts w:ascii="Arial" w:cs="Arial" w:eastAsia="Arial" w:hAnsi="Arial"/>
                <w:sz w:val="20"/>
                <w:szCs w:val="20"/>
                <w:color w:val="0000FF"/>
                <w:w w:val="83"/>
              </w:rPr>
              <w:t>130</w:t>
            </w:r>
          </w:p>
        </w:tc>
        <w:tc>
          <w:tcPr>
            <w:tcW w:w="30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322"/>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3.07</w:t>
            </w:r>
          </w:p>
        </w:tc>
        <w:tc>
          <w:tcPr>
            <w:tcW w:w="3420" w:type="dxa"/>
            <w:vAlign w:val="bottom"/>
            <w:gridSpan w:val="37"/>
          </w:tcPr>
          <w:p>
            <w:pPr>
              <w:ind w:left="100"/>
              <w:spacing w:after="0"/>
              <w:rPr>
                <w:sz w:val="20"/>
                <w:szCs w:val="20"/>
                <w:color w:val="auto"/>
              </w:rPr>
            </w:pPr>
            <w:r>
              <w:rPr>
                <w:rFonts w:ascii="Arial" w:cs="Arial" w:eastAsia="Arial" w:hAnsi="Arial"/>
                <w:sz w:val="20"/>
                <w:szCs w:val="20"/>
                <w:color w:val="auto"/>
                <w:w w:val="93"/>
              </w:rPr>
              <w:t>Compliance with Laws and Agreements</w:t>
            </w:r>
          </w:p>
        </w:tc>
        <w:tc>
          <w:tcPr>
            <w:tcW w:w="440" w:type="dxa"/>
            <w:vAlign w:val="bottom"/>
            <w:gridSpan w:val="4"/>
          </w:tcPr>
          <w:p>
            <w:pPr>
              <w:jc w:val="right"/>
              <w:ind w:right="80"/>
              <w:spacing w:after="0"/>
              <w:rPr>
                <w:sz w:val="20"/>
                <w:szCs w:val="20"/>
                <w:color w:val="auto"/>
              </w:rPr>
            </w:pPr>
            <w:r>
              <w:rPr>
                <w:rFonts w:ascii="Arial" w:cs="Arial" w:eastAsia="Arial" w:hAnsi="Arial"/>
                <w:sz w:val="20"/>
                <w:szCs w:val="20"/>
                <w:color w:val="auto"/>
              </w:rPr>
              <w:t>130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3.08</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3"/>
              </w:rPr>
              <w:t>Investment Company Status</w:t>
            </w:r>
          </w:p>
        </w:tc>
        <w:tc>
          <w:tcPr>
            <w:tcW w:w="340" w:type="dxa"/>
            <w:vAlign w:val="bottom"/>
            <w:gridSpan w:val="6"/>
          </w:tcPr>
          <w:p>
            <w:pPr>
              <w:jc w:val="right"/>
              <w:spacing w:after="0"/>
              <w:rPr>
                <w:sz w:val="20"/>
                <w:szCs w:val="20"/>
                <w:color w:val="auto"/>
              </w:rPr>
            </w:pPr>
            <w:r>
              <w:rPr>
                <w:rFonts w:ascii="Arial" w:cs="Arial" w:eastAsia="Arial" w:hAnsi="Arial"/>
                <w:sz w:val="20"/>
                <w:szCs w:val="20"/>
                <w:color w:val="FF0000"/>
                <w:strike w:val="1"/>
                <w:w w:val="95"/>
              </w:rPr>
              <w:t>130</w:t>
            </w:r>
          </w:p>
        </w:tc>
        <w:tc>
          <w:tcPr>
            <w:tcW w:w="340" w:type="dxa"/>
            <w:vAlign w:val="bottom"/>
            <w:gridSpan w:val="8"/>
          </w:tcPr>
          <w:p>
            <w:pPr>
              <w:jc w:val="right"/>
              <w:ind w:right="40"/>
              <w:spacing w:after="0"/>
              <w:rPr>
                <w:sz w:val="20"/>
                <w:szCs w:val="20"/>
                <w:color w:val="auto"/>
              </w:rPr>
            </w:pPr>
            <w:r>
              <w:rPr>
                <w:rFonts w:ascii="Arial" w:cs="Arial" w:eastAsia="Arial" w:hAnsi="Arial"/>
                <w:sz w:val="20"/>
                <w:szCs w:val="20"/>
                <w:color w:val="0000FF"/>
                <w:w w:val="83"/>
              </w:rPr>
              <w:t>131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3.09</w:t>
            </w:r>
          </w:p>
        </w:tc>
        <w:tc>
          <w:tcPr>
            <w:tcW w:w="760" w:type="dxa"/>
            <w:vAlign w:val="bottom"/>
          </w:tcPr>
          <w:p>
            <w:pPr>
              <w:ind w:left="100"/>
              <w:spacing w:after="0"/>
              <w:rPr>
                <w:sz w:val="20"/>
                <w:szCs w:val="20"/>
                <w:color w:val="auto"/>
              </w:rPr>
            </w:pPr>
            <w:r>
              <w:rPr>
                <w:rFonts w:ascii="Arial" w:cs="Arial" w:eastAsia="Arial" w:hAnsi="Arial"/>
                <w:sz w:val="20"/>
                <w:szCs w:val="20"/>
                <w:color w:val="auto"/>
              </w:rPr>
              <w:t>Taxes</w:t>
            </w:r>
          </w:p>
        </w:tc>
        <w:tc>
          <w:tcPr>
            <w:tcW w:w="400" w:type="dxa"/>
            <w:vAlign w:val="bottom"/>
            <w:gridSpan w:val="2"/>
          </w:tcPr>
          <w:p>
            <w:pPr>
              <w:jc w:val="right"/>
              <w:ind w:right="1"/>
              <w:spacing w:after="0"/>
              <w:rPr>
                <w:sz w:val="20"/>
                <w:szCs w:val="20"/>
                <w:color w:val="auto"/>
              </w:rPr>
            </w:pPr>
            <w:r>
              <w:rPr>
                <w:rFonts w:ascii="Arial" w:cs="Arial" w:eastAsia="Arial" w:hAnsi="Arial"/>
                <w:sz w:val="20"/>
                <w:szCs w:val="20"/>
                <w:color w:val="FF0000"/>
                <w:strike w:val="1"/>
                <w:w w:val="83"/>
              </w:rPr>
              <w:t>130</w:t>
            </w:r>
          </w:p>
        </w:tc>
        <w:tc>
          <w:tcPr>
            <w:tcW w:w="200" w:type="dxa"/>
            <w:vAlign w:val="bottom"/>
            <w:gridSpan w:val="2"/>
          </w:tcPr>
          <w:p>
            <w:pPr>
              <w:spacing w:after="0"/>
              <w:rPr>
                <w:sz w:val="20"/>
                <w:szCs w:val="20"/>
                <w:color w:val="auto"/>
              </w:rPr>
            </w:pPr>
            <w:r>
              <w:rPr>
                <w:rFonts w:ascii="Arial" w:cs="Arial" w:eastAsia="Arial" w:hAnsi="Arial"/>
                <w:sz w:val="15"/>
                <w:szCs w:val="15"/>
                <w:color w:val="0000FF"/>
                <w:w w:val="71"/>
              </w:rPr>
              <w:t>131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3.10</w:t>
            </w:r>
          </w:p>
        </w:tc>
        <w:tc>
          <w:tcPr>
            <w:tcW w:w="760" w:type="dxa"/>
            <w:vAlign w:val="bottom"/>
          </w:tcPr>
          <w:p>
            <w:pPr>
              <w:ind w:left="100"/>
              <w:spacing w:after="0"/>
              <w:rPr>
                <w:sz w:val="20"/>
                <w:szCs w:val="20"/>
                <w:color w:val="auto"/>
              </w:rPr>
            </w:pPr>
            <w:r>
              <w:rPr>
                <w:rFonts w:ascii="Arial" w:cs="Arial" w:eastAsia="Arial" w:hAnsi="Arial"/>
                <w:sz w:val="20"/>
                <w:szCs w:val="20"/>
                <w:color w:val="auto"/>
              </w:rPr>
              <w:t>ERISA</w:t>
            </w:r>
          </w:p>
        </w:tc>
        <w:tc>
          <w:tcPr>
            <w:tcW w:w="400" w:type="dxa"/>
            <w:vAlign w:val="bottom"/>
            <w:gridSpan w:val="2"/>
          </w:tcPr>
          <w:p>
            <w:pPr>
              <w:jc w:val="right"/>
              <w:spacing w:after="0"/>
              <w:rPr>
                <w:sz w:val="20"/>
                <w:szCs w:val="20"/>
                <w:color w:val="auto"/>
              </w:rPr>
            </w:pPr>
            <w:r>
              <w:rPr>
                <w:rFonts w:ascii="Arial" w:cs="Arial" w:eastAsia="Arial" w:hAnsi="Arial"/>
                <w:sz w:val="20"/>
                <w:szCs w:val="20"/>
                <w:color w:val="FF0000"/>
                <w:strike w:val="1"/>
              </w:rPr>
              <w:t>130</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3.11</w:t>
            </w:r>
          </w:p>
        </w:tc>
        <w:tc>
          <w:tcPr>
            <w:tcW w:w="980" w:type="dxa"/>
            <w:vAlign w:val="bottom"/>
            <w:gridSpan w:val="2"/>
          </w:tcPr>
          <w:p>
            <w:pPr>
              <w:ind w:left="100"/>
              <w:spacing w:after="0"/>
              <w:rPr>
                <w:sz w:val="20"/>
                <w:szCs w:val="20"/>
                <w:color w:val="auto"/>
              </w:rPr>
            </w:pPr>
            <w:r>
              <w:rPr>
                <w:rFonts w:ascii="Arial" w:cs="Arial" w:eastAsia="Arial" w:hAnsi="Arial"/>
                <w:sz w:val="20"/>
                <w:szCs w:val="20"/>
                <w:color w:val="auto"/>
                <w:w w:val="92"/>
              </w:rPr>
              <w:t>Disclosure</w:t>
            </w:r>
          </w:p>
        </w:tc>
        <w:tc>
          <w:tcPr>
            <w:tcW w:w="480" w:type="dxa"/>
            <w:vAlign w:val="bottom"/>
            <w:gridSpan w:val="6"/>
          </w:tcPr>
          <w:p>
            <w:pPr>
              <w:jc w:val="right"/>
              <w:spacing w:after="0"/>
              <w:rPr>
                <w:sz w:val="20"/>
                <w:szCs w:val="20"/>
                <w:color w:val="auto"/>
              </w:rPr>
            </w:pPr>
            <w:r>
              <w:rPr>
                <w:rFonts w:ascii="Arial" w:cs="Arial" w:eastAsia="Arial" w:hAnsi="Arial"/>
                <w:sz w:val="20"/>
                <w:szCs w:val="20"/>
                <w:color w:val="auto"/>
              </w:rPr>
              <w:t>131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52"/>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3.12</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1"/>
              </w:rPr>
              <w:t>Federal Reserve Regulations</w:t>
            </w:r>
          </w:p>
        </w:tc>
        <w:tc>
          <w:tcPr>
            <w:tcW w:w="80" w:type="dxa"/>
            <w:vAlign w:val="bottom"/>
          </w:tcPr>
          <w:p>
            <w:pPr>
              <w:spacing w:after="0"/>
              <w:rPr>
                <w:sz w:val="21"/>
                <w:szCs w:val="21"/>
                <w:color w:val="auto"/>
              </w:rPr>
            </w:pPr>
          </w:p>
        </w:tc>
        <w:tc>
          <w:tcPr>
            <w:tcW w:w="320" w:type="dxa"/>
            <w:vAlign w:val="bottom"/>
            <w:gridSpan w:val="6"/>
          </w:tcPr>
          <w:p>
            <w:pPr>
              <w:jc w:val="right"/>
              <w:spacing w:after="0"/>
              <w:rPr>
                <w:sz w:val="20"/>
                <w:szCs w:val="20"/>
                <w:color w:val="auto"/>
              </w:rPr>
            </w:pPr>
            <w:r>
              <w:rPr>
                <w:rFonts w:ascii="Arial" w:cs="Arial" w:eastAsia="Arial" w:hAnsi="Arial"/>
                <w:sz w:val="20"/>
                <w:szCs w:val="20"/>
                <w:color w:val="FF0000"/>
                <w:strike w:val="1"/>
                <w:w w:val="89"/>
              </w:rPr>
              <w:t>131</w:t>
            </w:r>
          </w:p>
        </w:tc>
        <w:tc>
          <w:tcPr>
            <w:tcW w:w="340" w:type="dxa"/>
            <w:vAlign w:val="bottom"/>
            <w:gridSpan w:val="8"/>
          </w:tcPr>
          <w:p>
            <w:pPr>
              <w:jc w:val="right"/>
              <w:ind w:right="60"/>
              <w:spacing w:after="0"/>
              <w:rPr>
                <w:sz w:val="20"/>
                <w:szCs w:val="20"/>
                <w:color w:val="auto"/>
              </w:rPr>
            </w:pPr>
            <w:r>
              <w:rPr>
                <w:rFonts w:ascii="Arial" w:cs="Arial" w:eastAsia="Arial" w:hAnsi="Arial"/>
                <w:sz w:val="20"/>
                <w:szCs w:val="20"/>
                <w:color w:val="0000FF"/>
                <w:w w:val="77"/>
              </w:rPr>
              <w:t>132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3.13</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2"/>
              </w:rPr>
              <w:t>Security Interest in Collateral</w:t>
            </w:r>
          </w:p>
        </w:tc>
        <w:tc>
          <w:tcPr>
            <w:tcW w:w="80" w:type="dxa"/>
            <w:vAlign w:val="bottom"/>
          </w:tcPr>
          <w:p>
            <w:pPr>
              <w:spacing w:after="0"/>
              <w:rPr>
                <w:sz w:val="24"/>
                <w:szCs w:val="24"/>
                <w:color w:val="auto"/>
              </w:rPr>
            </w:pPr>
          </w:p>
        </w:tc>
        <w:tc>
          <w:tcPr>
            <w:tcW w:w="380" w:type="dxa"/>
            <w:vAlign w:val="bottom"/>
            <w:gridSpan w:val="8"/>
          </w:tcPr>
          <w:p>
            <w:pPr>
              <w:jc w:val="right"/>
              <w:spacing w:after="0"/>
              <w:rPr>
                <w:sz w:val="20"/>
                <w:szCs w:val="20"/>
                <w:color w:val="auto"/>
              </w:rPr>
            </w:pPr>
            <w:r>
              <w:rPr>
                <w:rFonts w:ascii="Arial" w:cs="Arial" w:eastAsia="Arial" w:hAnsi="Arial"/>
                <w:sz w:val="20"/>
                <w:szCs w:val="20"/>
                <w:color w:val="FF0000"/>
                <w:strike w:val="1"/>
              </w:rPr>
              <w:t>131</w:t>
            </w:r>
          </w:p>
        </w:tc>
        <w:tc>
          <w:tcPr>
            <w:tcW w:w="280" w:type="dxa"/>
            <w:vAlign w:val="bottom"/>
            <w:gridSpan w:val="6"/>
          </w:tcPr>
          <w:p>
            <w:pPr>
              <w:jc w:val="right"/>
              <w:spacing w:after="0"/>
              <w:rPr>
                <w:sz w:val="20"/>
                <w:szCs w:val="20"/>
                <w:color w:val="auto"/>
              </w:rPr>
            </w:pPr>
            <w:r>
              <w:rPr>
                <w:rFonts w:ascii="Arial" w:cs="Arial" w:eastAsia="Arial" w:hAnsi="Arial"/>
                <w:sz w:val="20"/>
                <w:szCs w:val="20"/>
                <w:color w:val="0000FF"/>
                <w:w w:val="77"/>
              </w:rPr>
              <w:t>132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3.14</w:t>
            </w:r>
          </w:p>
        </w:tc>
        <w:tc>
          <w:tcPr>
            <w:tcW w:w="980" w:type="dxa"/>
            <w:vAlign w:val="bottom"/>
            <w:gridSpan w:val="2"/>
          </w:tcPr>
          <w:p>
            <w:pPr>
              <w:ind w:left="100"/>
              <w:spacing w:after="0"/>
              <w:rPr>
                <w:sz w:val="20"/>
                <w:szCs w:val="20"/>
                <w:color w:val="auto"/>
              </w:rPr>
            </w:pPr>
            <w:r>
              <w:rPr>
                <w:rFonts w:ascii="Arial" w:cs="Arial" w:eastAsia="Arial" w:hAnsi="Arial"/>
                <w:sz w:val="20"/>
                <w:szCs w:val="20"/>
                <w:color w:val="auto"/>
              </w:rPr>
              <w:t>Solvency</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132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3.15</w:t>
            </w:r>
          </w:p>
        </w:tc>
        <w:tc>
          <w:tcPr>
            <w:tcW w:w="7720" w:type="dxa"/>
            <w:vAlign w:val="bottom"/>
            <w:gridSpan w:val="52"/>
          </w:tcPr>
          <w:p>
            <w:pPr>
              <w:ind w:left="100"/>
              <w:spacing w:after="0"/>
              <w:rPr>
                <w:sz w:val="20"/>
                <w:szCs w:val="20"/>
                <w:color w:val="auto"/>
              </w:rPr>
            </w:pPr>
            <w:r>
              <w:rPr>
                <w:rFonts w:ascii="Arial" w:cs="Arial" w:eastAsia="Arial" w:hAnsi="Arial"/>
                <w:sz w:val="20"/>
                <w:szCs w:val="20"/>
                <w:color w:val="auto"/>
              </w:rPr>
              <w:t>Compliance with Anti-Corruption Laws and Sanctions  132</w:t>
            </w: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3.16</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1"/>
              </w:rPr>
              <w:t>No Irish Financial Assistance</w:t>
            </w:r>
          </w:p>
        </w:tc>
        <w:tc>
          <w:tcPr>
            <w:tcW w:w="80" w:type="dxa"/>
            <w:vAlign w:val="bottom"/>
          </w:tcPr>
          <w:p>
            <w:pPr>
              <w:spacing w:after="0"/>
              <w:rPr>
                <w:sz w:val="23"/>
                <w:szCs w:val="23"/>
                <w:color w:val="auto"/>
              </w:rPr>
            </w:pPr>
          </w:p>
        </w:tc>
        <w:tc>
          <w:tcPr>
            <w:tcW w:w="380" w:type="dxa"/>
            <w:vAlign w:val="bottom"/>
            <w:gridSpan w:val="8"/>
          </w:tcPr>
          <w:p>
            <w:pPr>
              <w:jc w:val="right"/>
              <w:spacing w:after="0"/>
              <w:rPr>
                <w:sz w:val="20"/>
                <w:szCs w:val="20"/>
                <w:color w:val="auto"/>
              </w:rPr>
            </w:pPr>
            <w:r>
              <w:rPr>
                <w:rFonts w:ascii="Arial" w:cs="Arial" w:eastAsia="Arial" w:hAnsi="Arial"/>
                <w:sz w:val="20"/>
                <w:szCs w:val="20"/>
                <w:color w:val="FF0000"/>
                <w:strike w:val="1"/>
              </w:rPr>
              <w:t>132</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77"/>
              </w:rPr>
              <w:t>133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3.17</w:t>
            </w:r>
          </w:p>
        </w:tc>
        <w:tc>
          <w:tcPr>
            <w:tcW w:w="1980" w:type="dxa"/>
            <w:vAlign w:val="bottom"/>
            <w:gridSpan w:val="12"/>
          </w:tcPr>
          <w:p>
            <w:pPr>
              <w:ind w:left="100"/>
              <w:spacing w:after="0"/>
              <w:rPr>
                <w:sz w:val="20"/>
                <w:szCs w:val="20"/>
                <w:color w:val="auto"/>
              </w:rPr>
            </w:pPr>
            <w:r>
              <w:rPr>
                <w:rFonts w:ascii="Arial" w:cs="Arial" w:eastAsia="Arial" w:hAnsi="Arial"/>
                <w:sz w:val="20"/>
                <w:szCs w:val="20"/>
                <w:color w:val="auto"/>
              </w:rPr>
              <w:t>Luxembourg Matters</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132</w:t>
            </w:r>
          </w:p>
        </w:tc>
        <w:tc>
          <w:tcPr>
            <w:tcW w:w="440" w:type="dxa"/>
            <w:vAlign w:val="bottom"/>
            <w:gridSpan w:val="5"/>
          </w:tcPr>
          <w:p>
            <w:pPr>
              <w:jc w:val="right"/>
              <w:ind w:right="41"/>
              <w:spacing w:after="0"/>
              <w:rPr>
                <w:sz w:val="20"/>
                <w:szCs w:val="20"/>
                <w:color w:val="auto"/>
              </w:rPr>
            </w:pPr>
            <w:r>
              <w:rPr>
                <w:rFonts w:ascii="Arial" w:cs="Arial" w:eastAsia="Arial" w:hAnsi="Arial"/>
                <w:sz w:val="20"/>
                <w:szCs w:val="20"/>
                <w:color w:val="0000FF"/>
                <w:w w:val="83"/>
              </w:rPr>
              <w:t>133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2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3.18</w:t>
            </w:r>
          </w:p>
        </w:tc>
        <w:tc>
          <w:tcPr>
            <w:tcW w:w="1580" w:type="dxa"/>
            <w:vAlign w:val="bottom"/>
            <w:gridSpan w:val="9"/>
          </w:tcPr>
          <w:p>
            <w:pPr>
              <w:ind w:left="100"/>
              <w:spacing w:after="0"/>
              <w:rPr>
                <w:sz w:val="20"/>
                <w:szCs w:val="20"/>
                <w:color w:val="auto"/>
              </w:rPr>
            </w:pPr>
            <w:r>
              <w:rPr>
                <w:rFonts w:ascii="Arial" w:cs="Arial" w:eastAsia="Arial" w:hAnsi="Arial"/>
                <w:sz w:val="20"/>
                <w:szCs w:val="20"/>
                <w:color w:val="auto"/>
                <w:w w:val="91"/>
              </w:rPr>
              <w:t>PATRIOT Act, etc</w:t>
            </w:r>
          </w:p>
        </w:tc>
        <w:tc>
          <w:tcPr>
            <w:tcW w:w="500" w:type="dxa"/>
            <w:vAlign w:val="bottom"/>
            <w:gridSpan w:val="5"/>
          </w:tcPr>
          <w:p>
            <w:pPr>
              <w:jc w:val="right"/>
              <w:ind w:right="20"/>
              <w:spacing w:after="0"/>
              <w:rPr>
                <w:sz w:val="20"/>
                <w:szCs w:val="20"/>
                <w:color w:val="auto"/>
              </w:rPr>
            </w:pPr>
            <w:r>
              <w:rPr>
                <w:rFonts w:ascii="Arial" w:cs="Arial" w:eastAsia="Arial" w:hAnsi="Arial"/>
                <w:sz w:val="20"/>
                <w:szCs w:val="20"/>
                <w:color w:val="auto"/>
              </w:rPr>
              <w:t>133</w:t>
            </w:r>
          </w:p>
        </w:tc>
        <w:tc>
          <w:tcPr>
            <w:tcW w:w="1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66"/>
        </w:trPr>
        <w:tc>
          <w:tcPr>
            <w:tcW w:w="2500" w:type="dxa"/>
            <w:vAlign w:val="bottom"/>
            <w:gridSpan w:val="2"/>
          </w:tcPr>
          <w:p>
            <w:pPr>
              <w:spacing w:after="0"/>
              <w:rPr>
                <w:sz w:val="20"/>
                <w:szCs w:val="20"/>
                <w:color w:val="auto"/>
              </w:rPr>
            </w:pPr>
            <w:r>
              <w:rPr>
                <w:rFonts w:ascii="Arial" w:cs="Arial" w:eastAsia="Arial" w:hAnsi="Arial"/>
                <w:sz w:val="20"/>
                <w:szCs w:val="20"/>
                <w:color w:val="auto"/>
              </w:rPr>
              <w:t>ARTICLE IV CONDITIONS</w:t>
            </w:r>
          </w:p>
        </w:tc>
        <w:tc>
          <w:tcPr>
            <w:tcW w:w="40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133</w:t>
            </w: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3"/>
              </w:rPr>
              <w:t>134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4.01</w:t>
            </w:r>
          </w:p>
        </w:tc>
        <w:tc>
          <w:tcPr>
            <w:tcW w:w="3420" w:type="dxa"/>
            <w:vAlign w:val="bottom"/>
            <w:gridSpan w:val="37"/>
          </w:tcPr>
          <w:p>
            <w:pPr>
              <w:ind w:left="100"/>
              <w:spacing w:after="0"/>
              <w:rPr>
                <w:sz w:val="20"/>
                <w:szCs w:val="20"/>
                <w:color w:val="auto"/>
              </w:rPr>
            </w:pPr>
            <w:r>
              <w:rPr>
                <w:rFonts w:ascii="Arial" w:cs="Arial" w:eastAsia="Arial" w:hAnsi="Arial"/>
                <w:sz w:val="20"/>
                <w:szCs w:val="20"/>
                <w:color w:val="auto"/>
                <w:w w:val="89"/>
              </w:rPr>
              <w:t>Conditions Precedent to the Closing Date</w:t>
            </w: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133</w:t>
            </w:r>
          </w:p>
        </w:tc>
        <w:tc>
          <w:tcPr>
            <w:tcW w:w="32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9"/>
              </w:rPr>
              <w:t>134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4.02</w:t>
            </w:r>
          </w:p>
        </w:tc>
        <w:tc>
          <w:tcPr>
            <w:tcW w:w="3420" w:type="dxa"/>
            <w:vAlign w:val="bottom"/>
            <w:gridSpan w:val="37"/>
          </w:tcPr>
          <w:p>
            <w:pPr>
              <w:ind w:left="100"/>
              <w:spacing w:after="0"/>
              <w:rPr>
                <w:sz w:val="20"/>
                <w:szCs w:val="20"/>
                <w:color w:val="auto"/>
              </w:rPr>
            </w:pPr>
            <w:r>
              <w:rPr>
                <w:rFonts w:ascii="Arial" w:cs="Arial" w:eastAsia="Arial" w:hAnsi="Arial"/>
                <w:sz w:val="20"/>
                <w:szCs w:val="20"/>
                <w:color w:val="auto"/>
                <w:w w:val="91"/>
              </w:rPr>
              <w:t>Each Credit Event after the Closing Date</w:t>
            </w:r>
          </w:p>
        </w:tc>
        <w:tc>
          <w:tcPr>
            <w:tcW w:w="440" w:type="dxa"/>
            <w:vAlign w:val="bottom"/>
            <w:gridSpan w:val="4"/>
          </w:tcPr>
          <w:p>
            <w:pPr>
              <w:jc w:val="right"/>
              <w:ind w:right="20"/>
              <w:spacing w:after="0"/>
              <w:rPr>
                <w:sz w:val="20"/>
                <w:szCs w:val="20"/>
                <w:color w:val="auto"/>
              </w:rPr>
            </w:pPr>
            <w:r>
              <w:rPr>
                <w:rFonts w:ascii="Arial" w:cs="Arial" w:eastAsia="Arial" w:hAnsi="Arial"/>
                <w:sz w:val="20"/>
                <w:szCs w:val="20"/>
                <w:color w:val="FF0000"/>
                <w:strike w:val="1"/>
              </w:rPr>
              <w:t>137</w:t>
            </w: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7"/>
              </w:rPr>
              <w:t>138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5"/>
        </w:trPr>
        <w:tc>
          <w:tcPr>
            <w:tcW w:w="3820" w:type="dxa"/>
            <w:vAlign w:val="bottom"/>
            <w:gridSpan w:val="15"/>
          </w:tcPr>
          <w:p>
            <w:pPr>
              <w:spacing w:after="0"/>
              <w:rPr>
                <w:sz w:val="20"/>
                <w:szCs w:val="20"/>
                <w:color w:val="auto"/>
              </w:rPr>
            </w:pPr>
            <w:r>
              <w:rPr>
                <w:rFonts w:ascii="Arial" w:cs="Arial" w:eastAsia="Arial" w:hAnsi="Arial"/>
                <w:sz w:val="20"/>
                <w:szCs w:val="20"/>
                <w:color w:val="auto"/>
              </w:rPr>
              <w:t>ARTICLE V AFFIRMATIVE COVENANTS</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w w:val="83"/>
              </w:rPr>
              <w:t>138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5.01</w:t>
            </w:r>
          </w:p>
        </w:tc>
        <w:tc>
          <w:tcPr>
            <w:tcW w:w="3860" w:type="dxa"/>
            <w:vAlign w:val="bottom"/>
            <w:gridSpan w:val="41"/>
          </w:tcPr>
          <w:p>
            <w:pPr>
              <w:ind w:left="100"/>
              <w:spacing w:after="0"/>
              <w:rPr>
                <w:sz w:val="20"/>
                <w:szCs w:val="20"/>
                <w:color w:val="auto"/>
              </w:rPr>
            </w:pPr>
            <w:r>
              <w:rPr>
                <w:rFonts w:ascii="Arial" w:cs="Arial" w:eastAsia="Arial" w:hAnsi="Arial"/>
                <w:sz w:val="20"/>
                <w:szCs w:val="20"/>
                <w:color w:val="auto"/>
                <w:w w:val="96"/>
              </w:rPr>
              <w:t>Financial Statements and Other Information</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138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53"/>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5.02</w:t>
            </w:r>
          </w:p>
        </w:tc>
        <w:tc>
          <w:tcPr>
            <w:tcW w:w="2420" w:type="dxa"/>
            <w:vAlign w:val="bottom"/>
            <w:gridSpan w:val="17"/>
          </w:tcPr>
          <w:p>
            <w:pPr>
              <w:ind w:left="100"/>
              <w:spacing w:after="0"/>
              <w:rPr>
                <w:sz w:val="20"/>
                <w:szCs w:val="20"/>
                <w:color w:val="auto"/>
              </w:rPr>
            </w:pPr>
            <w:r>
              <w:rPr>
                <w:rFonts w:ascii="Arial" w:cs="Arial" w:eastAsia="Arial" w:hAnsi="Arial"/>
                <w:sz w:val="20"/>
                <w:szCs w:val="20"/>
                <w:color w:val="auto"/>
                <w:w w:val="98"/>
              </w:rPr>
              <w:t>Notices of Material Events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140</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141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5.03</w:t>
            </w:r>
          </w:p>
        </w:tc>
        <w:tc>
          <w:tcPr>
            <w:tcW w:w="2820" w:type="dxa"/>
            <w:vAlign w:val="bottom"/>
            <w:gridSpan w:val="24"/>
          </w:tcPr>
          <w:p>
            <w:pPr>
              <w:ind w:left="100"/>
              <w:spacing w:after="0"/>
              <w:rPr>
                <w:sz w:val="20"/>
                <w:szCs w:val="20"/>
                <w:color w:val="auto"/>
              </w:rPr>
            </w:pPr>
            <w:r>
              <w:rPr>
                <w:rFonts w:ascii="Arial" w:cs="Arial" w:eastAsia="Arial" w:hAnsi="Arial"/>
                <w:sz w:val="20"/>
                <w:szCs w:val="20"/>
                <w:color w:val="auto"/>
                <w:w w:val="95"/>
              </w:rPr>
              <w:t>Existence; Conduct of Business</w:t>
            </w:r>
          </w:p>
        </w:tc>
        <w:tc>
          <w:tcPr>
            <w:tcW w:w="280" w:type="dxa"/>
            <w:vAlign w:val="bottom"/>
            <w:gridSpan w:val="6"/>
          </w:tcPr>
          <w:p>
            <w:pPr>
              <w:jc w:val="right"/>
              <w:spacing w:after="0"/>
              <w:rPr>
                <w:sz w:val="20"/>
                <w:szCs w:val="20"/>
                <w:color w:val="auto"/>
              </w:rPr>
            </w:pPr>
            <w:r>
              <w:rPr>
                <w:rFonts w:ascii="Arial" w:cs="Arial" w:eastAsia="Arial" w:hAnsi="Arial"/>
                <w:sz w:val="20"/>
                <w:szCs w:val="20"/>
                <w:color w:val="FF0000"/>
                <w:strike w:val="1"/>
                <w:w w:val="77"/>
              </w:rPr>
              <w:t>140</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141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5.04</w:t>
            </w:r>
          </w:p>
        </w:tc>
        <w:tc>
          <w:tcPr>
            <w:tcW w:w="2080" w:type="dxa"/>
            <w:vAlign w:val="bottom"/>
            <w:gridSpan w:val="14"/>
          </w:tcPr>
          <w:p>
            <w:pPr>
              <w:ind w:left="100"/>
              <w:spacing w:after="0"/>
              <w:rPr>
                <w:sz w:val="20"/>
                <w:szCs w:val="20"/>
                <w:color w:val="auto"/>
              </w:rPr>
            </w:pPr>
            <w:r>
              <w:rPr>
                <w:rFonts w:ascii="Arial" w:cs="Arial" w:eastAsia="Arial" w:hAnsi="Arial"/>
                <w:sz w:val="20"/>
                <w:szCs w:val="20"/>
                <w:color w:val="auto"/>
                <w:w w:val="94"/>
              </w:rPr>
              <w:t>Payment of Obligations</w:t>
            </w:r>
          </w:p>
        </w:tc>
        <w:tc>
          <w:tcPr>
            <w:tcW w:w="400" w:type="dxa"/>
            <w:vAlign w:val="bottom"/>
            <w:gridSpan w:val="4"/>
          </w:tcPr>
          <w:p>
            <w:pPr>
              <w:jc w:val="right"/>
              <w:spacing w:after="0"/>
              <w:rPr>
                <w:sz w:val="20"/>
                <w:szCs w:val="20"/>
                <w:color w:val="auto"/>
              </w:rPr>
            </w:pPr>
            <w:r>
              <w:rPr>
                <w:rFonts w:ascii="Arial" w:cs="Arial" w:eastAsia="Arial" w:hAnsi="Arial"/>
                <w:sz w:val="20"/>
                <w:szCs w:val="20"/>
                <w:color w:val="auto"/>
              </w:rPr>
              <w:t>141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53"/>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5.05</w:t>
            </w:r>
          </w:p>
        </w:tc>
        <w:tc>
          <w:tcPr>
            <w:tcW w:w="3260" w:type="dxa"/>
            <w:vAlign w:val="bottom"/>
            <w:gridSpan w:val="34"/>
          </w:tcPr>
          <w:p>
            <w:pPr>
              <w:ind w:left="100"/>
              <w:spacing w:after="0"/>
              <w:rPr>
                <w:sz w:val="20"/>
                <w:szCs w:val="20"/>
                <w:color w:val="auto"/>
              </w:rPr>
            </w:pPr>
            <w:r>
              <w:rPr>
                <w:rFonts w:ascii="Arial" w:cs="Arial" w:eastAsia="Arial" w:hAnsi="Arial"/>
                <w:sz w:val="20"/>
                <w:szCs w:val="20"/>
                <w:color w:val="auto"/>
                <w:w w:val="94"/>
              </w:rPr>
              <w:t>Maintenance of Properties; Insurance</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5.06</w:t>
            </w:r>
          </w:p>
        </w:tc>
        <w:tc>
          <w:tcPr>
            <w:tcW w:w="3260" w:type="dxa"/>
            <w:vAlign w:val="bottom"/>
            <w:gridSpan w:val="34"/>
          </w:tcPr>
          <w:p>
            <w:pPr>
              <w:ind w:left="100"/>
              <w:spacing w:after="0"/>
              <w:rPr>
                <w:sz w:val="20"/>
                <w:szCs w:val="20"/>
                <w:color w:val="auto"/>
              </w:rPr>
            </w:pPr>
            <w:r>
              <w:rPr>
                <w:rFonts w:ascii="Arial" w:cs="Arial" w:eastAsia="Arial" w:hAnsi="Arial"/>
                <w:sz w:val="20"/>
                <w:szCs w:val="20"/>
                <w:color w:val="auto"/>
                <w:w w:val="92"/>
              </w:rPr>
              <w:t>Books and Records; Inspection Rights</w:t>
            </w:r>
          </w:p>
        </w:tc>
        <w:tc>
          <w:tcPr>
            <w:tcW w:w="380" w:type="dxa"/>
            <w:vAlign w:val="bottom"/>
            <w:gridSpan w:val="5"/>
          </w:tcPr>
          <w:p>
            <w:pPr>
              <w:jc w:val="right"/>
              <w:spacing w:after="0"/>
              <w:rPr>
                <w:sz w:val="20"/>
                <w:szCs w:val="20"/>
                <w:color w:val="auto"/>
              </w:rPr>
            </w:pPr>
            <w:r>
              <w:rPr>
                <w:rFonts w:ascii="Arial" w:cs="Arial" w:eastAsia="Arial" w:hAnsi="Arial"/>
                <w:sz w:val="20"/>
                <w:szCs w:val="20"/>
                <w:color w:val="FF0000"/>
                <w:strike w:val="1"/>
              </w:rPr>
              <w:t>141</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7"/>
              </w:rPr>
              <w:t>142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5.07</w:t>
            </w:r>
          </w:p>
        </w:tc>
        <w:tc>
          <w:tcPr>
            <w:tcW w:w="2080" w:type="dxa"/>
            <w:vAlign w:val="bottom"/>
            <w:gridSpan w:val="14"/>
          </w:tcPr>
          <w:p>
            <w:pPr>
              <w:ind w:left="100"/>
              <w:spacing w:after="0"/>
              <w:rPr>
                <w:sz w:val="20"/>
                <w:szCs w:val="20"/>
                <w:color w:val="auto"/>
              </w:rPr>
            </w:pPr>
            <w:r>
              <w:rPr>
                <w:rFonts w:ascii="Arial" w:cs="Arial" w:eastAsia="Arial" w:hAnsi="Arial"/>
                <w:sz w:val="20"/>
                <w:szCs w:val="20"/>
                <w:color w:val="auto"/>
                <w:w w:val="98"/>
              </w:rPr>
              <w:t>Compliance with Laws</w:t>
            </w:r>
          </w:p>
        </w:tc>
        <w:tc>
          <w:tcPr>
            <w:tcW w:w="400" w:type="dxa"/>
            <w:vAlign w:val="bottom"/>
            <w:gridSpan w:val="4"/>
          </w:tcPr>
          <w:p>
            <w:pPr>
              <w:jc w:val="right"/>
              <w:spacing w:after="0"/>
              <w:rPr>
                <w:sz w:val="20"/>
                <w:szCs w:val="20"/>
                <w:color w:val="auto"/>
              </w:rPr>
            </w:pPr>
            <w:r>
              <w:rPr>
                <w:rFonts w:ascii="Arial" w:cs="Arial" w:eastAsia="Arial" w:hAnsi="Arial"/>
                <w:sz w:val="20"/>
                <w:szCs w:val="20"/>
                <w:color w:val="auto"/>
              </w:rPr>
              <w:t>142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5.08</w:t>
            </w:r>
          </w:p>
        </w:tc>
        <w:tc>
          <w:tcPr>
            <w:tcW w:w="1580" w:type="dxa"/>
            <w:vAlign w:val="bottom"/>
            <w:gridSpan w:val="9"/>
          </w:tcPr>
          <w:p>
            <w:pPr>
              <w:ind w:left="100"/>
              <w:spacing w:after="0"/>
              <w:rPr>
                <w:sz w:val="20"/>
                <w:szCs w:val="20"/>
                <w:color w:val="auto"/>
              </w:rPr>
            </w:pPr>
            <w:r>
              <w:rPr>
                <w:rFonts w:ascii="Arial" w:cs="Arial" w:eastAsia="Arial" w:hAnsi="Arial"/>
                <w:sz w:val="20"/>
                <w:szCs w:val="20"/>
                <w:color w:val="auto"/>
                <w:w w:val="98"/>
              </w:rPr>
              <w:t>Use of Proceeds</w:t>
            </w:r>
          </w:p>
        </w:tc>
        <w:tc>
          <w:tcPr>
            <w:tcW w:w="400" w:type="dxa"/>
            <w:vAlign w:val="bottom"/>
            <w:gridSpan w:val="3"/>
          </w:tcPr>
          <w:p>
            <w:pPr>
              <w:jc w:val="right"/>
              <w:ind w:right="1"/>
              <w:spacing w:after="0"/>
              <w:rPr>
                <w:sz w:val="20"/>
                <w:szCs w:val="20"/>
                <w:color w:val="auto"/>
              </w:rPr>
            </w:pPr>
            <w:r>
              <w:rPr>
                <w:rFonts w:ascii="Arial" w:cs="Arial" w:eastAsia="Arial" w:hAnsi="Arial"/>
                <w:sz w:val="20"/>
                <w:szCs w:val="20"/>
                <w:color w:val="auto"/>
                <w:w w:val="83"/>
              </w:rPr>
              <w:t>142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63"/>
        </w:trPr>
        <w:tc>
          <w:tcPr>
            <w:tcW w:w="9460" w:type="dxa"/>
            <w:vAlign w:val="bottom"/>
            <w:gridSpan w:val="53"/>
          </w:tcPr>
          <w:p>
            <w:pPr>
              <w:ind w:left="660"/>
              <w:spacing w:after="0"/>
              <w:rPr>
                <w:sz w:val="20"/>
                <w:szCs w:val="20"/>
                <w:color w:val="auto"/>
              </w:rPr>
            </w:pPr>
            <w:r>
              <w:rPr>
                <w:rFonts w:ascii="Arial" w:cs="Arial" w:eastAsia="Arial" w:hAnsi="Arial"/>
                <w:sz w:val="20"/>
                <w:szCs w:val="20"/>
                <w:color w:val="auto"/>
                <w:w w:val="90"/>
              </w:rPr>
              <w:t>Section 5.09  Subsidiary Guarantors; Pledges; Additional Collateral; Further Assurances; Guarantor Coverage</w:t>
            </w:r>
          </w:p>
        </w:tc>
      </w:tr>
      <w:tr>
        <w:trPr>
          <w:trHeight w:val="206"/>
        </w:trPr>
        <w:tc>
          <w:tcPr>
            <w:tcW w:w="1740" w:type="dxa"/>
            <w:vAlign w:val="bottom"/>
          </w:tcPr>
          <w:p>
            <w:pPr>
              <w:spacing w:after="0"/>
              <w:rPr>
                <w:sz w:val="17"/>
                <w:szCs w:val="17"/>
                <w:color w:val="auto"/>
              </w:rPr>
            </w:pPr>
          </w:p>
        </w:tc>
        <w:tc>
          <w:tcPr>
            <w:tcW w:w="980" w:type="dxa"/>
            <w:vAlign w:val="bottom"/>
            <w:gridSpan w:val="2"/>
          </w:tcPr>
          <w:p>
            <w:pPr>
              <w:ind w:left="540"/>
              <w:spacing w:after="0" w:line="206" w:lineRule="exact"/>
              <w:rPr>
                <w:sz w:val="20"/>
                <w:szCs w:val="20"/>
                <w:color w:val="auto"/>
              </w:rPr>
            </w:pPr>
            <w:r>
              <w:rPr>
                <w:rFonts w:ascii="Arial" w:cs="Arial" w:eastAsia="Arial" w:hAnsi="Arial"/>
                <w:sz w:val="20"/>
                <w:szCs w:val="20"/>
                <w:color w:val="auto"/>
              </w:rPr>
              <w:t>Test</w:t>
            </w:r>
          </w:p>
        </w:tc>
        <w:tc>
          <w:tcPr>
            <w:tcW w:w="18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Arial" w:cs="Arial" w:eastAsia="Arial" w:hAnsi="Arial"/>
                <w:sz w:val="15"/>
                <w:szCs w:val="15"/>
                <w:color w:val="FF0000"/>
                <w:strike w:val="1"/>
                <w:w w:val="71"/>
              </w:rPr>
              <w:t>142</w:t>
            </w:r>
          </w:p>
        </w:tc>
        <w:tc>
          <w:tcPr>
            <w:tcW w:w="300" w:type="dxa"/>
            <w:vAlign w:val="bottom"/>
            <w:tcBorders>
              <w:bottom w:val="single" w:sz="8" w:color="0000FF"/>
            </w:tcBorders>
            <w:gridSpan w:val="5"/>
          </w:tcPr>
          <w:p>
            <w:pPr>
              <w:jc w:val="right"/>
              <w:spacing w:after="0" w:line="206" w:lineRule="exact"/>
              <w:rPr>
                <w:sz w:val="20"/>
                <w:szCs w:val="20"/>
                <w:color w:val="auto"/>
              </w:rPr>
            </w:pPr>
            <w:r>
              <w:rPr>
                <w:rFonts w:ascii="Arial" w:cs="Arial" w:eastAsia="Arial" w:hAnsi="Arial"/>
                <w:sz w:val="20"/>
                <w:szCs w:val="20"/>
                <w:color w:val="0000FF"/>
                <w:w w:val="83"/>
              </w:rPr>
              <w:t>143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5.10</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7"/>
              </w:rPr>
              <w:t>Designation of Subsidiaries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144</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5.11</w:t>
            </w:r>
          </w:p>
        </w:tc>
        <w:tc>
          <w:tcPr>
            <w:tcW w:w="2080" w:type="dxa"/>
            <w:vAlign w:val="bottom"/>
            <w:gridSpan w:val="14"/>
          </w:tcPr>
          <w:p>
            <w:pPr>
              <w:ind w:left="100"/>
              <w:spacing w:after="0"/>
              <w:rPr>
                <w:sz w:val="20"/>
                <w:szCs w:val="20"/>
                <w:color w:val="auto"/>
              </w:rPr>
            </w:pPr>
            <w:r>
              <w:rPr>
                <w:rFonts w:ascii="Arial" w:cs="Arial" w:eastAsia="Arial" w:hAnsi="Arial"/>
                <w:sz w:val="20"/>
                <w:szCs w:val="20"/>
                <w:color w:val="auto"/>
                <w:w w:val="93"/>
              </w:rPr>
              <w:t>Maintenance of Ratings</w:t>
            </w:r>
          </w:p>
        </w:tc>
        <w:tc>
          <w:tcPr>
            <w:tcW w:w="400" w:type="dxa"/>
            <w:vAlign w:val="bottom"/>
            <w:gridSpan w:val="4"/>
          </w:tcPr>
          <w:p>
            <w:pPr>
              <w:jc w:val="right"/>
              <w:spacing w:after="0"/>
              <w:rPr>
                <w:sz w:val="20"/>
                <w:szCs w:val="20"/>
                <w:color w:val="auto"/>
              </w:rPr>
            </w:pPr>
            <w:r>
              <w:rPr>
                <w:rFonts w:ascii="Arial" w:cs="Arial" w:eastAsia="Arial" w:hAnsi="Arial"/>
                <w:sz w:val="20"/>
                <w:szCs w:val="20"/>
                <w:color w:val="FF0000"/>
                <w:strike w:val="1"/>
              </w:rPr>
              <w:t>144</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5.12</w:t>
            </w:r>
          </w:p>
        </w:tc>
        <w:tc>
          <w:tcPr>
            <w:tcW w:w="2480" w:type="dxa"/>
            <w:vAlign w:val="bottom"/>
            <w:gridSpan w:val="18"/>
          </w:tcPr>
          <w:p>
            <w:pPr>
              <w:ind w:left="100"/>
              <w:spacing w:after="0"/>
              <w:rPr>
                <w:sz w:val="20"/>
                <w:szCs w:val="20"/>
                <w:color w:val="auto"/>
              </w:rPr>
            </w:pPr>
            <w:r>
              <w:rPr>
                <w:rFonts w:ascii="Arial" w:cs="Arial" w:eastAsia="Arial" w:hAnsi="Arial"/>
                <w:sz w:val="20"/>
                <w:szCs w:val="20"/>
                <w:color w:val="auto"/>
                <w:w w:val="99"/>
              </w:rPr>
              <w:t>Transactions with Affiliates</w:t>
            </w: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144</w:t>
            </w:r>
          </w:p>
        </w:tc>
        <w:tc>
          <w:tcPr>
            <w:tcW w:w="300" w:type="dxa"/>
            <w:vAlign w:val="bottom"/>
            <w:gridSpan w:val="7"/>
          </w:tcPr>
          <w:p>
            <w:pPr>
              <w:jc w:val="right"/>
              <w:spacing w:after="0"/>
              <w:rPr>
                <w:sz w:val="20"/>
                <w:szCs w:val="20"/>
                <w:color w:val="auto"/>
              </w:rPr>
            </w:pPr>
            <w:r>
              <w:rPr>
                <w:rFonts w:ascii="Arial" w:cs="Arial" w:eastAsia="Arial" w:hAnsi="Arial"/>
                <w:sz w:val="20"/>
                <w:szCs w:val="20"/>
                <w:color w:val="0000FF"/>
                <w:w w:val="77"/>
              </w:rPr>
              <w:t>145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5.13</w:t>
            </w:r>
          </w:p>
        </w:tc>
        <w:tc>
          <w:tcPr>
            <w:tcW w:w="1420" w:type="dxa"/>
            <w:vAlign w:val="bottom"/>
            <w:gridSpan w:val="7"/>
          </w:tcPr>
          <w:p>
            <w:pPr>
              <w:ind w:left="100"/>
              <w:spacing w:after="0"/>
              <w:rPr>
                <w:sz w:val="20"/>
                <w:szCs w:val="20"/>
                <w:color w:val="auto"/>
              </w:rPr>
            </w:pPr>
            <w:r>
              <w:rPr>
                <w:rFonts w:ascii="Arial" w:cs="Arial" w:eastAsia="Arial" w:hAnsi="Arial"/>
                <w:sz w:val="20"/>
                <w:szCs w:val="20"/>
                <w:color w:val="auto"/>
              </w:rPr>
              <w:t>Fiscal Periods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147</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5.14</w:t>
            </w:r>
          </w:p>
        </w:tc>
        <w:tc>
          <w:tcPr>
            <w:tcW w:w="3860" w:type="dxa"/>
            <w:vAlign w:val="bottom"/>
            <w:gridSpan w:val="41"/>
          </w:tcPr>
          <w:p>
            <w:pPr>
              <w:ind w:left="100"/>
              <w:spacing w:after="0"/>
              <w:rPr>
                <w:sz w:val="20"/>
                <w:szCs w:val="20"/>
                <w:color w:val="auto"/>
              </w:rPr>
            </w:pPr>
            <w:r>
              <w:rPr>
                <w:rFonts w:ascii="Arial" w:cs="Arial" w:eastAsia="Arial" w:hAnsi="Arial"/>
                <w:sz w:val="20"/>
                <w:szCs w:val="20"/>
                <w:color w:val="auto"/>
                <w:w w:val="98"/>
              </w:rPr>
              <w:t>Anti-Terrorism and Anti-Money Laundering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FF0000"/>
                <w:strike w:val="1"/>
                <w:w w:val="73"/>
              </w:rPr>
              <w:t>147</w:t>
            </w:r>
          </w:p>
        </w:tc>
        <w:tc>
          <w:tcPr>
            <w:tcW w:w="360" w:type="dxa"/>
            <w:vAlign w:val="bottom"/>
            <w:gridSpan w:val="6"/>
          </w:tcPr>
          <w:p>
            <w:pPr>
              <w:jc w:val="right"/>
              <w:ind w:right="60"/>
              <w:spacing w:after="0"/>
              <w:rPr>
                <w:sz w:val="20"/>
                <w:szCs w:val="20"/>
                <w:color w:val="auto"/>
              </w:rPr>
            </w:pPr>
            <w:r>
              <w:rPr>
                <w:rFonts w:ascii="Arial" w:cs="Arial" w:eastAsia="Arial" w:hAnsi="Arial"/>
                <w:sz w:val="20"/>
                <w:szCs w:val="20"/>
                <w:color w:val="0000FF"/>
                <w:w w:val="83"/>
              </w:rPr>
              <w:t>148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5.15</w:t>
            </w:r>
          </w:p>
        </w:tc>
        <w:tc>
          <w:tcPr>
            <w:tcW w:w="2080" w:type="dxa"/>
            <w:vAlign w:val="bottom"/>
            <w:gridSpan w:val="14"/>
          </w:tcPr>
          <w:p>
            <w:pPr>
              <w:ind w:left="100"/>
              <w:spacing w:after="0"/>
              <w:rPr>
                <w:sz w:val="20"/>
                <w:szCs w:val="20"/>
                <w:color w:val="auto"/>
              </w:rPr>
            </w:pPr>
            <w:r>
              <w:rPr>
                <w:rFonts w:ascii="Arial" w:cs="Arial" w:eastAsia="Arial" w:hAnsi="Arial"/>
                <w:sz w:val="20"/>
                <w:szCs w:val="20"/>
                <w:color w:val="auto"/>
                <w:w w:val="96"/>
              </w:rPr>
              <w:t>Post-Closing Schedule</w:t>
            </w:r>
          </w:p>
        </w:tc>
        <w:tc>
          <w:tcPr>
            <w:tcW w:w="320" w:type="dxa"/>
            <w:vAlign w:val="bottom"/>
            <w:gridSpan w:val="2"/>
          </w:tcPr>
          <w:p>
            <w:pPr>
              <w:jc w:val="right"/>
              <w:spacing w:after="0"/>
              <w:rPr>
                <w:sz w:val="20"/>
                <w:szCs w:val="20"/>
                <w:color w:val="auto"/>
              </w:rPr>
            </w:pPr>
            <w:r>
              <w:rPr>
                <w:rFonts w:ascii="Arial" w:cs="Arial" w:eastAsia="Arial" w:hAnsi="Arial"/>
                <w:sz w:val="20"/>
                <w:szCs w:val="20"/>
                <w:color w:val="FF0000"/>
                <w:strike w:val="1"/>
                <w:w w:val="89"/>
              </w:rPr>
              <w:t>147</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98" w:right="339"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20"/>
          <w:szCs w:val="20"/>
          <w:u w:val="single" w:color="auto"/>
          <w:color w:val="auto"/>
        </w:rPr>
        <w:t>Table of Contents</w:t>
      </w:r>
    </w:p>
    <w:p>
      <w:pPr>
        <w:jc w:val="center"/>
        <w:spacing w:after="0"/>
        <w:rPr>
          <w:sz w:val="20"/>
          <w:szCs w:val="20"/>
          <w:color w:val="auto"/>
        </w:rPr>
      </w:pPr>
      <w:r>
        <w:rPr>
          <w:rFonts w:ascii="Arial" w:cs="Arial" w:eastAsia="Arial" w:hAnsi="Arial"/>
          <w:sz w:val="20"/>
          <w:szCs w:val="20"/>
          <w:color w:val="auto"/>
        </w:rPr>
        <w:t>(continued)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15"/>
          </w:tcPr>
          <w:p>
            <w:pPr>
              <w:spacing w:after="0"/>
              <w:rPr>
                <w:sz w:val="20"/>
                <w:szCs w:val="20"/>
                <w:color w:val="auto"/>
              </w:rPr>
            </w:pPr>
            <w:r>
              <w:rPr>
                <w:rFonts w:ascii="Arial" w:cs="Arial" w:eastAsia="Arial" w:hAnsi="Arial"/>
                <w:sz w:val="20"/>
                <w:szCs w:val="20"/>
                <w:color w:val="auto"/>
              </w:rPr>
              <w:t>ARTICLE VI NEGATIVE COVENANTS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147</w:t>
            </w:r>
          </w:p>
        </w:tc>
        <w:tc>
          <w:tcPr>
            <w:tcW w:w="320" w:type="dxa"/>
            <w:vAlign w:val="bottom"/>
            <w:gridSpan w:val="4"/>
          </w:tcPr>
          <w:p>
            <w:pPr>
              <w:jc w:val="right"/>
              <w:ind w:right="20"/>
              <w:spacing w:after="0"/>
              <w:rPr>
                <w:sz w:val="20"/>
                <w:szCs w:val="20"/>
                <w:color w:val="auto"/>
              </w:rPr>
            </w:pPr>
            <w:r>
              <w:rPr>
                <w:rFonts w:ascii="Arial" w:cs="Arial" w:eastAsia="Arial" w:hAnsi="Arial"/>
                <w:sz w:val="20"/>
                <w:szCs w:val="20"/>
                <w:color w:val="0000FF"/>
                <w:w w:val="83"/>
              </w:rPr>
              <w:t>148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6.01</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w w:val="86"/>
              </w:rPr>
              <w:t>Indebtedness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147</w:t>
            </w:r>
          </w:p>
        </w:tc>
        <w:tc>
          <w:tcPr>
            <w:tcW w:w="460" w:type="dxa"/>
            <w:vAlign w:val="bottom"/>
            <w:gridSpan w:val="7"/>
          </w:tcPr>
          <w:p>
            <w:pPr>
              <w:jc w:val="right"/>
              <w:ind w:right="180"/>
              <w:spacing w:after="0"/>
              <w:rPr>
                <w:sz w:val="20"/>
                <w:szCs w:val="20"/>
                <w:color w:val="auto"/>
              </w:rPr>
            </w:pPr>
            <w:r>
              <w:rPr>
                <w:rFonts w:ascii="Arial" w:cs="Arial" w:eastAsia="Arial" w:hAnsi="Arial"/>
                <w:sz w:val="20"/>
                <w:szCs w:val="20"/>
                <w:color w:val="0000FF"/>
                <w:w w:val="77"/>
              </w:rPr>
              <w:t>148</w:t>
            </w: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6.02</w:t>
            </w:r>
          </w:p>
        </w:tc>
        <w:tc>
          <w:tcPr>
            <w:tcW w:w="740" w:type="dxa"/>
            <w:vAlign w:val="bottom"/>
          </w:tcPr>
          <w:p>
            <w:pPr>
              <w:ind w:left="100"/>
              <w:spacing w:after="0"/>
              <w:rPr>
                <w:sz w:val="20"/>
                <w:szCs w:val="20"/>
                <w:color w:val="auto"/>
              </w:rPr>
            </w:pPr>
            <w:r>
              <w:rPr>
                <w:rFonts w:ascii="Arial" w:cs="Arial" w:eastAsia="Arial" w:hAnsi="Arial"/>
                <w:sz w:val="20"/>
                <w:szCs w:val="20"/>
                <w:color w:val="auto"/>
              </w:rPr>
              <w:t>Liens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153</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2"/>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6.03</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w w:val="98"/>
              </w:rPr>
              <w:t>Asset Sales</w:t>
            </w:r>
          </w:p>
        </w:tc>
        <w:tc>
          <w:tcPr>
            <w:tcW w:w="400" w:type="dxa"/>
            <w:vAlign w:val="bottom"/>
            <w:gridSpan w:val="5"/>
          </w:tcPr>
          <w:p>
            <w:pPr>
              <w:jc w:val="right"/>
              <w:spacing w:after="0"/>
              <w:rPr>
                <w:sz w:val="20"/>
                <w:szCs w:val="20"/>
                <w:color w:val="auto"/>
              </w:rPr>
            </w:pPr>
            <w:r>
              <w:rPr>
                <w:rFonts w:ascii="Arial" w:cs="Arial" w:eastAsia="Arial" w:hAnsi="Arial"/>
                <w:sz w:val="20"/>
                <w:szCs w:val="20"/>
                <w:color w:val="auto"/>
                <w:w w:val="95"/>
              </w:rPr>
              <w:t>154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6.04</w:t>
            </w:r>
          </w:p>
        </w:tc>
        <w:tc>
          <w:tcPr>
            <w:tcW w:w="6820" w:type="dxa"/>
            <w:vAlign w:val="bottom"/>
            <w:gridSpan w:val="36"/>
          </w:tcPr>
          <w:p>
            <w:pPr>
              <w:ind w:left="100"/>
              <w:spacing w:after="0"/>
              <w:rPr>
                <w:sz w:val="20"/>
                <w:szCs w:val="20"/>
                <w:color w:val="auto"/>
              </w:rPr>
            </w:pPr>
            <w:r>
              <w:rPr>
                <w:rFonts w:ascii="Arial" w:cs="Arial" w:eastAsia="Arial" w:hAnsi="Arial"/>
                <w:sz w:val="20"/>
                <w:szCs w:val="20"/>
                <w:color w:val="auto"/>
                <w:w w:val="91"/>
              </w:rPr>
              <w:t>Restricted Payments, Investments, Loans, Advances, Guarantees and Acquisitions</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154</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155</w:t>
            </w:r>
          </w:p>
        </w:tc>
        <w:tc>
          <w:tcPr>
            <w:tcW w:w="200" w:type="dxa"/>
            <w:vAlign w:val="bottom"/>
          </w:tcPr>
          <w:p>
            <w:pPr>
              <w:spacing w:after="0"/>
              <w:rPr>
                <w:sz w:val="23"/>
                <w:szCs w:val="23"/>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6.05</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rPr>
              <w:t>[Reserved]</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FF0000"/>
                <w:strike w:val="1"/>
                <w:w w:val="83"/>
              </w:rPr>
              <w:t>159</w:t>
            </w:r>
          </w:p>
        </w:tc>
        <w:tc>
          <w:tcPr>
            <w:tcW w:w="240" w:type="dxa"/>
            <w:vAlign w:val="bottom"/>
            <w:gridSpan w:val="4"/>
          </w:tcPr>
          <w:p>
            <w:pPr>
              <w:jc w:val="right"/>
              <w:ind w:right="40"/>
              <w:spacing w:after="0"/>
              <w:rPr>
                <w:sz w:val="20"/>
                <w:szCs w:val="20"/>
                <w:color w:val="auto"/>
              </w:rPr>
            </w:pPr>
            <w:r>
              <w:rPr>
                <w:rFonts w:ascii="Arial" w:cs="Arial" w:eastAsia="Arial" w:hAnsi="Arial"/>
                <w:sz w:val="15"/>
                <w:szCs w:val="15"/>
                <w:color w:val="0000FF"/>
                <w:w w:val="71"/>
              </w:rPr>
              <w:t>160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2"/>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6.06</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rPr>
              <w:t>[Reserved]</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auto"/>
                <w:w w:val="83"/>
              </w:rPr>
              <w:t>160</w:t>
            </w: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6.07</w:t>
            </w:r>
          </w:p>
        </w:tc>
        <w:tc>
          <w:tcPr>
            <w:tcW w:w="7600" w:type="dxa"/>
            <w:vAlign w:val="bottom"/>
            <w:gridSpan w:val="41"/>
          </w:tcPr>
          <w:p>
            <w:pPr>
              <w:ind w:left="100"/>
              <w:spacing w:after="0"/>
              <w:rPr>
                <w:sz w:val="20"/>
                <w:szCs w:val="20"/>
                <w:color w:val="auto"/>
              </w:rPr>
            </w:pPr>
            <w:r>
              <w:rPr>
                <w:rFonts w:ascii="Arial" w:cs="Arial" w:eastAsia="Arial" w:hAnsi="Arial"/>
                <w:sz w:val="20"/>
                <w:szCs w:val="20"/>
                <w:color w:val="auto"/>
              </w:rPr>
              <w:t>Dividend and Other Payment Restrictions Affecting Restricted Subsidiaries  160</w:t>
            </w: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6.08</w:t>
            </w:r>
          </w:p>
        </w:tc>
        <w:tc>
          <w:tcPr>
            <w:tcW w:w="7600" w:type="dxa"/>
            <w:vAlign w:val="bottom"/>
            <w:gridSpan w:val="41"/>
          </w:tcPr>
          <w:p>
            <w:pPr>
              <w:ind w:left="100"/>
              <w:spacing w:after="0"/>
              <w:rPr>
                <w:sz w:val="20"/>
                <w:szCs w:val="20"/>
                <w:color w:val="auto"/>
              </w:rPr>
            </w:pPr>
            <w:r>
              <w:rPr>
                <w:rFonts w:ascii="Arial" w:cs="Arial" w:eastAsia="Arial" w:hAnsi="Arial"/>
                <w:sz w:val="20"/>
                <w:szCs w:val="20"/>
                <w:color w:val="auto"/>
              </w:rPr>
              <w:t>Amendments to Subordinated Indebtedness and Certain Other Documents, etc  162</w:t>
            </w: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6.09</w:t>
            </w:r>
          </w:p>
        </w:tc>
        <w:tc>
          <w:tcPr>
            <w:tcW w:w="3300" w:type="dxa"/>
            <w:vAlign w:val="bottom"/>
            <w:gridSpan w:val="31"/>
          </w:tcPr>
          <w:p>
            <w:pPr>
              <w:ind w:left="100"/>
              <w:spacing w:after="0"/>
              <w:rPr>
                <w:sz w:val="20"/>
                <w:szCs w:val="20"/>
                <w:color w:val="auto"/>
              </w:rPr>
            </w:pPr>
            <w:r>
              <w:rPr>
                <w:rFonts w:ascii="Arial" w:cs="Arial" w:eastAsia="Arial" w:hAnsi="Arial"/>
                <w:sz w:val="20"/>
                <w:szCs w:val="20"/>
                <w:color w:val="auto"/>
                <w:w w:val="91"/>
              </w:rPr>
              <w:t>Sale and Leaseback Transactions  162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6.10</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rPr>
              <w:t>[Reserved]</w:t>
            </w:r>
          </w:p>
        </w:tc>
        <w:tc>
          <w:tcPr>
            <w:tcW w:w="400" w:type="dxa"/>
            <w:vAlign w:val="bottom"/>
            <w:gridSpan w:val="5"/>
          </w:tcPr>
          <w:p>
            <w:pPr>
              <w:jc w:val="right"/>
              <w:ind w:right="1"/>
              <w:spacing w:after="0"/>
              <w:rPr>
                <w:sz w:val="20"/>
                <w:szCs w:val="20"/>
                <w:color w:val="auto"/>
              </w:rPr>
            </w:pPr>
            <w:r>
              <w:rPr>
                <w:rFonts w:ascii="Arial" w:cs="Arial" w:eastAsia="Arial" w:hAnsi="Arial"/>
                <w:sz w:val="20"/>
                <w:szCs w:val="20"/>
                <w:color w:val="FF0000"/>
                <w:strike w:val="1"/>
                <w:w w:val="83"/>
              </w:rPr>
              <w:t>162</w:t>
            </w:r>
          </w:p>
        </w:tc>
        <w:tc>
          <w:tcPr>
            <w:tcW w:w="240" w:type="dxa"/>
            <w:vAlign w:val="bottom"/>
            <w:gridSpan w:val="4"/>
          </w:tcPr>
          <w:p>
            <w:pPr>
              <w:jc w:val="right"/>
              <w:ind w:right="40"/>
              <w:spacing w:after="0"/>
              <w:rPr>
                <w:sz w:val="20"/>
                <w:szCs w:val="20"/>
                <w:color w:val="auto"/>
              </w:rPr>
            </w:pPr>
            <w:r>
              <w:rPr>
                <w:rFonts w:ascii="Arial" w:cs="Arial" w:eastAsia="Arial" w:hAnsi="Arial"/>
                <w:sz w:val="15"/>
                <w:szCs w:val="15"/>
                <w:color w:val="0000FF"/>
                <w:w w:val="71"/>
              </w:rPr>
              <w:t>163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6.11</w:t>
            </w:r>
          </w:p>
        </w:tc>
        <w:tc>
          <w:tcPr>
            <w:tcW w:w="3300" w:type="dxa"/>
            <w:vAlign w:val="bottom"/>
            <w:gridSpan w:val="31"/>
          </w:tcPr>
          <w:p>
            <w:pPr>
              <w:ind w:left="100"/>
              <w:spacing w:after="0"/>
              <w:rPr>
                <w:sz w:val="20"/>
                <w:szCs w:val="20"/>
                <w:color w:val="auto"/>
              </w:rPr>
            </w:pPr>
            <w:r>
              <w:rPr>
                <w:rFonts w:ascii="Arial" w:cs="Arial" w:eastAsia="Arial" w:hAnsi="Arial"/>
                <w:sz w:val="20"/>
                <w:szCs w:val="20"/>
                <w:color w:val="auto"/>
                <w:w w:val="90"/>
              </w:rPr>
              <w:t>Merger, Consolidation or Sale of Assets</w:t>
            </w:r>
          </w:p>
        </w:tc>
        <w:tc>
          <w:tcPr>
            <w:tcW w:w="1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162</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163</w:t>
            </w: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6.12</w:t>
            </w:r>
          </w:p>
        </w:tc>
        <w:tc>
          <w:tcPr>
            <w:tcW w:w="1820" w:type="dxa"/>
            <w:vAlign w:val="bottom"/>
            <w:gridSpan w:val="14"/>
          </w:tcPr>
          <w:p>
            <w:pPr>
              <w:ind w:left="100"/>
              <w:spacing w:after="0"/>
              <w:rPr>
                <w:sz w:val="20"/>
                <w:szCs w:val="20"/>
                <w:color w:val="auto"/>
              </w:rPr>
            </w:pPr>
            <w:r>
              <w:rPr>
                <w:rFonts w:ascii="Arial" w:cs="Arial" w:eastAsia="Arial" w:hAnsi="Arial"/>
                <w:sz w:val="20"/>
                <w:szCs w:val="20"/>
                <w:color w:val="auto"/>
                <w:w w:val="99"/>
              </w:rPr>
              <w:t>Financial Covenant</w:t>
            </w:r>
          </w:p>
        </w:tc>
        <w:tc>
          <w:tcPr>
            <w:tcW w:w="20" w:type="dxa"/>
            <w:vAlign w:val="bottom"/>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163</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4900" w:type="dxa"/>
            <w:vAlign w:val="bottom"/>
            <w:gridSpan w:val="30"/>
          </w:tcPr>
          <w:p>
            <w:pPr>
              <w:spacing w:after="0"/>
              <w:rPr>
                <w:sz w:val="20"/>
                <w:szCs w:val="20"/>
                <w:color w:val="auto"/>
              </w:rPr>
            </w:pPr>
            <w:r>
              <w:rPr>
                <w:rFonts w:ascii="Arial" w:cs="Arial" w:eastAsia="Arial" w:hAnsi="Arial"/>
                <w:sz w:val="20"/>
                <w:szCs w:val="20"/>
                <w:color w:val="auto"/>
              </w:rPr>
              <w:t>ARTICLE VII EVENTS OF DEFAULT AND REMEDIES</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w w:val="83"/>
              </w:rPr>
              <w:t>164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7.01</w:t>
            </w:r>
          </w:p>
        </w:tc>
        <w:tc>
          <w:tcPr>
            <w:tcW w:w="1560" w:type="dxa"/>
            <w:vAlign w:val="bottom"/>
            <w:gridSpan w:val="9"/>
          </w:tcPr>
          <w:p>
            <w:pPr>
              <w:ind w:left="100"/>
              <w:spacing w:after="0"/>
              <w:rPr>
                <w:sz w:val="20"/>
                <w:szCs w:val="20"/>
                <w:color w:val="auto"/>
              </w:rPr>
            </w:pPr>
            <w:r>
              <w:rPr>
                <w:rFonts w:ascii="Arial" w:cs="Arial" w:eastAsia="Arial" w:hAnsi="Arial"/>
                <w:sz w:val="20"/>
                <w:szCs w:val="20"/>
                <w:color w:val="auto"/>
                <w:w w:val="93"/>
              </w:rPr>
              <w:t>Events of Default</w:t>
            </w:r>
          </w:p>
        </w:tc>
        <w:tc>
          <w:tcPr>
            <w:tcW w:w="540" w:type="dxa"/>
            <w:vAlign w:val="bottom"/>
            <w:gridSpan w:val="8"/>
          </w:tcPr>
          <w:p>
            <w:pPr>
              <w:jc w:val="right"/>
              <w:ind w:right="100"/>
              <w:spacing w:after="0"/>
              <w:rPr>
                <w:sz w:val="20"/>
                <w:szCs w:val="20"/>
                <w:color w:val="auto"/>
              </w:rPr>
            </w:pPr>
            <w:r>
              <w:rPr>
                <w:rFonts w:ascii="Arial" w:cs="Arial" w:eastAsia="Arial" w:hAnsi="Arial"/>
                <w:sz w:val="20"/>
                <w:szCs w:val="20"/>
                <w:color w:val="auto"/>
              </w:rPr>
              <w:t>164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7.02</w:t>
            </w:r>
          </w:p>
        </w:tc>
        <w:tc>
          <w:tcPr>
            <w:tcW w:w="2140" w:type="dxa"/>
            <w:vAlign w:val="bottom"/>
            <w:gridSpan w:val="19"/>
          </w:tcPr>
          <w:p>
            <w:pPr>
              <w:ind w:left="100"/>
              <w:spacing w:after="0"/>
              <w:rPr>
                <w:sz w:val="20"/>
                <w:szCs w:val="20"/>
                <w:color w:val="auto"/>
              </w:rPr>
            </w:pPr>
            <w:r>
              <w:rPr>
                <w:rFonts w:ascii="Arial" w:cs="Arial" w:eastAsia="Arial" w:hAnsi="Arial"/>
                <w:sz w:val="20"/>
                <w:szCs w:val="20"/>
                <w:color w:val="auto"/>
                <w:w w:val="92"/>
              </w:rPr>
              <w:t>Borrowers’ Right to Cure</w:t>
            </w:r>
          </w:p>
        </w:tc>
        <w:tc>
          <w:tcPr>
            <w:tcW w:w="640" w:type="dxa"/>
            <w:vAlign w:val="bottom"/>
            <w:gridSpan w:val="5"/>
          </w:tcPr>
          <w:p>
            <w:pPr>
              <w:jc w:val="right"/>
              <w:ind w:right="61"/>
              <w:spacing w:after="0"/>
              <w:rPr>
                <w:sz w:val="20"/>
                <w:szCs w:val="20"/>
                <w:color w:val="auto"/>
              </w:rPr>
            </w:pPr>
            <w:r>
              <w:rPr>
                <w:rFonts w:ascii="Arial" w:cs="Arial" w:eastAsia="Arial" w:hAnsi="Arial"/>
                <w:sz w:val="20"/>
                <w:szCs w:val="20"/>
                <w:color w:val="auto"/>
              </w:rPr>
              <w:t>167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2640" w:type="dxa"/>
            <w:vAlign w:val="bottom"/>
            <w:gridSpan w:val="3"/>
          </w:tcPr>
          <w:p>
            <w:pPr>
              <w:spacing w:after="0"/>
              <w:rPr>
                <w:sz w:val="20"/>
                <w:szCs w:val="20"/>
                <w:color w:val="auto"/>
              </w:rPr>
            </w:pPr>
            <w:r>
              <w:rPr>
                <w:rFonts w:ascii="Arial" w:cs="Arial" w:eastAsia="Arial" w:hAnsi="Arial"/>
                <w:sz w:val="20"/>
                <w:szCs w:val="20"/>
                <w:color w:val="auto"/>
              </w:rPr>
              <w:t>ARTICLE VIII THE AGENTS</w:t>
            </w: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168</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8.01</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rPr>
              <w:t>The Agents</w:t>
            </w:r>
          </w:p>
        </w:tc>
        <w:tc>
          <w:tcPr>
            <w:tcW w:w="4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168</w:t>
            </w:r>
          </w:p>
        </w:tc>
        <w:tc>
          <w:tcPr>
            <w:tcW w:w="2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71"/>
              </w:rPr>
              <w:t>169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8.02</w:t>
            </w:r>
          </w:p>
        </w:tc>
        <w:tc>
          <w:tcPr>
            <w:tcW w:w="1820" w:type="dxa"/>
            <w:vAlign w:val="bottom"/>
            <w:gridSpan w:val="14"/>
          </w:tcPr>
          <w:p>
            <w:pPr>
              <w:ind w:left="100"/>
              <w:spacing w:after="0"/>
              <w:rPr>
                <w:sz w:val="20"/>
                <w:szCs w:val="20"/>
                <w:color w:val="auto"/>
              </w:rPr>
            </w:pPr>
            <w:r>
              <w:rPr>
                <w:rFonts w:ascii="Arial" w:cs="Arial" w:eastAsia="Arial" w:hAnsi="Arial"/>
                <w:sz w:val="20"/>
                <w:szCs w:val="20"/>
                <w:color w:val="auto"/>
                <w:w w:val="91"/>
              </w:rPr>
              <w:t>Erroneous Payments</w:t>
            </w:r>
          </w:p>
        </w:tc>
        <w:tc>
          <w:tcPr>
            <w:tcW w:w="600" w:type="dxa"/>
            <w:vAlign w:val="bottom"/>
            <w:gridSpan w:val="7"/>
          </w:tcPr>
          <w:p>
            <w:pPr>
              <w:jc w:val="right"/>
              <w:ind w:right="101"/>
              <w:spacing w:after="0"/>
              <w:rPr>
                <w:sz w:val="20"/>
                <w:szCs w:val="20"/>
                <w:color w:val="auto"/>
              </w:rPr>
            </w:pPr>
            <w:r>
              <w:rPr>
                <w:rFonts w:ascii="Arial" w:cs="Arial" w:eastAsia="Arial" w:hAnsi="Arial"/>
                <w:sz w:val="20"/>
                <w:szCs w:val="20"/>
                <w:color w:val="auto"/>
              </w:rPr>
              <w:t>173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2900" w:type="dxa"/>
            <w:vAlign w:val="bottom"/>
            <w:gridSpan w:val="5"/>
          </w:tcPr>
          <w:p>
            <w:pPr>
              <w:spacing w:after="0"/>
              <w:rPr>
                <w:sz w:val="20"/>
                <w:szCs w:val="20"/>
                <w:color w:val="auto"/>
              </w:rPr>
            </w:pPr>
            <w:r>
              <w:rPr>
                <w:rFonts w:ascii="Arial" w:cs="Arial" w:eastAsia="Arial" w:hAnsi="Arial"/>
                <w:sz w:val="20"/>
                <w:szCs w:val="20"/>
                <w:color w:val="auto"/>
              </w:rPr>
              <w:t>ARTICLE IX MISCELLANEOUS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175</w:t>
            </w:r>
          </w:p>
        </w:tc>
        <w:tc>
          <w:tcPr>
            <w:tcW w:w="2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77"/>
              </w:rPr>
              <w:t>176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9.01</w:t>
            </w:r>
          </w:p>
        </w:tc>
        <w:tc>
          <w:tcPr>
            <w:tcW w:w="900" w:type="dxa"/>
            <w:vAlign w:val="bottom"/>
            <w:gridSpan w:val="2"/>
          </w:tcPr>
          <w:p>
            <w:pPr>
              <w:ind w:left="100"/>
              <w:spacing w:after="0"/>
              <w:rPr>
                <w:sz w:val="20"/>
                <w:szCs w:val="20"/>
                <w:color w:val="auto"/>
              </w:rPr>
            </w:pPr>
            <w:r>
              <w:rPr>
                <w:rFonts w:ascii="Arial" w:cs="Arial" w:eastAsia="Arial" w:hAnsi="Arial"/>
                <w:sz w:val="20"/>
                <w:szCs w:val="20"/>
                <w:color w:val="auto"/>
              </w:rPr>
              <w:t>Notices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175</w:t>
            </w:r>
          </w:p>
        </w:tc>
        <w:tc>
          <w:tcPr>
            <w:tcW w:w="36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176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5"/>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9.02</w:t>
            </w:r>
          </w:p>
        </w:tc>
        <w:tc>
          <w:tcPr>
            <w:tcW w:w="3160" w:type="dxa"/>
            <w:vAlign w:val="bottom"/>
            <w:gridSpan w:val="29"/>
          </w:tcPr>
          <w:p>
            <w:pPr>
              <w:ind w:left="100"/>
              <w:spacing w:after="0"/>
              <w:rPr>
                <w:sz w:val="20"/>
                <w:szCs w:val="20"/>
                <w:color w:val="auto"/>
              </w:rPr>
            </w:pPr>
            <w:r>
              <w:rPr>
                <w:rFonts w:ascii="Arial" w:cs="Arial" w:eastAsia="Arial" w:hAnsi="Arial"/>
                <w:sz w:val="20"/>
                <w:szCs w:val="20"/>
                <w:color w:val="auto"/>
                <w:w w:val="93"/>
              </w:rPr>
              <w:t>Waivers; Enforcement; Amendments</w:t>
            </w:r>
          </w:p>
        </w:tc>
        <w:tc>
          <w:tcPr>
            <w:tcW w:w="380" w:type="dxa"/>
            <w:vAlign w:val="bottom"/>
            <w:gridSpan w:val="4"/>
          </w:tcPr>
          <w:p>
            <w:pPr>
              <w:jc w:val="right"/>
              <w:spacing w:after="0"/>
              <w:rPr>
                <w:sz w:val="20"/>
                <w:szCs w:val="20"/>
                <w:color w:val="auto"/>
              </w:rPr>
            </w:pPr>
            <w:r>
              <w:rPr>
                <w:rFonts w:ascii="Arial" w:cs="Arial" w:eastAsia="Arial" w:hAnsi="Arial"/>
                <w:sz w:val="20"/>
                <w:szCs w:val="20"/>
                <w:color w:val="auto"/>
              </w:rPr>
              <w:t>177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9.03</w:t>
            </w:r>
          </w:p>
        </w:tc>
        <w:tc>
          <w:tcPr>
            <w:tcW w:w="3160" w:type="dxa"/>
            <w:vAlign w:val="bottom"/>
            <w:gridSpan w:val="29"/>
          </w:tcPr>
          <w:p>
            <w:pPr>
              <w:ind w:left="100"/>
              <w:spacing w:after="0"/>
              <w:rPr>
                <w:sz w:val="20"/>
                <w:szCs w:val="20"/>
                <w:color w:val="auto"/>
              </w:rPr>
            </w:pPr>
            <w:r>
              <w:rPr>
                <w:rFonts w:ascii="Arial" w:cs="Arial" w:eastAsia="Arial" w:hAnsi="Arial"/>
                <w:sz w:val="20"/>
                <w:szCs w:val="20"/>
                <w:color w:val="auto"/>
                <w:w w:val="89"/>
              </w:rPr>
              <w:t>Expenses; Indemnity; Damage Waiver</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20"/>
                <w:szCs w:val="20"/>
                <w:color w:val="auto"/>
                <w:w w:val="95"/>
              </w:rPr>
              <w:t>180</w:t>
            </w: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9.04</w:t>
            </w:r>
          </w:p>
        </w:tc>
        <w:tc>
          <w:tcPr>
            <w:tcW w:w="2140" w:type="dxa"/>
            <w:vAlign w:val="bottom"/>
            <w:gridSpan w:val="19"/>
          </w:tcPr>
          <w:p>
            <w:pPr>
              <w:ind w:left="100"/>
              <w:spacing w:after="0"/>
              <w:rPr>
                <w:sz w:val="20"/>
                <w:szCs w:val="20"/>
                <w:color w:val="auto"/>
              </w:rPr>
            </w:pPr>
            <w:r>
              <w:rPr>
                <w:rFonts w:ascii="Arial" w:cs="Arial" w:eastAsia="Arial" w:hAnsi="Arial"/>
                <w:sz w:val="20"/>
                <w:szCs w:val="20"/>
                <w:color w:val="auto"/>
                <w:w w:val="92"/>
              </w:rPr>
              <w:t>Successors and Assigns</w:t>
            </w:r>
          </w:p>
        </w:tc>
        <w:tc>
          <w:tcPr>
            <w:tcW w:w="340" w:type="dxa"/>
            <w:vAlign w:val="bottom"/>
            <w:gridSpan w:val="4"/>
          </w:tcPr>
          <w:p>
            <w:pPr>
              <w:ind w:left="40"/>
              <w:spacing w:after="0"/>
              <w:rPr>
                <w:sz w:val="20"/>
                <w:szCs w:val="20"/>
                <w:color w:val="auto"/>
              </w:rPr>
            </w:pPr>
            <w:r>
              <w:rPr>
                <w:rFonts w:ascii="Arial" w:cs="Arial" w:eastAsia="Arial" w:hAnsi="Arial"/>
                <w:sz w:val="20"/>
                <w:szCs w:val="20"/>
                <w:color w:val="auto"/>
                <w:w w:val="83"/>
              </w:rPr>
              <w:t>182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9.05</w:t>
            </w:r>
          </w:p>
        </w:tc>
        <w:tc>
          <w:tcPr>
            <w:tcW w:w="900" w:type="dxa"/>
            <w:vAlign w:val="bottom"/>
            <w:gridSpan w:val="2"/>
          </w:tcPr>
          <w:p>
            <w:pPr>
              <w:ind w:left="100"/>
              <w:spacing w:after="0"/>
              <w:rPr>
                <w:sz w:val="20"/>
                <w:szCs w:val="20"/>
                <w:color w:val="auto"/>
              </w:rPr>
            </w:pPr>
            <w:r>
              <w:rPr>
                <w:rFonts w:ascii="Arial" w:cs="Arial" w:eastAsia="Arial" w:hAnsi="Arial"/>
                <w:sz w:val="20"/>
                <w:szCs w:val="20"/>
                <w:color w:val="auto"/>
              </w:rPr>
              <w:t>Survival</w:t>
            </w:r>
          </w:p>
        </w:tc>
        <w:tc>
          <w:tcPr>
            <w:tcW w:w="360" w:type="dxa"/>
            <w:vAlign w:val="bottom"/>
            <w:gridSpan w:val="5"/>
          </w:tcPr>
          <w:p>
            <w:pPr>
              <w:jc w:val="right"/>
              <w:spacing w:after="0"/>
              <w:rPr>
                <w:sz w:val="20"/>
                <w:szCs w:val="20"/>
                <w:color w:val="auto"/>
              </w:rPr>
            </w:pPr>
            <w:r>
              <w:rPr>
                <w:rFonts w:ascii="Arial" w:cs="Arial" w:eastAsia="Arial" w:hAnsi="Arial"/>
                <w:sz w:val="20"/>
                <w:szCs w:val="20"/>
                <w:color w:val="FF0000"/>
                <w:strike w:val="1"/>
              </w:rPr>
              <w:t>187</w:t>
            </w:r>
          </w:p>
        </w:tc>
        <w:tc>
          <w:tcPr>
            <w:tcW w:w="380" w:type="dxa"/>
            <w:vAlign w:val="bottom"/>
            <w:gridSpan w:val="3"/>
          </w:tcPr>
          <w:p>
            <w:pPr>
              <w:jc w:val="right"/>
              <w:spacing w:after="0"/>
              <w:rPr>
                <w:sz w:val="20"/>
                <w:szCs w:val="20"/>
                <w:color w:val="auto"/>
              </w:rPr>
            </w:pPr>
            <w:r>
              <w:rPr>
                <w:rFonts w:ascii="Arial" w:cs="Arial" w:eastAsia="Arial" w:hAnsi="Arial"/>
                <w:sz w:val="20"/>
                <w:szCs w:val="20"/>
                <w:color w:val="0000FF"/>
                <w:w w:val="83"/>
              </w:rPr>
              <w:t>188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0"/>
        </w:trPr>
        <w:tc>
          <w:tcPr>
            <w:tcW w:w="17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9.06</w:t>
            </w:r>
          </w:p>
        </w:tc>
        <w:tc>
          <w:tcPr>
            <w:tcW w:w="3300" w:type="dxa"/>
            <w:vAlign w:val="bottom"/>
            <w:gridSpan w:val="31"/>
          </w:tcPr>
          <w:p>
            <w:pPr>
              <w:ind w:left="100"/>
              <w:spacing w:after="0"/>
              <w:rPr>
                <w:sz w:val="20"/>
                <w:szCs w:val="20"/>
                <w:color w:val="auto"/>
              </w:rPr>
            </w:pPr>
            <w:r>
              <w:rPr>
                <w:rFonts w:ascii="Arial" w:cs="Arial" w:eastAsia="Arial" w:hAnsi="Arial"/>
                <w:sz w:val="20"/>
                <w:szCs w:val="20"/>
                <w:color w:val="auto"/>
                <w:w w:val="90"/>
              </w:rPr>
              <w:t>Counterparts; Integration; Effectiveness</w:t>
            </w:r>
          </w:p>
        </w:tc>
        <w:tc>
          <w:tcPr>
            <w:tcW w:w="1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187</w:t>
            </w:r>
          </w:p>
        </w:tc>
        <w:tc>
          <w:tcPr>
            <w:tcW w:w="3060" w:type="dxa"/>
            <w:vAlign w:val="bottom"/>
            <w:gridSpan w:val="2"/>
          </w:tcPr>
          <w:p>
            <w:pPr>
              <w:jc w:val="right"/>
              <w:ind w:right="2760"/>
              <w:spacing w:after="0"/>
              <w:rPr>
                <w:sz w:val="20"/>
                <w:szCs w:val="20"/>
                <w:color w:val="auto"/>
              </w:rPr>
            </w:pPr>
            <w:r>
              <w:rPr>
                <w:rFonts w:ascii="Arial" w:cs="Arial" w:eastAsia="Arial" w:hAnsi="Arial"/>
                <w:sz w:val="20"/>
                <w:szCs w:val="20"/>
                <w:color w:val="0000FF"/>
                <w:w w:val="83"/>
              </w:rPr>
              <w:t>188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2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9.07</w:t>
            </w:r>
          </w:p>
        </w:tc>
        <w:tc>
          <w:tcPr>
            <w:tcW w:w="1160" w:type="dxa"/>
            <w:vAlign w:val="bottom"/>
            <w:gridSpan w:val="4"/>
          </w:tcPr>
          <w:p>
            <w:pPr>
              <w:ind w:left="100"/>
              <w:spacing w:after="0"/>
              <w:rPr>
                <w:sz w:val="20"/>
                <w:szCs w:val="20"/>
                <w:color w:val="auto"/>
              </w:rPr>
            </w:pPr>
            <w:r>
              <w:rPr>
                <w:rFonts w:ascii="Arial" w:cs="Arial" w:eastAsia="Arial" w:hAnsi="Arial"/>
                <w:sz w:val="20"/>
                <w:szCs w:val="20"/>
                <w:color w:val="auto"/>
              </w:rPr>
              <w:t>Severability</w:t>
            </w:r>
          </w:p>
        </w:tc>
        <w:tc>
          <w:tcPr>
            <w:tcW w:w="400" w:type="dxa"/>
            <w:vAlign w:val="bottom"/>
            <w:gridSpan w:val="5"/>
          </w:tcPr>
          <w:p>
            <w:pPr>
              <w:jc w:val="right"/>
              <w:spacing w:after="0"/>
              <w:rPr>
                <w:sz w:val="20"/>
                <w:szCs w:val="20"/>
                <w:color w:val="auto"/>
              </w:rPr>
            </w:pPr>
            <w:r>
              <w:rPr>
                <w:rFonts w:ascii="Arial" w:cs="Arial" w:eastAsia="Arial" w:hAnsi="Arial"/>
                <w:sz w:val="20"/>
                <w:szCs w:val="20"/>
                <w:color w:val="auto"/>
              </w:rPr>
              <w:t>188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9.08</w:t>
            </w:r>
          </w:p>
        </w:tc>
        <w:tc>
          <w:tcPr>
            <w:tcW w:w="1820" w:type="dxa"/>
            <w:vAlign w:val="bottom"/>
            <w:gridSpan w:val="14"/>
          </w:tcPr>
          <w:p>
            <w:pPr>
              <w:ind w:left="100"/>
              <w:spacing w:after="0"/>
              <w:rPr>
                <w:sz w:val="20"/>
                <w:szCs w:val="20"/>
                <w:color w:val="auto"/>
              </w:rPr>
            </w:pPr>
            <w:r>
              <w:rPr>
                <w:rFonts w:ascii="Arial" w:cs="Arial" w:eastAsia="Arial" w:hAnsi="Arial"/>
                <w:sz w:val="20"/>
                <w:szCs w:val="20"/>
                <w:color w:val="auto"/>
                <w:w w:val="99"/>
              </w:rPr>
              <w:t>Right of Setoff  188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6"/>
        </w:trPr>
        <w:tc>
          <w:tcPr>
            <w:tcW w:w="8740" w:type="dxa"/>
            <w:vAlign w:val="bottom"/>
            <w:gridSpan w:val="38"/>
          </w:tcPr>
          <w:p>
            <w:pPr>
              <w:ind w:left="660"/>
              <w:spacing w:after="0"/>
              <w:rPr>
                <w:sz w:val="20"/>
                <w:szCs w:val="20"/>
                <w:color w:val="auto"/>
              </w:rPr>
            </w:pPr>
            <w:r>
              <w:rPr>
                <w:rFonts w:ascii="Arial" w:cs="Arial" w:eastAsia="Arial" w:hAnsi="Arial"/>
                <w:sz w:val="20"/>
                <w:szCs w:val="20"/>
                <w:color w:val="auto"/>
                <w:w w:val="92"/>
              </w:rPr>
              <w:t>Section 9.09  Governing Law; Jurisdiction; Consent to Service of Process; Foreign Process Agent.</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188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189</w:t>
            </w:r>
          </w:p>
        </w:tc>
      </w:tr>
      <w:tr>
        <w:trPr>
          <w:trHeight w:val="277"/>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9.10</w:t>
            </w:r>
          </w:p>
        </w:tc>
        <w:tc>
          <w:tcPr>
            <w:tcW w:w="2480" w:type="dxa"/>
            <w:vAlign w:val="bottom"/>
            <w:gridSpan w:val="23"/>
          </w:tcPr>
          <w:p>
            <w:pPr>
              <w:ind w:left="100"/>
              <w:spacing w:after="0"/>
              <w:rPr>
                <w:sz w:val="20"/>
                <w:szCs w:val="20"/>
                <w:color w:val="auto"/>
              </w:rPr>
            </w:pPr>
            <w:r>
              <w:rPr>
                <w:rFonts w:ascii="Arial" w:cs="Arial" w:eastAsia="Arial" w:hAnsi="Arial"/>
                <w:sz w:val="20"/>
                <w:szCs w:val="20"/>
                <w:color w:val="auto"/>
              </w:rPr>
              <w:t>WAIVER OF JURY TRIAL</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w w:val="95"/>
              </w:rPr>
              <w:t>189</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9.11</w:t>
            </w:r>
          </w:p>
        </w:tc>
        <w:tc>
          <w:tcPr>
            <w:tcW w:w="900" w:type="dxa"/>
            <w:vAlign w:val="bottom"/>
            <w:gridSpan w:val="2"/>
          </w:tcPr>
          <w:p>
            <w:pPr>
              <w:ind w:left="100"/>
              <w:spacing w:after="0"/>
              <w:rPr>
                <w:sz w:val="20"/>
                <w:szCs w:val="20"/>
                <w:color w:val="auto"/>
              </w:rPr>
            </w:pPr>
            <w:r>
              <w:rPr>
                <w:rFonts w:ascii="Arial" w:cs="Arial" w:eastAsia="Arial" w:hAnsi="Arial"/>
                <w:sz w:val="20"/>
                <w:szCs w:val="20"/>
                <w:color w:val="auto"/>
                <w:w w:val="92"/>
              </w:rPr>
              <w:t>Headings</w:t>
            </w:r>
          </w:p>
        </w:tc>
        <w:tc>
          <w:tcPr>
            <w:tcW w:w="1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189</w:t>
            </w:r>
          </w:p>
        </w:tc>
        <w:tc>
          <w:tcPr>
            <w:tcW w:w="32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190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9.12</w:t>
            </w:r>
          </w:p>
        </w:tc>
        <w:tc>
          <w:tcPr>
            <w:tcW w:w="1560" w:type="dxa"/>
            <w:vAlign w:val="bottom"/>
            <w:gridSpan w:val="9"/>
          </w:tcPr>
          <w:p>
            <w:pPr>
              <w:ind w:left="100"/>
              <w:spacing w:after="0"/>
              <w:rPr>
                <w:sz w:val="20"/>
                <w:szCs w:val="20"/>
                <w:color w:val="auto"/>
              </w:rPr>
            </w:pPr>
            <w:r>
              <w:rPr>
                <w:rFonts w:ascii="Arial" w:cs="Arial" w:eastAsia="Arial" w:hAnsi="Arial"/>
                <w:sz w:val="20"/>
                <w:szCs w:val="20"/>
                <w:color w:val="auto"/>
              </w:rPr>
              <w:t>Confidentiality</w:t>
            </w:r>
          </w:p>
        </w:tc>
        <w:tc>
          <w:tcPr>
            <w:tcW w:w="240" w:type="dxa"/>
            <w:vAlign w:val="bottom"/>
            <w:gridSpan w:val="4"/>
          </w:tcPr>
          <w:p>
            <w:pPr>
              <w:spacing w:after="0"/>
              <w:rPr>
                <w:sz w:val="20"/>
                <w:szCs w:val="20"/>
                <w:color w:val="auto"/>
              </w:rPr>
            </w:pPr>
            <w:r>
              <w:rPr>
                <w:rFonts w:ascii="Arial" w:cs="Arial" w:eastAsia="Arial" w:hAnsi="Arial"/>
                <w:sz w:val="18"/>
                <w:szCs w:val="18"/>
                <w:color w:val="FF0000"/>
                <w:strike w:val="1"/>
                <w:w w:val="73"/>
              </w:rPr>
              <w:t>189</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4680" w:type="dxa"/>
            <w:vAlign w:val="bottom"/>
            <w:gridSpan w:val="27"/>
          </w:tcPr>
          <w:p>
            <w:pPr>
              <w:ind w:left="660"/>
              <w:spacing w:after="0"/>
              <w:rPr>
                <w:sz w:val="20"/>
                <w:szCs w:val="20"/>
                <w:color w:val="auto"/>
              </w:rPr>
            </w:pPr>
            <w:r>
              <w:rPr>
                <w:rFonts w:ascii="Arial" w:cs="Arial" w:eastAsia="Arial" w:hAnsi="Arial"/>
                <w:sz w:val="20"/>
                <w:szCs w:val="20"/>
                <w:color w:val="auto"/>
                <w:w w:val="93"/>
              </w:rPr>
              <w:t>Section 9.13  Release of Liens and Guarantees.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190</w:t>
            </w:r>
          </w:p>
        </w:tc>
        <w:tc>
          <w:tcPr>
            <w:tcW w:w="4360" w:type="dxa"/>
            <w:vAlign w:val="bottom"/>
            <w:gridSpan w:val="11"/>
          </w:tcPr>
          <w:p>
            <w:pPr>
              <w:jc w:val="right"/>
              <w:ind w:right="4060"/>
              <w:spacing w:after="0"/>
              <w:rPr>
                <w:sz w:val="20"/>
                <w:szCs w:val="20"/>
                <w:color w:val="auto"/>
              </w:rPr>
            </w:pPr>
            <w:r>
              <w:rPr>
                <w:rFonts w:ascii="Arial" w:cs="Arial" w:eastAsia="Arial" w:hAnsi="Arial"/>
                <w:sz w:val="20"/>
                <w:szCs w:val="20"/>
                <w:color w:val="0000FF"/>
                <w:w w:val="83"/>
              </w:rPr>
              <w:t>191</w:t>
            </w:r>
          </w:p>
        </w:tc>
      </w:tr>
      <w:tr>
        <w:trPr>
          <w:trHeight w:val="291"/>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9.14</w:t>
            </w:r>
          </w:p>
        </w:tc>
        <w:tc>
          <w:tcPr>
            <w:tcW w:w="1820" w:type="dxa"/>
            <w:vAlign w:val="bottom"/>
            <w:gridSpan w:val="14"/>
          </w:tcPr>
          <w:p>
            <w:pPr>
              <w:ind w:left="100"/>
              <w:spacing w:after="0"/>
              <w:rPr>
                <w:sz w:val="20"/>
                <w:szCs w:val="20"/>
                <w:color w:val="auto"/>
              </w:rPr>
            </w:pPr>
            <w:r>
              <w:rPr>
                <w:rFonts w:ascii="Arial" w:cs="Arial" w:eastAsia="Arial" w:hAnsi="Arial"/>
                <w:sz w:val="20"/>
                <w:szCs w:val="20"/>
                <w:color w:val="auto"/>
              </w:rPr>
              <w:t>USA PATRIOT Act</w:t>
            </w:r>
          </w:p>
        </w:tc>
        <w:tc>
          <w:tcPr>
            <w:tcW w:w="2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Arial" w:cs="Arial" w:eastAsia="Arial" w:hAnsi="Arial"/>
                <w:sz w:val="20"/>
                <w:szCs w:val="20"/>
                <w:color w:val="FF0000"/>
                <w:strike w:val="1"/>
                <w:w w:val="95"/>
              </w:rPr>
              <w:t>191</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192</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740" w:type="dxa"/>
            <w:vAlign w:val="bottom"/>
          </w:tcPr>
          <w:p>
            <w:pPr>
              <w:ind w:left="660"/>
              <w:spacing w:after="0"/>
              <w:rPr>
                <w:sz w:val="20"/>
                <w:szCs w:val="20"/>
                <w:color w:val="auto"/>
              </w:rPr>
            </w:pPr>
            <w:r>
              <w:rPr>
                <w:rFonts w:ascii="Arial" w:cs="Arial" w:eastAsia="Arial" w:hAnsi="Arial"/>
                <w:sz w:val="20"/>
                <w:szCs w:val="20"/>
                <w:color w:val="auto"/>
                <w:w w:val="95"/>
              </w:rPr>
              <w:t>Section 9.15</w:t>
            </w:r>
          </w:p>
        </w:tc>
        <w:tc>
          <w:tcPr>
            <w:tcW w:w="2480" w:type="dxa"/>
            <w:vAlign w:val="bottom"/>
            <w:gridSpan w:val="23"/>
          </w:tcPr>
          <w:p>
            <w:pPr>
              <w:ind w:left="100"/>
              <w:spacing w:after="0"/>
              <w:rPr>
                <w:sz w:val="20"/>
                <w:szCs w:val="20"/>
                <w:color w:val="auto"/>
              </w:rPr>
            </w:pPr>
            <w:r>
              <w:rPr>
                <w:rFonts w:ascii="Arial" w:cs="Arial" w:eastAsia="Arial" w:hAnsi="Arial"/>
                <w:sz w:val="20"/>
                <w:szCs w:val="20"/>
                <w:color w:val="auto"/>
                <w:w w:val="99"/>
              </w:rPr>
              <w:t>Appointment for Perfection</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192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40"/>
          </w:cols>
          <w:pgMar w:left="320" w:top="98" w:right="3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20"/>
          <w:szCs w:val="20"/>
          <w:u w:val="single" w:color="auto"/>
          <w:color w:val="auto"/>
        </w:rPr>
        <w:t>Table of Contents</w:t>
      </w:r>
    </w:p>
    <w:p>
      <w:pPr>
        <w:jc w:val="center"/>
        <w:spacing w:after="0"/>
        <w:rPr>
          <w:sz w:val="20"/>
          <w:szCs w:val="20"/>
          <w:color w:val="auto"/>
        </w:rPr>
      </w:pPr>
      <w:r>
        <w:rPr>
          <w:rFonts w:ascii="Arial" w:cs="Arial" w:eastAsia="Arial" w:hAnsi="Arial"/>
          <w:sz w:val="20"/>
          <w:szCs w:val="20"/>
          <w:color w:val="auto"/>
        </w:rPr>
        <w:t>(continued)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1080" w:type="dxa"/>
            <w:vAlign w:val="bottom"/>
          </w:tcPr>
          <w:p>
            <w:pPr>
              <w:spacing w:after="0"/>
              <w:rPr>
                <w:sz w:val="20"/>
                <w:szCs w:val="20"/>
                <w:color w:val="auto"/>
              </w:rPr>
            </w:pPr>
            <w:r>
              <w:rPr>
                <w:rFonts w:ascii="Arial" w:cs="Arial" w:eastAsia="Arial" w:hAnsi="Arial"/>
                <w:sz w:val="20"/>
                <w:szCs w:val="20"/>
                <w:color w:val="auto"/>
                <w:w w:val="95"/>
              </w:rPr>
              <w:t>Section 9.16</w:t>
            </w:r>
          </w:p>
        </w:tc>
        <w:tc>
          <w:tcPr>
            <w:tcW w:w="6960" w:type="dxa"/>
            <w:vAlign w:val="bottom"/>
            <w:gridSpan w:val="7"/>
          </w:tcPr>
          <w:p>
            <w:pPr>
              <w:ind w:left="100"/>
              <w:spacing w:after="0"/>
              <w:rPr>
                <w:sz w:val="20"/>
                <w:szCs w:val="20"/>
                <w:color w:val="auto"/>
              </w:rPr>
            </w:pPr>
            <w:r>
              <w:rPr>
                <w:rFonts w:ascii="Arial" w:cs="Arial" w:eastAsia="Arial" w:hAnsi="Arial"/>
                <w:sz w:val="20"/>
                <w:szCs w:val="20"/>
                <w:color w:val="auto"/>
              </w:rPr>
              <w:t>No Fiduciary Relationship  192</w:t>
            </w:r>
          </w:p>
        </w:tc>
      </w:tr>
      <w:tr>
        <w:trPr>
          <w:trHeight w:val="266"/>
        </w:trPr>
        <w:tc>
          <w:tcPr>
            <w:tcW w:w="1080" w:type="dxa"/>
            <w:vAlign w:val="bottom"/>
          </w:tcPr>
          <w:p>
            <w:pPr>
              <w:spacing w:after="0"/>
              <w:rPr>
                <w:sz w:val="20"/>
                <w:szCs w:val="20"/>
                <w:color w:val="auto"/>
              </w:rPr>
            </w:pPr>
            <w:r>
              <w:rPr>
                <w:rFonts w:ascii="Arial" w:cs="Arial" w:eastAsia="Arial" w:hAnsi="Arial"/>
                <w:sz w:val="20"/>
                <w:szCs w:val="20"/>
                <w:color w:val="auto"/>
                <w:w w:val="95"/>
              </w:rPr>
              <w:t>Section 9.17</w:t>
            </w:r>
          </w:p>
        </w:tc>
        <w:tc>
          <w:tcPr>
            <w:tcW w:w="2200" w:type="dxa"/>
            <w:vAlign w:val="bottom"/>
          </w:tcPr>
          <w:p>
            <w:pPr>
              <w:ind w:left="100"/>
              <w:spacing w:after="0"/>
              <w:rPr>
                <w:sz w:val="20"/>
                <w:szCs w:val="20"/>
                <w:color w:val="auto"/>
              </w:rPr>
            </w:pPr>
            <w:r>
              <w:rPr>
                <w:rFonts w:ascii="Arial" w:cs="Arial" w:eastAsia="Arial" w:hAnsi="Arial"/>
                <w:sz w:val="20"/>
                <w:szCs w:val="20"/>
                <w:color w:val="auto"/>
              </w:rPr>
              <w:t>Interest Rate Limitation</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77"/>
              </w:rPr>
              <w:t>192</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color w:val="0000FF"/>
                <w:w w:val="77"/>
              </w:rPr>
              <w:t>193</w:t>
            </w:r>
          </w:p>
        </w:tc>
        <w:tc>
          <w:tcPr>
            <w:tcW w:w="3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0"/>
        </w:trPr>
        <w:tc>
          <w:tcPr>
            <w:tcW w:w="328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7440" w:type="dxa"/>
            <w:vAlign w:val="bottom"/>
            <w:gridSpan w:val="6"/>
          </w:tcPr>
          <w:p>
            <w:pPr>
              <w:spacing w:after="0"/>
              <w:rPr>
                <w:sz w:val="20"/>
                <w:szCs w:val="20"/>
                <w:color w:val="auto"/>
              </w:rPr>
            </w:pPr>
            <w:r>
              <w:rPr>
                <w:rFonts w:ascii="Arial" w:cs="Arial" w:eastAsia="Arial" w:hAnsi="Arial"/>
                <w:sz w:val="20"/>
                <w:szCs w:val="20"/>
                <w:color w:val="auto"/>
                <w:w w:val="94"/>
              </w:rPr>
              <w:t>Section 9.18  Acknowledgement and Consent to Bail-In of Affected Financial Institutions.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192</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193</w:t>
            </w:r>
          </w:p>
        </w:tc>
      </w:tr>
      <w:tr>
        <w:trPr>
          <w:trHeight w:val="277"/>
        </w:trPr>
        <w:tc>
          <w:tcPr>
            <w:tcW w:w="1080" w:type="dxa"/>
            <w:vAlign w:val="bottom"/>
          </w:tcPr>
          <w:p>
            <w:pPr>
              <w:spacing w:after="0"/>
              <w:rPr>
                <w:sz w:val="20"/>
                <w:szCs w:val="20"/>
                <w:color w:val="auto"/>
              </w:rPr>
            </w:pPr>
            <w:r>
              <w:rPr>
                <w:rFonts w:ascii="Arial" w:cs="Arial" w:eastAsia="Arial" w:hAnsi="Arial"/>
                <w:sz w:val="20"/>
                <w:szCs w:val="20"/>
                <w:color w:val="auto"/>
                <w:w w:val="95"/>
              </w:rPr>
              <w:t>Section 9.19</w:t>
            </w:r>
          </w:p>
        </w:tc>
        <w:tc>
          <w:tcPr>
            <w:tcW w:w="2200" w:type="dxa"/>
            <w:vAlign w:val="bottom"/>
          </w:tcPr>
          <w:p>
            <w:pPr>
              <w:ind w:left="100"/>
              <w:spacing w:after="0"/>
              <w:rPr>
                <w:sz w:val="20"/>
                <w:szCs w:val="20"/>
                <w:color w:val="auto"/>
              </w:rPr>
            </w:pPr>
            <w:r>
              <w:rPr>
                <w:rFonts w:ascii="Arial" w:cs="Arial" w:eastAsia="Arial" w:hAnsi="Arial"/>
                <w:sz w:val="20"/>
                <w:szCs w:val="20"/>
                <w:color w:val="auto"/>
              </w:rPr>
              <w:t>Certain ERISA Matters.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193</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194</w:t>
            </w:r>
          </w:p>
        </w:tc>
        <w:tc>
          <w:tcPr>
            <w:tcW w:w="3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5"/>
        </w:trPr>
        <w:tc>
          <w:tcPr>
            <w:tcW w:w="1080" w:type="dxa"/>
            <w:vAlign w:val="bottom"/>
          </w:tcPr>
          <w:p>
            <w:pPr>
              <w:spacing w:after="0"/>
              <w:rPr>
                <w:sz w:val="20"/>
                <w:szCs w:val="20"/>
                <w:color w:val="auto"/>
              </w:rPr>
            </w:pPr>
            <w:r>
              <w:rPr>
                <w:rFonts w:ascii="Arial" w:cs="Arial" w:eastAsia="Arial" w:hAnsi="Arial"/>
                <w:sz w:val="20"/>
                <w:szCs w:val="20"/>
                <w:color w:val="auto"/>
                <w:w w:val="95"/>
              </w:rPr>
              <w:t>Section 9.20</w:t>
            </w:r>
          </w:p>
        </w:tc>
        <w:tc>
          <w:tcPr>
            <w:tcW w:w="6960" w:type="dxa"/>
            <w:vAlign w:val="bottom"/>
            <w:gridSpan w:val="7"/>
          </w:tcPr>
          <w:p>
            <w:pPr>
              <w:ind w:left="100"/>
              <w:spacing w:after="0"/>
              <w:rPr>
                <w:sz w:val="20"/>
                <w:szCs w:val="20"/>
                <w:color w:val="auto"/>
              </w:rPr>
            </w:pPr>
            <w:r>
              <w:rPr>
                <w:rFonts w:ascii="Arial" w:cs="Arial" w:eastAsia="Arial" w:hAnsi="Arial"/>
                <w:sz w:val="20"/>
                <w:szCs w:val="20"/>
                <w:color w:val="auto"/>
              </w:rPr>
              <w:t>Acknowledgement Regarding Any Supported QFCs  194</w:t>
            </w: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gridSpan w:val="2"/>
          </w:tcPr>
          <w:p>
            <w:pPr>
              <w:spacing w:after="0"/>
              <w:rPr>
                <w:sz w:val="20"/>
                <w:szCs w:val="20"/>
                <w:color w:val="auto"/>
              </w:rPr>
            </w:pPr>
            <w:r>
              <w:rPr>
                <w:rFonts w:ascii="Arial" w:cs="Arial" w:eastAsia="Arial" w:hAnsi="Arial"/>
                <w:sz w:val="20"/>
                <w:szCs w:val="20"/>
                <w:color w:val="auto"/>
              </w:rPr>
              <w:t>ARTICLE X THE GUARANTY</w:t>
            </w:r>
          </w:p>
        </w:tc>
        <w:tc>
          <w:tcPr>
            <w:tcW w:w="440" w:type="dxa"/>
            <w:vAlign w:val="bottom"/>
          </w:tcPr>
          <w:p>
            <w:pPr>
              <w:jc w:val="right"/>
              <w:ind w:right="1"/>
              <w:spacing w:after="0"/>
              <w:rPr>
                <w:sz w:val="20"/>
                <w:szCs w:val="20"/>
                <w:color w:val="auto"/>
              </w:rPr>
            </w:pPr>
            <w:r>
              <w:rPr>
                <w:rFonts w:ascii="Arial" w:cs="Arial" w:eastAsia="Arial" w:hAnsi="Arial"/>
                <w:sz w:val="20"/>
                <w:szCs w:val="20"/>
                <w:color w:val="auto"/>
                <w:w w:val="95"/>
              </w:rPr>
              <w:t>195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97"/>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10.01</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w w:val="93"/>
              </w:rPr>
              <w:t>The Guarantee</w:t>
            </w:r>
          </w:p>
        </w:tc>
        <w:tc>
          <w:tcPr>
            <w:tcW w:w="700" w:type="dxa"/>
            <w:vAlign w:val="bottom"/>
            <w:gridSpan w:val="3"/>
          </w:tcPr>
          <w:p>
            <w:pPr>
              <w:jc w:val="right"/>
              <w:ind w:right="320"/>
              <w:spacing w:after="0"/>
              <w:rPr>
                <w:sz w:val="20"/>
                <w:szCs w:val="20"/>
                <w:color w:val="auto"/>
              </w:rPr>
            </w:pPr>
            <w:r>
              <w:rPr>
                <w:rFonts w:ascii="Arial" w:cs="Arial" w:eastAsia="Arial" w:hAnsi="Arial"/>
                <w:sz w:val="20"/>
                <w:szCs w:val="20"/>
                <w:color w:val="auto"/>
              </w:rPr>
              <w:t>195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10.02</w:t>
            </w:r>
          </w:p>
        </w:tc>
        <w:tc>
          <w:tcPr>
            <w:tcW w:w="2380" w:type="dxa"/>
            <w:vAlign w:val="bottom"/>
            <w:gridSpan w:val="7"/>
          </w:tcPr>
          <w:p>
            <w:pPr>
              <w:ind w:left="100"/>
              <w:spacing w:after="0"/>
              <w:rPr>
                <w:sz w:val="20"/>
                <w:szCs w:val="20"/>
                <w:color w:val="auto"/>
              </w:rPr>
            </w:pPr>
            <w:r>
              <w:rPr>
                <w:rFonts w:ascii="Arial" w:cs="Arial" w:eastAsia="Arial" w:hAnsi="Arial"/>
                <w:sz w:val="20"/>
                <w:szCs w:val="20"/>
                <w:color w:val="auto"/>
                <w:w w:val="99"/>
              </w:rPr>
              <w:t>Obligations Unconditional</w:t>
            </w:r>
          </w:p>
        </w:tc>
        <w:tc>
          <w:tcPr>
            <w:tcW w:w="320" w:type="dxa"/>
            <w:vAlign w:val="bottom"/>
            <w:gridSpan w:val="3"/>
          </w:tcPr>
          <w:p>
            <w:pPr>
              <w:ind w:left="20"/>
              <w:spacing w:after="0"/>
              <w:rPr>
                <w:sz w:val="20"/>
                <w:szCs w:val="20"/>
                <w:color w:val="auto"/>
              </w:rPr>
            </w:pPr>
            <w:r>
              <w:rPr>
                <w:rFonts w:ascii="Arial" w:cs="Arial" w:eastAsia="Arial" w:hAnsi="Arial"/>
                <w:sz w:val="20"/>
                <w:szCs w:val="20"/>
                <w:color w:val="FF0000"/>
                <w:strike w:val="1"/>
                <w:w w:val="83"/>
              </w:rPr>
              <w:t>195</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196</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322"/>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10.03</w:t>
            </w: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w w:val="97"/>
              </w:rPr>
              <w:t>Reinstatement</w:t>
            </w:r>
          </w:p>
        </w:tc>
        <w:tc>
          <w:tcPr>
            <w:tcW w:w="700" w:type="dxa"/>
            <w:vAlign w:val="bottom"/>
            <w:gridSpan w:val="3"/>
          </w:tcPr>
          <w:p>
            <w:pPr>
              <w:jc w:val="right"/>
              <w:ind w:right="360"/>
              <w:spacing w:after="0"/>
              <w:rPr>
                <w:sz w:val="20"/>
                <w:szCs w:val="20"/>
                <w:color w:val="auto"/>
              </w:rPr>
            </w:pPr>
            <w:r>
              <w:rPr>
                <w:rFonts w:ascii="Arial" w:cs="Arial" w:eastAsia="Arial" w:hAnsi="Arial"/>
                <w:sz w:val="20"/>
                <w:szCs w:val="20"/>
                <w:color w:val="auto"/>
                <w:w w:val="95"/>
              </w:rPr>
              <w:t>197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10"/>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10.04</w:t>
            </w:r>
          </w:p>
        </w:tc>
        <w:tc>
          <w:tcPr>
            <w:tcW w:w="2380" w:type="dxa"/>
            <w:vAlign w:val="bottom"/>
            <w:gridSpan w:val="7"/>
          </w:tcPr>
          <w:p>
            <w:pPr>
              <w:ind w:left="100"/>
              <w:spacing w:after="0"/>
              <w:rPr>
                <w:sz w:val="20"/>
                <w:szCs w:val="20"/>
                <w:color w:val="auto"/>
              </w:rPr>
            </w:pPr>
            <w:r>
              <w:rPr>
                <w:rFonts w:ascii="Arial" w:cs="Arial" w:eastAsia="Arial" w:hAnsi="Arial"/>
                <w:sz w:val="20"/>
                <w:szCs w:val="20"/>
                <w:color w:val="auto"/>
                <w:w w:val="95"/>
              </w:rPr>
              <w:t>Certain Additional Waivers</w:t>
            </w:r>
          </w:p>
        </w:tc>
        <w:tc>
          <w:tcPr>
            <w:tcW w:w="620" w:type="dxa"/>
            <w:vAlign w:val="bottom"/>
            <w:gridSpan w:val="4"/>
          </w:tcPr>
          <w:p>
            <w:pPr>
              <w:jc w:val="right"/>
              <w:ind w:right="141"/>
              <w:spacing w:after="0"/>
              <w:rPr>
                <w:sz w:val="20"/>
                <w:szCs w:val="20"/>
                <w:color w:val="auto"/>
              </w:rPr>
            </w:pPr>
            <w:r>
              <w:rPr>
                <w:rFonts w:ascii="Arial" w:cs="Arial" w:eastAsia="Arial" w:hAnsi="Arial"/>
                <w:sz w:val="20"/>
                <w:szCs w:val="20"/>
                <w:color w:val="auto"/>
              </w:rPr>
              <w:t>197</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6"/>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10.05</w:t>
            </w:r>
          </w:p>
        </w:tc>
        <w:tc>
          <w:tcPr>
            <w:tcW w:w="920" w:type="dxa"/>
            <w:vAlign w:val="bottom"/>
          </w:tcPr>
          <w:p>
            <w:pPr>
              <w:ind w:left="100"/>
              <w:spacing w:after="0"/>
              <w:rPr>
                <w:sz w:val="20"/>
                <w:szCs w:val="20"/>
                <w:color w:val="auto"/>
              </w:rPr>
            </w:pPr>
            <w:r>
              <w:rPr>
                <w:rFonts w:ascii="Arial" w:cs="Arial" w:eastAsia="Arial" w:hAnsi="Arial"/>
                <w:sz w:val="20"/>
                <w:szCs w:val="20"/>
                <w:color w:val="auto"/>
                <w:w w:val="88"/>
              </w:rPr>
              <w:t>Remedies</w:t>
            </w:r>
          </w:p>
        </w:tc>
        <w:tc>
          <w:tcPr>
            <w:tcW w:w="460" w:type="dxa"/>
            <w:vAlign w:val="bottom"/>
            <w:gridSpan w:val="2"/>
          </w:tcPr>
          <w:p>
            <w:pPr>
              <w:jc w:val="right"/>
              <w:spacing w:after="0"/>
              <w:rPr>
                <w:sz w:val="20"/>
                <w:szCs w:val="20"/>
                <w:color w:val="auto"/>
              </w:rPr>
            </w:pPr>
            <w:r>
              <w:rPr>
                <w:rFonts w:ascii="Arial" w:cs="Arial" w:eastAsia="Arial" w:hAnsi="Arial"/>
                <w:sz w:val="20"/>
                <w:szCs w:val="20"/>
                <w:color w:val="FF0000"/>
                <w:strike w:val="1"/>
              </w:rPr>
              <w:t>197</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198</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7"/>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10.06</w:t>
            </w:r>
          </w:p>
        </w:tc>
        <w:tc>
          <w:tcPr>
            <w:tcW w:w="2080" w:type="dxa"/>
            <w:vAlign w:val="bottom"/>
            <w:gridSpan w:val="6"/>
          </w:tcPr>
          <w:p>
            <w:pPr>
              <w:ind w:left="100"/>
              <w:spacing w:after="0"/>
              <w:rPr>
                <w:sz w:val="20"/>
                <w:szCs w:val="20"/>
                <w:color w:val="auto"/>
              </w:rPr>
            </w:pPr>
            <w:r>
              <w:rPr>
                <w:rFonts w:ascii="Arial" w:cs="Arial" w:eastAsia="Arial" w:hAnsi="Arial"/>
                <w:sz w:val="20"/>
                <w:szCs w:val="20"/>
                <w:color w:val="auto"/>
              </w:rPr>
              <w:t>Rights of Contribution</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197</w:t>
            </w:r>
          </w:p>
        </w:tc>
        <w:tc>
          <w:tcPr>
            <w:tcW w:w="3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3"/>
              </w:rPr>
              <w:t>198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10.07</w:t>
            </w:r>
          </w:p>
        </w:tc>
        <w:tc>
          <w:tcPr>
            <w:tcW w:w="3840" w:type="dxa"/>
            <w:vAlign w:val="bottom"/>
            <w:gridSpan w:val="12"/>
          </w:tcPr>
          <w:p>
            <w:pPr>
              <w:ind w:left="100"/>
              <w:spacing w:after="0"/>
              <w:rPr>
                <w:sz w:val="20"/>
                <w:szCs w:val="20"/>
                <w:color w:val="auto"/>
              </w:rPr>
            </w:pPr>
            <w:r>
              <w:rPr>
                <w:rFonts w:ascii="Arial" w:cs="Arial" w:eastAsia="Arial" w:hAnsi="Arial"/>
                <w:sz w:val="20"/>
                <w:szCs w:val="20"/>
                <w:color w:val="auto"/>
                <w:w w:val="93"/>
              </w:rPr>
              <w:t>Guaranty of Payment; Continuing Guarantee</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197</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198</w:t>
            </w:r>
          </w:p>
        </w:tc>
      </w:tr>
      <w:tr>
        <w:trPr>
          <w:trHeight w:val="290"/>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10.08</w:t>
            </w:r>
          </w:p>
        </w:tc>
        <w:tc>
          <w:tcPr>
            <w:tcW w:w="2080" w:type="dxa"/>
            <w:vAlign w:val="bottom"/>
            <w:gridSpan w:val="6"/>
          </w:tcPr>
          <w:p>
            <w:pPr>
              <w:ind w:left="100"/>
              <w:spacing w:after="0"/>
              <w:rPr>
                <w:sz w:val="20"/>
                <w:szCs w:val="20"/>
                <w:color w:val="auto"/>
              </w:rPr>
            </w:pPr>
            <w:r>
              <w:rPr>
                <w:rFonts w:ascii="Arial" w:cs="Arial" w:eastAsia="Arial" w:hAnsi="Arial"/>
                <w:sz w:val="20"/>
                <w:szCs w:val="20"/>
                <w:color w:val="auto"/>
              </w:rPr>
              <w:t>Guarantee Limitations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197</w:t>
            </w:r>
          </w:p>
        </w:tc>
        <w:tc>
          <w:tcPr>
            <w:tcW w:w="300" w:type="dxa"/>
            <w:vAlign w:val="bottom"/>
            <w:gridSpan w:val="2"/>
          </w:tcPr>
          <w:p>
            <w:pPr>
              <w:spacing w:after="0"/>
              <w:rPr>
                <w:sz w:val="20"/>
                <w:szCs w:val="20"/>
                <w:color w:val="auto"/>
              </w:rPr>
            </w:pPr>
            <w:r>
              <w:rPr>
                <w:rFonts w:ascii="Arial" w:cs="Arial" w:eastAsia="Arial" w:hAnsi="Arial"/>
                <w:sz w:val="20"/>
                <w:szCs w:val="20"/>
                <w:color w:val="0000FF"/>
                <w:w w:val="83"/>
              </w:rPr>
              <w:t>198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840" w:type="dxa"/>
            <w:vAlign w:val="bottom"/>
          </w:tcPr>
          <w:p>
            <w:pPr>
              <w:ind w:left="660"/>
              <w:spacing w:after="0"/>
              <w:rPr>
                <w:sz w:val="20"/>
                <w:szCs w:val="20"/>
                <w:color w:val="auto"/>
              </w:rPr>
            </w:pPr>
            <w:r>
              <w:rPr>
                <w:rFonts w:ascii="Arial" w:cs="Arial" w:eastAsia="Arial" w:hAnsi="Arial"/>
                <w:sz w:val="20"/>
                <w:szCs w:val="20"/>
                <w:color w:val="auto"/>
                <w:w w:val="94"/>
              </w:rPr>
              <w:t>Section 10.09</w:t>
            </w:r>
          </w:p>
        </w:tc>
        <w:tc>
          <w:tcPr>
            <w:tcW w:w="920" w:type="dxa"/>
            <w:vAlign w:val="bottom"/>
          </w:tcPr>
          <w:p>
            <w:pPr>
              <w:ind w:left="100"/>
              <w:spacing w:after="0"/>
              <w:rPr>
                <w:sz w:val="20"/>
                <w:szCs w:val="20"/>
                <w:color w:val="auto"/>
              </w:rPr>
            </w:pPr>
            <w:r>
              <w:rPr>
                <w:rFonts w:ascii="Arial" w:cs="Arial" w:eastAsia="Arial" w:hAnsi="Arial"/>
                <w:sz w:val="20"/>
                <w:szCs w:val="20"/>
                <w:color w:val="auto"/>
                <w:w w:val="98"/>
              </w:rPr>
              <w:t>Keepwell</w:t>
            </w:r>
          </w:p>
        </w:tc>
        <w:tc>
          <w:tcPr>
            <w:tcW w:w="440" w:type="dxa"/>
            <w:vAlign w:val="bottom"/>
          </w:tcPr>
          <w:p>
            <w:pPr>
              <w:jc w:val="right"/>
              <w:spacing w:after="0"/>
              <w:rPr>
                <w:sz w:val="20"/>
                <w:szCs w:val="20"/>
                <w:color w:val="auto"/>
              </w:rPr>
            </w:pPr>
            <w:r>
              <w:rPr>
                <w:rFonts w:ascii="Arial" w:cs="Arial" w:eastAsia="Arial" w:hAnsi="Arial"/>
                <w:sz w:val="20"/>
                <w:szCs w:val="20"/>
                <w:color w:val="FF0000"/>
                <w:strike w:val="1"/>
              </w:rPr>
              <w:t>198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199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40"/>
          </w:cols>
          <w:pgMar w:left="320" w:top="98"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u w:val="single" w:color="auto"/>
          <w:color w:val="auto"/>
        </w:rPr>
        <w:t>Table of Contents</w:t>
      </w:r>
    </w:p>
    <w:p>
      <w:pPr>
        <w:jc w:val="center"/>
        <w:spacing w:after="0"/>
        <w:rPr>
          <w:sz w:val="20"/>
          <w:szCs w:val="20"/>
          <w:color w:val="auto"/>
        </w:rPr>
      </w:pPr>
      <w:r>
        <w:rPr>
          <w:rFonts w:ascii="Arial" w:cs="Arial" w:eastAsia="Arial" w:hAnsi="Arial"/>
          <w:sz w:val="20"/>
          <w:szCs w:val="20"/>
          <w:color w:val="auto"/>
        </w:rPr>
        <w:t>(continued)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gridSpan w:val="2"/>
          </w:tcPr>
          <w:p>
            <w:pPr>
              <w:spacing w:after="0"/>
              <w:rPr>
                <w:sz w:val="20"/>
                <w:szCs w:val="20"/>
                <w:color w:val="auto"/>
              </w:rPr>
            </w:pPr>
            <w:r>
              <w:rPr>
                <w:rFonts w:ascii="Arial" w:cs="Arial" w:eastAsia="Arial" w:hAnsi="Arial"/>
                <w:sz w:val="20"/>
                <w:szCs w:val="20"/>
                <w:color w:val="auto"/>
              </w:rPr>
              <w:t>SCHEDULES:</w:t>
            </w:r>
          </w:p>
        </w:tc>
        <w:tc>
          <w:tcPr>
            <w:tcW w:w="3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2"/>
        </w:trPr>
        <w:tc>
          <w:tcPr>
            <w:tcW w:w="1400" w:type="dxa"/>
            <w:vAlign w:val="bottom"/>
            <w:gridSpan w:val="2"/>
          </w:tcPr>
          <w:p>
            <w:pPr>
              <w:spacing w:after="0"/>
              <w:rPr>
                <w:sz w:val="20"/>
                <w:szCs w:val="20"/>
                <w:color w:val="auto"/>
              </w:rPr>
            </w:pPr>
            <w:r>
              <w:rPr>
                <w:rFonts w:ascii="Arial" w:cs="Arial" w:eastAsia="Arial" w:hAnsi="Arial"/>
                <w:sz w:val="20"/>
                <w:szCs w:val="20"/>
                <w:color w:val="auto"/>
                <w:w w:val="97"/>
              </w:rPr>
              <w:t>Schedule 1.01A</w:t>
            </w:r>
          </w:p>
        </w:tc>
        <w:tc>
          <w:tcPr>
            <w:tcW w:w="340" w:type="dxa"/>
            <w:vAlign w:val="bottom"/>
          </w:tcPr>
          <w:p>
            <w:pPr>
              <w:ind w:left="120"/>
              <w:spacing w:after="0"/>
              <w:rPr>
                <w:sz w:val="20"/>
                <w:szCs w:val="20"/>
                <w:color w:val="auto"/>
              </w:rPr>
            </w:pPr>
            <w:r>
              <w:rPr>
                <w:rFonts w:ascii="Arial" w:cs="Arial" w:eastAsia="Arial" w:hAnsi="Arial"/>
                <w:sz w:val="20"/>
                <w:szCs w:val="20"/>
                <w:color w:val="auto"/>
              </w:rPr>
              <w:t>–</w:t>
            </w:r>
          </w:p>
        </w:tc>
        <w:tc>
          <w:tcPr>
            <w:tcW w:w="3440" w:type="dxa"/>
            <w:vAlign w:val="bottom"/>
          </w:tcPr>
          <w:p>
            <w:pPr>
              <w:ind w:left="120"/>
              <w:spacing w:after="0"/>
              <w:rPr>
                <w:sz w:val="20"/>
                <w:szCs w:val="20"/>
                <w:color w:val="auto"/>
              </w:rPr>
            </w:pPr>
            <w:r>
              <w:rPr>
                <w:rFonts w:ascii="Arial" w:cs="Arial" w:eastAsia="Arial" w:hAnsi="Arial"/>
                <w:sz w:val="20"/>
                <w:szCs w:val="20"/>
                <w:color w:val="auto"/>
                <w:w w:val="88"/>
              </w:rPr>
              <w:t>Agreed Guarantee and Security Principles</w:t>
            </w:r>
          </w:p>
        </w:tc>
      </w:tr>
      <w:tr>
        <w:trPr>
          <w:trHeight w:val="192"/>
        </w:trPr>
        <w:tc>
          <w:tcPr>
            <w:tcW w:w="1400" w:type="dxa"/>
            <w:vAlign w:val="bottom"/>
            <w:gridSpan w:val="2"/>
          </w:tcPr>
          <w:p>
            <w:pPr>
              <w:spacing w:after="0" w:line="192" w:lineRule="exact"/>
              <w:rPr>
                <w:sz w:val="20"/>
                <w:szCs w:val="20"/>
                <w:color w:val="auto"/>
              </w:rPr>
            </w:pPr>
            <w:r>
              <w:rPr>
                <w:rFonts w:ascii="Arial" w:cs="Arial" w:eastAsia="Arial" w:hAnsi="Arial"/>
                <w:sz w:val="20"/>
                <w:szCs w:val="20"/>
                <w:color w:val="auto"/>
                <w:w w:val="97"/>
              </w:rPr>
              <w:t>Schedule 1.01B</w:t>
            </w:r>
          </w:p>
        </w:tc>
        <w:tc>
          <w:tcPr>
            <w:tcW w:w="340" w:type="dxa"/>
            <w:vAlign w:val="bottom"/>
          </w:tcPr>
          <w:p>
            <w:pPr>
              <w:ind w:left="100"/>
              <w:spacing w:after="0" w:line="192" w:lineRule="exact"/>
              <w:rPr>
                <w:sz w:val="20"/>
                <w:szCs w:val="20"/>
                <w:color w:val="auto"/>
              </w:rPr>
            </w:pPr>
            <w:r>
              <w:rPr>
                <w:rFonts w:ascii="Arial" w:cs="Arial" w:eastAsia="Arial" w:hAnsi="Arial"/>
                <w:sz w:val="20"/>
                <w:szCs w:val="20"/>
                <w:color w:val="auto"/>
              </w:rPr>
              <w:t>–</w:t>
            </w:r>
          </w:p>
        </w:tc>
        <w:tc>
          <w:tcPr>
            <w:tcW w:w="3440" w:type="dxa"/>
            <w:vAlign w:val="bottom"/>
          </w:tcPr>
          <w:p>
            <w:pPr>
              <w:ind w:left="120"/>
              <w:spacing w:after="0" w:line="192" w:lineRule="exact"/>
              <w:rPr>
                <w:sz w:val="20"/>
                <w:szCs w:val="20"/>
                <w:color w:val="auto"/>
              </w:rPr>
            </w:pPr>
            <w:r>
              <w:rPr>
                <w:rFonts w:ascii="Arial" w:cs="Arial" w:eastAsia="Arial" w:hAnsi="Arial"/>
                <w:sz w:val="20"/>
                <w:szCs w:val="20"/>
                <w:color w:val="auto"/>
              </w:rPr>
              <w:t>Existing Investments</w:t>
            </w:r>
          </w:p>
        </w:tc>
      </w:tr>
      <w:tr>
        <w:trPr>
          <w:trHeight w:val="215"/>
        </w:trPr>
        <w:tc>
          <w:tcPr>
            <w:tcW w:w="1400" w:type="dxa"/>
            <w:vAlign w:val="bottom"/>
            <w:gridSpan w:val="2"/>
          </w:tcPr>
          <w:p>
            <w:pPr>
              <w:spacing w:after="0" w:line="215" w:lineRule="exact"/>
              <w:rPr>
                <w:sz w:val="20"/>
                <w:szCs w:val="20"/>
                <w:color w:val="auto"/>
              </w:rPr>
            </w:pPr>
            <w:r>
              <w:rPr>
                <w:rFonts w:ascii="Arial" w:cs="Arial" w:eastAsia="Arial" w:hAnsi="Arial"/>
                <w:sz w:val="20"/>
                <w:szCs w:val="20"/>
                <w:color w:val="auto"/>
                <w:w w:val="96"/>
              </w:rPr>
              <w:t>Schedule 1.01C</w:t>
            </w:r>
          </w:p>
        </w:tc>
        <w:tc>
          <w:tcPr>
            <w:tcW w:w="340" w:type="dxa"/>
            <w:vAlign w:val="bottom"/>
          </w:tcPr>
          <w:p>
            <w:pPr>
              <w:ind w:left="100"/>
              <w:spacing w:after="0" w:line="215" w:lineRule="exact"/>
              <w:rPr>
                <w:sz w:val="20"/>
                <w:szCs w:val="20"/>
                <w:color w:val="auto"/>
              </w:rPr>
            </w:pPr>
            <w:r>
              <w:rPr>
                <w:rFonts w:ascii="Arial" w:cs="Arial" w:eastAsia="Arial" w:hAnsi="Arial"/>
                <w:sz w:val="20"/>
                <w:szCs w:val="20"/>
                <w:color w:val="auto"/>
              </w:rPr>
              <w:t>–</w:t>
            </w:r>
          </w:p>
        </w:tc>
        <w:tc>
          <w:tcPr>
            <w:tcW w:w="3440" w:type="dxa"/>
            <w:vAlign w:val="bottom"/>
          </w:tcPr>
          <w:p>
            <w:pPr>
              <w:ind w:left="120"/>
              <w:spacing w:after="0" w:line="215" w:lineRule="exact"/>
              <w:rPr>
                <w:sz w:val="20"/>
                <w:szCs w:val="20"/>
                <w:color w:val="auto"/>
              </w:rPr>
            </w:pPr>
            <w:r>
              <w:rPr>
                <w:rFonts w:ascii="Arial" w:cs="Arial" w:eastAsia="Arial" w:hAnsi="Arial"/>
                <w:sz w:val="20"/>
                <w:szCs w:val="20"/>
                <w:color w:val="auto"/>
              </w:rPr>
              <w:t>Existing Liens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gridSpan w:val="5"/>
          </w:tcPr>
          <w:p>
            <w:pPr>
              <w:spacing w:after="0" w:line="186" w:lineRule="exact"/>
              <w:rPr>
                <w:sz w:val="20"/>
                <w:szCs w:val="20"/>
                <w:color w:val="auto"/>
              </w:rPr>
            </w:pPr>
            <w:r>
              <w:rPr>
                <w:rFonts w:ascii="Arial" w:cs="Arial" w:eastAsia="Arial" w:hAnsi="Arial"/>
                <w:sz w:val="20"/>
                <w:szCs w:val="20"/>
                <w:color w:val="auto"/>
                <w:w w:val="89"/>
              </w:rPr>
              <w:t>Schedule 1.01D</w:t>
            </w:r>
          </w:p>
        </w:tc>
        <w:tc>
          <w:tcPr>
            <w:tcW w:w="560" w:type="dxa"/>
            <w:vAlign w:val="bottom"/>
          </w:tcPr>
          <w:p>
            <w:pPr>
              <w:ind w:left="360"/>
              <w:spacing w:after="0" w:line="186" w:lineRule="exact"/>
              <w:rPr>
                <w:sz w:val="20"/>
                <w:szCs w:val="20"/>
                <w:color w:val="auto"/>
              </w:rPr>
            </w:pPr>
            <w:r>
              <w:rPr>
                <w:rFonts w:ascii="Arial" w:cs="Arial" w:eastAsia="Arial" w:hAnsi="Arial"/>
                <w:sz w:val="20"/>
                <w:szCs w:val="20"/>
                <w:color w:val="auto"/>
              </w:rPr>
              <w:t>–</w:t>
            </w:r>
          </w:p>
        </w:tc>
        <w:tc>
          <w:tcPr>
            <w:tcW w:w="3740" w:type="dxa"/>
            <w:vAlign w:val="bottom"/>
          </w:tcPr>
          <w:p>
            <w:pPr>
              <w:ind w:left="160"/>
              <w:spacing w:after="0" w:line="186" w:lineRule="exact"/>
              <w:rPr>
                <w:sz w:val="20"/>
                <w:szCs w:val="20"/>
                <w:color w:val="auto"/>
              </w:rPr>
            </w:pPr>
            <w:r>
              <w:rPr>
                <w:rFonts w:ascii="Arial" w:cs="Arial" w:eastAsia="Arial" w:hAnsi="Arial"/>
                <w:sz w:val="20"/>
                <w:szCs w:val="20"/>
                <w:color w:val="auto"/>
              </w:rPr>
              <w:t>Excluded Subsidiaries</w:t>
            </w:r>
          </w:p>
        </w:tc>
        <w:tc>
          <w:tcPr>
            <w:tcW w:w="0" w:type="dxa"/>
            <w:vAlign w:val="bottom"/>
          </w:tcPr>
          <w:p>
            <w:pPr>
              <w:spacing w:after="0"/>
              <w:rPr>
                <w:sz w:val="1"/>
                <w:szCs w:val="1"/>
                <w:color w:val="auto"/>
              </w:rPr>
            </w:pPr>
          </w:p>
        </w:tc>
      </w:tr>
      <w:tr>
        <w:trPr>
          <w:trHeight w:val="192"/>
        </w:trPr>
        <w:tc>
          <w:tcPr>
            <w:tcW w:w="1300" w:type="dxa"/>
            <w:vAlign w:val="bottom"/>
            <w:gridSpan w:val="5"/>
          </w:tcPr>
          <w:p>
            <w:pPr>
              <w:spacing w:after="0" w:line="192" w:lineRule="exact"/>
              <w:rPr>
                <w:sz w:val="20"/>
                <w:szCs w:val="20"/>
                <w:color w:val="auto"/>
              </w:rPr>
            </w:pPr>
            <w:r>
              <w:rPr>
                <w:rFonts w:ascii="Arial" w:cs="Arial" w:eastAsia="Arial" w:hAnsi="Arial"/>
                <w:sz w:val="20"/>
                <w:szCs w:val="20"/>
                <w:color w:val="auto"/>
                <w:w w:val="90"/>
              </w:rPr>
              <w:t>Schedule 1.01E</w:t>
            </w:r>
          </w:p>
        </w:tc>
        <w:tc>
          <w:tcPr>
            <w:tcW w:w="560" w:type="dxa"/>
            <w:vAlign w:val="bottom"/>
          </w:tcPr>
          <w:p>
            <w:pPr>
              <w:ind w:left="400"/>
              <w:spacing w:after="0" w:line="192" w:lineRule="exact"/>
              <w:rPr>
                <w:sz w:val="20"/>
                <w:szCs w:val="20"/>
                <w:color w:val="auto"/>
              </w:rPr>
            </w:pPr>
            <w:r>
              <w:rPr>
                <w:rFonts w:ascii="Arial" w:cs="Arial" w:eastAsia="Arial" w:hAnsi="Arial"/>
                <w:sz w:val="20"/>
                <w:szCs w:val="20"/>
                <w:color w:val="auto"/>
              </w:rPr>
              <w:t>–</w:t>
            </w:r>
          </w:p>
        </w:tc>
        <w:tc>
          <w:tcPr>
            <w:tcW w:w="3740" w:type="dxa"/>
            <w:vAlign w:val="bottom"/>
          </w:tcPr>
          <w:p>
            <w:pPr>
              <w:ind w:left="180"/>
              <w:spacing w:after="0" w:line="192" w:lineRule="exact"/>
              <w:rPr>
                <w:sz w:val="20"/>
                <w:szCs w:val="20"/>
                <w:color w:val="auto"/>
              </w:rPr>
            </w:pPr>
            <w:r>
              <w:rPr>
                <w:rFonts w:ascii="Arial" w:cs="Arial" w:eastAsia="Arial" w:hAnsi="Arial"/>
                <w:sz w:val="20"/>
                <w:szCs w:val="20"/>
                <w:color w:val="auto"/>
              </w:rPr>
              <w:t>Foreign Security Documents</w:t>
            </w:r>
          </w:p>
        </w:tc>
        <w:tc>
          <w:tcPr>
            <w:tcW w:w="0" w:type="dxa"/>
            <w:vAlign w:val="bottom"/>
          </w:tcPr>
          <w:p>
            <w:pPr>
              <w:spacing w:after="0"/>
              <w:rPr>
                <w:sz w:val="1"/>
                <w:szCs w:val="1"/>
                <w:color w:val="auto"/>
              </w:rPr>
            </w:pPr>
          </w:p>
        </w:tc>
      </w:tr>
      <w:tr>
        <w:trPr>
          <w:trHeight w:val="199"/>
        </w:trPr>
        <w:tc>
          <w:tcPr>
            <w:tcW w:w="1300" w:type="dxa"/>
            <w:vAlign w:val="bottom"/>
            <w:gridSpan w:val="5"/>
          </w:tcPr>
          <w:p>
            <w:pPr>
              <w:spacing w:after="0" w:line="199" w:lineRule="exact"/>
              <w:rPr>
                <w:sz w:val="20"/>
                <w:szCs w:val="20"/>
                <w:color w:val="auto"/>
              </w:rPr>
            </w:pPr>
            <w:r>
              <w:rPr>
                <w:rFonts w:ascii="Arial" w:cs="Arial" w:eastAsia="Arial" w:hAnsi="Arial"/>
                <w:sz w:val="20"/>
                <w:szCs w:val="20"/>
                <w:color w:val="auto"/>
                <w:w w:val="91"/>
              </w:rPr>
              <w:t>Schedule 1.01F</w:t>
            </w:r>
          </w:p>
        </w:tc>
        <w:tc>
          <w:tcPr>
            <w:tcW w:w="560" w:type="dxa"/>
            <w:vAlign w:val="bottom"/>
          </w:tcPr>
          <w:p>
            <w:pPr>
              <w:ind w:left="340"/>
              <w:spacing w:after="0" w:line="199" w:lineRule="exact"/>
              <w:rPr>
                <w:sz w:val="20"/>
                <w:szCs w:val="20"/>
                <w:color w:val="auto"/>
              </w:rPr>
            </w:pPr>
            <w:r>
              <w:rPr>
                <w:rFonts w:ascii="Arial" w:cs="Arial" w:eastAsia="Arial" w:hAnsi="Arial"/>
                <w:sz w:val="20"/>
                <w:szCs w:val="20"/>
                <w:color w:val="auto"/>
              </w:rPr>
              <w:t>–</w:t>
            </w:r>
          </w:p>
        </w:tc>
        <w:tc>
          <w:tcPr>
            <w:tcW w:w="3740" w:type="dxa"/>
            <w:vAlign w:val="bottom"/>
          </w:tcPr>
          <w:p>
            <w:pPr>
              <w:ind w:left="120"/>
              <w:spacing w:after="0" w:line="199" w:lineRule="exact"/>
              <w:rPr>
                <w:sz w:val="20"/>
                <w:szCs w:val="20"/>
                <w:color w:val="auto"/>
              </w:rPr>
            </w:pPr>
            <w:r>
              <w:rPr>
                <w:rFonts w:ascii="Arial" w:cs="Arial" w:eastAsia="Arial" w:hAnsi="Arial"/>
                <w:sz w:val="20"/>
                <w:szCs w:val="20"/>
                <w:color w:val="auto"/>
              </w:rPr>
              <w:t>Subsidiary Guarantors</w:t>
            </w:r>
          </w:p>
        </w:tc>
        <w:tc>
          <w:tcPr>
            <w:tcW w:w="0" w:type="dxa"/>
            <w:vAlign w:val="bottom"/>
          </w:tcPr>
          <w:p>
            <w:pPr>
              <w:spacing w:after="0"/>
              <w:rPr>
                <w:sz w:val="1"/>
                <w:szCs w:val="1"/>
                <w:color w:val="auto"/>
              </w:rPr>
            </w:pPr>
          </w:p>
        </w:tc>
      </w:tr>
      <w:tr>
        <w:trPr>
          <w:trHeight w:val="192"/>
        </w:trPr>
        <w:tc>
          <w:tcPr>
            <w:tcW w:w="1160" w:type="dxa"/>
            <w:vAlign w:val="bottom"/>
            <w:gridSpan w:val="4"/>
          </w:tcPr>
          <w:p>
            <w:pPr>
              <w:spacing w:after="0" w:line="192" w:lineRule="exact"/>
              <w:rPr>
                <w:sz w:val="20"/>
                <w:szCs w:val="20"/>
                <w:color w:val="auto"/>
              </w:rPr>
            </w:pPr>
            <w:r>
              <w:rPr>
                <w:rFonts w:ascii="Arial" w:cs="Arial" w:eastAsia="Arial" w:hAnsi="Arial"/>
                <w:sz w:val="20"/>
                <w:szCs w:val="20"/>
                <w:color w:val="auto"/>
                <w:w w:val="89"/>
              </w:rPr>
              <w:t>Schedule 2.01</w:t>
            </w:r>
          </w:p>
        </w:tc>
        <w:tc>
          <w:tcPr>
            <w:tcW w:w="140" w:type="dxa"/>
            <w:vAlign w:val="bottom"/>
          </w:tcPr>
          <w:p>
            <w:pPr>
              <w:spacing w:after="0"/>
              <w:rPr>
                <w:sz w:val="16"/>
                <w:szCs w:val="16"/>
                <w:color w:val="auto"/>
              </w:rPr>
            </w:pPr>
          </w:p>
        </w:tc>
        <w:tc>
          <w:tcPr>
            <w:tcW w:w="560" w:type="dxa"/>
            <w:vAlign w:val="bottom"/>
          </w:tcPr>
          <w:p>
            <w:pPr>
              <w:ind w:left="280"/>
              <w:spacing w:after="0" w:line="192"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192" w:lineRule="exact"/>
              <w:rPr>
                <w:sz w:val="20"/>
                <w:szCs w:val="20"/>
                <w:color w:val="auto"/>
              </w:rPr>
            </w:pPr>
            <w:r>
              <w:rPr>
                <w:rFonts w:ascii="Arial" w:cs="Arial" w:eastAsia="Arial" w:hAnsi="Arial"/>
                <w:sz w:val="20"/>
                <w:szCs w:val="20"/>
                <w:color w:val="auto"/>
              </w:rPr>
              <w:t>Commitments</w:t>
            </w:r>
          </w:p>
        </w:tc>
        <w:tc>
          <w:tcPr>
            <w:tcW w:w="0" w:type="dxa"/>
            <w:vAlign w:val="bottom"/>
          </w:tcPr>
          <w:p>
            <w:pPr>
              <w:spacing w:after="0"/>
              <w:rPr>
                <w:sz w:val="1"/>
                <w:szCs w:val="1"/>
                <w:color w:val="auto"/>
              </w:rPr>
            </w:pPr>
          </w:p>
        </w:tc>
      </w:tr>
      <w:tr>
        <w:trPr>
          <w:trHeight w:val="199"/>
        </w:trPr>
        <w:tc>
          <w:tcPr>
            <w:tcW w:w="1160" w:type="dxa"/>
            <w:vAlign w:val="bottom"/>
            <w:gridSpan w:val="4"/>
          </w:tcPr>
          <w:p>
            <w:pPr>
              <w:spacing w:after="0" w:line="199" w:lineRule="exact"/>
              <w:rPr>
                <w:sz w:val="20"/>
                <w:szCs w:val="20"/>
                <w:color w:val="auto"/>
              </w:rPr>
            </w:pPr>
            <w:r>
              <w:rPr>
                <w:rFonts w:ascii="Arial" w:cs="Arial" w:eastAsia="Arial" w:hAnsi="Arial"/>
                <w:sz w:val="20"/>
                <w:szCs w:val="20"/>
                <w:color w:val="auto"/>
                <w:w w:val="89"/>
              </w:rPr>
              <w:t>Schedule 3.01</w:t>
            </w:r>
          </w:p>
        </w:tc>
        <w:tc>
          <w:tcPr>
            <w:tcW w:w="140" w:type="dxa"/>
            <w:vAlign w:val="bottom"/>
          </w:tcPr>
          <w:p>
            <w:pPr>
              <w:spacing w:after="0"/>
              <w:rPr>
                <w:sz w:val="17"/>
                <w:szCs w:val="17"/>
                <w:color w:val="auto"/>
              </w:rPr>
            </w:pPr>
          </w:p>
        </w:tc>
        <w:tc>
          <w:tcPr>
            <w:tcW w:w="560" w:type="dxa"/>
            <w:vAlign w:val="bottom"/>
          </w:tcPr>
          <w:p>
            <w:pPr>
              <w:ind w:left="280"/>
              <w:spacing w:after="0" w:line="199"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199" w:lineRule="exact"/>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03"/>
        </w:trPr>
        <w:tc>
          <w:tcPr>
            <w:tcW w:w="1160" w:type="dxa"/>
            <w:vAlign w:val="bottom"/>
            <w:gridSpan w:val="4"/>
          </w:tcPr>
          <w:p>
            <w:pPr>
              <w:spacing w:after="0" w:line="203" w:lineRule="exact"/>
              <w:rPr>
                <w:sz w:val="20"/>
                <w:szCs w:val="20"/>
                <w:color w:val="auto"/>
              </w:rPr>
            </w:pPr>
            <w:r>
              <w:rPr>
                <w:rFonts w:ascii="Arial" w:cs="Arial" w:eastAsia="Arial" w:hAnsi="Arial"/>
                <w:sz w:val="20"/>
                <w:szCs w:val="20"/>
                <w:color w:val="auto"/>
                <w:w w:val="89"/>
              </w:rPr>
              <w:t>Schedule 3.03</w:t>
            </w:r>
          </w:p>
        </w:tc>
        <w:tc>
          <w:tcPr>
            <w:tcW w:w="140" w:type="dxa"/>
            <w:vAlign w:val="bottom"/>
          </w:tcPr>
          <w:p>
            <w:pPr>
              <w:spacing w:after="0"/>
              <w:rPr>
                <w:sz w:val="17"/>
                <w:szCs w:val="17"/>
                <w:color w:val="auto"/>
              </w:rPr>
            </w:pPr>
          </w:p>
        </w:tc>
        <w:tc>
          <w:tcPr>
            <w:tcW w:w="560" w:type="dxa"/>
            <w:vAlign w:val="bottom"/>
          </w:tcPr>
          <w:p>
            <w:pPr>
              <w:ind w:left="280"/>
              <w:spacing w:after="0" w:line="203"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203" w:lineRule="exact"/>
              <w:rPr>
                <w:sz w:val="20"/>
                <w:szCs w:val="20"/>
                <w:color w:val="auto"/>
              </w:rPr>
            </w:pPr>
            <w:r>
              <w:rPr>
                <w:rFonts w:ascii="Arial" w:cs="Arial" w:eastAsia="Arial" w:hAnsi="Arial"/>
                <w:sz w:val="20"/>
                <w:szCs w:val="20"/>
                <w:color w:val="auto"/>
              </w:rPr>
              <w:t>Certain Existing Indebtedness</w:t>
            </w:r>
          </w:p>
        </w:tc>
        <w:tc>
          <w:tcPr>
            <w:tcW w:w="0" w:type="dxa"/>
            <w:vAlign w:val="bottom"/>
          </w:tcPr>
          <w:p>
            <w:pPr>
              <w:spacing w:after="0"/>
              <w:rPr>
                <w:sz w:val="1"/>
                <w:szCs w:val="1"/>
                <w:color w:val="auto"/>
              </w:rPr>
            </w:pPr>
          </w:p>
        </w:tc>
      </w:tr>
      <w:tr>
        <w:trPr>
          <w:trHeight w:val="192"/>
        </w:trPr>
        <w:tc>
          <w:tcPr>
            <w:tcW w:w="1160" w:type="dxa"/>
            <w:vAlign w:val="bottom"/>
            <w:gridSpan w:val="4"/>
          </w:tcPr>
          <w:p>
            <w:pPr>
              <w:spacing w:after="0" w:line="192" w:lineRule="exact"/>
              <w:rPr>
                <w:sz w:val="20"/>
                <w:szCs w:val="20"/>
                <w:color w:val="auto"/>
              </w:rPr>
            </w:pPr>
            <w:r>
              <w:rPr>
                <w:rFonts w:ascii="Arial" w:cs="Arial" w:eastAsia="Arial" w:hAnsi="Arial"/>
                <w:sz w:val="20"/>
                <w:szCs w:val="20"/>
                <w:color w:val="auto"/>
                <w:w w:val="89"/>
              </w:rPr>
              <w:t>Schedule 3.05</w:t>
            </w:r>
          </w:p>
        </w:tc>
        <w:tc>
          <w:tcPr>
            <w:tcW w:w="140" w:type="dxa"/>
            <w:vAlign w:val="bottom"/>
          </w:tcPr>
          <w:p>
            <w:pPr>
              <w:spacing w:after="0"/>
              <w:rPr>
                <w:sz w:val="16"/>
                <w:szCs w:val="16"/>
                <w:color w:val="auto"/>
              </w:rPr>
            </w:pPr>
          </w:p>
        </w:tc>
        <w:tc>
          <w:tcPr>
            <w:tcW w:w="4300" w:type="dxa"/>
            <w:vAlign w:val="bottom"/>
            <w:gridSpan w:val="2"/>
          </w:tcPr>
          <w:p>
            <w:pPr>
              <w:ind w:left="280"/>
              <w:spacing w:after="0" w:line="192" w:lineRule="exact"/>
              <w:rPr>
                <w:sz w:val="20"/>
                <w:szCs w:val="20"/>
                <w:color w:val="auto"/>
              </w:rPr>
            </w:pPr>
            <w:r>
              <w:rPr>
                <w:rFonts w:ascii="Arial" w:cs="Arial" w:eastAsia="Arial" w:hAnsi="Arial"/>
                <w:sz w:val="20"/>
                <w:szCs w:val="20"/>
                <w:color w:val="auto"/>
              </w:rPr>
              <w:t>–   Material Intellectual Property Litigation</w:t>
            </w:r>
          </w:p>
        </w:tc>
        <w:tc>
          <w:tcPr>
            <w:tcW w:w="0" w:type="dxa"/>
            <w:vAlign w:val="bottom"/>
          </w:tcPr>
          <w:p>
            <w:pPr>
              <w:spacing w:after="0"/>
              <w:rPr>
                <w:sz w:val="1"/>
                <w:szCs w:val="1"/>
                <w:color w:val="auto"/>
              </w:rPr>
            </w:pPr>
          </w:p>
        </w:tc>
      </w:tr>
      <w:tr>
        <w:trPr>
          <w:trHeight w:val="199"/>
        </w:trPr>
        <w:tc>
          <w:tcPr>
            <w:tcW w:w="1160" w:type="dxa"/>
            <w:vAlign w:val="bottom"/>
            <w:gridSpan w:val="4"/>
          </w:tcPr>
          <w:p>
            <w:pPr>
              <w:spacing w:after="0" w:line="199" w:lineRule="exact"/>
              <w:rPr>
                <w:sz w:val="20"/>
                <w:szCs w:val="20"/>
                <w:color w:val="auto"/>
              </w:rPr>
            </w:pPr>
            <w:r>
              <w:rPr>
                <w:rFonts w:ascii="Arial" w:cs="Arial" w:eastAsia="Arial" w:hAnsi="Arial"/>
                <w:sz w:val="20"/>
                <w:szCs w:val="20"/>
                <w:color w:val="auto"/>
                <w:w w:val="89"/>
              </w:rPr>
              <w:t>Schedule 3.06</w:t>
            </w:r>
          </w:p>
        </w:tc>
        <w:tc>
          <w:tcPr>
            <w:tcW w:w="140" w:type="dxa"/>
            <w:vAlign w:val="bottom"/>
          </w:tcPr>
          <w:p>
            <w:pPr>
              <w:spacing w:after="0"/>
              <w:rPr>
                <w:sz w:val="17"/>
                <w:szCs w:val="17"/>
                <w:color w:val="auto"/>
              </w:rPr>
            </w:pPr>
          </w:p>
        </w:tc>
        <w:tc>
          <w:tcPr>
            <w:tcW w:w="560" w:type="dxa"/>
            <w:vAlign w:val="bottom"/>
          </w:tcPr>
          <w:p>
            <w:pPr>
              <w:ind w:left="280"/>
              <w:spacing w:after="0" w:line="199"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199" w:lineRule="exact"/>
              <w:rPr>
                <w:sz w:val="20"/>
                <w:szCs w:val="20"/>
                <w:color w:val="auto"/>
              </w:rPr>
            </w:pPr>
            <w:r>
              <w:rPr>
                <w:rFonts w:ascii="Arial" w:cs="Arial" w:eastAsia="Arial" w:hAnsi="Arial"/>
                <w:sz w:val="20"/>
                <w:szCs w:val="20"/>
                <w:color w:val="auto"/>
              </w:rPr>
              <w:t>Material Litigation</w:t>
            </w:r>
          </w:p>
        </w:tc>
        <w:tc>
          <w:tcPr>
            <w:tcW w:w="0" w:type="dxa"/>
            <w:vAlign w:val="bottom"/>
          </w:tcPr>
          <w:p>
            <w:pPr>
              <w:spacing w:after="0"/>
              <w:rPr>
                <w:sz w:val="1"/>
                <w:szCs w:val="1"/>
                <w:color w:val="auto"/>
              </w:rPr>
            </w:pPr>
          </w:p>
        </w:tc>
      </w:tr>
      <w:tr>
        <w:trPr>
          <w:trHeight w:val="203"/>
        </w:trPr>
        <w:tc>
          <w:tcPr>
            <w:tcW w:w="1160" w:type="dxa"/>
            <w:vAlign w:val="bottom"/>
            <w:gridSpan w:val="4"/>
          </w:tcPr>
          <w:p>
            <w:pPr>
              <w:spacing w:after="0" w:line="203" w:lineRule="exact"/>
              <w:rPr>
                <w:sz w:val="20"/>
                <w:szCs w:val="20"/>
                <w:color w:val="auto"/>
              </w:rPr>
            </w:pPr>
            <w:r>
              <w:rPr>
                <w:rFonts w:ascii="Arial" w:cs="Arial" w:eastAsia="Arial" w:hAnsi="Arial"/>
                <w:sz w:val="20"/>
                <w:szCs w:val="20"/>
                <w:color w:val="auto"/>
                <w:w w:val="89"/>
              </w:rPr>
              <w:t>Schedule 3.07</w:t>
            </w:r>
          </w:p>
        </w:tc>
        <w:tc>
          <w:tcPr>
            <w:tcW w:w="140" w:type="dxa"/>
            <w:vAlign w:val="bottom"/>
          </w:tcPr>
          <w:p>
            <w:pPr>
              <w:spacing w:after="0"/>
              <w:rPr>
                <w:sz w:val="17"/>
                <w:szCs w:val="17"/>
                <w:color w:val="auto"/>
              </w:rPr>
            </w:pPr>
          </w:p>
        </w:tc>
        <w:tc>
          <w:tcPr>
            <w:tcW w:w="560" w:type="dxa"/>
            <w:vAlign w:val="bottom"/>
          </w:tcPr>
          <w:p>
            <w:pPr>
              <w:ind w:left="280"/>
              <w:spacing w:after="0" w:line="203"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203" w:lineRule="exact"/>
              <w:rPr>
                <w:sz w:val="20"/>
                <w:szCs w:val="20"/>
                <w:color w:val="auto"/>
              </w:rPr>
            </w:pPr>
            <w:r>
              <w:rPr>
                <w:rFonts w:ascii="Arial" w:cs="Arial" w:eastAsia="Arial" w:hAnsi="Arial"/>
                <w:sz w:val="20"/>
                <w:szCs w:val="20"/>
                <w:color w:val="auto"/>
              </w:rPr>
              <w:t>Compliance with Laws</w:t>
            </w:r>
          </w:p>
        </w:tc>
        <w:tc>
          <w:tcPr>
            <w:tcW w:w="0" w:type="dxa"/>
            <w:vAlign w:val="bottom"/>
          </w:tcPr>
          <w:p>
            <w:pPr>
              <w:spacing w:after="0"/>
              <w:rPr>
                <w:sz w:val="1"/>
                <w:szCs w:val="1"/>
                <w:color w:val="auto"/>
              </w:rPr>
            </w:pPr>
          </w:p>
        </w:tc>
      </w:tr>
      <w:tr>
        <w:trPr>
          <w:trHeight w:val="192"/>
        </w:trPr>
        <w:tc>
          <w:tcPr>
            <w:tcW w:w="1160" w:type="dxa"/>
            <w:vAlign w:val="bottom"/>
            <w:gridSpan w:val="4"/>
          </w:tcPr>
          <w:p>
            <w:pPr>
              <w:spacing w:after="0" w:line="192" w:lineRule="exact"/>
              <w:rPr>
                <w:sz w:val="20"/>
                <w:szCs w:val="20"/>
                <w:color w:val="auto"/>
              </w:rPr>
            </w:pPr>
            <w:r>
              <w:rPr>
                <w:rFonts w:ascii="Arial" w:cs="Arial" w:eastAsia="Arial" w:hAnsi="Arial"/>
                <w:sz w:val="20"/>
                <w:szCs w:val="20"/>
                <w:color w:val="auto"/>
                <w:w w:val="89"/>
              </w:rPr>
              <w:t>Schedule 3.10</w:t>
            </w:r>
          </w:p>
        </w:tc>
        <w:tc>
          <w:tcPr>
            <w:tcW w:w="140" w:type="dxa"/>
            <w:vAlign w:val="bottom"/>
          </w:tcPr>
          <w:p>
            <w:pPr>
              <w:spacing w:after="0"/>
              <w:rPr>
                <w:sz w:val="16"/>
                <w:szCs w:val="16"/>
                <w:color w:val="auto"/>
              </w:rPr>
            </w:pPr>
          </w:p>
        </w:tc>
        <w:tc>
          <w:tcPr>
            <w:tcW w:w="560" w:type="dxa"/>
            <w:vAlign w:val="bottom"/>
          </w:tcPr>
          <w:p>
            <w:pPr>
              <w:ind w:left="280"/>
              <w:spacing w:after="0" w:line="192"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192" w:lineRule="exact"/>
              <w:rPr>
                <w:sz w:val="20"/>
                <w:szCs w:val="20"/>
                <w:color w:val="auto"/>
              </w:rPr>
            </w:pPr>
            <w:r>
              <w:rPr>
                <w:rFonts w:ascii="Arial" w:cs="Arial" w:eastAsia="Arial" w:hAnsi="Arial"/>
                <w:sz w:val="20"/>
                <w:szCs w:val="20"/>
                <w:color w:val="auto"/>
              </w:rPr>
              <w:t>Prohibited Transactions</w:t>
            </w:r>
          </w:p>
        </w:tc>
        <w:tc>
          <w:tcPr>
            <w:tcW w:w="0" w:type="dxa"/>
            <w:vAlign w:val="bottom"/>
          </w:tcPr>
          <w:p>
            <w:pPr>
              <w:spacing w:after="0"/>
              <w:rPr>
                <w:sz w:val="1"/>
                <w:szCs w:val="1"/>
                <w:color w:val="auto"/>
              </w:rPr>
            </w:pPr>
          </w:p>
        </w:tc>
      </w:tr>
      <w:tr>
        <w:trPr>
          <w:trHeight w:val="199"/>
        </w:trPr>
        <w:tc>
          <w:tcPr>
            <w:tcW w:w="1160" w:type="dxa"/>
            <w:vAlign w:val="bottom"/>
            <w:gridSpan w:val="4"/>
          </w:tcPr>
          <w:p>
            <w:pPr>
              <w:spacing w:after="0" w:line="199" w:lineRule="exact"/>
              <w:rPr>
                <w:sz w:val="20"/>
                <w:szCs w:val="20"/>
                <w:color w:val="auto"/>
              </w:rPr>
            </w:pPr>
            <w:r>
              <w:rPr>
                <w:rFonts w:ascii="Arial" w:cs="Arial" w:eastAsia="Arial" w:hAnsi="Arial"/>
                <w:sz w:val="20"/>
                <w:szCs w:val="20"/>
                <w:color w:val="auto"/>
                <w:w w:val="89"/>
              </w:rPr>
              <w:t>Schedule 3.13</w:t>
            </w:r>
          </w:p>
        </w:tc>
        <w:tc>
          <w:tcPr>
            <w:tcW w:w="140" w:type="dxa"/>
            <w:vAlign w:val="bottom"/>
          </w:tcPr>
          <w:p>
            <w:pPr>
              <w:spacing w:after="0"/>
              <w:rPr>
                <w:sz w:val="17"/>
                <w:szCs w:val="17"/>
                <w:color w:val="auto"/>
              </w:rPr>
            </w:pPr>
          </w:p>
        </w:tc>
        <w:tc>
          <w:tcPr>
            <w:tcW w:w="4300" w:type="dxa"/>
            <w:vAlign w:val="bottom"/>
            <w:gridSpan w:val="2"/>
          </w:tcPr>
          <w:p>
            <w:pPr>
              <w:ind w:left="280"/>
              <w:spacing w:after="0" w:line="199" w:lineRule="exact"/>
              <w:rPr>
                <w:sz w:val="20"/>
                <w:szCs w:val="20"/>
                <w:color w:val="auto"/>
              </w:rPr>
            </w:pPr>
            <w:r>
              <w:rPr>
                <w:rFonts w:ascii="Arial" w:cs="Arial" w:eastAsia="Arial" w:hAnsi="Arial"/>
                <w:sz w:val="20"/>
                <w:szCs w:val="20"/>
                <w:color w:val="auto"/>
              </w:rPr>
              <w:t>–   Existing Liens to be Released at Closing</w:t>
            </w:r>
          </w:p>
        </w:tc>
        <w:tc>
          <w:tcPr>
            <w:tcW w:w="0" w:type="dxa"/>
            <w:vAlign w:val="bottom"/>
          </w:tcPr>
          <w:p>
            <w:pPr>
              <w:spacing w:after="0"/>
              <w:rPr>
                <w:sz w:val="1"/>
                <w:szCs w:val="1"/>
                <w:color w:val="auto"/>
              </w:rPr>
            </w:pPr>
          </w:p>
        </w:tc>
      </w:tr>
      <w:tr>
        <w:trPr>
          <w:trHeight w:val="203"/>
        </w:trPr>
        <w:tc>
          <w:tcPr>
            <w:tcW w:w="1160" w:type="dxa"/>
            <w:vAlign w:val="bottom"/>
            <w:gridSpan w:val="4"/>
          </w:tcPr>
          <w:p>
            <w:pPr>
              <w:spacing w:after="0" w:line="203" w:lineRule="exact"/>
              <w:rPr>
                <w:sz w:val="20"/>
                <w:szCs w:val="20"/>
                <w:color w:val="auto"/>
              </w:rPr>
            </w:pPr>
            <w:r>
              <w:rPr>
                <w:rFonts w:ascii="Arial" w:cs="Arial" w:eastAsia="Arial" w:hAnsi="Arial"/>
                <w:sz w:val="20"/>
                <w:szCs w:val="20"/>
                <w:color w:val="auto"/>
                <w:w w:val="89"/>
              </w:rPr>
              <w:t>Schedule 5.15</w:t>
            </w:r>
          </w:p>
        </w:tc>
        <w:tc>
          <w:tcPr>
            <w:tcW w:w="140" w:type="dxa"/>
            <w:vAlign w:val="bottom"/>
          </w:tcPr>
          <w:p>
            <w:pPr>
              <w:spacing w:after="0"/>
              <w:rPr>
                <w:sz w:val="17"/>
                <w:szCs w:val="17"/>
                <w:color w:val="auto"/>
              </w:rPr>
            </w:pPr>
          </w:p>
        </w:tc>
        <w:tc>
          <w:tcPr>
            <w:tcW w:w="560" w:type="dxa"/>
            <w:vAlign w:val="bottom"/>
          </w:tcPr>
          <w:p>
            <w:pPr>
              <w:ind w:left="280"/>
              <w:spacing w:after="0" w:line="203"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203" w:lineRule="exact"/>
              <w:rPr>
                <w:sz w:val="20"/>
                <w:szCs w:val="20"/>
                <w:color w:val="auto"/>
              </w:rPr>
            </w:pPr>
            <w:r>
              <w:rPr>
                <w:rFonts w:ascii="Arial" w:cs="Arial" w:eastAsia="Arial" w:hAnsi="Arial"/>
                <w:sz w:val="20"/>
                <w:szCs w:val="20"/>
                <w:color w:val="auto"/>
              </w:rPr>
              <w:t>Post-Closing Schedule</w:t>
            </w:r>
          </w:p>
        </w:tc>
        <w:tc>
          <w:tcPr>
            <w:tcW w:w="0" w:type="dxa"/>
            <w:vAlign w:val="bottom"/>
          </w:tcPr>
          <w:p>
            <w:pPr>
              <w:spacing w:after="0"/>
              <w:rPr>
                <w:sz w:val="1"/>
                <w:szCs w:val="1"/>
                <w:color w:val="auto"/>
              </w:rPr>
            </w:pPr>
          </w:p>
        </w:tc>
      </w:tr>
      <w:tr>
        <w:trPr>
          <w:trHeight w:val="192"/>
        </w:trPr>
        <w:tc>
          <w:tcPr>
            <w:tcW w:w="1160" w:type="dxa"/>
            <w:vAlign w:val="bottom"/>
            <w:gridSpan w:val="4"/>
          </w:tcPr>
          <w:p>
            <w:pPr>
              <w:spacing w:after="0" w:line="192" w:lineRule="exact"/>
              <w:rPr>
                <w:sz w:val="20"/>
                <w:szCs w:val="20"/>
                <w:color w:val="auto"/>
              </w:rPr>
            </w:pPr>
            <w:r>
              <w:rPr>
                <w:rFonts w:ascii="Arial" w:cs="Arial" w:eastAsia="Arial" w:hAnsi="Arial"/>
                <w:sz w:val="20"/>
                <w:szCs w:val="20"/>
                <w:color w:val="auto"/>
                <w:w w:val="89"/>
              </w:rPr>
              <w:t>Schedule 6.01</w:t>
            </w:r>
          </w:p>
        </w:tc>
        <w:tc>
          <w:tcPr>
            <w:tcW w:w="140" w:type="dxa"/>
            <w:vAlign w:val="bottom"/>
          </w:tcPr>
          <w:p>
            <w:pPr>
              <w:spacing w:after="0"/>
              <w:rPr>
                <w:sz w:val="16"/>
                <w:szCs w:val="16"/>
                <w:color w:val="auto"/>
              </w:rPr>
            </w:pPr>
          </w:p>
        </w:tc>
        <w:tc>
          <w:tcPr>
            <w:tcW w:w="560" w:type="dxa"/>
            <w:vAlign w:val="bottom"/>
          </w:tcPr>
          <w:p>
            <w:pPr>
              <w:ind w:left="280"/>
              <w:spacing w:after="0" w:line="192" w:lineRule="exact"/>
              <w:rPr>
                <w:sz w:val="20"/>
                <w:szCs w:val="20"/>
                <w:color w:val="auto"/>
              </w:rPr>
            </w:pPr>
            <w:r>
              <w:rPr>
                <w:rFonts w:ascii="Arial" w:cs="Arial" w:eastAsia="Arial" w:hAnsi="Arial"/>
                <w:sz w:val="20"/>
                <w:szCs w:val="20"/>
                <w:color w:val="auto"/>
              </w:rPr>
              <w:t>–</w:t>
            </w:r>
          </w:p>
        </w:tc>
        <w:tc>
          <w:tcPr>
            <w:tcW w:w="3740" w:type="dxa"/>
            <w:vAlign w:val="bottom"/>
          </w:tcPr>
          <w:p>
            <w:pPr>
              <w:ind w:left="60"/>
              <w:spacing w:after="0" w:line="192" w:lineRule="exact"/>
              <w:rPr>
                <w:sz w:val="20"/>
                <w:szCs w:val="20"/>
                <w:color w:val="auto"/>
              </w:rPr>
            </w:pPr>
            <w:r>
              <w:rPr>
                <w:rFonts w:ascii="Arial" w:cs="Arial" w:eastAsia="Arial" w:hAnsi="Arial"/>
                <w:sz w:val="20"/>
                <w:szCs w:val="20"/>
                <w:color w:val="auto"/>
              </w:rPr>
              <w:t>Existing Indebtedness</w:t>
            </w:r>
          </w:p>
        </w:tc>
        <w:tc>
          <w:tcPr>
            <w:tcW w:w="0" w:type="dxa"/>
            <w:vAlign w:val="bottom"/>
          </w:tcPr>
          <w:p>
            <w:pPr>
              <w:spacing w:after="0"/>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20"/>
                <w:szCs w:val="20"/>
                <w:color w:val="auto"/>
                <w:w w:val="89"/>
              </w:rPr>
              <w:t>Schedule 6.07</w:t>
            </w:r>
          </w:p>
        </w:tc>
        <w:tc>
          <w:tcPr>
            <w:tcW w:w="14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Arial" w:cs="Arial" w:eastAsia="Arial" w:hAnsi="Arial"/>
                <w:sz w:val="20"/>
                <w:szCs w:val="20"/>
                <w:color w:val="auto"/>
              </w:rPr>
              <w:t>–</w:t>
            </w:r>
          </w:p>
        </w:tc>
        <w:tc>
          <w:tcPr>
            <w:tcW w:w="3740" w:type="dxa"/>
            <w:vAlign w:val="bottom"/>
          </w:tcPr>
          <w:p>
            <w:pPr>
              <w:ind w:left="60"/>
              <w:spacing w:after="0"/>
              <w:rPr>
                <w:sz w:val="20"/>
                <w:szCs w:val="20"/>
                <w:color w:val="auto"/>
              </w:rPr>
            </w:pPr>
            <w:r>
              <w:rPr>
                <w:rFonts w:ascii="Arial" w:cs="Arial" w:eastAsia="Arial" w:hAnsi="Arial"/>
                <w:sz w:val="20"/>
                <w:szCs w:val="20"/>
                <w:color w:val="auto"/>
              </w:rPr>
              <w:t>Existing Restrictions</w:t>
            </w:r>
          </w:p>
        </w:tc>
        <w:tc>
          <w:tcPr>
            <w:tcW w:w="0" w:type="dxa"/>
            <w:vAlign w:val="bottom"/>
          </w:tcPr>
          <w:p>
            <w:pPr>
              <w:spacing w:after="0"/>
              <w:rPr>
                <w:sz w:val="1"/>
                <w:szCs w:val="1"/>
                <w:color w:val="auto"/>
              </w:rPr>
            </w:pPr>
          </w:p>
        </w:tc>
      </w:tr>
      <w:tr>
        <w:trPr>
          <w:trHeight w:val="398"/>
        </w:trPr>
        <w:tc>
          <w:tcPr>
            <w:tcW w:w="960" w:type="dxa"/>
            <w:vAlign w:val="bottom"/>
            <w:gridSpan w:val="3"/>
          </w:tcPr>
          <w:p>
            <w:pPr>
              <w:spacing w:after="0"/>
              <w:rPr>
                <w:sz w:val="20"/>
                <w:szCs w:val="20"/>
                <w:color w:val="auto"/>
              </w:rPr>
            </w:pPr>
            <w:r>
              <w:rPr>
                <w:rFonts w:ascii="Arial" w:cs="Arial" w:eastAsia="Arial" w:hAnsi="Arial"/>
                <w:sz w:val="20"/>
                <w:szCs w:val="20"/>
                <w:color w:val="auto"/>
                <w:w w:val="97"/>
              </w:rPr>
              <w:t>EXHIBITS: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Arial" w:cs="Arial" w:eastAsia="Arial" w:hAnsi="Arial"/>
                <w:sz w:val="20"/>
                <w:szCs w:val="20"/>
                <w:color w:val="auto"/>
              </w:rPr>
              <w:t>Form of Assignment and Assumption</w:t>
            </w:r>
          </w:p>
        </w:tc>
        <w:tc>
          <w:tcPr>
            <w:tcW w:w="0" w:type="dxa"/>
            <w:vAlign w:val="bottom"/>
          </w:tcPr>
          <w:p>
            <w:pPr>
              <w:spacing w:after="0"/>
              <w:rPr>
                <w:sz w:val="1"/>
                <w:szCs w:val="1"/>
                <w:color w:val="auto"/>
              </w:rPr>
            </w:pPr>
          </w:p>
        </w:tc>
      </w:tr>
      <w:tr>
        <w:trPr>
          <w:trHeight w:val="199"/>
        </w:trPr>
        <w:tc>
          <w:tcPr>
            <w:tcW w:w="840" w:type="dxa"/>
            <w:vAlign w:val="bottom"/>
          </w:tcPr>
          <w:p>
            <w:pPr>
              <w:spacing w:after="0" w:line="199" w:lineRule="exact"/>
              <w:rPr>
                <w:sz w:val="20"/>
                <w:szCs w:val="20"/>
                <w:color w:val="auto"/>
              </w:rPr>
            </w:pPr>
            <w:r>
              <w:rPr>
                <w:rFonts w:ascii="Arial" w:cs="Arial" w:eastAsia="Arial" w:hAnsi="Arial"/>
                <w:sz w:val="20"/>
                <w:szCs w:val="20"/>
                <w:color w:val="auto"/>
              </w:rPr>
              <w:t>Exhibit B</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line="199"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4300" w:type="dxa"/>
            <w:vAlign w:val="bottom"/>
            <w:gridSpan w:val="2"/>
          </w:tcPr>
          <w:p>
            <w:pPr>
              <w:spacing w:after="0" w:line="199" w:lineRule="exact"/>
              <w:rPr>
                <w:sz w:val="20"/>
                <w:szCs w:val="20"/>
                <w:color w:val="auto"/>
              </w:rPr>
            </w:pPr>
            <w:r>
              <w:rPr>
                <w:rFonts w:ascii="Arial" w:cs="Arial" w:eastAsia="Arial" w:hAnsi="Arial"/>
                <w:sz w:val="20"/>
                <w:szCs w:val="20"/>
                <w:color w:val="auto"/>
              </w:rPr>
              <w:t>Auction Procedures</w:t>
            </w:r>
          </w:p>
        </w:tc>
        <w:tc>
          <w:tcPr>
            <w:tcW w:w="0" w:type="dxa"/>
            <w:vAlign w:val="bottom"/>
          </w:tcPr>
          <w:p>
            <w:pPr>
              <w:spacing w:after="0"/>
              <w:rPr>
                <w:sz w:val="1"/>
                <w:szCs w:val="1"/>
                <w:color w:val="auto"/>
              </w:rPr>
            </w:pPr>
          </w:p>
        </w:tc>
      </w:tr>
      <w:tr>
        <w:trPr>
          <w:trHeight w:val="202"/>
        </w:trPr>
        <w:tc>
          <w:tcPr>
            <w:tcW w:w="840" w:type="dxa"/>
            <w:vAlign w:val="bottom"/>
          </w:tcPr>
          <w:p>
            <w:pPr>
              <w:spacing w:after="0" w:line="203" w:lineRule="exact"/>
              <w:rPr>
                <w:sz w:val="20"/>
                <w:szCs w:val="20"/>
                <w:color w:val="auto"/>
              </w:rPr>
            </w:pPr>
            <w:r>
              <w:rPr>
                <w:rFonts w:ascii="Arial" w:cs="Arial" w:eastAsia="Arial" w:hAnsi="Arial"/>
                <w:sz w:val="20"/>
                <w:szCs w:val="20"/>
                <w:color w:val="auto"/>
              </w:rPr>
              <w:t>Exhibit C</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4300" w:type="dxa"/>
            <w:vAlign w:val="bottom"/>
            <w:gridSpan w:val="2"/>
          </w:tcPr>
          <w:p>
            <w:pPr>
              <w:ind w:left="20"/>
              <w:spacing w:after="0" w:line="203" w:lineRule="exact"/>
              <w:rPr>
                <w:sz w:val="20"/>
                <w:szCs w:val="20"/>
                <w:color w:val="auto"/>
              </w:rPr>
            </w:pPr>
            <w:r>
              <w:rPr>
                <w:rFonts w:ascii="Arial" w:cs="Arial" w:eastAsia="Arial" w:hAnsi="Arial"/>
                <w:sz w:val="20"/>
                <w:szCs w:val="20"/>
                <w:color w:val="auto"/>
              </w:rPr>
              <w:t>Form of Solvency Certificate</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20"/>
                <w:szCs w:val="20"/>
                <w:color w:val="auto"/>
              </w:rPr>
              <w:t>Exhibit 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ind w:left="80"/>
              <w:spacing w:after="0" w:line="192" w:lineRule="exact"/>
              <w:rPr>
                <w:sz w:val="20"/>
                <w:szCs w:val="20"/>
                <w:color w:val="auto"/>
              </w:rPr>
            </w:pPr>
            <w:r>
              <w:rPr>
                <w:rFonts w:ascii="Arial" w:cs="Arial" w:eastAsia="Arial" w:hAnsi="Arial"/>
                <w:sz w:val="20"/>
                <w:szCs w:val="20"/>
                <w:color w:val="auto"/>
                <w:w w:val="89"/>
              </w:rPr>
              <w:t>–</w:t>
            </w:r>
          </w:p>
        </w:tc>
        <w:tc>
          <w:tcPr>
            <w:tcW w:w="140" w:type="dxa"/>
            <w:vAlign w:val="bottom"/>
            <w:vMerge w:val="restart"/>
          </w:tcPr>
          <w:p>
            <w:pPr>
              <w:ind w:left="20"/>
              <w:spacing w:after="0"/>
              <w:rPr>
                <w:sz w:val="20"/>
                <w:szCs w:val="20"/>
                <w:color w:val="auto"/>
              </w:rPr>
            </w:pPr>
            <w:r>
              <w:rPr>
                <w:rFonts w:ascii="Arial" w:cs="Arial" w:eastAsia="Arial" w:hAnsi="Arial"/>
                <w:sz w:val="20"/>
                <w:szCs w:val="20"/>
                <w:color w:val="auto"/>
                <w:w w:val="89"/>
              </w:rPr>
              <w:t>–</w:t>
            </w:r>
          </w:p>
        </w:tc>
        <w:tc>
          <w:tcPr>
            <w:tcW w:w="4300" w:type="dxa"/>
            <w:vAlign w:val="bottom"/>
            <w:gridSpan w:val="2"/>
          </w:tcPr>
          <w:p>
            <w:pPr>
              <w:ind w:left="80"/>
              <w:spacing w:after="0" w:line="192" w:lineRule="exact"/>
              <w:rPr>
                <w:sz w:val="20"/>
                <w:szCs w:val="20"/>
                <w:color w:val="auto"/>
              </w:rPr>
            </w:pPr>
            <w:r>
              <w:rPr>
                <w:rFonts w:ascii="Arial" w:cs="Arial" w:eastAsia="Arial" w:hAnsi="Arial"/>
                <w:sz w:val="20"/>
                <w:szCs w:val="20"/>
                <w:color w:val="auto"/>
              </w:rPr>
              <w:t>Form of Joinder Agreement</w:t>
            </w:r>
          </w:p>
        </w:tc>
        <w:tc>
          <w:tcPr>
            <w:tcW w:w="0" w:type="dxa"/>
            <w:vAlign w:val="bottom"/>
          </w:tcPr>
          <w:p>
            <w:pPr>
              <w:spacing w:after="0"/>
              <w:rPr>
                <w:sz w:val="1"/>
                <w:szCs w:val="1"/>
                <w:color w:val="auto"/>
              </w:rPr>
            </w:pPr>
          </w:p>
        </w:tc>
      </w:tr>
      <w:tr>
        <w:trPr>
          <w:trHeight w:val="199"/>
        </w:trPr>
        <w:tc>
          <w:tcPr>
            <w:tcW w:w="960" w:type="dxa"/>
            <w:vAlign w:val="bottom"/>
            <w:gridSpan w:val="3"/>
          </w:tcPr>
          <w:p>
            <w:pPr>
              <w:spacing w:after="0" w:line="199" w:lineRule="exact"/>
              <w:rPr>
                <w:sz w:val="20"/>
                <w:szCs w:val="20"/>
                <w:color w:val="auto"/>
              </w:rPr>
            </w:pPr>
            <w:r>
              <w:rPr>
                <w:rFonts w:ascii="Arial" w:cs="Arial" w:eastAsia="Arial" w:hAnsi="Arial"/>
                <w:sz w:val="20"/>
                <w:szCs w:val="20"/>
                <w:color w:val="auto"/>
                <w:w w:val="97"/>
              </w:rPr>
              <w:t>Exhibit E-1</w:t>
            </w: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300" w:type="dxa"/>
            <w:vAlign w:val="bottom"/>
            <w:gridSpan w:val="2"/>
          </w:tcPr>
          <w:p>
            <w:pPr>
              <w:ind w:left="220"/>
              <w:spacing w:after="0" w:line="199" w:lineRule="exact"/>
              <w:rPr>
                <w:sz w:val="20"/>
                <w:szCs w:val="20"/>
                <w:color w:val="auto"/>
              </w:rPr>
            </w:pPr>
            <w:r>
              <w:rPr>
                <w:rFonts w:ascii="Arial" w:cs="Arial" w:eastAsia="Arial" w:hAnsi="Arial"/>
                <w:sz w:val="20"/>
                <w:szCs w:val="20"/>
                <w:color w:val="auto"/>
              </w:rPr>
              <w:t>Form of First Lien Intercreditor Agreement</w:t>
            </w:r>
          </w:p>
        </w:tc>
        <w:tc>
          <w:tcPr>
            <w:tcW w:w="0" w:type="dxa"/>
            <w:vAlign w:val="bottom"/>
          </w:tcPr>
          <w:p>
            <w:pPr>
              <w:spacing w:after="0"/>
              <w:rPr>
                <w:sz w:val="1"/>
                <w:szCs w:val="1"/>
                <w:color w:val="auto"/>
              </w:rPr>
            </w:pPr>
          </w:p>
        </w:tc>
      </w:tr>
      <w:tr>
        <w:trPr>
          <w:trHeight w:val="203"/>
        </w:trPr>
        <w:tc>
          <w:tcPr>
            <w:tcW w:w="960" w:type="dxa"/>
            <w:vAlign w:val="bottom"/>
            <w:gridSpan w:val="3"/>
          </w:tcPr>
          <w:p>
            <w:pPr>
              <w:spacing w:after="0" w:line="203" w:lineRule="exact"/>
              <w:rPr>
                <w:sz w:val="20"/>
                <w:szCs w:val="20"/>
                <w:color w:val="auto"/>
              </w:rPr>
            </w:pPr>
            <w:r>
              <w:rPr>
                <w:rFonts w:ascii="Arial" w:cs="Arial" w:eastAsia="Arial" w:hAnsi="Arial"/>
                <w:sz w:val="20"/>
                <w:szCs w:val="20"/>
                <w:color w:val="auto"/>
                <w:w w:val="97"/>
              </w:rPr>
              <w:t>Exhibit E-2</w:t>
            </w:r>
          </w:p>
        </w:tc>
        <w:tc>
          <w:tcPr>
            <w:tcW w:w="200" w:type="dxa"/>
            <w:vAlign w:val="bottom"/>
          </w:tcPr>
          <w:p>
            <w:pPr>
              <w:spacing w:after="0"/>
              <w:rPr>
                <w:sz w:val="17"/>
                <w:szCs w:val="17"/>
                <w:color w:val="auto"/>
              </w:rPr>
            </w:pPr>
          </w:p>
        </w:tc>
        <w:tc>
          <w:tcPr>
            <w:tcW w:w="140" w:type="dxa"/>
            <w:vAlign w:val="bottom"/>
          </w:tcPr>
          <w:p>
            <w:pPr>
              <w:ind w:left="20"/>
              <w:spacing w:after="0" w:line="203" w:lineRule="exact"/>
              <w:rPr>
                <w:sz w:val="20"/>
                <w:szCs w:val="20"/>
                <w:color w:val="auto"/>
              </w:rPr>
            </w:pPr>
            <w:r>
              <w:rPr>
                <w:rFonts w:ascii="Arial" w:cs="Arial" w:eastAsia="Arial" w:hAnsi="Arial"/>
                <w:sz w:val="20"/>
                <w:szCs w:val="20"/>
                <w:color w:val="auto"/>
                <w:w w:val="89"/>
              </w:rPr>
              <w:t>–</w:t>
            </w:r>
          </w:p>
        </w:tc>
        <w:tc>
          <w:tcPr>
            <w:tcW w:w="4300" w:type="dxa"/>
            <w:vAlign w:val="bottom"/>
            <w:gridSpan w:val="2"/>
          </w:tcPr>
          <w:p>
            <w:pPr>
              <w:ind w:left="220"/>
              <w:spacing w:after="0" w:line="203" w:lineRule="exact"/>
              <w:rPr>
                <w:sz w:val="20"/>
                <w:szCs w:val="20"/>
                <w:color w:val="auto"/>
              </w:rPr>
            </w:pPr>
            <w:r>
              <w:rPr>
                <w:rFonts w:ascii="Arial" w:cs="Arial" w:eastAsia="Arial" w:hAnsi="Arial"/>
                <w:sz w:val="20"/>
                <w:szCs w:val="20"/>
                <w:color w:val="auto"/>
                <w:w w:val="90"/>
              </w:rPr>
              <w:t>Form of First-Second Lien Intercreditor Agreement</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20"/>
                <w:szCs w:val="20"/>
                <w:color w:val="auto"/>
              </w:rPr>
              <w:t>Exhibit F</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ind w:left="40"/>
              <w:spacing w:after="0" w:line="192" w:lineRule="exact"/>
              <w:rPr>
                <w:sz w:val="20"/>
                <w:szCs w:val="20"/>
                <w:color w:val="auto"/>
              </w:rPr>
            </w:pPr>
            <w:r>
              <w:rPr>
                <w:rFonts w:ascii="Arial" w:cs="Arial" w:eastAsia="Arial" w:hAnsi="Arial"/>
                <w:sz w:val="20"/>
                <w:szCs w:val="20"/>
                <w:color w:val="auto"/>
              </w:rPr>
              <w:t>–</w:t>
            </w:r>
          </w:p>
        </w:tc>
        <w:tc>
          <w:tcPr>
            <w:tcW w:w="140" w:type="dxa"/>
            <w:vAlign w:val="bottom"/>
            <w:vMerge w:val="restart"/>
          </w:tcPr>
          <w:p>
            <w:pPr>
              <w:ind w:left="40"/>
              <w:spacing w:after="0"/>
              <w:rPr>
                <w:sz w:val="20"/>
                <w:szCs w:val="20"/>
                <w:color w:val="auto"/>
              </w:rPr>
            </w:pPr>
            <w:r>
              <w:rPr>
                <w:rFonts w:ascii="Arial" w:cs="Arial" w:eastAsia="Arial" w:hAnsi="Arial"/>
                <w:sz w:val="20"/>
                <w:szCs w:val="20"/>
                <w:color w:val="auto"/>
                <w:w w:val="71"/>
              </w:rPr>
              <w:t>–</w:t>
            </w:r>
          </w:p>
        </w:tc>
        <w:tc>
          <w:tcPr>
            <w:tcW w:w="4300" w:type="dxa"/>
            <w:vAlign w:val="bottom"/>
            <w:gridSpan w:val="2"/>
          </w:tcPr>
          <w:p>
            <w:pPr>
              <w:ind w:left="40"/>
              <w:spacing w:after="0" w:line="192" w:lineRule="exact"/>
              <w:rPr>
                <w:sz w:val="20"/>
                <w:szCs w:val="20"/>
                <w:color w:val="auto"/>
              </w:rPr>
            </w:pPr>
            <w:r>
              <w:rPr>
                <w:rFonts w:ascii="Arial" w:cs="Arial" w:eastAsia="Arial" w:hAnsi="Arial"/>
                <w:sz w:val="20"/>
                <w:szCs w:val="20"/>
                <w:color w:val="auto"/>
              </w:rPr>
              <w:t>Form of U.S. Security Agreement</w:t>
            </w:r>
          </w:p>
        </w:tc>
        <w:tc>
          <w:tcPr>
            <w:tcW w:w="0" w:type="dxa"/>
            <w:vAlign w:val="bottom"/>
          </w:tcPr>
          <w:p>
            <w:pPr>
              <w:spacing w:after="0"/>
              <w:rPr>
                <w:sz w:val="1"/>
                <w:szCs w:val="1"/>
                <w:color w:val="auto"/>
              </w:rPr>
            </w:pPr>
          </w:p>
        </w:tc>
      </w:tr>
      <w:tr>
        <w:trPr>
          <w:trHeight w:val="199"/>
        </w:trPr>
        <w:tc>
          <w:tcPr>
            <w:tcW w:w="960" w:type="dxa"/>
            <w:vAlign w:val="bottom"/>
            <w:gridSpan w:val="3"/>
          </w:tcPr>
          <w:p>
            <w:pPr>
              <w:spacing w:after="0" w:line="199" w:lineRule="exact"/>
              <w:rPr>
                <w:sz w:val="20"/>
                <w:szCs w:val="20"/>
                <w:color w:val="auto"/>
              </w:rPr>
            </w:pPr>
            <w:r>
              <w:rPr>
                <w:rFonts w:ascii="Arial" w:cs="Arial" w:eastAsia="Arial" w:hAnsi="Arial"/>
                <w:sz w:val="20"/>
                <w:szCs w:val="20"/>
                <w:color w:val="auto"/>
                <w:w w:val="94"/>
              </w:rPr>
              <w:t>Exhibit G-1</w:t>
            </w: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300" w:type="dxa"/>
            <w:vAlign w:val="bottom"/>
            <w:gridSpan w:val="2"/>
          </w:tcPr>
          <w:p>
            <w:pPr>
              <w:ind w:left="240"/>
              <w:spacing w:after="0" w:line="199" w:lineRule="exact"/>
              <w:rPr>
                <w:sz w:val="20"/>
                <w:szCs w:val="20"/>
                <w:color w:val="auto"/>
              </w:rPr>
            </w:pPr>
            <w:r>
              <w:rPr>
                <w:rFonts w:ascii="Arial" w:cs="Arial" w:eastAsia="Arial" w:hAnsi="Arial"/>
                <w:sz w:val="20"/>
                <w:szCs w:val="20"/>
                <w:color w:val="auto"/>
              </w:rPr>
              <w:t>Form of U.S. Tax Compliance Certificate</w:t>
            </w:r>
          </w:p>
        </w:tc>
        <w:tc>
          <w:tcPr>
            <w:tcW w:w="0" w:type="dxa"/>
            <w:vAlign w:val="bottom"/>
          </w:tcPr>
          <w:p>
            <w:pPr>
              <w:spacing w:after="0"/>
              <w:rPr>
                <w:sz w:val="1"/>
                <w:szCs w:val="1"/>
                <w:color w:val="auto"/>
              </w:rPr>
            </w:pPr>
          </w:p>
        </w:tc>
      </w:tr>
      <w:tr>
        <w:trPr>
          <w:trHeight w:val="202"/>
        </w:trPr>
        <w:tc>
          <w:tcPr>
            <w:tcW w:w="960" w:type="dxa"/>
            <w:vAlign w:val="bottom"/>
            <w:gridSpan w:val="3"/>
          </w:tcPr>
          <w:p>
            <w:pPr>
              <w:spacing w:after="0" w:line="203" w:lineRule="exact"/>
              <w:rPr>
                <w:sz w:val="20"/>
                <w:szCs w:val="20"/>
                <w:color w:val="auto"/>
              </w:rPr>
            </w:pPr>
            <w:r>
              <w:rPr>
                <w:rFonts w:ascii="Arial" w:cs="Arial" w:eastAsia="Arial" w:hAnsi="Arial"/>
                <w:sz w:val="20"/>
                <w:szCs w:val="20"/>
                <w:color w:val="auto"/>
                <w:w w:val="94"/>
              </w:rPr>
              <w:t>Exhibit G-2</w:t>
            </w:r>
          </w:p>
        </w:tc>
        <w:tc>
          <w:tcPr>
            <w:tcW w:w="20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Arial" w:cs="Arial" w:eastAsia="Arial" w:hAnsi="Arial"/>
                <w:sz w:val="20"/>
                <w:szCs w:val="20"/>
                <w:color w:val="auto"/>
                <w:w w:val="71"/>
              </w:rPr>
              <w:t>–</w:t>
            </w:r>
          </w:p>
        </w:tc>
        <w:tc>
          <w:tcPr>
            <w:tcW w:w="4300" w:type="dxa"/>
            <w:vAlign w:val="bottom"/>
            <w:gridSpan w:val="2"/>
          </w:tcPr>
          <w:p>
            <w:pPr>
              <w:ind w:left="240"/>
              <w:spacing w:after="0" w:line="203" w:lineRule="exact"/>
              <w:rPr>
                <w:sz w:val="20"/>
                <w:szCs w:val="20"/>
                <w:color w:val="auto"/>
              </w:rPr>
            </w:pPr>
            <w:r>
              <w:rPr>
                <w:rFonts w:ascii="Arial" w:cs="Arial" w:eastAsia="Arial" w:hAnsi="Arial"/>
                <w:sz w:val="20"/>
                <w:szCs w:val="20"/>
                <w:color w:val="auto"/>
              </w:rPr>
              <w:t>Form of U.S. Tax Compliance Certificate</w:t>
            </w:r>
          </w:p>
        </w:tc>
        <w:tc>
          <w:tcPr>
            <w:tcW w:w="0" w:type="dxa"/>
            <w:vAlign w:val="bottom"/>
          </w:tcPr>
          <w:p>
            <w:pPr>
              <w:spacing w:after="0"/>
              <w:rPr>
                <w:sz w:val="1"/>
                <w:szCs w:val="1"/>
                <w:color w:val="auto"/>
              </w:rPr>
            </w:pPr>
          </w:p>
        </w:tc>
      </w:tr>
      <w:tr>
        <w:trPr>
          <w:trHeight w:val="192"/>
        </w:trPr>
        <w:tc>
          <w:tcPr>
            <w:tcW w:w="960" w:type="dxa"/>
            <w:vAlign w:val="bottom"/>
            <w:gridSpan w:val="3"/>
          </w:tcPr>
          <w:p>
            <w:pPr>
              <w:spacing w:after="0" w:line="192" w:lineRule="exact"/>
              <w:rPr>
                <w:sz w:val="20"/>
                <w:szCs w:val="20"/>
                <w:color w:val="auto"/>
              </w:rPr>
            </w:pPr>
            <w:r>
              <w:rPr>
                <w:rFonts w:ascii="Arial" w:cs="Arial" w:eastAsia="Arial" w:hAnsi="Arial"/>
                <w:sz w:val="20"/>
                <w:szCs w:val="20"/>
                <w:color w:val="auto"/>
                <w:w w:val="94"/>
              </w:rPr>
              <w:t>Exhibit G-3</w:t>
            </w:r>
          </w:p>
        </w:tc>
        <w:tc>
          <w:tcPr>
            <w:tcW w:w="200" w:type="dxa"/>
            <w:vAlign w:val="bottom"/>
          </w:tcPr>
          <w:p>
            <w:pPr>
              <w:spacing w:after="0"/>
              <w:rPr>
                <w:sz w:val="16"/>
                <w:szCs w:val="16"/>
                <w:color w:val="auto"/>
              </w:rPr>
            </w:pPr>
          </w:p>
        </w:tc>
        <w:tc>
          <w:tcPr>
            <w:tcW w:w="140" w:type="dxa"/>
            <w:vAlign w:val="bottom"/>
          </w:tcPr>
          <w:p>
            <w:pPr>
              <w:ind w:left="40"/>
              <w:spacing w:after="0" w:line="192" w:lineRule="exact"/>
              <w:rPr>
                <w:sz w:val="20"/>
                <w:szCs w:val="20"/>
                <w:color w:val="auto"/>
              </w:rPr>
            </w:pPr>
            <w:r>
              <w:rPr>
                <w:rFonts w:ascii="Arial" w:cs="Arial" w:eastAsia="Arial" w:hAnsi="Arial"/>
                <w:sz w:val="20"/>
                <w:szCs w:val="20"/>
                <w:color w:val="auto"/>
                <w:w w:val="71"/>
              </w:rPr>
              <w:t>–</w:t>
            </w:r>
          </w:p>
        </w:tc>
        <w:tc>
          <w:tcPr>
            <w:tcW w:w="4300" w:type="dxa"/>
            <w:vAlign w:val="bottom"/>
            <w:gridSpan w:val="2"/>
          </w:tcPr>
          <w:p>
            <w:pPr>
              <w:ind w:left="240"/>
              <w:spacing w:after="0" w:line="192" w:lineRule="exact"/>
              <w:rPr>
                <w:sz w:val="20"/>
                <w:szCs w:val="20"/>
                <w:color w:val="auto"/>
              </w:rPr>
            </w:pPr>
            <w:r>
              <w:rPr>
                <w:rFonts w:ascii="Arial" w:cs="Arial" w:eastAsia="Arial" w:hAnsi="Arial"/>
                <w:sz w:val="20"/>
                <w:szCs w:val="20"/>
                <w:color w:val="auto"/>
              </w:rPr>
              <w:t>Form of U.S. Tax Compliance Certificate</w:t>
            </w:r>
          </w:p>
        </w:tc>
        <w:tc>
          <w:tcPr>
            <w:tcW w:w="0" w:type="dxa"/>
            <w:vAlign w:val="bottom"/>
          </w:tcPr>
          <w:p>
            <w:pPr>
              <w:spacing w:after="0"/>
              <w:rPr>
                <w:sz w:val="1"/>
                <w:szCs w:val="1"/>
                <w:color w:val="auto"/>
              </w:rPr>
            </w:pPr>
          </w:p>
        </w:tc>
      </w:tr>
      <w:tr>
        <w:trPr>
          <w:trHeight w:val="199"/>
        </w:trPr>
        <w:tc>
          <w:tcPr>
            <w:tcW w:w="960" w:type="dxa"/>
            <w:vAlign w:val="bottom"/>
            <w:gridSpan w:val="3"/>
          </w:tcPr>
          <w:p>
            <w:pPr>
              <w:spacing w:after="0" w:line="199" w:lineRule="exact"/>
              <w:rPr>
                <w:sz w:val="20"/>
                <w:szCs w:val="20"/>
                <w:color w:val="auto"/>
              </w:rPr>
            </w:pPr>
            <w:r>
              <w:rPr>
                <w:rFonts w:ascii="Arial" w:cs="Arial" w:eastAsia="Arial" w:hAnsi="Arial"/>
                <w:sz w:val="20"/>
                <w:szCs w:val="20"/>
                <w:color w:val="auto"/>
                <w:w w:val="94"/>
              </w:rPr>
              <w:t>Exhibit G-4</w:t>
            </w:r>
          </w:p>
        </w:tc>
        <w:tc>
          <w:tcPr>
            <w:tcW w:w="200" w:type="dxa"/>
            <w:vAlign w:val="bottom"/>
          </w:tcPr>
          <w:p>
            <w:pPr>
              <w:spacing w:after="0"/>
              <w:rPr>
                <w:sz w:val="17"/>
                <w:szCs w:val="17"/>
                <w:color w:val="auto"/>
              </w:rPr>
            </w:pPr>
          </w:p>
        </w:tc>
        <w:tc>
          <w:tcPr>
            <w:tcW w:w="140" w:type="dxa"/>
            <w:vAlign w:val="bottom"/>
          </w:tcPr>
          <w:p>
            <w:pPr>
              <w:ind w:left="40"/>
              <w:spacing w:after="0" w:line="199" w:lineRule="exact"/>
              <w:rPr>
                <w:sz w:val="20"/>
                <w:szCs w:val="20"/>
                <w:color w:val="auto"/>
              </w:rPr>
            </w:pPr>
            <w:r>
              <w:rPr>
                <w:rFonts w:ascii="Arial" w:cs="Arial" w:eastAsia="Arial" w:hAnsi="Arial"/>
                <w:sz w:val="20"/>
                <w:szCs w:val="20"/>
                <w:color w:val="auto"/>
                <w:w w:val="71"/>
              </w:rPr>
              <w:t>–</w:t>
            </w:r>
          </w:p>
        </w:tc>
        <w:tc>
          <w:tcPr>
            <w:tcW w:w="4300" w:type="dxa"/>
            <w:vAlign w:val="bottom"/>
            <w:gridSpan w:val="2"/>
          </w:tcPr>
          <w:p>
            <w:pPr>
              <w:ind w:left="240"/>
              <w:spacing w:after="0" w:line="199" w:lineRule="exact"/>
              <w:rPr>
                <w:sz w:val="20"/>
                <w:szCs w:val="20"/>
                <w:color w:val="auto"/>
              </w:rPr>
            </w:pPr>
            <w:r>
              <w:rPr>
                <w:rFonts w:ascii="Arial" w:cs="Arial" w:eastAsia="Arial" w:hAnsi="Arial"/>
                <w:sz w:val="20"/>
                <w:szCs w:val="20"/>
                <w:color w:val="auto"/>
              </w:rPr>
              <w:t>Form of U.S. Tax Compliance Certificate</w:t>
            </w:r>
          </w:p>
        </w:tc>
        <w:tc>
          <w:tcPr>
            <w:tcW w:w="0" w:type="dxa"/>
            <w:vAlign w:val="bottom"/>
          </w:tcPr>
          <w:p>
            <w:pPr>
              <w:spacing w:after="0"/>
              <w:rPr>
                <w:sz w:val="1"/>
                <w:szCs w:val="1"/>
                <w:color w:val="auto"/>
              </w:rPr>
            </w:pPr>
          </w:p>
        </w:tc>
      </w:tr>
      <w:tr>
        <w:trPr>
          <w:trHeight w:val="203"/>
        </w:trPr>
        <w:tc>
          <w:tcPr>
            <w:tcW w:w="840" w:type="dxa"/>
            <w:vAlign w:val="bottom"/>
          </w:tcPr>
          <w:p>
            <w:pPr>
              <w:spacing w:after="0" w:line="203" w:lineRule="exact"/>
              <w:rPr>
                <w:sz w:val="20"/>
                <w:szCs w:val="20"/>
                <w:color w:val="auto"/>
              </w:rPr>
            </w:pPr>
            <w:r>
              <w:rPr>
                <w:rFonts w:ascii="Arial" w:cs="Arial" w:eastAsia="Arial" w:hAnsi="Arial"/>
                <w:sz w:val="20"/>
                <w:szCs w:val="20"/>
                <w:color w:val="auto"/>
              </w:rPr>
              <w:t>Exhibit H</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ind w:left="80"/>
              <w:spacing w:after="0" w:line="203" w:lineRule="exact"/>
              <w:rPr>
                <w:sz w:val="20"/>
                <w:szCs w:val="20"/>
                <w:color w:val="auto"/>
              </w:rPr>
            </w:pPr>
            <w:r>
              <w:rPr>
                <w:rFonts w:ascii="Arial" w:cs="Arial" w:eastAsia="Arial" w:hAnsi="Arial"/>
                <w:sz w:val="20"/>
                <w:szCs w:val="20"/>
                <w:color w:val="auto"/>
                <w:w w:val="89"/>
              </w:rPr>
              <w:t>–</w:t>
            </w:r>
          </w:p>
        </w:tc>
        <w:tc>
          <w:tcPr>
            <w:tcW w:w="140" w:type="dxa"/>
            <w:vAlign w:val="bottom"/>
          </w:tcPr>
          <w:p>
            <w:pPr>
              <w:spacing w:after="0"/>
              <w:rPr>
                <w:sz w:val="17"/>
                <w:szCs w:val="17"/>
                <w:color w:val="auto"/>
              </w:rPr>
            </w:pPr>
          </w:p>
        </w:tc>
        <w:tc>
          <w:tcPr>
            <w:tcW w:w="4300" w:type="dxa"/>
            <w:vAlign w:val="bottom"/>
            <w:gridSpan w:val="2"/>
          </w:tcPr>
          <w:p>
            <w:pPr>
              <w:ind w:left="80"/>
              <w:spacing w:after="0" w:line="203" w:lineRule="exact"/>
              <w:rPr>
                <w:sz w:val="20"/>
                <w:szCs w:val="20"/>
                <w:color w:val="auto"/>
              </w:rPr>
            </w:pPr>
            <w:r>
              <w:rPr>
                <w:rFonts w:ascii="Arial" w:cs="Arial" w:eastAsia="Arial" w:hAnsi="Arial"/>
                <w:sz w:val="20"/>
                <w:szCs w:val="20"/>
                <w:color w:val="auto"/>
              </w:rPr>
              <w:t>Form of Irish Qualifying Lender Confirmation</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20"/>
                <w:szCs w:val="20"/>
                <w:color w:val="auto"/>
              </w:rPr>
              <w:t>Exhibit I</w:t>
            </w:r>
          </w:p>
        </w:tc>
        <w:tc>
          <w:tcPr>
            <w:tcW w:w="320" w:type="dxa"/>
            <w:vAlign w:val="bottom"/>
            <w:gridSpan w:val="3"/>
          </w:tcPr>
          <w:p>
            <w:pPr>
              <w:ind w:left="60"/>
              <w:spacing w:after="0" w:line="192" w:lineRule="exact"/>
              <w:rPr>
                <w:sz w:val="20"/>
                <w:szCs w:val="20"/>
                <w:color w:val="auto"/>
              </w:rPr>
            </w:pPr>
            <w:r>
              <w:rPr>
                <w:rFonts w:ascii="Arial" w:cs="Arial" w:eastAsia="Arial" w:hAnsi="Arial"/>
                <w:sz w:val="20"/>
                <w:szCs w:val="20"/>
                <w:color w:val="auto"/>
              </w:rPr>
              <w:t>–</w:t>
            </w:r>
          </w:p>
        </w:tc>
        <w:tc>
          <w:tcPr>
            <w:tcW w:w="4440" w:type="dxa"/>
            <w:vAlign w:val="bottom"/>
            <w:gridSpan w:val="3"/>
          </w:tcPr>
          <w:p>
            <w:pPr>
              <w:ind w:left="40"/>
              <w:spacing w:after="0" w:line="192" w:lineRule="exact"/>
              <w:rPr>
                <w:sz w:val="20"/>
                <w:szCs w:val="20"/>
                <w:color w:val="auto"/>
              </w:rPr>
            </w:pPr>
            <w:r>
              <w:rPr>
                <w:rFonts w:ascii="Arial" w:cs="Arial" w:eastAsia="Arial" w:hAnsi="Arial"/>
                <w:sz w:val="20"/>
                <w:szCs w:val="20"/>
                <w:color w:val="auto"/>
              </w:rPr>
              <w:t>Form of Borrowing Request</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J</w:t>
            </w:r>
          </w:p>
        </w:tc>
        <w:tc>
          <w:tcPr>
            <w:tcW w:w="6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4440" w:type="dxa"/>
            <w:vAlign w:val="bottom"/>
            <w:gridSpan w:val="3"/>
          </w:tcPr>
          <w:p>
            <w:pPr>
              <w:ind w:left="60"/>
              <w:spacing w:after="0"/>
              <w:rPr>
                <w:sz w:val="20"/>
                <w:szCs w:val="20"/>
                <w:color w:val="auto"/>
              </w:rPr>
            </w:pPr>
            <w:r>
              <w:rPr>
                <w:rFonts w:ascii="Arial" w:cs="Arial" w:eastAsia="Arial" w:hAnsi="Arial"/>
                <w:sz w:val="20"/>
                <w:szCs w:val="20"/>
                <w:color w:val="auto"/>
              </w:rPr>
              <w:t>Form of Perfection Certificate Supplement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40"/>
          </w:cols>
          <w:pgMar w:left="320" w:top="98" w:right="339" w:bottom="1440" w:gutter="0" w:footer="0" w:header="0"/>
        </w:sectPr>
      </w:pPr>
    </w:p>
    <w:bookmarkStart w:id="167" w:name="page168"/>
    <w:bookmarkEnd w:id="167"/>
    <w:p>
      <w:pPr>
        <w:spacing w:after="0" w:line="200" w:lineRule="exact"/>
        <w:rPr>
          <w:sz w:val="20"/>
          <w:szCs w:val="20"/>
          <w:color w:val="auto"/>
        </w:rPr>
      </w:pPr>
    </w:p>
    <w:p>
      <w:pPr>
        <w:spacing w:after="0" w:line="3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CREDIT AGREEMENT, dated as of July 1, 2021 (as amended, restated, amended and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among ICON LUXEMBOURG, S.À R.L., a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xml:space="preserve"> incorporated and</w:t>
      </w:r>
    </w:p>
    <w:p>
      <w:pPr>
        <w:spacing w:after="0" w:line="222" w:lineRule="auto"/>
        <w:rPr>
          <w:sz w:val="20"/>
          <w:szCs w:val="20"/>
          <w:color w:val="auto"/>
        </w:rPr>
      </w:pPr>
      <w:r>
        <w:rPr>
          <w:rFonts w:ascii="Arial" w:cs="Arial" w:eastAsia="Arial" w:hAnsi="Arial"/>
          <w:sz w:val="19"/>
          <w:szCs w:val="19"/>
          <w:color w:val="auto"/>
        </w:rPr>
        <w:t>existing under Luxembourg law, having its registered office at 61, rue de Rollingergrund, L-2440, Luxembourg and registered with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Luxembourg register of commerce and companies (</w:t>
      </w:r>
      <w:r>
        <w:rPr>
          <w:rFonts w:ascii="Arial" w:cs="Arial" w:eastAsia="Arial" w:hAnsi="Arial"/>
          <w:sz w:val="18"/>
          <w:szCs w:val="18"/>
          <w:i w:val="1"/>
          <w:iCs w:val="1"/>
          <w:color w:val="auto"/>
        </w:rPr>
        <w:t>R.C.S. Luxembourg</w:t>
      </w:r>
      <w:r>
        <w:rPr>
          <w:rFonts w:ascii="Arial" w:cs="Arial" w:eastAsia="Arial" w:hAnsi="Arial"/>
          <w:sz w:val="18"/>
          <w:szCs w:val="18"/>
          <w:color w:val="auto"/>
        </w:rPr>
        <w:t>) under number B66588 (the “</w:t>
      </w:r>
      <w:r>
        <w:rPr>
          <w:rFonts w:ascii="Arial" w:cs="Arial" w:eastAsia="Arial" w:hAnsi="Arial"/>
          <w:sz w:val="18"/>
          <w:szCs w:val="18"/>
          <w:u w:val="single" w:color="auto"/>
          <w:color w:val="auto"/>
        </w:rPr>
        <w:t>Lux Borrower</w:t>
      </w:r>
      <w:r>
        <w:rPr>
          <w:rFonts w:ascii="Arial" w:cs="Arial" w:eastAsia="Arial" w:hAnsi="Arial"/>
          <w:sz w:val="18"/>
          <w:szCs w:val="18"/>
          <w:color w:val="auto"/>
        </w:rPr>
        <w:t>”), ICON Clinical Investments, LLC, a Delaware limited liability company (the “</w:t>
      </w:r>
      <w:r>
        <w:rPr>
          <w:rFonts w:ascii="Arial" w:cs="Arial" w:eastAsia="Arial" w:hAnsi="Arial"/>
          <w:sz w:val="18"/>
          <w:szCs w:val="18"/>
          <w:u w:val="single" w:color="auto"/>
          <w:color w:val="auto"/>
        </w:rPr>
        <w:t>Lux U.S. Subsidiary Borrower</w:t>
      </w:r>
      <w:r>
        <w:rPr>
          <w:rFonts w:ascii="Arial" w:cs="Arial" w:eastAsia="Arial" w:hAnsi="Arial"/>
          <w:sz w:val="18"/>
          <w:szCs w:val="18"/>
          <w:color w:val="auto"/>
        </w:rPr>
        <w:t>”), INDIGO MERGER SUB, INC., a Delaware</w:t>
      </w:r>
    </w:p>
    <w:p>
      <w:pPr>
        <w:spacing w:after="0" w:line="224" w:lineRule="auto"/>
        <w:rPr>
          <w:sz w:val="20"/>
          <w:szCs w:val="20"/>
          <w:color w:val="auto"/>
        </w:rPr>
      </w:pPr>
      <w:r>
        <w:rPr>
          <w:rFonts w:ascii="Arial" w:cs="Arial" w:eastAsia="Arial" w:hAnsi="Arial"/>
          <w:sz w:val="19"/>
          <w:szCs w:val="19"/>
          <w:color w:val="auto"/>
        </w:rPr>
        <w:t>corporation (“</w:t>
      </w:r>
      <w:r>
        <w:rPr>
          <w:rFonts w:ascii="Arial" w:cs="Arial" w:eastAsia="Arial" w:hAnsi="Arial"/>
          <w:sz w:val="19"/>
          <w:szCs w:val="19"/>
          <w:u w:val="single" w:color="auto"/>
          <w:color w:val="auto"/>
        </w:rPr>
        <w:t>Merger Sub</w:t>
      </w:r>
      <w:r>
        <w:rPr>
          <w:rFonts w:ascii="Arial" w:cs="Arial" w:eastAsia="Arial" w:hAnsi="Arial"/>
          <w:sz w:val="19"/>
          <w:szCs w:val="19"/>
          <w:color w:val="auto"/>
        </w:rPr>
        <w:t>” and, prior to the consummation of the Acquisition, the “</w:t>
      </w:r>
      <w:r>
        <w:rPr>
          <w:rFonts w:ascii="Arial" w:cs="Arial" w:eastAsia="Arial" w:hAnsi="Arial"/>
          <w:sz w:val="19"/>
          <w:szCs w:val="19"/>
          <w:u w:val="single" w:color="auto"/>
          <w:color w:val="auto"/>
        </w:rPr>
        <w:t>U.S. Borrower</w:t>
      </w:r>
      <w:r>
        <w:rPr>
          <w:rFonts w:ascii="Arial" w:cs="Arial" w:eastAsia="Arial" w:hAnsi="Arial"/>
          <w:sz w:val="19"/>
          <w:szCs w:val="19"/>
          <w:color w:val="auto"/>
        </w:rPr>
        <w:t>”) (which, after giving effect to the</w:t>
      </w:r>
    </w:p>
    <w:p>
      <w:pPr>
        <w:spacing w:after="0" w:line="226" w:lineRule="auto"/>
        <w:rPr>
          <w:sz w:val="20"/>
          <w:szCs w:val="20"/>
          <w:color w:val="auto"/>
        </w:rPr>
      </w:pPr>
      <w:r>
        <w:rPr>
          <w:rFonts w:ascii="Arial" w:cs="Arial" w:eastAsia="Arial" w:hAnsi="Arial"/>
          <w:sz w:val="18"/>
          <w:szCs w:val="18"/>
          <w:color w:val="auto"/>
        </w:rPr>
        <w:t>Acquisition on the Closing Date, shall be succeeded by PRA Health Sciences, Inc., a Delaware corporation (the “</w:t>
      </w:r>
      <w:r>
        <w:rPr>
          <w:rFonts w:ascii="Arial" w:cs="Arial" w:eastAsia="Arial" w:hAnsi="Arial"/>
          <w:sz w:val="18"/>
          <w:szCs w:val="18"/>
          <w:u w:val="single" w:color="auto"/>
          <w:color w:val="auto"/>
        </w:rPr>
        <w:t>Target</w:t>
      </w:r>
      <w:r>
        <w:rPr>
          <w:rFonts w:ascii="Arial" w:cs="Arial" w:eastAsia="Arial" w:hAnsi="Arial"/>
          <w:sz w:val="18"/>
          <w:szCs w:val="18"/>
          <w:color w:val="auto"/>
        </w:rPr>
        <w:t>” and, following the consummation of the Acquisition, the “</w:t>
      </w:r>
      <w:r>
        <w:rPr>
          <w:rFonts w:ascii="Arial" w:cs="Arial" w:eastAsia="Arial" w:hAnsi="Arial"/>
          <w:sz w:val="18"/>
          <w:szCs w:val="18"/>
          <w:u w:val="single" w:color="auto"/>
          <w:color w:val="auto"/>
        </w:rPr>
        <w:t>U.S. Borrower</w:t>
      </w:r>
      <w:r>
        <w:rPr>
          <w:rFonts w:ascii="Arial" w:cs="Arial" w:eastAsia="Arial" w:hAnsi="Arial"/>
          <w:sz w:val="18"/>
          <w:szCs w:val="18"/>
          <w:color w:val="auto"/>
        </w:rPr>
        <w:t>”), ICON PUBLIC LIMITED COMPANY, an Irish public limited company</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the Revolving Borrowers (as such term is defined in </w:t>
      </w:r>
      <w:r>
        <w:rPr>
          <w:rFonts w:ascii="Arial" w:cs="Arial" w:eastAsia="Arial" w:hAnsi="Arial"/>
          <w:sz w:val="18"/>
          <w:szCs w:val="18"/>
          <w:u w:val="single" w:color="auto"/>
          <w:color w:val="auto"/>
        </w:rPr>
        <w:t>Article I</w:t>
      </w:r>
      <w:r>
        <w:rPr>
          <w:rFonts w:ascii="Arial" w:cs="Arial" w:eastAsia="Arial" w:hAnsi="Arial"/>
          <w:sz w:val="18"/>
          <w:szCs w:val="18"/>
          <w:color w:val="auto"/>
        </w:rPr>
        <w:t>), each Additional Borrower, the Subsidiary Guarantors (as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term is defined in </w:t>
      </w:r>
      <w:r>
        <w:rPr>
          <w:rFonts w:ascii="Arial" w:cs="Arial" w:eastAsia="Arial" w:hAnsi="Arial"/>
          <w:sz w:val="20"/>
          <w:szCs w:val="20"/>
          <w:u w:val="single" w:color="auto"/>
          <w:color w:val="auto"/>
        </w:rPr>
        <w:t>Article I</w:t>
      </w:r>
      <w:r>
        <w:rPr>
          <w:rFonts w:ascii="Arial" w:cs="Arial" w:eastAsia="Arial" w:hAnsi="Arial"/>
          <w:sz w:val="20"/>
          <w:szCs w:val="20"/>
          <w:color w:val="auto"/>
        </w:rPr>
        <w:t>) party hereto, the LENDERS from time to time party hereto, CITIBANK, N.A., as Administrative Agent, and CITIBANK, N.A., LONDON BRANCH, as Collateral Agent.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NOW, THEREFORE, the parties hereto agree as follows:</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w:t>
      </w:r>
    </w:p>
    <w:p>
      <w:pPr>
        <w:spacing w:after="0" w:line="150" w:lineRule="exact"/>
        <w:rPr>
          <w:sz w:val="20"/>
          <w:szCs w:val="20"/>
          <w:color w:val="auto"/>
        </w:rPr>
      </w:pPr>
    </w:p>
    <w:p>
      <w:pPr>
        <w:ind w:left="5180"/>
        <w:spacing w:after="0"/>
        <w:rPr>
          <w:sz w:val="20"/>
          <w:szCs w:val="20"/>
          <w:color w:val="auto"/>
        </w:rPr>
      </w:pPr>
      <w:r>
        <w:rPr>
          <w:rFonts w:ascii="Arial" w:cs="Arial" w:eastAsia="Arial" w:hAnsi="Arial"/>
          <w:sz w:val="20"/>
          <w:szCs w:val="20"/>
          <w:u w:val="single" w:color="auto"/>
          <w:color w:val="auto"/>
        </w:rPr>
        <w:t>Definitions</w:t>
      </w:r>
    </w:p>
    <w:p>
      <w:pPr>
        <w:ind w:left="660"/>
        <w:spacing w:after="0"/>
        <w:tabs>
          <w:tab w:leader="none" w:pos="19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a Loan, or the Loans comprising such Borrowing, bearing interest at a rate determined by reference to the Alternate Base Rate.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Accepting Term Lender</w:t>
      </w:r>
      <w:r>
        <w:rPr>
          <w:rFonts w:ascii="Arial" w:cs="Arial" w:eastAsia="Arial" w:hAnsi="Arial"/>
          <w:sz w:val="20"/>
          <w:szCs w:val="20"/>
          <w:color w:val="auto"/>
        </w:rPr>
        <w:t>” has the meaning assigned to such term in Section 2.11(e).</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ACH Indebtedness</w:t>
      </w:r>
      <w:r>
        <w:rPr>
          <w:rFonts w:ascii="Arial" w:cs="Arial" w:eastAsia="Arial" w:hAnsi="Arial"/>
          <w:sz w:val="20"/>
          <w:szCs w:val="20"/>
          <w:color w:val="auto"/>
        </w:rPr>
        <w:t>” means Indebtedness incurred in the ordinary course of business arising in connection with any automated clearinghouse transfers of funds or other payment processing service.</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the merger of Merger Sub with and into the Target, with the Target as the surviving corporation, as provided for in the Acquisition Agreement and the related transactions.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means the Agreement and Plan of Merger dated as of February 24, 2021 among Holdings, U.S. Holdco,</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Merger Sub and the Target (including, without limitation, all exhibits, schedules and disclosure letters thereto), as the same may be altered, amended, changed, supplemented or with any provision or condition therein waived.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 Representations</w:t>
      </w:r>
      <w:r>
        <w:rPr>
          <w:rFonts w:ascii="Arial" w:cs="Arial" w:eastAsia="Arial" w:hAnsi="Arial"/>
          <w:sz w:val="18"/>
          <w:szCs w:val="18"/>
          <w:color w:val="auto"/>
        </w:rPr>
        <w:t>” means such representations and warranties made by or with respect to the Target and its subsidiaries in the Acquisition Agreement as are material to the interests of the Lenders, but only to the extent that Holdings (or its applicable</w:t>
      </w:r>
    </w:p>
    <w:p>
      <w:pPr>
        <w:spacing w:after="0" w:line="235" w:lineRule="auto"/>
        <w:rPr>
          <w:sz w:val="20"/>
          <w:szCs w:val="20"/>
          <w:color w:val="auto"/>
        </w:rPr>
      </w:pPr>
      <w:r>
        <w:rPr>
          <w:rFonts w:ascii="Arial" w:cs="Arial" w:eastAsia="Arial" w:hAnsi="Arial"/>
          <w:sz w:val="18"/>
          <w:szCs w:val="18"/>
          <w:color w:val="auto"/>
        </w:rPr>
        <w:t>subsidiaries) have the right (taking into account any applicable cure periods) to terminate its obligation to consummate the Acquisition under</w:t>
      </w:r>
    </w:p>
    <w:p>
      <w:pPr>
        <w:spacing w:after="0" w:line="220" w:lineRule="auto"/>
        <w:rPr>
          <w:sz w:val="20"/>
          <w:szCs w:val="20"/>
          <w:color w:val="auto"/>
        </w:rPr>
      </w:pPr>
      <w:r>
        <w:rPr>
          <w:rFonts w:ascii="Arial" w:cs="Arial" w:eastAsia="Arial" w:hAnsi="Arial"/>
          <w:sz w:val="20"/>
          <w:szCs w:val="20"/>
          <w:color w:val="auto"/>
        </w:rPr>
        <w:t>the Acquisition Agreement or the right not to consummate the Acquisition pursuant to the Acquisition Agreement as a result of a breach of such representations and warranties, in each case in accordance with the terms thereof.</w:t>
      </w:r>
    </w:p>
    <w:p>
      <w:pPr>
        <w:spacing w:after="0" w:line="156"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 Documents</w:t>
      </w:r>
      <w:r>
        <w:rPr>
          <w:rFonts w:ascii="Arial" w:cs="Arial" w:eastAsia="Arial" w:hAnsi="Arial"/>
          <w:sz w:val="19"/>
          <w:szCs w:val="19"/>
          <w:color w:val="auto"/>
        </w:rPr>
        <w:t>” means the Acquisition Agreement and any other documents executed or issued, or to be executed or issued, by or on behalf of the Target and/or the U.S. Borrower in respect of the Acquisition (but excluding the Loan Documents).</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w:t>
      </w:r>
      <w:r>
        <w:rPr>
          <w:rFonts w:ascii="Arial" w:cs="Arial" w:eastAsia="Arial" w:hAnsi="Arial"/>
          <w:sz w:val="18"/>
          <w:szCs w:val="18"/>
          <w:color w:val="auto"/>
        </w:rPr>
        <w:t xml:space="preserve">” means any one or more Restricted Subsidiaries that is or becomes a Subsidiary Guarantor designated by Holdings as a borrower of any Incremental Loans hereunder, Revolving Loans or Other Refinancing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w:t>
      </w:r>
    </w:p>
    <w:p>
      <w:pPr>
        <w:spacing w:after="0" w:line="235" w:lineRule="auto"/>
        <w:rPr>
          <w:sz w:val="20"/>
          <w:szCs w:val="20"/>
          <w:color w:val="auto"/>
        </w:rPr>
      </w:pPr>
      <w:r>
        <w:rPr>
          <w:rFonts w:ascii="Arial" w:cs="Arial" w:eastAsia="Arial" w:hAnsi="Arial"/>
          <w:sz w:val="18"/>
          <w:szCs w:val="18"/>
          <w:color w:val="auto"/>
        </w:rPr>
        <w:t>Restricted Subsidiaries organized under the laws of Ireland, Luxembourg, England and Wales and/or a jurisdiction located in the United</w:t>
      </w:r>
    </w:p>
    <w:p>
      <w:pPr>
        <w:ind w:right="20"/>
        <w:spacing w:after="0" w:line="255" w:lineRule="auto"/>
        <w:rPr>
          <w:sz w:val="20"/>
          <w:szCs w:val="20"/>
          <w:color w:val="auto"/>
        </w:rPr>
      </w:pPr>
      <w:r>
        <w:rPr>
          <w:rFonts w:ascii="Arial" w:cs="Arial" w:eastAsia="Arial" w:hAnsi="Arial"/>
          <w:sz w:val="16"/>
          <w:szCs w:val="16"/>
          <w:color w:val="auto"/>
        </w:rPr>
        <w:t xml:space="preserve">States may be designated by Holdings as Additional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Additional Borrower shall have satisfied the requirements set forth in Section 4.01(c), and for such purposes, any reference to the Closing Date in such Section 4.01(c) shall be deemed to</w:t>
      </w:r>
    </w:p>
    <w:p>
      <w:pPr>
        <w:spacing w:after="0" w:line="235" w:lineRule="auto"/>
        <w:rPr>
          <w:sz w:val="20"/>
          <w:szCs w:val="20"/>
          <w:color w:val="auto"/>
        </w:rPr>
      </w:pPr>
      <w:r>
        <w:rPr>
          <w:rFonts w:ascii="Arial" w:cs="Arial" w:eastAsia="Arial" w:hAnsi="Arial"/>
          <w:sz w:val="18"/>
          <w:szCs w:val="18"/>
          <w:color w:val="auto"/>
        </w:rPr>
        <w:t>be a reference to the date on which such Subsidiary Guarantor becomes an Additional Borrower. For the avoidance of doubt, any Restricted</w:t>
      </w:r>
    </w:p>
    <w:p>
      <w:pPr>
        <w:spacing w:after="0" w:line="226" w:lineRule="auto"/>
        <w:rPr>
          <w:sz w:val="20"/>
          <w:szCs w:val="20"/>
          <w:color w:val="auto"/>
        </w:rPr>
      </w:pPr>
      <w:r>
        <w:rPr>
          <w:rFonts w:ascii="Arial" w:cs="Arial" w:eastAsia="Arial" w:hAnsi="Arial"/>
          <w:sz w:val="18"/>
          <w:szCs w:val="18"/>
          <w:color w:val="auto"/>
        </w:rPr>
        <w:t>Subsidiary designated as an Additional Borrower shall cease to be an “Additional Borrower” upon the repayment of all Loans (or, in the case of an Additional Borrower that is a Revolving Borrower, the repayment of all Loans and termination of all Revolving Commitments)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respect of which such Restricted Subsidiary was designated as an “Additional Borrower” and shall be deemed to be a Guarantor.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Lender</w:t>
      </w:r>
      <w:r>
        <w:rPr>
          <w:rFonts w:ascii="Arial" w:cs="Arial" w:eastAsia="Arial" w:hAnsi="Arial"/>
          <w:sz w:val="20"/>
          <w:szCs w:val="20"/>
          <w:color w:val="auto"/>
        </w:rPr>
        <w:t>” has the meaning assigned to such term in Section 2.20(a).</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 Rate</w:t>
      </w:r>
      <w:r>
        <w:rPr>
          <w:rFonts w:ascii="Arial" w:cs="Arial" w:eastAsia="Arial" w:hAnsi="Arial"/>
          <w:sz w:val="18"/>
          <w:szCs w:val="18"/>
          <w:color w:val="auto"/>
        </w:rPr>
        <w:t>” means, with respect to any Eurocurrency Borrowing denominated in euros, for any Interest Period, an interest rate per annum (rounded upwards, if necessary, to the next 1/16 of 1%) equal to the sum of (a) the EURIBOR Rate for such Interest</w:t>
      </w:r>
    </w:p>
    <w:p>
      <w:pPr>
        <w:spacing w:after="0"/>
        <w:rPr>
          <w:sz w:val="20"/>
          <w:szCs w:val="20"/>
          <w:color w:val="auto"/>
        </w:rPr>
      </w:pPr>
      <w:r>
        <w:rPr>
          <w:rFonts w:ascii="Arial" w:cs="Arial" w:eastAsia="Arial" w:hAnsi="Arial"/>
          <w:sz w:val="18"/>
          <w:szCs w:val="18"/>
          <w:color w:val="auto"/>
        </w:rPr>
        <w:t xml:space="preserve">Period multiplied by (b) the Statutory Reserve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Revolving Loans, such rate shall not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-130175</wp:posOffset>
            </wp:positionV>
            <wp:extent cx="375475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3754755" cy="137160"/>
                    </a:xfrm>
                    <a:prstGeom prst="rect">
                      <a:avLst/>
                    </a:prstGeom>
                    <a:noFill/>
                  </pic:spPr>
                </pic:pic>
              </a:graphicData>
            </a:graphic>
          </wp:anchor>
        </w:drawing>
      </w:r>
    </w:p>
    <w:p>
      <w:pPr>
        <w:spacing w:after="0" w:line="14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Adjusted LIBO Rate</w:t>
      </w:r>
      <w:r>
        <w:rPr>
          <w:rFonts w:ascii="Arial" w:cs="Arial" w:eastAsia="Arial" w:hAnsi="Arial"/>
          <w:sz w:val="18"/>
          <w:szCs w:val="18"/>
          <w:color w:val="FF0000"/>
          <w:strike w:val="1"/>
        </w:rPr>
        <w:t>” means, with respect to any Eurocurrency Borrowing denominated in any Agreed Currency other than euros, for any Interest Period, an interest rate per annum (rounded upwards, if necessary, to the next 1/16 of 1%) equal to the sum of (a) the LIBO</w:t>
      </w:r>
    </w:p>
    <w:p>
      <w:pPr>
        <w:spacing w:after="0" w:line="220" w:lineRule="auto"/>
        <w:rPr>
          <w:sz w:val="20"/>
          <w:szCs w:val="20"/>
          <w:color w:val="auto"/>
        </w:rPr>
      </w:pPr>
      <w:r>
        <w:rPr>
          <w:rFonts w:ascii="Arial" w:cs="Arial" w:eastAsia="Arial" w:hAnsi="Arial"/>
          <w:sz w:val="20"/>
          <w:szCs w:val="20"/>
          <w:color w:val="FF0000"/>
          <w:strike w:val="1"/>
        </w:rPr>
        <w:t xml:space="preserve">Rate for such Interest Period multiplied by (b) the Statutory Reserve Rate; provided that (i) with respect to Revolving Loans, such rate shall </w:t>
      </w:r>
      <w:r>
        <w:rPr>
          <w:rFonts w:ascii="Arial" w:cs="Arial" w:eastAsia="Arial" w:hAnsi="Arial"/>
          <w:sz w:val="20"/>
          <w:szCs w:val="20"/>
          <w:color w:val="FF0000"/>
          <w:highlight w:val="white"/>
          <w:strike w:val="1"/>
        </w:rPr>
        <w:t>not be less than zero and (ii) with respect to the Initial Term Loans, such rate shall not be less than 0.50%.</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Citibank, N.A., in its capacity as administrative agent for the Lenders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has the meaning assigned to such term in Section 9.01(c).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has the meaning assigned to such term in Section 8.01.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(solely with respect to Revolving Loans and Letters of Credit), (iii) Pounds Sterling</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(solely with respect to Revolving Loans and Letters of Credit) and (iv) any other Foreign Currency agreed to by the Administrative Agent, each of the Lenders and each Issuing Bank of the applicable Class of Loans.</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Guarantee and Security Principles</w:t>
      </w:r>
      <w:r>
        <w:rPr>
          <w:rFonts w:ascii="Arial" w:cs="Arial" w:eastAsia="Arial" w:hAnsi="Arial"/>
          <w:sz w:val="18"/>
          <w:szCs w:val="18"/>
          <w:color w:val="auto"/>
        </w:rPr>
        <w:t xml:space="preserve">” means the Agreed Guarantee and Security Principles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For the avoidance of doubt, the Agreed Guarantee and Security Principles shall only apply to Guarantees proposed to be granted by, assets of,</w:t>
      </w:r>
    </w:p>
    <w:p>
      <w:pPr>
        <w:spacing w:after="0"/>
        <w:rPr>
          <w:sz w:val="20"/>
          <w:szCs w:val="20"/>
          <w:color w:val="auto"/>
        </w:rPr>
      </w:pPr>
      <w:r>
        <w:rPr>
          <w:rFonts w:ascii="Arial" w:cs="Arial" w:eastAsia="Arial" w:hAnsi="Arial"/>
          <w:sz w:val="20"/>
          <w:szCs w:val="20"/>
          <w:color w:val="auto"/>
        </w:rPr>
        <w:t>and Equity Interests in, Holdings and the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 hereto.</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USD Adjusted Term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SOFR</w:t>
      </w:r>
      <w:r>
        <w:rPr>
          <w:rFonts w:ascii="Arial" w:cs="Arial" w:eastAsia="Arial" w:hAnsi="Arial"/>
          <w:sz w:val="18"/>
          <w:szCs w:val="18"/>
          <w:color w:val="0000FF"/>
        </w:rPr>
        <w:t xml:space="preserve"> </w:t>
      </w:r>
      <w:r>
        <w:rPr>
          <w:rFonts w:ascii="Arial" w:cs="Arial" w:eastAsia="Arial" w:hAnsi="Arial"/>
          <w:sz w:val="18"/>
          <w:szCs w:val="18"/>
          <w:color w:val="000000"/>
        </w:rPr>
        <w:t>for a one month Interest Period on such day (or if such day is not a Business Day, the immediately preceding Business Day) plus 1%,</w:t>
      </w:r>
    </w:p>
    <w:p>
      <w:pPr>
        <w:jc w:val="both"/>
        <w:ind w:firstLine="8"/>
        <w:spacing w:after="0" w:line="214" w:lineRule="auto"/>
        <w:tabs>
          <w:tab w:leader="none" w:pos="28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Prime Rate in effect on such day, (c) the Federal Funds Effective Rate in effect on such day plus ½ of 1% and (d) 1%</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that</w:t>
      </w:r>
      <w:r>
        <w:rPr>
          <w:rFonts w:ascii="Arial" w:cs="Arial" w:eastAsia="Arial" w:hAnsi="Arial"/>
          <w:sz w:val="20"/>
          <w:szCs w:val="20"/>
          <w:color w:val="auto"/>
        </w:rPr>
        <w:t xml:space="preserve"> </w:t>
      </w:r>
      <w:r>
        <w:rPr>
          <w:rFonts w:ascii="Arial" w:cs="Arial" w:eastAsia="Arial" w:hAnsi="Arial"/>
          <w:sz w:val="20"/>
          <w:szCs w:val="20"/>
          <w:color w:val="FF0000"/>
          <w:strike w:val="1"/>
        </w:rPr>
        <w:t>for the avoidance of doubt, the Eurocurrency Rate for any day shall be based on the rate appearing on the applicable Bloomberg screen page (or on any successor or substitute page of such page) at approximately 11:00 a.m. London time on such day</w:t>
      </w:r>
      <w:r>
        <w:rPr>
          <w:rFonts w:ascii="Arial" w:cs="Arial" w:eastAsia="Arial" w:hAnsi="Arial"/>
          <w:sz w:val="20"/>
          <w:szCs w:val="20"/>
          <w:color w:val="000000"/>
          <w:strike w:val="1"/>
        </w:rPr>
        <w:t>. Any change in the Alternate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Base Rate due to a change in the Prime Rate, the Federal Funds Effective Rate or the </w:t>
      </w:r>
      <w:r>
        <w:rPr>
          <w:rFonts w:ascii="Arial" w:cs="Arial" w:eastAsia="Arial" w:hAnsi="Arial"/>
          <w:sz w:val="20"/>
          <w:szCs w:val="20"/>
          <w:color w:val="FF0000"/>
          <w:strike w:val="1"/>
        </w:rPr>
        <w:t>Eurocurrency Rate</w:t>
      </w:r>
      <w:r>
        <w:rPr>
          <w:rFonts w:ascii="Arial" w:cs="Arial" w:eastAsia="Arial" w:hAnsi="Arial"/>
          <w:sz w:val="20"/>
          <w:szCs w:val="20"/>
          <w:u w:val="single" w:color="auto"/>
          <w:color w:val="0000FF"/>
          <w:strike w:val="1"/>
        </w:rPr>
        <w:t>USD Adjusted Term SOFR</w:t>
      </w:r>
      <w:r>
        <w:rPr>
          <w:rFonts w:ascii="Arial" w:cs="Arial" w:eastAsia="Arial" w:hAnsi="Arial"/>
          <w:sz w:val="20"/>
          <w:szCs w:val="20"/>
          <w:color w:val="000000"/>
          <w:strike w:val="1"/>
        </w:rPr>
        <w:t xml:space="preserve"> shall be effective from and including the effective date of such change in the Prime Rate, the Federal Funds Effective Rate or the </w:t>
      </w:r>
      <w:r>
        <w:rPr>
          <w:rFonts w:ascii="Arial" w:cs="Arial" w:eastAsia="Arial" w:hAnsi="Arial"/>
          <w:sz w:val="20"/>
          <w:szCs w:val="20"/>
          <w:color w:val="FF0000"/>
          <w:strike w:val="1"/>
        </w:rPr>
        <w:t>Eurocurrency</w:t>
      </w:r>
      <w:r>
        <w:rPr>
          <w:rFonts w:ascii="Arial" w:cs="Arial" w:eastAsia="Arial" w:hAnsi="Arial"/>
          <w:sz w:val="20"/>
          <w:szCs w:val="20"/>
          <w:color w:val="000000"/>
          <w:strike w:val="1"/>
        </w:rPr>
        <w:t xml:space="preserve"> </w:t>
      </w:r>
      <w:r>
        <w:rPr>
          <w:rFonts w:ascii="Arial" w:cs="Arial" w:eastAsia="Arial" w:hAnsi="Arial"/>
          <w:sz w:val="20"/>
          <w:szCs w:val="20"/>
          <w:color w:val="FF0000"/>
          <w:strike w:val="1"/>
        </w:rPr>
        <w:t>Rate</w:t>
      </w:r>
      <w:r>
        <w:rPr>
          <w:rFonts w:ascii="Arial" w:cs="Arial" w:eastAsia="Arial" w:hAnsi="Arial"/>
          <w:sz w:val="20"/>
          <w:szCs w:val="20"/>
          <w:u w:val="single" w:color="auto"/>
          <w:color w:val="0000FF"/>
          <w:strike w:val="1"/>
        </w:rPr>
        <w:t>USD Adjusted Term SOFR</w:t>
      </w:r>
      <w:r>
        <w:rPr>
          <w:rFonts w:ascii="Arial" w:cs="Arial" w:eastAsia="Arial" w:hAnsi="Arial"/>
          <w:sz w:val="20"/>
          <w:szCs w:val="20"/>
          <w:color w:val="000000"/>
          <w:strike w:val="1"/>
        </w:rPr>
        <w:t>, respectively.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Currencies</w:t>
      </w:r>
      <w:r>
        <w:rPr>
          <w:rFonts w:ascii="Arial" w:cs="Arial" w:eastAsia="Arial" w:hAnsi="Arial"/>
          <w:sz w:val="20"/>
          <w:szCs w:val="20"/>
          <w:color w:val="auto"/>
        </w:rPr>
        <w:t>” means all Agreed Currencies other than Dollars.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Benchmark Replacement</w:t>
      </w:r>
      <w:r>
        <w:rPr>
          <w:rFonts w:ascii="Arial" w:cs="Arial" w:eastAsia="Arial" w:hAnsi="Arial"/>
          <w:sz w:val="18"/>
          <w:szCs w:val="18"/>
          <w:color w:val="auto"/>
        </w:rPr>
        <w:t>” shall mean, with respect to any Eurocurrency Loan denominated in an Alternate Currency or any RFR Loan, the sum of: (a) the alternate benchmark rate (which may be an Alternate Currency SOFR-Based Rate) that has</w:t>
      </w:r>
    </w:p>
    <w:p>
      <w:pPr>
        <w:spacing w:after="0" w:line="226" w:lineRule="auto"/>
        <w:rPr>
          <w:sz w:val="20"/>
          <w:szCs w:val="20"/>
          <w:color w:val="auto"/>
        </w:rPr>
      </w:pPr>
      <w:r>
        <w:rPr>
          <w:rFonts w:ascii="Arial" w:cs="Arial" w:eastAsia="Arial" w:hAnsi="Arial"/>
          <w:sz w:val="18"/>
          <w:szCs w:val="18"/>
          <w:color w:val="auto"/>
        </w:rPr>
        <w:t>been selected by the Administrative Agent and Holdings giving due consideration to (i) any selection or recommendation of a replacement benchmark rate or the mechanism for determining such a rate by the Relevant Governmental Body or (ii) any evolving or then-prevailing</w:t>
      </w:r>
    </w:p>
    <w:p>
      <w:pPr>
        <w:spacing w:after="0" w:line="224" w:lineRule="auto"/>
        <w:rPr>
          <w:sz w:val="20"/>
          <w:szCs w:val="20"/>
          <w:color w:val="auto"/>
        </w:rPr>
      </w:pPr>
      <w:r>
        <w:rPr>
          <w:rFonts w:ascii="Arial" w:cs="Arial" w:eastAsia="Arial" w:hAnsi="Arial"/>
          <w:sz w:val="19"/>
          <w:szCs w:val="19"/>
          <w:color w:val="auto"/>
        </w:rPr>
        <w:t>market convention for determining a benchmark rate as a replacement to the applicable Eurocurrency Rate or Daily Simple RFR for</w:t>
      </w:r>
    </w:p>
    <w:p>
      <w:pPr>
        <w:spacing w:after="0" w:line="220" w:lineRule="auto"/>
        <w:rPr>
          <w:sz w:val="20"/>
          <w:szCs w:val="20"/>
          <w:color w:val="auto"/>
        </w:rPr>
      </w:pPr>
      <w:r>
        <w:rPr>
          <w:rFonts w:ascii="Arial" w:cs="Arial" w:eastAsia="Arial" w:hAnsi="Arial"/>
          <w:sz w:val="20"/>
          <w:szCs w:val="20"/>
          <w:color w:val="auto"/>
        </w:rPr>
        <w:t>syndicated credit facilities denominated in such Alternate Currency at such time and (b) the Alternate Currency Benchmark Replacement Adjustment.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Eurocurrency Loans denominated in an Alternate Currency and RFR Loans, if the Alternate Currency Benchmark</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Replacement would be less than the “floor”, if any, provided in this Agreement initially (as of the execution of this Agreement, the modification, amendment or removal of this Agreement or otherwise) with respect to Eurocurrency Loans denominated in such Alternate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Currency or RFR Loans, the Alternate Currency Benchmark Replacement with respect to such Alternate Currency will be deemed to be the “floor” for the purposes of this Agreement and the other Loan Documents.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Currency  Benchmark  Replacement  Adjustment</w:t>
      </w:r>
      <w:r>
        <w:rPr>
          <w:rFonts w:ascii="Arial" w:cs="Arial" w:eastAsia="Arial" w:hAnsi="Arial"/>
          <w:sz w:val="19"/>
          <w:szCs w:val="19"/>
          <w:color w:val="auto"/>
        </w:rPr>
        <w:t>”  shall  mean,  with  respect  to  any  replacement  of  applicable</w:t>
      </w:r>
    </w:p>
    <w:p>
      <w:pPr>
        <w:ind w:left="120" w:right="100"/>
        <w:spacing w:after="0" w:line="226" w:lineRule="auto"/>
        <w:rPr>
          <w:sz w:val="20"/>
          <w:szCs w:val="20"/>
          <w:color w:val="auto"/>
        </w:rPr>
      </w:pPr>
      <w:r>
        <w:rPr>
          <w:rFonts w:ascii="Arial" w:cs="Arial" w:eastAsia="Arial" w:hAnsi="Arial"/>
          <w:sz w:val="18"/>
          <w:szCs w:val="18"/>
          <w:color w:val="auto"/>
        </w:rPr>
        <w:t>Eurocurrency Rate or Daily Simple RFR with an Alternate Currency Unadjusted Benchmark Replacement for any applicable Interest Period, the spread adjustment, or method for calculating or determining such spread adjustment, (which may be a positive or negative</w:t>
      </w:r>
    </w:p>
    <w:p>
      <w:pPr>
        <w:spacing w:after="0" w:line="2" w:lineRule="exact"/>
        <w:rPr>
          <w:sz w:val="20"/>
          <w:szCs w:val="20"/>
          <w:color w:val="auto"/>
        </w:rPr>
      </w:pPr>
    </w:p>
    <w:p>
      <w:pPr>
        <w:ind w:left="120" w:right="100"/>
        <w:spacing w:after="0" w:line="226" w:lineRule="auto"/>
        <w:rPr>
          <w:sz w:val="20"/>
          <w:szCs w:val="20"/>
          <w:color w:val="auto"/>
        </w:rPr>
      </w:pPr>
      <w:r>
        <w:rPr>
          <w:rFonts w:ascii="Arial" w:cs="Arial" w:eastAsia="Arial" w:hAnsi="Arial"/>
          <w:sz w:val="18"/>
          <w:szCs w:val="18"/>
          <w:color w:val="auto"/>
        </w:rPr>
        <w:t>value or zero) that has been selected by the Administrative Agent and Holdings giving due consideration to (i) any selection or recommendation of a spread adjustment, or method for calculating or determining such spread adjustment, for the replacement of the</w:t>
      </w:r>
    </w:p>
    <w:p>
      <w:pPr>
        <w:jc w:val="center"/>
        <w:spacing w:after="0" w:line="236" w:lineRule="auto"/>
        <w:rPr>
          <w:sz w:val="20"/>
          <w:szCs w:val="20"/>
          <w:color w:val="auto"/>
        </w:rPr>
      </w:pPr>
      <w:r>
        <w:rPr>
          <w:rFonts w:ascii="Arial" w:cs="Arial" w:eastAsia="Arial" w:hAnsi="Arial"/>
          <w:sz w:val="18"/>
          <w:szCs w:val="18"/>
          <w:color w:val="auto"/>
        </w:rPr>
        <w:t>applicable Eurocurrency Rate or Daily Simple RFR with the applicable Alternate Currency Unadjusted Benchmark Replacement by the</w:t>
      </w:r>
    </w:p>
    <w:p>
      <w:pPr>
        <w:spacing w:after="0" w:line="1" w:lineRule="exact"/>
        <w:rPr>
          <w:sz w:val="20"/>
          <w:szCs w:val="20"/>
          <w:color w:val="auto"/>
        </w:rPr>
      </w:pPr>
    </w:p>
    <w:p>
      <w:pPr>
        <w:ind w:left="120" w:right="100"/>
        <w:spacing w:after="0" w:line="226" w:lineRule="auto"/>
        <w:rPr>
          <w:sz w:val="20"/>
          <w:szCs w:val="20"/>
          <w:color w:val="auto"/>
        </w:rPr>
      </w:pPr>
      <w:r>
        <w:rPr>
          <w:rFonts w:ascii="Arial" w:cs="Arial" w:eastAsia="Arial" w:hAnsi="Arial"/>
          <w:sz w:val="18"/>
          <w:szCs w:val="18"/>
          <w:color w:val="auto"/>
        </w:rPr>
        <w:t>Relevant Governmental Body or (ii) any evolving or then-prevailing market convention for determining a spread adjustment, or method for calculating or determining such spread adjustment, for the replacement of the applicable Eurocurrency Rate or Daily Simple RFR with</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applicable Alternate Currency Unadjusted Benchmark Replacement for syndicated credit facilities at such time.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Benchmark Replacement Conforming Changes</w:t>
      </w:r>
      <w:r>
        <w:rPr>
          <w:rFonts w:ascii="Arial" w:cs="Arial" w:eastAsia="Arial" w:hAnsi="Arial"/>
          <w:sz w:val="18"/>
          <w:szCs w:val="18"/>
          <w:color w:val="auto"/>
        </w:rPr>
        <w:t>” shall mean, with respect to any Alternate Currency Benchmark Replacement, any technical, administrative or operational changes (including changes to the definition of “Interest Period,” timing and</w:t>
      </w:r>
    </w:p>
    <w:p>
      <w:pPr>
        <w:spacing w:after="0" w:line="222" w:lineRule="auto"/>
        <w:rPr>
          <w:sz w:val="20"/>
          <w:szCs w:val="20"/>
          <w:color w:val="auto"/>
        </w:rPr>
      </w:pPr>
      <w:r>
        <w:rPr>
          <w:rFonts w:ascii="Arial" w:cs="Arial" w:eastAsia="Arial" w:hAnsi="Arial"/>
          <w:sz w:val="19"/>
          <w:szCs w:val="19"/>
          <w:color w:val="auto"/>
        </w:rPr>
        <w:t>frequency of determining rates and making payments of interest and other administrative matters) that the Administrative Agent, in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consultation with Holdings, decides may be appropriate to reflect the adoption and implementation of such Alternate Currency Benchmark Replacement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permit the administration thereof by the Administrative Agent in a manner substantially consistent with market practice (or, if the Administrative Agent decides that adoption of any portion of such market practice is not administratively feasible or if the Administrative</w:t>
      </w:r>
    </w:p>
    <w:p>
      <w:pPr>
        <w:spacing w:after="0" w:line="235" w:lineRule="auto"/>
        <w:rPr>
          <w:sz w:val="20"/>
          <w:szCs w:val="20"/>
          <w:color w:val="auto"/>
        </w:rPr>
      </w:pPr>
      <w:r>
        <w:rPr>
          <w:rFonts w:ascii="Arial" w:cs="Arial" w:eastAsia="Arial" w:hAnsi="Arial"/>
          <w:sz w:val="18"/>
          <w:szCs w:val="18"/>
          <w:color w:val="auto"/>
        </w:rPr>
        <w:t>Agent determines that no market practice for the administration of the Alternate Currency Benchmark Replacement exists, in such other</w:t>
      </w:r>
    </w:p>
    <w:p>
      <w:pPr>
        <w:spacing w:after="0" w:line="220" w:lineRule="auto"/>
        <w:rPr>
          <w:sz w:val="20"/>
          <w:szCs w:val="20"/>
          <w:color w:val="auto"/>
        </w:rPr>
      </w:pPr>
      <w:r>
        <w:rPr>
          <w:rFonts w:ascii="Arial" w:cs="Arial" w:eastAsia="Arial" w:hAnsi="Arial"/>
          <w:sz w:val="20"/>
          <w:szCs w:val="20"/>
          <w:color w:val="auto"/>
        </w:rPr>
        <w:t>manner of administration as the Administrative Agent, in consultation with Holdings, decides is reasonably necessary in connection with the administration of this Agreement).</w:t>
      </w:r>
    </w:p>
    <w:p>
      <w:pPr>
        <w:spacing w:after="0" w:line="156" w:lineRule="exact"/>
        <w:rPr>
          <w:sz w:val="20"/>
          <w:szCs w:val="20"/>
          <w:color w:val="auto"/>
        </w:rPr>
      </w:pPr>
    </w:p>
    <w:p>
      <w:pPr>
        <w:ind w:left="120" w:right="120" w:firstLine="647"/>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Benchmark Replacement Date</w:t>
      </w:r>
      <w:r>
        <w:rPr>
          <w:rFonts w:ascii="Arial" w:cs="Arial" w:eastAsia="Arial" w:hAnsi="Arial"/>
          <w:sz w:val="20"/>
          <w:szCs w:val="20"/>
          <w:color w:val="auto"/>
        </w:rPr>
        <w:t>” shall mean the earlier to occur of the following events with respect to the applicable Eurocurrency Rate or Daily Simple RFR:</w:t>
      </w:r>
    </w:p>
    <w:p>
      <w:pPr>
        <w:spacing w:after="0" w:line="169" w:lineRule="exact"/>
        <w:rPr>
          <w:sz w:val="20"/>
          <w:szCs w:val="20"/>
          <w:color w:val="auto"/>
        </w:rPr>
      </w:pPr>
    </w:p>
    <w:p>
      <w:pPr>
        <w:jc w:val="both"/>
        <w:ind w:left="120" w:right="120" w:firstLine="643"/>
        <w:spacing w:after="0" w:line="220" w:lineRule="auto"/>
        <w:tabs>
          <w:tab w:leader="none" w:pos="1204"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“Alternate Currency Benchmark Transition Event,” the later of (a) the date of the public statement or publication of information referenced therein and (b) the date on which the administrator of the applicable Eurocurrency Rate or Daily Simple RFR permanently or indefinitely ceases to provide the applicable Eurocurrency Rate or Daily Simple RFR; or</w:t>
      </w:r>
    </w:p>
    <w:p>
      <w:pPr>
        <w:spacing w:after="0" w:line="169" w:lineRule="exact"/>
        <w:rPr>
          <w:rFonts w:ascii="Arial" w:cs="Arial" w:eastAsia="Arial" w:hAnsi="Arial"/>
          <w:sz w:val="20"/>
          <w:szCs w:val="20"/>
          <w:color w:val="auto"/>
        </w:rPr>
      </w:pPr>
    </w:p>
    <w:p>
      <w:pPr>
        <w:ind w:left="120" w:right="120" w:firstLine="643"/>
        <w:spacing w:after="0" w:line="229" w:lineRule="auto"/>
        <w:tabs>
          <w:tab w:leader="none" w:pos="1313"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 the case of clause (3) of the definition of “Alternate Currency Benchmark Transition Event,” the date of the public statement or publication of information referenced therein.</w:t>
      </w:r>
    </w:p>
    <w:p>
      <w:pPr>
        <w:spacing w:after="0" w:line="169" w:lineRule="exact"/>
        <w:rPr>
          <w:sz w:val="20"/>
          <w:szCs w:val="20"/>
          <w:color w:val="auto"/>
        </w:rPr>
      </w:pPr>
    </w:p>
    <w:p>
      <w:pPr>
        <w:ind w:left="120" w:right="120" w:firstLine="647"/>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Benchmark Transition Event</w:t>
      </w:r>
      <w:r>
        <w:rPr>
          <w:rFonts w:ascii="Arial" w:cs="Arial" w:eastAsia="Arial" w:hAnsi="Arial"/>
          <w:sz w:val="20"/>
          <w:szCs w:val="20"/>
          <w:color w:val="auto"/>
        </w:rPr>
        <w:t>” shall mean the occurrence of one or more of the following events with respect to the applicable Eurocurrency Rate or Daily Simple RFR:</w:t>
      </w:r>
    </w:p>
    <w:p>
      <w:pPr>
        <w:spacing w:after="0" w:line="155" w:lineRule="exact"/>
        <w:rPr>
          <w:sz w:val="20"/>
          <w:szCs w:val="20"/>
          <w:color w:val="auto"/>
        </w:rPr>
      </w:pPr>
    </w:p>
    <w:p>
      <w:pPr>
        <w:jc w:val="both"/>
        <w:ind w:left="1080" w:right="100" w:hanging="316"/>
        <w:spacing w:after="0" w:line="246" w:lineRule="auto"/>
        <w:tabs>
          <w:tab w:leader="none" w:pos="10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the applicable Eurocurrency Rate or Daily Simple RFR announcing that such administrator has ceased or will cease to provide the applicable Eurocurrency Rate or Daily Simple RFR,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the applicable Eurocurrency Rate or Daily Simple RFR;</w:t>
      </w:r>
    </w:p>
    <w:p>
      <w:pPr>
        <w:spacing w:after="0" w:line="163" w:lineRule="exact"/>
        <w:rPr>
          <w:rFonts w:ascii="Arial" w:cs="Arial" w:eastAsia="Arial" w:hAnsi="Arial"/>
          <w:sz w:val="18"/>
          <w:szCs w:val="18"/>
          <w:color w:val="auto"/>
        </w:rPr>
      </w:pPr>
    </w:p>
    <w:p>
      <w:pPr>
        <w:jc w:val="both"/>
        <w:ind w:left="1080" w:right="100" w:hanging="316"/>
        <w:spacing w:after="0" w:line="212" w:lineRule="auto"/>
        <w:tabs>
          <w:tab w:leader="none" w:pos="1068"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the applicable Eurocurrency Rate or Daily Simple RFR, the U.S. Federal Reserve System, an insolvency official with jurisdiction over the administrator for the applicable Eurocurrency Rate or Daily Simple RFR, a resolution authority with jurisdiction over the administrator for the applicable Eurocurrency Rate or Daily Simple RFR or a court or an entity with similar insolvency or resolution authority over the administrator for the applicable Eurocurrency Rate or Daily Simple RFR, which states that the administrator of the applicable Eurocurrency Rate or Daily Simple RFR has ceased or will cease to provide the applicable Eurocurrency Rate or Daily Simple RFR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the applicable Eurocurrency Rate or Daily Simple RFR; or</w:t>
      </w:r>
    </w:p>
    <w:p>
      <w:pPr>
        <w:spacing w:after="0" w:line="169" w:lineRule="exact"/>
        <w:rPr>
          <w:rFonts w:ascii="Arial" w:cs="Arial" w:eastAsia="Arial" w:hAnsi="Arial"/>
          <w:sz w:val="20"/>
          <w:szCs w:val="20"/>
          <w:color w:val="auto"/>
        </w:rPr>
      </w:pPr>
    </w:p>
    <w:p>
      <w:pPr>
        <w:jc w:val="both"/>
        <w:ind w:left="1080" w:right="100" w:hanging="316"/>
        <w:spacing w:after="0" w:line="223" w:lineRule="auto"/>
        <w:tabs>
          <w:tab w:leader="none" w:pos="1068" w:val="left"/>
        </w:tabs>
        <w:numPr>
          <w:ilvl w:val="0"/>
          <w:numId w:val="83"/>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the applicable Eurocurrency Rate or Daily Simple RFR announcing that the applicable Eurocurrency Rate or Daily Simple RFR is no longer representative.</w:t>
      </w:r>
    </w:p>
    <w:p>
      <w:pPr>
        <w:spacing w:after="0" w:line="169" w:lineRule="exact"/>
        <w:rPr>
          <w:sz w:val="20"/>
          <w:szCs w:val="20"/>
          <w:color w:val="auto"/>
        </w:rPr>
      </w:pPr>
    </w:p>
    <w:p>
      <w:pPr>
        <w:ind w:left="120" w:right="120" w:firstLine="647"/>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Benchmark Transition Start Date</w:t>
      </w:r>
      <w:r>
        <w:rPr>
          <w:rFonts w:ascii="Arial" w:cs="Arial" w:eastAsia="Arial" w:hAnsi="Arial"/>
          <w:sz w:val="20"/>
          <w:szCs w:val="20"/>
          <w:color w:val="auto"/>
        </w:rPr>
        <w:t>” shall mean (a) in the case of an Alternate Currency Benchmark Transition Event, the earlier of (i) the applicable Alternate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57" w:lineRule="exact"/>
        <w:rPr>
          <w:sz w:val="20"/>
          <w:szCs w:val="20"/>
          <w:color w:val="auto"/>
        </w:rPr>
      </w:pPr>
    </w:p>
    <w:p>
      <w:pPr>
        <w:ind w:left="80" w:right="20"/>
        <w:spacing w:after="0" w:line="236" w:lineRule="auto"/>
        <w:rPr>
          <w:sz w:val="20"/>
          <w:szCs w:val="20"/>
          <w:color w:val="auto"/>
        </w:rPr>
      </w:pPr>
      <w:r>
        <w:rPr>
          <w:rFonts w:ascii="Arial" w:cs="Arial" w:eastAsia="Arial" w:hAnsi="Arial"/>
          <w:sz w:val="18"/>
          <w:szCs w:val="18"/>
          <w:color w:val="auto"/>
        </w:rPr>
        <w:t>Currency Benchmark Replacement Date and (ii) if such Alternate Currency Benchmark Transition Event is a public statement or publication of information of a prospective event, the 90th day prior to the expected date of such event as of such public statement or</w:t>
      </w:r>
    </w:p>
    <w:p>
      <w:pPr>
        <w:ind w:left="80"/>
        <w:spacing w:after="0" w:line="235" w:lineRule="auto"/>
        <w:rPr>
          <w:sz w:val="20"/>
          <w:szCs w:val="20"/>
          <w:color w:val="auto"/>
        </w:rPr>
      </w:pPr>
      <w:r>
        <w:rPr>
          <w:rFonts w:ascii="Arial" w:cs="Arial" w:eastAsia="Arial" w:hAnsi="Arial"/>
          <w:sz w:val="18"/>
          <w:szCs w:val="18"/>
          <w:color w:val="auto"/>
        </w:rPr>
        <w:t>publication of information (or if the expected date of such prospective event is fewer than 90 days after such statement or publication, the</w:t>
      </w:r>
    </w:p>
    <w:p>
      <w:pPr>
        <w:ind w:left="80"/>
        <w:spacing w:after="0" w:line="226" w:lineRule="auto"/>
        <w:rPr>
          <w:sz w:val="20"/>
          <w:szCs w:val="20"/>
          <w:color w:val="auto"/>
        </w:rPr>
      </w:pPr>
      <w:r>
        <w:rPr>
          <w:rFonts w:ascii="Arial" w:cs="Arial" w:eastAsia="Arial" w:hAnsi="Arial"/>
          <w:sz w:val="18"/>
          <w:szCs w:val="18"/>
          <w:color w:val="auto"/>
        </w:rPr>
        <w:t>date of such statement or publication) and (b) in the case of an Alternate Currency Early Opt-in Election, the date specified by the Administrative Agent or the Required Lenders, as applicable, by notice to the Borrower, the Administrative Agent (in the case of such</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notice by the Required Lenders) and the Lenders.</w:t>
      </w:r>
    </w:p>
    <w:p>
      <w:pPr>
        <w:spacing w:after="0" w:line="173"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Benchmark Unavailability Period</w:t>
      </w:r>
      <w:r>
        <w:rPr>
          <w:rFonts w:ascii="Arial" w:cs="Arial" w:eastAsia="Arial" w:hAnsi="Arial"/>
          <w:sz w:val="18"/>
          <w:szCs w:val="18"/>
          <w:color w:val="auto"/>
        </w:rPr>
        <w:t>” shall mean, if an Alternate Currency Benchmark Transition Event and its related Alternate Currency Benchmark Replacement Date have occurred with respect to the applicable Eurocurrency Rate or Daily Simple</w:t>
      </w:r>
    </w:p>
    <w:p>
      <w:pPr>
        <w:spacing w:after="0" w:line="235" w:lineRule="auto"/>
        <w:rPr>
          <w:sz w:val="20"/>
          <w:szCs w:val="20"/>
          <w:color w:val="auto"/>
        </w:rPr>
      </w:pPr>
      <w:r>
        <w:rPr>
          <w:rFonts w:ascii="Arial" w:cs="Arial" w:eastAsia="Arial" w:hAnsi="Arial"/>
          <w:sz w:val="18"/>
          <w:szCs w:val="18"/>
          <w:color w:val="auto"/>
        </w:rPr>
        <w:t>RFR and solely to the extent that the applicable Eurocurrency Rate or Daily Simple RFR has not been replaced with an Alternate Currency</w:t>
      </w:r>
    </w:p>
    <w:p>
      <w:pPr>
        <w:spacing w:after="0" w:line="226" w:lineRule="auto"/>
        <w:rPr>
          <w:sz w:val="20"/>
          <w:szCs w:val="20"/>
          <w:color w:val="auto"/>
        </w:rPr>
      </w:pPr>
      <w:r>
        <w:rPr>
          <w:rFonts w:ascii="Arial" w:cs="Arial" w:eastAsia="Arial" w:hAnsi="Arial"/>
          <w:sz w:val="18"/>
          <w:szCs w:val="18"/>
          <w:color w:val="auto"/>
        </w:rPr>
        <w:t>Benchmark Replacement, the period (x) beginning at the time that such Alternate Currency Benchmark Replacement Date has occurred if, at such time, no Alternate Currency Benchmark Replacement has replaced the applicable Eurocurrency Rate or Daily Simple RFR for all</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purposes hereunder in accordance with Section 2.14 and (y) ending at the time that an Alternate Currency Benchmark Replacement has replaced the applicable Eurocurrency Rate or Daily Simple RFR for all purposes hereunder pursuant to Section 2.14.</w:t>
      </w:r>
    </w:p>
    <w:p>
      <w:pPr>
        <w:spacing w:after="0" w:line="156" w:lineRule="exact"/>
        <w:rPr>
          <w:sz w:val="20"/>
          <w:szCs w:val="20"/>
          <w:color w:val="auto"/>
        </w:rPr>
      </w:pPr>
    </w:p>
    <w:p>
      <w:pPr>
        <w:ind w:firstLine="647"/>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Compounded SOFR</w:t>
      </w:r>
      <w:r>
        <w:rPr>
          <w:rFonts w:ascii="Arial" w:cs="Arial" w:eastAsia="Arial" w:hAnsi="Arial"/>
          <w:sz w:val="18"/>
          <w:szCs w:val="18"/>
          <w:color w:val="auto"/>
        </w:rPr>
        <w:t>” shall mean the compounded average of Alternate Currency SOFR for the applicable Alternate Currency Corresponding Tenor, with the rate, or methodology for this rate, and conventions for this rate (which may include</w:t>
      </w:r>
    </w:p>
    <w:p>
      <w:pPr>
        <w:spacing w:after="0" w:line="220" w:lineRule="auto"/>
        <w:rPr>
          <w:sz w:val="20"/>
          <w:szCs w:val="20"/>
          <w:color w:val="auto"/>
        </w:rPr>
      </w:pPr>
      <w:r>
        <w:rPr>
          <w:rFonts w:ascii="Arial" w:cs="Arial" w:eastAsia="Arial" w:hAnsi="Arial"/>
          <w:sz w:val="20"/>
          <w:szCs w:val="20"/>
          <w:color w:val="auto"/>
        </w:rPr>
        <w:t>compounding in arrears with a lookback and/or suspension period as a mechanism to determine the interest amount payable prior to the end of each Interest Period) being established by the Administrative Agent in accordance with:</w:t>
      </w:r>
    </w:p>
    <w:p>
      <w:pPr>
        <w:spacing w:after="0" w:line="170" w:lineRule="exact"/>
        <w:rPr>
          <w:sz w:val="20"/>
          <w:szCs w:val="20"/>
          <w:color w:val="auto"/>
        </w:rPr>
      </w:pPr>
    </w:p>
    <w:p>
      <w:pPr>
        <w:ind w:left="1020" w:hanging="323"/>
        <w:spacing w:after="0" w:line="236" w:lineRule="auto"/>
        <w:tabs>
          <w:tab w:leader="none" w:pos="12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rate, or methodology for this rate, and conventions for this rate selected or recommended by the Relevant Governmental Body for determining compounded Alternate Currency SOFR;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5" w:lineRule="exact"/>
        <w:rPr>
          <w:rFonts w:ascii="Arial" w:cs="Arial" w:eastAsia="Arial" w:hAnsi="Arial"/>
          <w:sz w:val="20"/>
          <w:szCs w:val="20"/>
          <w:color w:val="auto"/>
        </w:rPr>
      </w:pPr>
    </w:p>
    <w:p>
      <w:pPr>
        <w:jc w:val="both"/>
        <w:ind w:left="1020" w:hanging="323"/>
        <w:spacing w:after="0" w:line="246" w:lineRule="auto"/>
        <w:tabs>
          <w:tab w:leader="none" w:pos="1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and to the extent that, the Administrative Agent determines that Alternate Currency Compounded SOFR cannot be determined in accordance with clause (1) above, then the rate, or methodology for this rate, and conventions for this rate that the Administrative Agent determines are substantially consistent with prevailing market convention for determining Alternate Currency Compounded SOFR for syndicated credit facilities at such time (as a result of amendment or as originally executed);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Administrative Agent decides that any such rate, methodology or convention determined in accordance with</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clause (1) or clause (2) is not administratively feasible for the Administrative Agent, then Alternate Currency Compounded SOFR will be deemed unable to be determined for purposes of the definition of “Alternate Currency Benchmark Replacement.”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Currency Corresponding Tenor</w:t>
      </w:r>
      <w:r>
        <w:rPr>
          <w:rFonts w:ascii="Arial" w:cs="Arial" w:eastAsia="Arial" w:hAnsi="Arial"/>
          <w:sz w:val="19"/>
          <w:szCs w:val="19"/>
          <w:color w:val="auto"/>
        </w:rPr>
        <w:t>” with respect to an Alternate Currency Benchmark Replacement means a tenor</w:t>
      </w:r>
    </w:p>
    <w:p>
      <w:pPr>
        <w:spacing w:after="0" w:line="220" w:lineRule="auto"/>
        <w:rPr>
          <w:sz w:val="20"/>
          <w:szCs w:val="20"/>
          <w:color w:val="auto"/>
        </w:rPr>
      </w:pPr>
      <w:r>
        <w:rPr>
          <w:rFonts w:ascii="Arial" w:cs="Arial" w:eastAsia="Arial" w:hAnsi="Arial"/>
          <w:sz w:val="20"/>
          <w:szCs w:val="20"/>
          <w:color w:val="auto"/>
        </w:rPr>
        <w:t>(including overnight) having approximately the same length (disregarding business day adjustment) as the applicable tenor for the applicable Interest Period with respect to the applicable Eurocurrency Rate or Daily Simple RFR.</w:t>
      </w:r>
    </w:p>
    <w:p>
      <w:pPr>
        <w:spacing w:after="0" w:line="170" w:lineRule="exact"/>
        <w:rPr>
          <w:sz w:val="20"/>
          <w:szCs w:val="20"/>
          <w:color w:val="auto"/>
        </w:rPr>
      </w:pPr>
    </w:p>
    <w:p>
      <w:pPr>
        <w:ind w:firstLine="64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Daily Simple SOFR</w:t>
      </w:r>
      <w:r>
        <w:rPr>
          <w:rFonts w:ascii="Arial" w:cs="Arial" w:eastAsia="Arial" w:hAnsi="Arial"/>
          <w:sz w:val="18"/>
          <w:szCs w:val="18"/>
          <w:color w:val="auto"/>
        </w:rPr>
        <w:t>” shall mean, for any day, Alternate Currency SOFR, with the conventions for this rate (which may include a lookback) being established by the Administrative Agent in accordance with the conventions for this rate selected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00"/>
          </w:cols>
          <w:pgMar w:left="360" w:top="1440" w:right="439" w:bottom="1440" w:gutter="0" w:footer="0" w:header="0"/>
        </w:sectPr>
      </w:pPr>
    </w:p>
    <w:bookmarkStart w:id="172" w:name="page173"/>
    <w:bookmarkEnd w:id="172"/>
    <w:p>
      <w:pPr>
        <w:spacing w:after="0" w:line="357" w:lineRule="exact"/>
        <w:rPr>
          <w:sz w:val="20"/>
          <w:szCs w:val="20"/>
          <w:color w:val="auto"/>
        </w:rPr>
      </w:pPr>
    </w:p>
    <w:p>
      <w:pPr>
        <w:ind w:left="40" w:right="100"/>
        <w:spacing w:after="0" w:line="236" w:lineRule="auto"/>
        <w:rPr>
          <w:sz w:val="20"/>
          <w:szCs w:val="20"/>
          <w:color w:val="auto"/>
        </w:rPr>
      </w:pPr>
      <w:r>
        <w:rPr>
          <w:rFonts w:ascii="Arial" w:cs="Arial" w:eastAsia="Arial" w:hAnsi="Arial"/>
          <w:sz w:val="18"/>
          <w:szCs w:val="18"/>
          <w:color w:val="auto"/>
        </w:rPr>
        <w:t xml:space="preserve">recommended by the Relevant Governmental Body for determining “Alternate Currency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decides that any such convention is not administratively feasible for the Administrative</w:t>
      </w:r>
    </w:p>
    <w:p>
      <w:pPr>
        <w:ind w:left="40"/>
        <w:spacing w:after="0"/>
        <w:rPr>
          <w:sz w:val="20"/>
          <w:szCs w:val="20"/>
          <w:color w:val="auto"/>
        </w:rPr>
      </w:pPr>
      <w:r>
        <w:rPr>
          <w:rFonts w:ascii="Arial" w:cs="Arial" w:eastAsia="Arial" w:hAnsi="Arial"/>
          <w:sz w:val="20"/>
          <w:szCs w:val="20"/>
          <w:color w:val="auto"/>
        </w:rPr>
        <w:t>Agent, then the Administrative Agent may establish another convention in its reasonable discretion.</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Early Opt-in Election</w:t>
      </w:r>
      <w:r>
        <w:rPr>
          <w:rFonts w:ascii="Arial" w:cs="Arial" w:eastAsia="Arial" w:hAnsi="Arial"/>
          <w:sz w:val="20"/>
          <w:szCs w:val="20"/>
          <w:color w:val="auto"/>
        </w:rPr>
        <w:t>” shall mean the occurrence of:</w:t>
      </w:r>
    </w:p>
    <w:p>
      <w:pPr>
        <w:spacing w:after="0" w:line="175" w:lineRule="exact"/>
        <w:rPr>
          <w:sz w:val="20"/>
          <w:szCs w:val="20"/>
          <w:color w:val="auto"/>
        </w:rPr>
      </w:pPr>
    </w:p>
    <w:p>
      <w:pPr>
        <w:jc w:val="both"/>
        <w:ind w:left="1060" w:right="100" w:hanging="314"/>
        <w:spacing w:after="0" w:line="218" w:lineRule="auto"/>
        <w:tabs>
          <w:tab w:leader="none" w:pos="10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(i) a determination by the Administrative Agent or (ii) a notification by the Required Lenders to the Administrative Agent (with a copy to the Borrower) that the Required Lenders have determined that syndicated credit facilities denominated in the applicable Alternate Currency being executed at such time, or that include language similar to that contained in Section 2.14, are being executed or amended, as applicable, to incorporate or adopt a new benchmark interest rate to replace the applicable Eurocurrency Rate or Daily Simple RFR, and</w:t>
      </w:r>
    </w:p>
    <w:p>
      <w:pPr>
        <w:spacing w:after="0" w:line="170" w:lineRule="exact"/>
        <w:rPr>
          <w:rFonts w:ascii="Arial" w:cs="Arial" w:eastAsia="Arial" w:hAnsi="Arial"/>
          <w:sz w:val="20"/>
          <w:szCs w:val="20"/>
          <w:color w:val="auto"/>
        </w:rPr>
      </w:pPr>
    </w:p>
    <w:p>
      <w:pPr>
        <w:jc w:val="both"/>
        <w:ind w:left="1060" w:right="100" w:hanging="314"/>
        <w:spacing w:after="0" w:line="220" w:lineRule="auto"/>
        <w:tabs>
          <w:tab w:leader="none" w:pos="10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(i) the election by the Administrative Agent or (ii) the election by the Required Lenders to declare that an Alternate Currency Early Opt-in Election has occurred and the provision, as applicable, by the Administrative Agent of written notice of such election to Holdings and the Lenders or by the Required Lenders of written notice of such election to the Administrative Agent and Holdings.</w:t>
      </w:r>
    </w:p>
    <w:p>
      <w:pPr>
        <w:spacing w:after="0" w:line="156" w:lineRule="exact"/>
        <w:rPr>
          <w:sz w:val="20"/>
          <w:szCs w:val="20"/>
          <w:color w:val="auto"/>
        </w:rPr>
      </w:pPr>
    </w:p>
    <w:p>
      <w:pPr>
        <w:jc w:val="both"/>
        <w:ind w:right="100" w:firstLine="252"/>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Currency Equivalent</w:t>
      </w:r>
      <w:r>
        <w:rPr>
          <w:rFonts w:ascii="Arial" w:cs="Arial" w:eastAsia="Arial" w:hAnsi="Arial"/>
          <w:sz w:val="18"/>
          <w:szCs w:val="18"/>
          <w:color w:val="auto"/>
        </w:rPr>
        <w:t>” shall mean, at any time, with respect to any amount denominated in Dollars, the Equivalent Amount thereof in the applicable Alternate Currency as determined by the Administrative Agent or the applicable Issuing Bank, as the case may be,</w:t>
      </w:r>
    </w:p>
    <w:p>
      <w:pPr>
        <w:ind w:right="120"/>
        <w:spacing w:after="0" w:line="220" w:lineRule="auto"/>
        <w:rPr>
          <w:sz w:val="20"/>
          <w:szCs w:val="20"/>
          <w:color w:val="auto"/>
        </w:rPr>
      </w:pPr>
      <w:r>
        <w:rPr>
          <w:rFonts w:ascii="Arial" w:cs="Arial" w:eastAsia="Arial" w:hAnsi="Arial"/>
          <w:sz w:val="20"/>
          <w:szCs w:val="20"/>
          <w:color w:val="auto"/>
        </w:rPr>
        <w:t>at such time on the basis of the spot rate (determined in respect of the most recent Computation Date) for the purchase of such Alternate Currency with Dollars.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Currency SOFR</w:t>
      </w:r>
      <w:r>
        <w:rPr>
          <w:rFonts w:ascii="Arial" w:cs="Arial" w:eastAsia="Arial" w:hAnsi="Arial"/>
          <w:sz w:val="19"/>
          <w:szCs w:val="19"/>
          <w:color w:val="auto"/>
        </w:rPr>
        <w:t>” with respect to any day means the secured overnight financing rate published for such day by the</w:t>
      </w:r>
    </w:p>
    <w:p>
      <w:pPr>
        <w:ind w:left="40" w:right="120"/>
        <w:spacing w:after="0" w:line="220" w:lineRule="auto"/>
        <w:rPr>
          <w:sz w:val="20"/>
          <w:szCs w:val="20"/>
          <w:color w:val="auto"/>
        </w:rPr>
      </w:pPr>
      <w:r>
        <w:rPr>
          <w:rFonts w:ascii="Arial" w:cs="Arial" w:eastAsia="Arial" w:hAnsi="Arial"/>
          <w:sz w:val="20"/>
          <w:szCs w:val="20"/>
          <w:color w:val="auto"/>
        </w:rPr>
        <w:t>Federal Reserve Bank of New York, as the administrator of the benchmark, (or a successor administrator) on the Federal Reserve Bank of New York’s Website.</w:t>
      </w:r>
    </w:p>
    <w:p>
      <w:pPr>
        <w:spacing w:after="0" w:line="170" w:lineRule="exact"/>
        <w:rPr>
          <w:sz w:val="20"/>
          <w:szCs w:val="20"/>
          <w:color w:val="auto"/>
        </w:rPr>
      </w:pPr>
    </w:p>
    <w:p>
      <w:pPr>
        <w:ind w:left="40" w:right="100" w:firstLine="647"/>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SOFR-Based Rate</w:t>
      </w:r>
      <w:r>
        <w:rPr>
          <w:rFonts w:ascii="Arial" w:cs="Arial" w:eastAsia="Arial" w:hAnsi="Arial"/>
          <w:sz w:val="20"/>
          <w:szCs w:val="20"/>
          <w:color w:val="auto"/>
        </w:rPr>
        <w:t>” shall mean Alternate Currency SOFR, Alternate Currency Daily Simple SOFR, Alternate Currency Compounded SOFR or Alternate Currency Term SOFR.</w:t>
      </w:r>
    </w:p>
    <w:p>
      <w:pPr>
        <w:spacing w:after="0" w:line="155" w:lineRule="exact"/>
        <w:rPr>
          <w:sz w:val="20"/>
          <w:szCs w:val="20"/>
          <w:color w:val="auto"/>
        </w:rPr>
      </w:pPr>
    </w:p>
    <w:p>
      <w:pPr>
        <w:ind w:left="40" w:right="120" w:firstLine="647"/>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Term SOFR</w:t>
      </w:r>
      <w:r>
        <w:rPr>
          <w:rFonts w:ascii="Arial" w:cs="Arial" w:eastAsia="Arial" w:hAnsi="Arial"/>
          <w:sz w:val="20"/>
          <w:szCs w:val="20"/>
          <w:color w:val="auto"/>
        </w:rPr>
        <w:t>” shall mean the forward-looking term rate based on Alternate Currency SOFR that has been selected or recommended by the Relevant Governmental Body.</w:t>
      </w:r>
    </w:p>
    <w:p>
      <w:pPr>
        <w:spacing w:after="0" w:line="169"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Alternate Currency Unadjusted Benchmark Replacement</w:t>
      </w:r>
      <w:r>
        <w:rPr>
          <w:rFonts w:ascii="Arial" w:cs="Arial" w:eastAsia="Arial" w:hAnsi="Arial"/>
          <w:sz w:val="20"/>
          <w:szCs w:val="20"/>
          <w:color w:val="auto"/>
        </w:rPr>
        <w:t>” shall mean the Alternate Currency Benchmark Replacement excluding the Alternate Currency Benchmark Replacement Adjustment.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Incremental Facility Indebtedness</w:t>
      </w:r>
      <w:r>
        <w:rPr>
          <w:rFonts w:ascii="Arial" w:cs="Arial" w:eastAsia="Arial" w:hAnsi="Arial"/>
          <w:sz w:val="18"/>
          <w:szCs w:val="18"/>
          <w:color w:val="auto"/>
        </w:rPr>
        <w:t>” means any Indebtedness incurred after the Closing Date by any Loan Party (and may in any case be co-borrowed or co-issued by any other Loan Party on a joint and several basis) in the form of one or more series of senior</w:t>
      </w:r>
    </w:p>
    <w:p>
      <w:pPr>
        <w:ind w:right="20"/>
        <w:spacing w:after="0" w:line="255" w:lineRule="auto"/>
        <w:rPr>
          <w:sz w:val="20"/>
          <w:szCs w:val="20"/>
          <w:color w:val="auto"/>
        </w:rPr>
      </w:pPr>
      <w:r>
        <w:rPr>
          <w:rFonts w:ascii="Arial" w:cs="Arial" w:eastAsia="Arial" w:hAnsi="Arial"/>
          <w:sz w:val="16"/>
          <w:szCs w:val="16"/>
          <w:color w:val="auto"/>
        </w:rPr>
        <w:t xml:space="preserve">secured notes or loans or unsecured notes or loans that are issued or made in lieu of the Incremental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Indebtedness is secured, such Indebtedness is secured by all or a portion of the Collateral on a pari passu or junior basis with the Obligations</w:t>
      </w:r>
    </w:p>
    <w:p>
      <w:pPr>
        <w:spacing w:after="0" w:line="235" w:lineRule="auto"/>
        <w:rPr>
          <w:sz w:val="20"/>
          <w:szCs w:val="20"/>
          <w:color w:val="auto"/>
        </w:rPr>
      </w:pPr>
      <w:r>
        <w:rPr>
          <w:rFonts w:ascii="Arial" w:cs="Arial" w:eastAsia="Arial" w:hAnsi="Arial"/>
          <w:sz w:val="18"/>
          <w:szCs w:val="18"/>
          <w:color w:val="auto"/>
        </w:rPr>
        <w:t>and is not secured by any property or assets of Holdings or any Restricted Subsidiary other than the Collateral, (ii) such Indebtedness does</w:t>
      </w:r>
    </w:p>
    <w:p>
      <w:pPr>
        <w:spacing w:after="0" w:line="250" w:lineRule="auto"/>
        <w:rPr>
          <w:sz w:val="20"/>
          <w:szCs w:val="20"/>
          <w:color w:val="auto"/>
        </w:rPr>
      </w:pPr>
      <w:r>
        <w:rPr>
          <w:rFonts w:ascii="Arial" w:cs="Arial" w:eastAsia="Arial" w:hAnsi="Arial"/>
          <w:sz w:val="18"/>
          <w:szCs w:val="18"/>
          <w:color w:val="auto"/>
        </w:rPr>
        <w:t xml:space="preserve">not mature prior to the Latest Maturity Date at the time such Indebtedness is incurred or have a Weighted Average Life to Maturity that is shorter than the remaining Weighted Average Life to Maturity of the Term Loans maturing on the Latest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clause (ii) shall not apply to (x) Term A Facilities and (y) customary “bridge loan” facilities with a tenor of no longer than one year (provided that such facilities automatically convert or exchange into long-term debt otherwise meeting the requirements of this clause (ii)),</w:t>
      </w:r>
    </w:p>
    <w:p>
      <w:pPr>
        <w:jc w:val="both"/>
        <w:ind w:firstLine="8"/>
        <w:spacing w:after="0" w:line="258" w:lineRule="auto"/>
        <w:tabs>
          <w:tab w:leader="none" w:pos="3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such Indebtedness is not guaranteed by any of Holdings’ Restricted Subsidiaries other than the Loan Parties, (iv) if such Indebtedness is secured, a Designated Representative acting on behalf of the holders of such Indebtedness shall have become party to or otherwise subject to the provisions of a First Lien Intercreditor Agreement or a First-Second Lien Intercreditor Agreement,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such intercreditor agreement is then in effect, then Holdings, the Borrowers, the Subsidiary Guarantors, the Administrative Agent, the Collateral Agent and the Designated Representative for such Indebtedness shall have executed and delivered a First Lien Intercreditor Agreement or a First-Second Lien Intercreditor Agreement, as applicable, (v) such Indebtedness shall contain covenants and events of default that are either</w:t>
      </w:r>
    </w:p>
    <w:p>
      <w:pPr>
        <w:spacing w:after="0" w:line="1" w:lineRule="exact"/>
        <w:rPr>
          <w:rFonts w:ascii="Arial" w:cs="Arial" w:eastAsia="Arial" w:hAnsi="Arial"/>
          <w:sz w:val="16"/>
          <w:szCs w:val="16"/>
          <w:color w:val="auto"/>
        </w:rPr>
      </w:pPr>
    </w:p>
    <w:p>
      <w:pPr>
        <w:jc w:val="both"/>
        <w:ind w:firstLine="8"/>
        <w:spacing w:after="0" w:line="232" w:lineRule="auto"/>
        <w:tabs>
          <w:tab w:leader="none" w:pos="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in the form of Term A Facilities or Revolving Commitments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(vi) to the extent such Alternative Incremental Facility Indebtedness is incurred prior to the date that is 24 months after the Closing Date and is comprised of term loans funded in Dollars that are secured pari passu with the Obligations, the provisions set forth in Section 2.20(b)(A)(iv) shall apply as if such Alternative Incremental Facility Indebtedness had been incurred as Incremental Term Loans under Section 2.20 and (vii) such Alternative Incremental Facility Indebtedness may participate on a pro rata basis or a less than pro rata basis (but not a greater than pro rata basis) than the Initial Term Loans in mandatory prepayments pursuant to Sections 2.11(c)(i) and (c)(iii) under this Agreement (or offers to purchase in circumstances similar to those described in Section 2.11(c)(i) and (c)(iii);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terms and conditions applicable to such Indebtedness may provide for any additional or different covenants or events of default that are applicable only during periods after the Latest Maturity Date that is in effect on the date such Indebtedness is issued, incurred or obtained, include Permitted Conversion Provisions and require the repurchase or repayment upon a change of control, fundamental change, delisting or similar events. Alternative Incremental Facility Indebtedness will include any Registered Equivalent Notes issued in exchange therefor.</w:t>
      </w:r>
    </w:p>
    <w:p>
      <w:pPr>
        <w:spacing w:after="0" w:line="144"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Holdings or its Subsidiaries from time to time concerning or relating to bribery or corruption.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Borrower</w:t>
      </w:r>
      <w:r>
        <w:rPr>
          <w:rFonts w:ascii="Arial" w:cs="Arial" w:eastAsia="Arial" w:hAnsi="Arial"/>
          <w:sz w:val="18"/>
          <w:szCs w:val="18"/>
          <w:color w:val="auto"/>
        </w:rPr>
        <w:t>” means, (a) with respect to the Lux Term Loans, the Lux Borrower and the Lux U.S. Subsidiary Borrower, (b)</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respect to the U.S. Term Loans, the U.S. Borrower, (c) with respect to any Revolving Loan, the Revolving Borrower to which such Revolving Loan was made, (d) with respect to any Swingline Loan, the Revolving Borrower to which such Swingline Loan was made, and</w:t>
      </w:r>
    </w:p>
    <w:p>
      <w:pPr>
        <w:spacing w:after="0" w:line="2" w:lineRule="exact"/>
        <w:rPr>
          <w:sz w:val="20"/>
          <w:szCs w:val="20"/>
          <w:color w:val="auto"/>
        </w:rPr>
      </w:pPr>
    </w:p>
    <w:p>
      <w:pPr>
        <w:ind w:left="660" w:right="940" w:hanging="652"/>
        <w:spacing w:after="0" w:line="407" w:lineRule="auto"/>
        <w:tabs>
          <w:tab w:leader="none" w:pos="281" w:val="left"/>
        </w:tabs>
        <w:numPr>
          <w:ilvl w:val="0"/>
          <w:numId w:val="88"/>
        </w:numPr>
        <w:rPr>
          <w:rFonts w:ascii="Arial" w:cs="Arial" w:eastAsia="Arial" w:hAnsi="Arial"/>
          <w:sz w:val="20"/>
          <w:szCs w:val="20"/>
          <w:color w:val="auto"/>
        </w:rPr>
      </w:pPr>
      <w:r>
        <w:rPr>
          <w:rFonts w:ascii="Arial" w:cs="Arial" w:eastAsia="Arial" w:hAnsi="Arial"/>
          <w:sz w:val="20"/>
          <w:szCs w:val="20"/>
          <w:color w:val="auto"/>
        </w:rPr>
        <w:t>with respect to any Incremental Loan or any Other Refinancing Loan, the Borrower or Borrowers to which such Loan is made. “</w:t>
      </w:r>
      <w:r>
        <w:rPr>
          <w:rFonts w:ascii="Arial" w:cs="Arial" w:eastAsia="Arial" w:hAnsi="Arial"/>
          <w:sz w:val="20"/>
          <w:szCs w:val="20"/>
          <w:u w:val="single" w:color="auto"/>
          <w:color w:val="auto"/>
        </w:rPr>
        <w:t>Applicable Lender</w:t>
      </w:r>
      <w:r>
        <w:rPr>
          <w:rFonts w:ascii="Arial" w:cs="Arial" w:eastAsia="Arial" w:hAnsi="Arial"/>
          <w:sz w:val="20"/>
          <w:szCs w:val="20"/>
          <w:color w:val="auto"/>
        </w:rPr>
        <w:t>” has the meaning assigned to such term in Section 2.06(d).</w:t>
      </w:r>
    </w:p>
    <w:p>
      <w:pPr>
        <w:ind w:left="66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 for any day,</w:t>
      </w:r>
    </w:p>
    <w:p>
      <w:pPr>
        <w:spacing w:after="0" w:line="161" w:lineRule="exact"/>
        <w:rPr>
          <w:rFonts w:ascii="Arial" w:cs="Arial" w:eastAsia="Arial" w:hAnsi="Arial"/>
          <w:sz w:val="20"/>
          <w:szCs w:val="20"/>
          <w:color w:val="auto"/>
        </w:rPr>
      </w:pPr>
    </w:p>
    <w:p>
      <w:pPr>
        <w:jc w:val="both"/>
        <w:ind w:firstLine="656"/>
        <w:spacing w:after="0" w:line="223" w:lineRule="auto"/>
        <w:tabs>
          <w:tab w:leader="none" w:pos="932"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with respect to the Initial Term Loans, (x) from the Closing Date until the first Business Day following delivery of the Compliance Certificate for the first fiscal quarter ending after the Closing Date pursuant to Section 5.01(c), (a) for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USD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Term SOFR</w:t>
      </w:r>
      <w:r>
        <w:rPr>
          <w:rFonts w:ascii="Arial" w:cs="Arial" w:eastAsia="Arial" w:hAnsi="Arial"/>
          <w:sz w:val="20"/>
          <w:szCs w:val="20"/>
          <w:color w:val="0000FF"/>
        </w:rPr>
        <w:t xml:space="preserve"> </w:t>
      </w:r>
      <w:r>
        <w:rPr>
          <w:rFonts w:ascii="Arial" w:cs="Arial" w:eastAsia="Arial" w:hAnsi="Arial"/>
          <w:sz w:val="20"/>
          <w:szCs w:val="20"/>
          <w:color w:val="000000"/>
        </w:rPr>
        <w:t>Initial Term</w:t>
      </w:r>
      <w:r>
        <w:rPr>
          <w:rFonts w:ascii="Arial" w:cs="Arial" w:eastAsia="Arial" w:hAnsi="Arial"/>
          <w:sz w:val="20"/>
          <w:szCs w:val="20"/>
          <w:color w:val="0000FF"/>
        </w:rPr>
        <w:t xml:space="preserve"> </w:t>
      </w:r>
      <w:r>
        <w:rPr>
          <w:rFonts w:ascii="Arial" w:cs="Arial" w:eastAsia="Arial" w:hAnsi="Arial"/>
          <w:sz w:val="20"/>
          <w:szCs w:val="20"/>
          <w:color w:val="FF0000"/>
          <w:strike w:val="1"/>
        </w:rPr>
        <w:t>Loan</w:t>
      </w:r>
      <w:r>
        <w:rPr>
          <w:rFonts w:ascii="Arial" w:cs="Arial" w:eastAsia="Arial" w:hAnsi="Arial"/>
          <w:sz w:val="20"/>
          <w:szCs w:val="20"/>
          <w:u w:val="single" w:color="auto"/>
          <w:color w:val="0000FF"/>
        </w:rPr>
        <w:t>Loans</w:t>
      </w:r>
      <w:r>
        <w:rPr>
          <w:rFonts w:ascii="Arial" w:cs="Arial" w:eastAsia="Arial" w:hAnsi="Arial"/>
          <w:sz w:val="20"/>
          <w:szCs w:val="20"/>
          <w:color w:val="000000"/>
        </w:rPr>
        <w:t>, 2.50% per annum and (b) for any ABR Initial Term Loan, 1.50%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annum and (y) thereafter, the following percentages per annum, based upon the First Lien Net Leverage Ratio as specified in the most recent</w:t>
      </w:r>
    </w:p>
    <w:p>
      <w:pPr>
        <w:spacing w:after="0"/>
        <w:rPr>
          <w:sz w:val="20"/>
          <w:szCs w:val="20"/>
          <w:color w:val="auto"/>
        </w:rPr>
      </w:pPr>
      <w:r>
        <w:rPr>
          <w:rFonts w:ascii="Arial" w:cs="Arial" w:eastAsia="Arial" w:hAnsi="Arial"/>
          <w:sz w:val="20"/>
          <w:szCs w:val="20"/>
          <w:color w:val="auto"/>
        </w:rPr>
        <w:t>Compliance Certificate received by the Administrative Agent pursuant to Section 5.01(c):</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20" w:type="dxa"/>
            <w:vAlign w:val="bottom"/>
            <w:tcBorders>
              <w:top w:val="single" w:sz="8" w:color="auto"/>
              <w:left w:val="single" w:sz="8" w:color="auto"/>
              <w:bottom w:val="single" w:sz="8" w:color="auto"/>
              <w:right w:val="single" w:sz="8" w:color="auto"/>
            </w:tcBorders>
            <w:gridSpan w:val="3"/>
          </w:tcPr>
          <w:p>
            <w:pPr>
              <w:jc w:val="center"/>
              <w:spacing w:after="0" w:line="216" w:lineRule="exact"/>
              <w:rPr>
                <w:sz w:val="20"/>
                <w:szCs w:val="20"/>
                <w:color w:val="auto"/>
              </w:rPr>
            </w:pPr>
            <w:r>
              <w:rPr>
                <w:rFonts w:ascii="Arial" w:cs="Arial" w:eastAsia="Arial" w:hAnsi="Arial"/>
                <w:sz w:val="20"/>
                <w:szCs w:val="20"/>
                <w:color w:val="auto"/>
                <w:w w:val="91"/>
              </w:rPr>
              <w:t>First Lien Net Leverage Ratio</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FF0000"/>
            </w:tcBorders>
          </w:tcPr>
          <w:p>
            <w:pPr>
              <w:spacing w:after="0" w:line="203" w:lineRule="exact"/>
              <w:rPr>
                <w:sz w:val="20"/>
                <w:szCs w:val="20"/>
                <w:color w:val="auto"/>
              </w:rPr>
            </w:pPr>
            <w:r>
              <w:rPr>
                <w:rFonts w:ascii="Arial" w:cs="Arial" w:eastAsia="Arial" w:hAnsi="Arial"/>
                <w:sz w:val="20"/>
                <w:szCs w:val="20"/>
                <w:color w:val="FF0000"/>
                <w:strike w:val="1"/>
                <w:w w:val="89"/>
              </w:rPr>
              <w:t>Eurocurrency</w:t>
            </w:r>
          </w:p>
        </w:tc>
        <w:tc>
          <w:tcPr>
            <w:tcW w:w="1400" w:type="dxa"/>
            <w:vAlign w:val="bottom"/>
            <w:tcBorders>
              <w:top w:val="single" w:sz="8" w:color="auto"/>
              <w:bottom w:val="single" w:sz="8" w:color="0000FF"/>
            </w:tcBorders>
          </w:tcPr>
          <w:p>
            <w:pPr>
              <w:jc w:val="right"/>
              <w:spacing w:after="0" w:line="203" w:lineRule="exact"/>
              <w:rPr>
                <w:sz w:val="20"/>
                <w:szCs w:val="20"/>
                <w:color w:val="auto"/>
              </w:rPr>
            </w:pPr>
            <w:r>
              <w:rPr>
                <w:rFonts w:ascii="Arial" w:cs="Arial" w:eastAsia="Arial" w:hAnsi="Arial"/>
                <w:sz w:val="20"/>
                <w:szCs w:val="20"/>
                <w:color w:val="0000FF"/>
                <w:w w:val="88"/>
              </w:rPr>
              <w:t>USD Term SOFR</w:t>
            </w:r>
          </w:p>
        </w:tc>
        <w:tc>
          <w:tcPr>
            <w:tcW w:w="1520" w:type="dxa"/>
            <w:vAlign w:val="bottom"/>
            <w:tcBorders>
              <w:top w:val="single" w:sz="8" w:color="auto"/>
              <w:bottom w:val="single" w:sz="8" w:color="auto"/>
            </w:tcBorders>
          </w:tcPr>
          <w:p>
            <w:pPr>
              <w:ind w:left="60"/>
              <w:spacing w:after="0" w:line="203" w:lineRule="exact"/>
              <w:rPr>
                <w:sz w:val="20"/>
                <w:szCs w:val="20"/>
                <w:color w:val="auto"/>
              </w:rPr>
            </w:pPr>
            <w:r>
              <w:rPr>
                <w:rFonts w:ascii="Arial" w:cs="Arial" w:eastAsia="Arial" w:hAnsi="Arial"/>
                <w:sz w:val="20"/>
                <w:szCs w:val="20"/>
                <w:color w:val="auto"/>
                <w:w w:val="90"/>
              </w:rPr>
              <w:t>Initial Term Loans</w:t>
            </w: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4220" w:type="dxa"/>
            <w:vAlign w:val="bottom"/>
            <w:tcBorders>
              <w:top w:val="single" w:sz="8" w:color="auto"/>
              <w:bottom w:val="single" w:sz="8" w:color="auto"/>
              <w:right w:val="single" w:sz="8" w:color="auto"/>
            </w:tcBorders>
            <w:gridSpan w:val="3"/>
          </w:tcPr>
          <w:p>
            <w:pPr>
              <w:jc w:val="center"/>
              <w:ind w:right="20"/>
              <w:spacing w:after="0" w:line="216" w:lineRule="exact"/>
              <w:rPr>
                <w:sz w:val="20"/>
                <w:szCs w:val="20"/>
                <w:color w:val="auto"/>
              </w:rPr>
            </w:pPr>
            <w:r>
              <w:rPr>
                <w:rFonts w:ascii="Arial" w:cs="Arial" w:eastAsia="Arial" w:hAnsi="Arial"/>
                <w:sz w:val="20"/>
                <w:szCs w:val="20"/>
                <w:color w:val="auto"/>
                <w:w w:val="93"/>
              </w:rPr>
              <w:t>ABR Initial Term Loans</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r>
      <w:tr>
        <w:trPr>
          <w:trHeight w:val="183"/>
        </w:trPr>
        <w:tc>
          <w:tcPr>
            <w:tcW w:w="220" w:type="dxa"/>
            <w:vAlign w:val="bottom"/>
            <w:tcBorders>
              <w:left w:val="single" w:sz="8" w:color="auto"/>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r>
      <w:tr>
        <w:trPr>
          <w:trHeight w:val="268"/>
        </w:trPr>
        <w:tc>
          <w:tcPr>
            <w:tcW w:w="220" w:type="dxa"/>
            <w:vAlign w:val="bottom"/>
            <w:tcBorders>
              <w:left w:val="single" w:sz="8" w:color="auto"/>
            </w:tcBorders>
          </w:tcPr>
          <w:p>
            <w:pPr>
              <w:spacing w:after="0"/>
              <w:rPr>
                <w:sz w:val="23"/>
                <w:szCs w:val="23"/>
                <w:color w:val="auto"/>
              </w:rPr>
            </w:pPr>
          </w:p>
        </w:tc>
        <w:tc>
          <w:tcPr>
            <w:tcW w:w="26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20"/>
                <w:szCs w:val="20"/>
                <w:color w:val="auto"/>
                <w:w w:val="89"/>
              </w:rPr>
              <w:t>&gt; 4.00 to 1.00</w:t>
            </w:r>
          </w:p>
        </w:tc>
        <w:tc>
          <w:tcPr>
            <w:tcW w:w="2580" w:type="dxa"/>
            <w:vAlign w:val="bottom"/>
            <w:gridSpan w:val="3"/>
          </w:tcPr>
          <w:p>
            <w:pPr>
              <w:jc w:val="right"/>
              <w:ind w:right="121"/>
              <w:spacing w:after="0"/>
              <w:rPr>
                <w:sz w:val="20"/>
                <w:szCs w:val="20"/>
                <w:color w:val="auto"/>
              </w:rPr>
            </w:pPr>
            <w:r>
              <w:rPr>
                <w:rFonts w:ascii="Arial" w:cs="Arial" w:eastAsia="Arial" w:hAnsi="Arial"/>
                <w:sz w:val="20"/>
                <w:szCs w:val="20"/>
                <w:color w:val="auto"/>
              </w:rPr>
              <w:t>2.50%</w:t>
            </w:r>
          </w:p>
        </w:tc>
        <w:tc>
          <w:tcPr>
            <w:tcW w:w="15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306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1.50%</w:t>
            </w:r>
          </w:p>
        </w:tc>
        <w:tc>
          <w:tcPr>
            <w:tcW w:w="1160" w:type="dxa"/>
            <w:vAlign w:val="bottom"/>
            <w:tcBorders>
              <w:right w:val="single" w:sz="8" w:color="auto"/>
            </w:tcBorders>
          </w:tcPr>
          <w:p>
            <w:pPr>
              <w:spacing w:after="0"/>
              <w:rPr>
                <w:sz w:val="23"/>
                <w:szCs w:val="23"/>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68"/>
        </w:trPr>
        <w:tc>
          <w:tcPr>
            <w:tcW w:w="220" w:type="dxa"/>
            <w:vAlign w:val="bottom"/>
            <w:tcBorders>
              <w:left w:val="single" w:sz="8" w:color="auto"/>
            </w:tcBorders>
          </w:tcPr>
          <w:p>
            <w:pPr>
              <w:spacing w:after="0"/>
              <w:rPr>
                <w:sz w:val="23"/>
                <w:szCs w:val="23"/>
                <w:color w:val="auto"/>
              </w:rPr>
            </w:pPr>
          </w:p>
        </w:tc>
        <w:tc>
          <w:tcPr>
            <w:tcW w:w="26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20"/>
                <w:szCs w:val="20"/>
                <w:color w:val="auto"/>
                <w:w w:val="89"/>
              </w:rPr>
              <w:t>≤ 4.00 to 1.00</w:t>
            </w:r>
          </w:p>
        </w:tc>
        <w:tc>
          <w:tcPr>
            <w:tcW w:w="2580" w:type="dxa"/>
            <w:vAlign w:val="bottom"/>
            <w:gridSpan w:val="3"/>
          </w:tcPr>
          <w:p>
            <w:pPr>
              <w:jc w:val="right"/>
              <w:ind w:right="121"/>
              <w:spacing w:after="0"/>
              <w:rPr>
                <w:sz w:val="20"/>
                <w:szCs w:val="20"/>
                <w:color w:val="auto"/>
              </w:rPr>
            </w:pPr>
            <w:r>
              <w:rPr>
                <w:rFonts w:ascii="Arial" w:cs="Arial" w:eastAsia="Arial" w:hAnsi="Arial"/>
                <w:sz w:val="20"/>
                <w:szCs w:val="20"/>
                <w:color w:val="auto"/>
              </w:rPr>
              <w:t>2.25%</w:t>
            </w:r>
          </w:p>
        </w:tc>
        <w:tc>
          <w:tcPr>
            <w:tcW w:w="15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3060" w:type="dxa"/>
            <w:vAlign w:val="bottom"/>
            <w:gridSpan w:val="2"/>
          </w:tcPr>
          <w:p>
            <w:pPr>
              <w:jc w:val="center"/>
              <w:ind w:left="1041"/>
              <w:spacing w:after="0"/>
              <w:rPr>
                <w:sz w:val="20"/>
                <w:szCs w:val="20"/>
                <w:color w:val="auto"/>
              </w:rPr>
            </w:pPr>
            <w:r>
              <w:rPr>
                <w:rFonts w:ascii="Arial" w:cs="Arial" w:eastAsia="Arial" w:hAnsi="Arial"/>
                <w:sz w:val="20"/>
                <w:szCs w:val="20"/>
                <w:color w:val="auto"/>
                <w:w w:val="91"/>
              </w:rPr>
              <w:t>1.25%</w:t>
            </w:r>
          </w:p>
        </w:tc>
        <w:tc>
          <w:tcPr>
            <w:tcW w:w="1160" w:type="dxa"/>
            <w:vAlign w:val="bottom"/>
            <w:tcBorders>
              <w:right w:val="single" w:sz="8" w:color="auto"/>
            </w:tcBorders>
          </w:tcPr>
          <w:p>
            <w:pPr>
              <w:spacing w:after="0"/>
              <w:rPr>
                <w:sz w:val="23"/>
                <w:szCs w:val="23"/>
                <w:color w:val="auto"/>
              </w:rPr>
            </w:pPr>
          </w:p>
        </w:tc>
      </w:tr>
      <w:tr>
        <w:trPr>
          <w:trHeight w:val="23"/>
        </w:trPr>
        <w:tc>
          <w:tcPr>
            <w:tcW w:w="220" w:type="dxa"/>
            <w:vAlign w:val="bottom"/>
            <w:tcBorders>
              <w:left w:val="single" w:sz="8" w:color="auto"/>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96" w:lineRule="exact"/>
        <w:rPr>
          <w:sz w:val="20"/>
          <w:szCs w:val="20"/>
          <w:color w:val="auto"/>
        </w:rPr>
      </w:pPr>
    </w:p>
    <w:p>
      <w:pPr>
        <w:jc w:val="both"/>
        <w:ind w:right="20" w:firstLine="656"/>
        <w:spacing w:after="0" w:line="223" w:lineRule="auto"/>
        <w:tabs>
          <w:tab w:leader="none" w:pos="947" w:val="left"/>
        </w:tabs>
        <w:numPr>
          <w:ilvl w:val="0"/>
          <w:numId w:val="89"/>
        </w:numPr>
        <w:rPr>
          <w:rFonts w:ascii="Arial" w:cs="Arial" w:eastAsia="Arial" w:hAnsi="Arial"/>
          <w:sz w:val="20"/>
          <w:szCs w:val="20"/>
          <w:color w:val="auto"/>
        </w:rPr>
      </w:pPr>
      <w:r>
        <w:rPr>
          <w:rFonts w:ascii="Arial" w:cs="Arial" w:eastAsia="Arial" w:hAnsi="Arial"/>
          <w:sz w:val="20"/>
          <w:szCs w:val="20"/>
          <w:color w:val="auto"/>
        </w:rPr>
        <w:t>with respect to (a) any Eurocurrency Initial Revolving Loan</w:t>
      </w:r>
      <w:r>
        <w:rPr>
          <w:rFonts w:ascii="Arial" w:cs="Arial" w:eastAsia="Arial" w:hAnsi="Arial"/>
          <w:sz w:val="20"/>
          <w:szCs w:val="20"/>
          <w:u w:val="single" w:color="auto"/>
          <w:color w:val="0000FF"/>
        </w:rPr>
        <w:t>, USD Term SOFR Initial Revolving Loan</w:t>
      </w:r>
      <w:r>
        <w:rPr>
          <w:rFonts w:ascii="Arial" w:cs="Arial" w:eastAsia="Arial" w:hAnsi="Arial"/>
          <w:sz w:val="20"/>
          <w:szCs w:val="20"/>
          <w:color w:val="auto"/>
        </w:rPr>
        <w:t xml:space="preserve"> or RFR Initial Revolving Loan and (b) any ABR Initial Revolving Loan, the following percentages per annum based on the current corporate family rating assigned by S&amp;P to Holdings: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40" w:type="dxa"/>
            <w:vAlign w:val="bottom"/>
            <w:tcBorders>
              <w:top w:val="single" w:sz="8" w:color="auto"/>
              <w:left w:val="single" w:sz="8" w:color="auto"/>
            </w:tcBorders>
          </w:tcPr>
          <w:p>
            <w:pPr>
              <w:spacing w:after="0"/>
              <w:rPr>
                <w:sz w:val="18"/>
                <w:szCs w:val="18"/>
                <w:color w:val="auto"/>
              </w:rPr>
            </w:pPr>
          </w:p>
        </w:tc>
        <w:tc>
          <w:tcPr>
            <w:tcW w:w="1880" w:type="dxa"/>
            <w:vAlign w:val="bottom"/>
            <w:tcBorders>
              <w:top w:val="single" w:sz="8" w:color="auto"/>
              <w:bottom w:val="single" w:sz="8" w:color="auto"/>
              <w:right w:val="single" w:sz="8" w:color="auto"/>
            </w:tcBorders>
            <w:gridSpan w:val="2"/>
          </w:tcPr>
          <w:p>
            <w:pPr>
              <w:jc w:val="center"/>
              <w:ind w:right="940"/>
              <w:spacing w:after="0" w:line="216" w:lineRule="exact"/>
              <w:rPr>
                <w:sz w:val="20"/>
                <w:szCs w:val="20"/>
                <w:color w:val="auto"/>
              </w:rPr>
            </w:pPr>
            <w:r>
              <w:rPr>
                <w:rFonts w:ascii="Arial" w:cs="Arial" w:eastAsia="Arial" w:hAnsi="Arial"/>
                <w:sz w:val="20"/>
                <w:szCs w:val="20"/>
                <w:color w:val="auto"/>
                <w:w w:val="90"/>
              </w:rPr>
              <w:t>S&amp;P Rating</w:t>
            </w:r>
          </w:p>
        </w:tc>
        <w:tc>
          <w:tcPr>
            <w:tcW w:w="12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5"/>
          </w:tcPr>
          <w:p>
            <w:pPr>
              <w:spacing w:after="0" w:line="203" w:lineRule="exact"/>
              <w:rPr>
                <w:sz w:val="20"/>
                <w:szCs w:val="20"/>
                <w:color w:val="auto"/>
              </w:rPr>
            </w:pPr>
            <w:r>
              <w:rPr>
                <w:rFonts w:ascii="Arial" w:cs="Arial" w:eastAsia="Arial" w:hAnsi="Arial"/>
                <w:sz w:val="20"/>
                <w:szCs w:val="20"/>
                <w:color w:val="auto"/>
                <w:w w:val="91"/>
              </w:rPr>
              <w:t>Eurocurrency Initial Revolving Loans</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0000FF"/>
            </w:tcBorders>
            <w:gridSpan w:val="2"/>
          </w:tcPr>
          <w:p>
            <w:pPr>
              <w:spacing w:after="0" w:line="203" w:lineRule="exact"/>
              <w:rPr>
                <w:sz w:val="20"/>
                <w:szCs w:val="20"/>
                <w:color w:val="auto"/>
              </w:rPr>
            </w:pPr>
            <w:r>
              <w:rPr>
                <w:rFonts w:ascii="Arial" w:cs="Arial" w:eastAsia="Arial" w:hAnsi="Arial"/>
                <w:sz w:val="20"/>
                <w:szCs w:val="20"/>
                <w:color w:val="0000FF"/>
                <w:w w:val="87"/>
              </w:rPr>
              <w:t>, USD Term</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right w:val="single" w:sz="8" w:color="auto"/>
            </w:tcBorders>
            <w:gridSpan w:val="2"/>
          </w:tcPr>
          <w:p>
            <w:pPr>
              <w:jc w:val="center"/>
              <w:ind w:right="960"/>
              <w:spacing w:after="0" w:line="216" w:lineRule="exact"/>
              <w:rPr>
                <w:sz w:val="20"/>
                <w:szCs w:val="20"/>
                <w:color w:val="auto"/>
              </w:rPr>
            </w:pPr>
            <w:r>
              <w:rPr>
                <w:rFonts w:ascii="Arial" w:cs="Arial" w:eastAsia="Arial" w:hAnsi="Arial"/>
                <w:sz w:val="20"/>
                <w:szCs w:val="20"/>
                <w:color w:val="auto"/>
                <w:w w:val="94"/>
              </w:rPr>
              <w:t>ABR Initial Revolving Loans</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980" w:type="dxa"/>
            <w:vAlign w:val="bottom"/>
            <w:tcBorders>
              <w:right w:val="single" w:sz="8" w:color="auto"/>
            </w:tcBorders>
            <w:gridSpan w:val="8"/>
            <w:vMerge w:val="restart"/>
          </w:tcPr>
          <w:p>
            <w:pPr>
              <w:jc w:val="center"/>
              <w:ind w:right="240"/>
              <w:spacing w:after="0" w:line="169" w:lineRule="exact"/>
              <w:rPr>
                <w:sz w:val="20"/>
                <w:szCs w:val="20"/>
                <w:color w:val="auto"/>
              </w:rPr>
            </w:pPr>
            <w:r>
              <w:rPr>
                <w:rFonts w:ascii="Arial" w:cs="Arial" w:eastAsia="Arial" w:hAnsi="Arial"/>
                <w:sz w:val="19"/>
                <w:szCs w:val="19"/>
                <w:color w:val="0000FF"/>
                <w:w w:val="97"/>
              </w:rPr>
              <w:t xml:space="preserve">SOFR Initial Revolving Loans </w:t>
            </w:r>
            <w:r>
              <w:rPr>
                <w:rFonts w:ascii="Arial" w:cs="Arial" w:eastAsia="Arial" w:hAnsi="Arial"/>
                <w:sz w:val="19"/>
                <w:szCs w:val="19"/>
                <w:color w:val="000000"/>
                <w:w w:val="97"/>
              </w:rPr>
              <w:t>and RFR Initial</w:t>
            </w:r>
          </w:p>
        </w:tc>
        <w:tc>
          <w:tcPr>
            <w:tcW w:w="94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3980" w:type="dxa"/>
            <w:vAlign w:val="bottom"/>
            <w:tcBorders>
              <w:right w:val="single" w:sz="8" w:color="auto"/>
            </w:tcBorders>
            <w:gridSpan w:val="8"/>
            <w:vMerge w:val="continue"/>
          </w:tcPr>
          <w:p>
            <w:pPr>
              <w:spacing w:after="0"/>
              <w:rPr>
                <w:sz w:val="11"/>
                <w:szCs w:val="11"/>
                <w:color w:val="auto"/>
              </w:rPr>
            </w:pPr>
          </w:p>
        </w:tc>
        <w:tc>
          <w:tcPr>
            <w:tcW w:w="9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940" w:type="dxa"/>
            <w:vAlign w:val="bottom"/>
            <w:tcBorders>
              <w:lef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Borders>
              <w:top w:val="single" w:sz="8" w:color="0000FF"/>
            </w:tcBorders>
            <w:gridSpan w:val="2"/>
          </w:tcPr>
          <w:p>
            <w:pPr>
              <w:ind w:left="1180"/>
              <w:spacing w:after="0" w:line="183" w:lineRule="exact"/>
              <w:rPr>
                <w:sz w:val="20"/>
                <w:szCs w:val="20"/>
                <w:color w:val="auto"/>
              </w:rPr>
            </w:pPr>
            <w:r>
              <w:rPr>
                <w:rFonts w:ascii="Arial" w:cs="Arial" w:eastAsia="Arial" w:hAnsi="Arial"/>
                <w:sz w:val="20"/>
                <w:szCs w:val="20"/>
                <w:color w:val="auto"/>
                <w:w w:val="83"/>
              </w:rPr>
              <w:t>Revolving Loans</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spacing w:after="0"/>
              <w:rPr>
                <w:sz w:val="15"/>
                <w:szCs w:val="15"/>
                <w:color w:val="auto"/>
              </w:rPr>
            </w:pPr>
          </w:p>
        </w:tc>
        <w:tc>
          <w:tcPr>
            <w:tcW w:w="260" w:type="dxa"/>
            <w:vAlign w:val="bottom"/>
            <w:tcBorders>
              <w:right w:val="single" w:sz="8" w:color="auto"/>
            </w:tcBorders>
            <w:gridSpan w:val="2"/>
          </w:tcPr>
          <w:p>
            <w:pPr>
              <w:spacing w:after="0"/>
              <w:rPr>
                <w:sz w:val="15"/>
                <w:szCs w:val="15"/>
                <w:color w:val="auto"/>
              </w:rPr>
            </w:pPr>
          </w:p>
        </w:tc>
        <w:tc>
          <w:tcPr>
            <w:tcW w:w="9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3"/>
              </w:rPr>
              <w:t>BB+ (or higher)</w:t>
            </w:r>
          </w:p>
        </w:tc>
        <w:tc>
          <w:tcPr>
            <w:tcW w:w="2680" w:type="dxa"/>
            <w:vAlign w:val="bottom"/>
            <w:gridSpan w:val="4"/>
          </w:tcPr>
          <w:p>
            <w:pPr>
              <w:jc w:val="center"/>
              <w:ind w:left="1421"/>
              <w:spacing w:after="0"/>
              <w:rPr>
                <w:sz w:val="20"/>
                <w:szCs w:val="20"/>
                <w:color w:val="auto"/>
              </w:rPr>
            </w:pPr>
            <w:r>
              <w:rPr>
                <w:rFonts w:ascii="Arial" w:cs="Arial" w:eastAsia="Arial" w:hAnsi="Arial"/>
                <w:sz w:val="20"/>
                <w:szCs w:val="20"/>
                <w:color w:val="auto"/>
                <w:w w:val="91"/>
              </w:rPr>
              <w:t>1.25%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260" w:type="dxa"/>
            <w:vAlign w:val="bottom"/>
            <w:gridSpan w:val="2"/>
          </w:tcPr>
          <w:p>
            <w:pPr>
              <w:jc w:val="center"/>
              <w:ind w:left="841"/>
              <w:spacing w:after="0"/>
              <w:rPr>
                <w:sz w:val="20"/>
                <w:szCs w:val="20"/>
                <w:color w:val="auto"/>
              </w:rPr>
            </w:pPr>
            <w:r>
              <w:rPr>
                <w:rFonts w:ascii="Arial" w:cs="Arial" w:eastAsia="Arial" w:hAnsi="Arial"/>
                <w:sz w:val="20"/>
                <w:szCs w:val="20"/>
                <w:color w:val="auto"/>
                <w:w w:val="91"/>
              </w:rPr>
              <w:t>0.25%</w:t>
            </w: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40" w:type="dxa"/>
            <w:vAlign w:val="bottom"/>
            <w:tcBorders>
              <w:left w:val="single" w:sz="8" w:color="auto"/>
            </w:tcBorders>
          </w:tcPr>
          <w:p>
            <w:pPr>
              <w:spacing w:after="0"/>
              <w:rPr>
                <w:sz w:val="23"/>
                <w:szCs w:val="23"/>
                <w:color w:val="auto"/>
              </w:rPr>
            </w:pPr>
          </w:p>
        </w:tc>
        <w:tc>
          <w:tcPr>
            <w:tcW w:w="1880" w:type="dxa"/>
            <w:vAlign w:val="bottom"/>
            <w:tcBorders>
              <w:right w:val="single" w:sz="8" w:color="auto"/>
            </w:tcBorders>
            <w:gridSpan w:val="2"/>
          </w:tcPr>
          <w:p>
            <w:pPr>
              <w:jc w:val="center"/>
              <w:ind w:right="940"/>
              <w:spacing w:after="0"/>
              <w:rPr>
                <w:sz w:val="20"/>
                <w:szCs w:val="20"/>
                <w:color w:val="auto"/>
              </w:rPr>
            </w:pPr>
            <w:r>
              <w:rPr>
                <w:rFonts w:ascii="Arial" w:cs="Arial" w:eastAsia="Arial" w:hAnsi="Arial"/>
                <w:sz w:val="20"/>
                <w:szCs w:val="20"/>
                <w:color w:val="auto"/>
                <w:w w:val="97"/>
              </w:rPr>
              <w:t>BB</w:t>
            </w:r>
          </w:p>
        </w:tc>
        <w:tc>
          <w:tcPr>
            <w:tcW w:w="2680" w:type="dxa"/>
            <w:vAlign w:val="bottom"/>
            <w:gridSpan w:val="4"/>
          </w:tcPr>
          <w:p>
            <w:pPr>
              <w:jc w:val="center"/>
              <w:ind w:left="1421"/>
              <w:spacing w:after="0"/>
              <w:rPr>
                <w:sz w:val="20"/>
                <w:szCs w:val="20"/>
                <w:color w:val="auto"/>
              </w:rPr>
            </w:pPr>
            <w:r>
              <w:rPr>
                <w:rFonts w:ascii="Arial" w:cs="Arial" w:eastAsia="Arial" w:hAnsi="Arial"/>
                <w:sz w:val="20"/>
                <w:szCs w:val="20"/>
                <w:color w:val="auto"/>
                <w:w w:val="91"/>
              </w:rPr>
              <w:t>1.60%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260" w:type="dxa"/>
            <w:vAlign w:val="bottom"/>
            <w:gridSpan w:val="2"/>
          </w:tcPr>
          <w:p>
            <w:pPr>
              <w:jc w:val="center"/>
              <w:ind w:left="841"/>
              <w:spacing w:after="0"/>
              <w:rPr>
                <w:sz w:val="20"/>
                <w:szCs w:val="20"/>
                <w:color w:val="auto"/>
              </w:rPr>
            </w:pPr>
            <w:r>
              <w:rPr>
                <w:rFonts w:ascii="Arial" w:cs="Arial" w:eastAsia="Arial" w:hAnsi="Arial"/>
                <w:sz w:val="20"/>
                <w:szCs w:val="20"/>
                <w:color w:val="auto"/>
                <w:w w:val="91"/>
              </w:rPr>
              <w:t>0.60%</w:t>
            </w: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5"/>
              </w:rPr>
              <w:t>BB- (or lower)</w:t>
            </w:r>
          </w:p>
        </w:tc>
        <w:tc>
          <w:tcPr>
            <w:tcW w:w="2680" w:type="dxa"/>
            <w:vAlign w:val="bottom"/>
            <w:gridSpan w:val="4"/>
          </w:tcPr>
          <w:p>
            <w:pPr>
              <w:jc w:val="center"/>
              <w:ind w:left="1421"/>
              <w:spacing w:after="0"/>
              <w:rPr>
                <w:sz w:val="20"/>
                <w:szCs w:val="20"/>
                <w:color w:val="auto"/>
              </w:rPr>
            </w:pPr>
            <w:r>
              <w:rPr>
                <w:rFonts w:ascii="Arial" w:cs="Arial" w:eastAsia="Arial" w:hAnsi="Arial"/>
                <w:sz w:val="20"/>
                <w:szCs w:val="20"/>
                <w:color w:val="auto"/>
                <w:w w:val="91"/>
              </w:rPr>
              <w:t>2.00%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3260" w:type="dxa"/>
            <w:vAlign w:val="bottom"/>
            <w:gridSpan w:val="2"/>
          </w:tcPr>
          <w:p>
            <w:pPr>
              <w:jc w:val="center"/>
              <w:ind w:left="841"/>
              <w:spacing w:after="0"/>
              <w:rPr>
                <w:sz w:val="20"/>
                <w:szCs w:val="20"/>
                <w:color w:val="auto"/>
              </w:rPr>
            </w:pPr>
            <w:r>
              <w:rPr>
                <w:rFonts w:ascii="Arial" w:cs="Arial" w:eastAsia="Arial" w:hAnsi="Arial"/>
                <w:sz w:val="20"/>
                <w:szCs w:val="20"/>
                <w:color w:val="auto"/>
                <w:w w:val="91"/>
              </w:rPr>
              <w:t>1.00%</w:t>
            </w: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175" w:lineRule="exact"/>
        <w:rPr>
          <w:sz w:val="20"/>
          <w:szCs w:val="20"/>
          <w:color w:val="auto"/>
        </w:rPr>
      </w:pPr>
    </w:p>
    <w:p>
      <w:pPr>
        <w:jc w:val="both"/>
        <w:ind w:right="40" w:firstLine="656"/>
        <w:spacing w:after="0" w:line="269" w:lineRule="auto"/>
        <w:tabs>
          <w:tab w:leader="none" w:pos="1004"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any other Loan, as specified in the applicable Extension Amendment (to the extent such Extension Amendment specifies a different rate from the rate then applicable to the Loans being so extended), Incremental Amendment or Refinancing Amendment.</w:t>
      </w:r>
    </w:p>
    <w:p>
      <w:pPr>
        <w:spacing w:after="0" w:line="130"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Any increase or decrease in the Applicable Margin under clause (i) above resulting from a change in the First Lien Net Leverage Ratio shall become effective as of the first Business Day after the date on which a Compliance Certificate is delivered pursuant to Section</w:t>
      </w:r>
    </w:p>
    <w:p>
      <w:pPr>
        <w:spacing w:after="0" w:line="235" w:lineRule="auto"/>
        <w:rPr>
          <w:sz w:val="20"/>
          <w:szCs w:val="20"/>
          <w:color w:val="auto"/>
        </w:rPr>
      </w:pPr>
      <w:r>
        <w:rPr>
          <w:rFonts w:ascii="Arial" w:cs="Arial" w:eastAsia="Arial" w:hAnsi="Arial"/>
          <w:sz w:val="18"/>
          <w:szCs w:val="18"/>
          <w:color w:val="auto"/>
        </w:rPr>
        <w:t>5.01(c). Any increase or decrease in the Applicable Margin under clause (ii) above resulting from a change in Holdings’ corporate family</w:t>
      </w:r>
    </w:p>
    <w:p>
      <w:pPr>
        <w:ind w:right="20"/>
        <w:spacing w:after="0" w:line="220" w:lineRule="auto"/>
        <w:rPr>
          <w:sz w:val="20"/>
          <w:szCs w:val="20"/>
          <w:color w:val="auto"/>
        </w:rPr>
      </w:pPr>
      <w:r>
        <w:rPr>
          <w:rFonts w:ascii="Arial" w:cs="Arial" w:eastAsia="Arial" w:hAnsi="Arial"/>
          <w:sz w:val="20"/>
          <w:szCs w:val="20"/>
          <w:color w:val="auto"/>
        </w:rPr>
        <w:t>rating from S&amp;P shall become effective as of the first Business Day following the date on which a notice of a change in rating has been delivered by Holdings pursuant to Section 5.01(g).</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 with respect to any Revolving Lender in respect of a Revolving Credit Event, its Revolving Percentage and (b) with respect to any Term Lender, a percentage equal to a fraction the numerator of which is the outstanding principal</w:t>
      </w:r>
    </w:p>
    <w:p>
      <w:pPr>
        <w:spacing w:after="0" w:line="235" w:lineRule="auto"/>
        <w:rPr>
          <w:sz w:val="20"/>
          <w:szCs w:val="20"/>
          <w:color w:val="auto"/>
        </w:rPr>
      </w:pPr>
      <w:r>
        <w:rPr>
          <w:rFonts w:ascii="Arial" w:cs="Arial" w:eastAsia="Arial" w:hAnsi="Arial"/>
          <w:sz w:val="18"/>
          <w:szCs w:val="18"/>
          <w:color w:val="auto"/>
        </w:rPr>
        <w:t>amount of such Lender’s Term Loans and the denominator of which is the aggregate outstanding amount of the Term Loans of all Term</w:t>
      </w:r>
    </w:p>
    <w:p>
      <w:pPr>
        <w:ind w:right="40"/>
        <w:spacing w:after="0" w:line="232" w:lineRule="auto"/>
        <w:rPr>
          <w:sz w:val="20"/>
          <w:szCs w:val="20"/>
          <w:color w:val="auto"/>
        </w:rPr>
      </w:pPr>
      <w:r>
        <w:rPr>
          <w:rFonts w:ascii="Arial" w:cs="Arial" w:eastAsia="Arial" w:hAnsi="Arial"/>
          <w:sz w:val="19"/>
          <w:szCs w:val="19"/>
          <w:color w:val="auto"/>
        </w:rPr>
        <w:t>Lenders. When references herein to the “Applicable Percentage” refer to the aggregate outstandings hereunder, the Applicable Percentage of each Lender shall be determined in a manner consistent with the foregoing, but taking into account all of their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320" w:top="1440" w:right="319" w:bottom="1440" w:gutter="0" w:footer="0" w:header="0"/>
        </w:sectPr>
      </w:pPr>
    </w:p>
    <w:bookmarkStart w:id="175" w:name="page176"/>
    <w:bookmarkEnd w:id="17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Revolving Commitments (or related Revolving Credit Exposures) and outstanding Term Loans hereunder. In making the foregoing determinations, if any of the relevant amounts are denominated in a currency other than Dollars, the Dollar Amounts thereof (as determined</w:t>
      </w:r>
    </w:p>
    <w:p>
      <w:pPr>
        <w:spacing w:after="0" w:line="235" w:lineRule="auto"/>
        <w:rPr>
          <w:sz w:val="20"/>
          <w:szCs w:val="20"/>
          <w:color w:val="auto"/>
        </w:rPr>
      </w:pPr>
      <w:r>
        <w:rPr>
          <w:rFonts w:ascii="Arial" w:cs="Arial" w:eastAsia="Arial" w:hAnsi="Arial"/>
          <w:sz w:val="18"/>
          <w:szCs w:val="18"/>
          <w:color w:val="auto"/>
        </w:rPr>
        <w:t>by the Administrative Agent in good faith) shall be utilized. If the context indicates that the “Applicable Percentage” is to be determined for a</w:t>
      </w:r>
    </w:p>
    <w:p>
      <w:pPr>
        <w:ind w:right="20"/>
        <w:spacing w:after="0" w:line="220" w:lineRule="auto"/>
        <w:rPr>
          <w:sz w:val="20"/>
          <w:szCs w:val="20"/>
          <w:color w:val="auto"/>
        </w:rPr>
      </w:pPr>
      <w:r>
        <w:rPr>
          <w:rFonts w:ascii="Arial" w:cs="Arial" w:eastAsia="Arial" w:hAnsi="Arial"/>
          <w:sz w:val="20"/>
          <w:szCs w:val="20"/>
          <w:color w:val="auto"/>
        </w:rPr>
        <w:t>relevant Class or Tranche, then only the respective Class or Tranche shall be included as otherwise provided above in determining the relevant Applicable Percentages.</w:t>
      </w:r>
    </w:p>
    <w:p>
      <w:pPr>
        <w:spacing w:after="0" w:line="15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Utilization Fee Rate</w:t>
      </w:r>
      <w:r>
        <w:rPr>
          <w:rFonts w:ascii="Arial" w:cs="Arial" w:eastAsia="Arial" w:hAnsi="Arial"/>
          <w:sz w:val="20"/>
          <w:szCs w:val="20"/>
          <w:color w:val="auto"/>
        </w:rPr>
        <w:t>” means on any date, with respect to the Revolving Commitments, the applicable rate per annum set forth below based upon the Average Revolving Utilization:</w:t>
      </w:r>
    </w:p>
    <w:p>
      <w:pPr>
        <w:spacing w:after="0" w:line="206" w:lineRule="exact"/>
        <w:rPr>
          <w:sz w:val="20"/>
          <w:szCs w:val="20"/>
          <w:color w:val="auto"/>
        </w:rPr>
      </w:pPr>
    </w:p>
    <w:tbl>
      <w:tblPr>
        <w:tblLayout w:type="fixed"/>
        <w:tblInd w:w="830" w:type="dxa"/>
        <w:tblCellMar>
          <w:top w:w="0" w:type="dxa"/>
          <w:left w:w="0" w:type="dxa"/>
          <w:bottom w:w="0" w:type="dxa"/>
          <w:right w:w="0" w:type="dxa"/>
        </w:tblCellMar>
      </w:tblPr>
      <w:tr>
        <w:trPr>
          <w:trHeight w:val="315"/>
        </w:trPr>
        <w:tc>
          <w:tcPr>
            <w:tcW w:w="30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Level</w:t>
            </w:r>
          </w:p>
        </w:tc>
        <w:tc>
          <w:tcPr>
            <w:tcW w:w="32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Average Revolving Utilization</w:t>
            </w:r>
          </w:p>
        </w:tc>
        <w:tc>
          <w:tcPr>
            <w:tcW w:w="3000" w:type="dxa"/>
            <w:vAlign w:val="bottom"/>
            <w:tcBorders>
              <w:top w:val="single" w:sz="8" w:color="auto"/>
              <w:right w:val="single" w:sz="8" w:color="auto"/>
            </w:tcBorders>
            <w:shd w:val="clear" w:color="auto" w:fill="D9D9D9"/>
          </w:tcPr>
          <w:p>
            <w:pPr>
              <w:jc w:val="right"/>
              <w:ind w:right="81"/>
              <w:spacing w:after="0"/>
              <w:rPr>
                <w:sz w:val="20"/>
                <w:szCs w:val="20"/>
                <w:color w:val="auto"/>
              </w:rPr>
            </w:pPr>
            <w:r>
              <w:rPr>
                <w:rFonts w:ascii="Arial" w:cs="Arial" w:eastAsia="Arial" w:hAnsi="Arial"/>
                <w:sz w:val="20"/>
                <w:szCs w:val="20"/>
                <w:b w:val="1"/>
                <w:bCs w:val="1"/>
                <w:color w:val="auto"/>
                <w:w w:val="96"/>
              </w:rPr>
              <w:t>Applicable Utilization Fee Rate</w:t>
            </w:r>
          </w:p>
        </w:tc>
      </w:tr>
      <w:tr>
        <w:trPr>
          <w:trHeight w:val="63"/>
        </w:trPr>
        <w:tc>
          <w:tcPr>
            <w:tcW w:w="306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3240" w:type="dxa"/>
            <w:vAlign w:val="bottom"/>
            <w:tcBorders>
              <w:bottom w:val="single" w:sz="8" w:color="auto"/>
              <w:right w:val="single" w:sz="8" w:color="auto"/>
            </w:tcBorders>
            <w:shd w:val="clear" w:color="auto" w:fill="D9D9D9"/>
          </w:tcPr>
          <w:p>
            <w:pPr>
              <w:spacing w:after="0"/>
              <w:rPr>
                <w:sz w:val="5"/>
                <w:szCs w:val="5"/>
                <w:color w:val="auto"/>
              </w:rPr>
            </w:pPr>
          </w:p>
        </w:tc>
        <w:tc>
          <w:tcPr>
            <w:tcW w:w="3000" w:type="dxa"/>
            <w:vAlign w:val="bottom"/>
            <w:tcBorders>
              <w:bottom w:val="single" w:sz="8" w:color="auto"/>
              <w:right w:val="single" w:sz="8" w:color="auto"/>
            </w:tcBorders>
            <w:shd w:val="clear" w:color="auto" w:fill="D9D9D9"/>
          </w:tcPr>
          <w:p>
            <w:pPr>
              <w:spacing w:after="0"/>
              <w:rPr>
                <w:sz w:val="5"/>
                <w:szCs w:val="5"/>
                <w:color w:val="auto"/>
              </w:rPr>
            </w:pPr>
          </w:p>
        </w:tc>
      </w:tr>
      <w:tr>
        <w:trPr>
          <w:trHeight w:val="24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&lt; 33.34%</w:t>
            </w:r>
          </w:p>
        </w:tc>
        <w:tc>
          <w:tcPr>
            <w:tcW w:w="3000" w:type="dxa"/>
            <w:vAlign w:val="bottom"/>
            <w:tcBorders>
              <w:right w:val="single" w:sz="8" w:color="auto"/>
            </w:tcBorders>
          </w:tcPr>
          <w:p>
            <w:pPr>
              <w:jc w:val="right"/>
              <w:ind w:right="1101"/>
              <w:spacing w:after="0"/>
              <w:rPr>
                <w:sz w:val="20"/>
                <w:szCs w:val="20"/>
                <w:color w:val="auto"/>
              </w:rPr>
            </w:pPr>
            <w:r>
              <w:rPr>
                <w:rFonts w:ascii="Arial" w:cs="Arial" w:eastAsia="Arial" w:hAnsi="Arial"/>
                <w:sz w:val="20"/>
                <w:szCs w:val="20"/>
                <w:color w:val="auto"/>
              </w:rPr>
              <w:t>0.10%</w:t>
            </w:r>
          </w:p>
        </w:tc>
      </w:tr>
      <w:tr>
        <w:trPr>
          <w:trHeight w:val="114"/>
        </w:trPr>
        <w:tc>
          <w:tcPr>
            <w:tcW w:w="306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000" w:type="dxa"/>
            <w:vAlign w:val="bottom"/>
            <w:tcBorders>
              <w:bottom w:val="single" w:sz="8" w:color="auto"/>
              <w:right w:val="single" w:sz="8" w:color="auto"/>
            </w:tcBorders>
          </w:tcPr>
          <w:p>
            <w:pPr>
              <w:spacing w:after="0"/>
              <w:rPr>
                <w:sz w:val="9"/>
                <w:szCs w:val="9"/>
                <w:color w:val="auto"/>
              </w:rPr>
            </w:pPr>
          </w:p>
        </w:tc>
      </w:tr>
      <w:tr>
        <w:trPr>
          <w:trHeight w:val="24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 33.34% but ≤ 66.66%</w:t>
            </w:r>
          </w:p>
        </w:tc>
        <w:tc>
          <w:tcPr>
            <w:tcW w:w="3000" w:type="dxa"/>
            <w:vAlign w:val="bottom"/>
            <w:tcBorders>
              <w:right w:val="single" w:sz="8" w:color="auto"/>
            </w:tcBorders>
          </w:tcPr>
          <w:p>
            <w:pPr>
              <w:jc w:val="right"/>
              <w:ind w:right="1101"/>
              <w:spacing w:after="0"/>
              <w:rPr>
                <w:sz w:val="20"/>
                <w:szCs w:val="20"/>
                <w:color w:val="auto"/>
              </w:rPr>
            </w:pPr>
            <w:r>
              <w:rPr>
                <w:rFonts w:ascii="Arial" w:cs="Arial" w:eastAsia="Arial" w:hAnsi="Arial"/>
                <w:sz w:val="20"/>
                <w:szCs w:val="20"/>
                <w:color w:val="auto"/>
              </w:rPr>
              <w:t>0.20%</w:t>
            </w:r>
          </w:p>
        </w:tc>
      </w:tr>
      <w:tr>
        <w:trPr>
          <w:trHeight w:val="114"/>
        </w:trPr>
        <w:tc>
          <w:tcPr>
            <w:tcW w:w="306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000" w:type="dxa"/>
            <w:vAlign w:val="bottom"/>
            <w:tcBorders>
              <w:bottom w:val="single" w:sz="8" w:color="auto"/>
              <w:right w:val="single" w:sz="8" w:color="auto"/>
            </w:tcBorders>
          </w:tcPr>
          <w:p>
            <w:pPr>
              <w:spacing w:after="0"/>
              <w:rPr>
                <w:sz w:val="9"/>
                <w:szCs w:val="9"/>
                <w:color w:val="auto"/>
              </w:rPr>
            </w:pPr>
          </w:p>
        </w:tc>
      </w:tr>
      <w:tr>
        <w:trPr>
          <w:trHeight w:val="244"/>
        </w:trPr>
        <w:tc>
          <w:tcPr>
            <w:tcW w:w="3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&gt; 66.66%</w:t>
            </w:r>
          </w:p>
        </w:tc>
        <w:tc>
          <w:tcPr>
            <w:tcW w:w="3000" w:type="dxa"/>
            <w:vAlign w:val="bottom"/>
            <w:tcBorders>
              <w:right w:val="single" w:sz="8" w:color="auto"/>
            </w:tcBorders>
          </w:tcPr>
          <w:p>
            <w:pPr>
              <w:jc w:val="right"/>
              <w:ind w:right="1101"/>
              <w:spacing w:after="0"/>
              <w:rPr>
                <w:sz w:val="20"/>
                <w:szCs w:val="20"/>
                <w:color w:val="auto"/>
              </w:rPr>
            </w:pPr>
            <w:r>
              <w:rPr>
                <w:rFonts w:ascii="Arial" w:cs="Arial" w:eastAsia="Arial" w:hAnsi="Arial"/>
                <w:sz w:val="20"/>
                <w:szCs w:val="20"/>
                <w:color w:val="auto"/>
              </w:rPr>
              <w:t>0.40%</w:t>
            </w:r>
          </w:p>
        </w:tc>
      </w:tr>
      <w:tr>
        <w:trPr>
          <w:trHeight w:val="114"/>
        </w:trPr>
        <w:tc>
          <w:tcPr>
            <w:tcW w:w="3060" w:type="dxa"/>
            <w:vAlign w:val="bottom"/>
            <w:tcBorders>
              <w:left w:val="single" w:sz="8" w:color="auto"/>
              <w:bottom w:val="single" w:sz="8" w:color="auto"/>
              <w:right w:val="single" w:sz="8" w:color="auto"/>
            </w:tcBorders>
          </w:tcPr>
          <w:p>
            <w:pPr>
              <w:spacing w:after="0"/>
              <w:rPr>
                <w:sz w:val="9"/>
                <w:szCs w:val="9"/>
                <w:color w:val="auto"/>
              </w:rPr>
            </w:pPr>
          </w:p>
        </w:tc>
        <w:tc>
          <w:tcPr>
            <w:tcW w:w="3240" w:type="dxa"/>
            <w:vAlign w:val="bottom"/>
            <w:tcBorders>
              <w:bottom w:val="single" w:sz="8" w:color="auto"/>
              <w:right w:val="single" w:sz="8" w:color="auto"/>
            </w:tcBorders>
          </w:tcPr>
          <w:p>
            <w:pPr>
              <w:spacing w:after="0"/>
              <w:rPr>
                <w:sz w:val="9"/>
                <w:szCs w:val="9"/>
                <w:color w:val="auto"/>
              </w:rPr>
            </w:pPr>
          </w:p>
        </w:tc>
        <w:tc>
          <w:tcPr>
            <w:tcW w:w="3000" w:type="dxa"/>
            <w:vAlign w:val="bottom"/>
            <w:tcBorders>
              <w:bottom w:val="single" w:sz="8" w:color="auto"/>
              <w:right w:val="single" w:sz="8" w:color="auto"/>
            </w:tcBorders>
          </w:tcPr>
          <w:p>
            <w:pPr>
              <w:spacing w:after="0"/>
              <w:rPr>
                <w:sz w:val="9"/>
                <w:szCs w:val="9"/>
                <w:color w:val="auto"/>
              </w:rPr>
            </w:pP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such term in Section 9.04(b).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Sale</w:t>
      </w:r>
      <w:r>
        <w:rPr>
          <w:rFonts w:ascii="Arial" w:cs="Arial" w:eastAsia="Arial" w:hAnsi="Arial"/>
          <w:sz w:val="20"/>
          <w:szCs w:val="20"/>
          <w:color w:val="auto"/>
        </w:rPr>
        <w:t>” means any Disposition (or series of related Dispositions) by Holdings or any Restricted Subsidiary of:</w:t>
      </w:r>
    </w:p>
    <w:p>
      <w:pPr>
        <w:spacing w:after="0" w:line="162" w:lineRule="exact"/>
        <w:rPr>
          <w:sz w:val="20"/>
          <w:szCs w:val="20"/>
          <w:color w:val="auto"/>
        </w:rPr>
      </w:pPr>
    </w:p>
    <w:p>
      <w:pPr>
        <w:ind w:left="660" w:firstLine="644"/>
        <w:spacing w:after="0" w:line="236"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shares of Equity Interests of a Restricted Subsidiary (other than directors’ qualifying shares or shares required by applicable law to be held by a Person other than Holdings or a Restricted Subsidiary);</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or substantially all the assets of any division or line of business of Holdings or any Restricted Subsidiary; or</w:t>
      </w:r>
    </w:p>
    <w:p>
      <w:pPr>
        <w:spacing w:after="0" w:line="186" w:lineRule="exact"/>
        <w:rPr>
          <w:rFonts w:ascii="Arial" w:cs="Arial" w:eastAsia="Arial" w:hAnsi="Arial"/>
          <w:sz w:val="19"/>
          <w:szCs w:val="19"/>
          <w:color w:val="auto"/>
        </w:rPr>
      </w:pPr>
    </w:p>
    <w:p>
      <w:pPr>
        <w:ind w:left="660" w:firstLine="644"/>
        <w:spacing w:after="0" w:line="236"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any other assets of Holdings or any Restricted Subsidiary outside of the ordinary course of business of Holdings or such Restricted Subsidiary,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other than, in the case of clauses (1), (2) and (3) above:</w:t>
      </w:r>
    </w:p>
    <w:p>
      <w:pPr>
        <w:spacing w:after="0" w:line="162" w:lineRule="exact"/>
        <w:rPr>
          <w:sz w:val="20"/>
          <w:szCs w:val="20"/>
          <w:color w:val="auto"/>
        </w:rPr>
      </w:pPr>
    </w:p>
    <w:p>
      <w:pPr>
        <w:ind w:left="1300" w:firstLine="652"/>
        <w:spacing w:after="0" w:line="236" w:lineRule="auto"/>
        <w:tabs>
          <w:tab w:leader="none" w:pos="2594" w:val="left"/>
        </w:tabs>
        <w:numPr>
          <w:ilvl w:val="0"/>
          <w:numId w:val="92"/>
        </w:numPr>
        <w:rPr>
          <w:rFonts w:ascii="Arial" w:cs="Arial" w:eastAsia="Arial" w:hAnsi="Arial"/>
          <w:sz w:val="20"/>
          <w:szCs w:val="20"/>
          <w:color w:val="auto"/>
        </w:rPr>
      </w:pPr>
      <w:r>
        <w:rPr>
          <w:rFonts w:ascii="Arial" w:cs="Arial" w:eastAsia="Arial" w:hAnsi="Arial"/>
          <w:sz w:val="20"/>
          <w:szCs w:val="20"/>
          <w:color w:val="auto"/>
        </w:rPr>
        <w:t>a Disposition by a Restricted Subsidiary to Holdings or by Holdings or a Restricted Subsidiary to a Restricted Subsidiary;</w:t>
      </w:r>
    </w:p>
    <w:p>
      <w:pPr>
        <w:spacing w:after="0" w:line="155" w:lineRule="exact"/>
        <w:rPr>
          <w:rFonts w:ascii="Arial" w:cs="Arial" w:eastAsia="Arial" w:hAnsi="Arial"/>
          <w:sz w:val="20"/>
          <w:szCs w:val="20"/>
          <w:color w:val="auto"/>
        </w:rPr>
      </w:pPr>
    </w:p>
    <w:p>
      <w:pPr>
        <w:jc w:val="both"/>
        <w:ind w:left="1300" w:firstLine="652"/>
        <w:spacing w:after="0" w:line="227" w:lineRule="auto"/>
        <w:tabs>
          <w:tab w:leader="none" w:pos="2595" w:val="left"/>
        </w:tabs>
        <w:numPr>
          <w:ilvl w:val="0"/>
          <w:numId w:val="92"/>
        </w:numPr>
        <w:rPr>
          <w:rFonts w:ascii="Arial" w:cs="Arial" w:eastAsia="Arial" w:hAnsi="Arial"/>
          <w:sz w:val="20"/>
          <w:szCs w:val="20"/>
          <w:color w:val="auto"/>
        </w:rPr>
      </w:pPr>
      <w:r>
        <w:rPr>
          <w:rFonts w:ascii="Arial" w:cs="Arial" w:eastAsia="Arial" w:hAnsi="Arial"/>
          <w:sz w:val="20"/>
          <w:szCs w:val="20"/>
          <w:color w:val="auto"/>
        </w:rPr>
        <w:t>for purposes of Section 6.03 only, a Disposition that constitutes a Restricted Payment (or would constitute a Restricted Payment but for the exclusions from the definition thereof) that is not prohibited by Section 6.04 or that constitutes a Permitted Investment;</w:t>
      </w:r>
    </w:p>
    <w:p>
      <w:pPr>
        <w:spacing w:after="0" w:line="157" w:lineRule="exact"/>
        <w:rPr>
          <w:rFonts w:ascii="Arial" w:cs="Arial" w:eastAsia="Arial" w:hAnsi="Arial"/>
          <w:sz w:val="20"/>
          <w:szCs w:val="20"/>
          <w:color w:val="auto"/>
        </w:rPr>
      </w:pPr>
    </w:p>
    <w:p>
      <w:pPr>
        <w:ind w:left="1300" w:firstLine="652"/>
        <w:spacing w:after="0" w:line="285" w:lineRule="auto"/>
        <w:tabs>
          <w:tab w:leader="none" w:pos="25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Disposition of all or substantially all the assets of Holdings and its Restricted Subsidiaries, taken as a whole, in accordance with Section 6.11 or any disposition that constitutes a Change of Control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57" w:lineRule="exact"/>
        <w:rPr>
          <w:sz w:val="20"/>
          <w:szCs w:val="20"/>
          <w:color w:val="auto"/>
        </w:rPr>
      </w:pPr>
    </w:p>
    <w:p>
      <w:pPr>
        <w:ind w:left="180" w:firstLine="652"/>
        <w:spacing w:after="0" w:line="242" w:lineRule="auto"/>
        <w:tabs>
          <w:tab w:leader="none" w:pos="1465"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Disposition of assets with a fair market value of less than or equal to $30,000,000 (as determined in good faith by Holdings or its Subsidiaries, as applicable) in any single transaction or series of related transactions;</w:t>
      </w:r>
    </w:p>
    <w:p>
      <w:pPr>
        <w:spacing w:after="0" w:line="166" w:lineRule="exact"/>
        <w:rPr>
          <w:rFonts w:ascii="Arial" w:cs="Arial" w:eastAsia="Arial" w:hAnsi="Arial"/>
          <w:sz w:val="19"/>
          <w:szCs w:val="19"/>
          <w:color w:val="auto"/>
        </w:rPr>
      </w:pPr>
    </w:p>
    <w:p>
      <w:pPr>
        <w:jc w:val="both"/>
        <w:ind w:left="180" w:firstLine="652"/>
        <w:spacing w:after="0" w:line="223" w:lineRule="auto"/>
        <w:tabs>
          <w:tab w:leader="none" w:pos="1464" w:val="left"/>
        </w:tabs>
        <w:numPr>
          <w:ilvl w:val="0"/>
          <w:numId w:val="93"/>
        </w:numPr>
        <w:rPr>
          <w:rFonts w:ascii="Arial" w:cs="Arial" w:eastAsia="Arial" w:hAnsi="Arial"/>
          <w:sz w:val="20"/>
          <w:szCs w:val="20"/>
          <w:color w:val="auto"/>
        </w:rPr>
      </w:pPr>
      <w:r>
        <w:rPr>
          <w:rFonts w:ascii="Arial" w:cs="Arial" w:eastAsia="Arial" w:hAnsi="Arial"/>
          <w:sz w:val="20"/>
          <w:szCs w:val="20"/>
          <w:color w:val="auto"/>
        </w:rPr>
        <w:t>Dispositions of damaged, expired, short-dated, worn-out or obsolete equipment or assets in the ordinary course of business that, in Holdings’ reasonable judgment, are no longer either used or useful in the business of Holdings or its Subsidiaries;</w:t>
      </w:r>
    </w:p>
    <w:p>
      <w:pPr>
        <w:spacing w:after="0" w:line="168" w:lineRule="exact"/>
        <w:rPr>
          <w:rFonts w:ascii="Arial" w:cs="Arial" w:eastAsia="Arial" w:hAnsi="Arial"/>
          <w:sz w:val="20"/>
          <w:szCs w:val="20"/>
          <w:color w:val="auto"/>
        </w:rPr>
      </w:pPr>
    </w:p>
    <w:p>
      <w:pPr>
        <w:ind w:left="180" w:firstLine="652"/>
        <w:spacing w:after="0" w:line="236" w:lineRule="auto"/>
        <w:tabs>
          <w:tab w:leader="none" w:pos="1465"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non-exclusive license or sublicense of intellectual property or other general intangibles and licenses, leases or subleases of other property, in each case, in the ordinary course of business;</w:t>
      </w:r>
    </w:p>
    <w:p>
      <w:pPr>
        <w:spacing w:after="0" w:line="155" w:lineRule="exact"/>
        <w:rPr>
          <w:rFonts w:ascii="Arial" w:cs="Arial" w:eastAsia="Arial" w:hAnsi="Arial"/>
          <w:sz w:val="20"/>
          <w:szCs w:val="20"/>
          <w:color w:val="auto"/>
        </w:rPr>
      </w:pPr>
    </w:p>
    <w:p>
      <w:pPr>
        <w:ind w:left="1460" w:hanging="628"/>
        <w:spacing w:after="0"/>
        <w:tabs>
          <w:tab w:leader="none" w:pos="14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180" w:firstLine="652"/>
        <w:spacing w:after="0" w:line="236" w:lineRule="auto"/>
        <w:tabs>
          <w:tab w:leader="none" w:pos="1467" w:val="left"/>
        </w:tabs>
        <w:numPr>
          <w:ilvl w:val="0"/>
          <w:numId w:val="93"/>
        </w:numPr>
        <w:rPr>
          <w:rFonts w:ascii="Arial" w:cs="Arial" w:eastAsia="Arial" w:hAnsi="Arial"/>
          <w:sz w:val="20"/>
          <w:szCs w:val="20"/>
          <w:color w:val="auto"/>
        </w:rPr>
      </w:pPr>
      <w:r>
        <w:rPr>
          <w:rFonts w:ascii="Arial" w:cs="Arial" w:eastAsia="Arial" w:hAnsi="Arial"/>
          <w:sz w:val="20"/>
          <w:szCs w:val="20"/>
          <w:color w:val="auto"/>
        </w:rPr>
        <w:t>to the extent allowable under Section 1031 of the Code, any exchange of like property (excluding any boot thereon) for use in a Permitted Business;</w:t>
      </w:r>
    </w:p>
    <w:p>
      <w:pPr>
        <w:spacing w:after="0" w:line="155" w:lineRule="exact"/>
        <w:rPr>
          <w:rFonts w:ascii="Arial" w:cs="Arial" w:eastAsia="Arial" w:hAnsi="Arial"/>
          <w:sz w:val="20"/>
          <w:szCs w:val="20"/>
          <w:color w:val="auto"/>
        </w:rPr>
      </w:pPr>
    </w:p>
    <w:p>
      <w:pPr>
        <w:ind w:left="1460" w:hanging="628"/>
        <w:spacing w:after="0"/>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issuance or sale of Equity Interests in, or Indebtedness or other securities of, an Unrestricted Subsidiary;</w:t>
      </w:r>
    </w:p>
    <w:p>
      <w:pPr>
        <w:spacing w:after="0" w:line="211" w:lineRule="exact"/>
        <w:rPr>
          <w:rFonts w:ascii="Arial" w:cs="Arial" w:eastAsia="Arial" w:hAnsi="Arial"/>
          <w:sz w:val="18"/>
          <w:szCs w:val="18"/>
          <w:color w:val="auto"/>
        </w:rPr>
      </w:pPr>
    </w:p>
    <w:p>
      <w:pPr>
        <w:ind w:left="1460" w:hanging="628"/>
        <w:spacing w:after="0"/>
        <w:tabs>
          <w:tab w:leader="none" w:pos="14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issuance or sale by any Restricted Subsidiary of Equity Interests to Holdings or another Restricted</w:t>
      </w:r>
    </w:p>
    <w:p>
      <w:pPr>
        <w:ind w:left="180"/>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159" w:lineRule="exact"/>
        <w:rPr>
          <w:rFonts w:ascii="Arial" w:cs="Arial" w:eastAsia="Arial" w:hAnsi="Arial"/>
          <w:sz w:val="19"/>
          <w:szCs w:val="19"/>
          <w:color w:val="auto"/>
        </w:rPr>
      </w:pPr>
    </w:p>
    <w:p>
      <w:pPr>
        <w:ind w:left="1460" w:hanging="628"/>
        <w:spacing w:after="0"/>
        <w:tabs>
          <w:tab w:leader="none" w:pos="1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foreclosures, condemnation, expropriation or any similar action on assets of Holdings or any of its Restricted</w:t>
      </w:r>
    </w:p>
    <w:p>
      <w:pPr>
        <w:spacing w:after="0" w:line="11"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72" w:lineRule="exact"/>
        <w:rPr>
          <w:rFonts w:ascii="Arial" w:cs="Arial" w:eastAsia="Arial" w:hAnsi="Arial"/>
          <w:sz w:val="18"/>
          <w:szCs w:val="18"/>
          <w:color w:val="auto"/>
        </w:rPr>
      </w:pPr>
    </w:p>
    <w:p>
      <w:pPr>
        <w:ind w:left="180" w:firstLine="652"/>
        <w:spacing w:after="0" w:line="229" w:lineRule="auto"/>
        <w:tabs>
          <w:tab w:leader="none" w:pos="1465"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sale or discount of inventory, accounts receivable or notes receivable in the ordinary course of business or the conversion of accounts receivable to notes receivable;</w:t>
      </w:r>
    </w:p>
    <w:p>
      <w:pPr>
        <w:spacing w:after="0" w:line="168" w:lineRule="exact"/>
        <w:rPr>
          <w:rFonts w:ascii="Arial" w:cs="Arial" w:eastAsia="Arial" w:hAnsi="Arial"/>
          <w:sz w:val="20"/>
          <w:szCs w:val="20"/>
          <w:color w:val="auto"/>
        </w:rPr>
      </w:pPr>
    </w:p>
    <w:p>
      <w:pPr>
        <w:ind w:left="180" w:firstLine="652"/>
        <w:spacing w:after="0" w:line="236" w:lineRule="auto"/>
        <w:tabs>
          <w:tab w:leader="none" w:pos="1467"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surrender or waiver of contract rights or the settlement, release or surrender of contract rights or other litigation claims in the ordinary course of business;</w:t>
      </w:r>
    </w:p>
    <w:p>
      <w:pPr>
        <w:spacing w:after="0" w:line="155" w:lineRule="exact"/>
        <w:rPr>
          <w:rFonts w:ascii="Arial" w:cs="Arial" w:eastAsia="Arial" w:hAnsi="Arial"/>
          <w:sz w:val="20"/>
          <w:szCs w:val="20"/>
          <w:color w:val="auto"/>
        </w:rPr>
      </w:pPr>
    </w:p>
    <w:p>
      <w:pPr>
        <w:ind w:left="180" w:firstLine="652"/>
        <w:spacing w:after="0" w:line="236" w:lineRule="auto"/>
        <w:tabs>
          <w:tab w:leader="none" w:pos="146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unwinding, settlement or termination of any obligations under or in respect of any Swap Agreements (including any Permitted Equity Derivatives, Permitted Hedging Obligations and Swap Obligations);</w:t>
      </w:r>
    </w:p>
    <w:p>
      <w:pPr>
        <w:spacing w:after="0" w:line="168" w:lineRule="exact"/>
        <w:rPr>
          <w:rFonts w:ascii="Arial" w:cs="Arial" w:eastAsia="Arial" w:hAnsi="Arial"/>
          <w:sz w:val="20"/>
          <w:szCs w:val="20"/>
          <w:color w:val="auto"/>
        </w:rPr>
      </w:pPr>
    </w:p>
    <w:p>
      <w:pPr>
        <w:jc w:val="both"/>
        <w:ind w:left="180" w:firstLine="652"/>
        <w:spacing w:after="0" w:line="223" w:lineRule="auto"/>
        <w:tabs>
          <w:tab w:leader="none" w:pos="1468" w:val="left"/>
        </w:tabs>
        <w:numPr>
          <w:ilvl w:val="0"/>
          <w:numId w:val="93"/>
        </w:numPr>
        <w:rPr>
          <w:rFonts w:ascii="Arial" w:cs="Arial" w:eastAsia="Arial" w:hAnsi="Arial"/>
          <w:sz w:val="20"/>
          <w:szCs w:val="20"/>
          <w:color w:val="auto"/>
        </w:rPr>
      </w:pPr>
      <w:r>
        <w:rPr>
          <w:rFonts w:ascii="Arial" w:cs="Arial" w:eastAsia="Arial" w:hAnsi="Arial"/>
          <w:sz w:val="20"/>
          <w:szCs w:val="20"/>
          <w:color w:val="auto"/>
        </w:rPr>
        <w:t>Dispositions of Investments in joint ventures made in the ordinary course of business or to the extent required by, or made pursuant to, buy/sell arrangements between the joint venture parties set forth in joint venture arrangements and similar binding arrangements;</w:t>
      </w:r>
    </w:p>
    <w:p>
      <w:pPr>
        <w:spacing w:after="0" w:line="168" w:lineRule="exact"/>
        <w:rPr>
          <w:rFonts w:ascii="Arial" w:cs="Arial" w:eastAsia="Arial" w:hAnsi="Arial"/>
          <w:sz w:val="20"/>
          <w:szCs w:val="20"/>
          <w:color w:val="auto"/>
        </w:rPr>
      </w:pPr>
    </w:p>
    <w:p>
      <w:pPr>
        <w:jc w:val="both"/>
        <w:ind w:left="180" w:firstLine="652"/>
        <w:spacing w:after="0" w:line="223" w:lineRule="auto"/>
        <w:tabs>
          <w:tab w:leader="none" w:pos="146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lapse or abandonment of intellectual property rights in the ordinary course of business, or which are not, individually or in the aggregate, useful or material to the conduct of the business of Holdings and its Restricted Subsidiaries taken as a whole;</w:t>
      </w:r>
    </w:p>
    <w:p>
      <w:pPr>
        <w:spacing w:after="0" w:line="168" w:lineRule="exact"/>
        <w:rPr>
          <w:rFonts w:ascii="Arial" w:cs="Arial" w:eastAsia="Arial" w:hAnsi="Arial"/>
          <w:sz w:val="20"/>
          <w:szCs w:val="20"/>
          <w:color w:val="auto"/>
        </w:rPr>
      </w:pPr>
    </w:p>
    <w:p>
      <w:pPr>
        <w:ind w:left="1480" w:hanging="648"/>
        <w:spacing w:after="0"/>
        <w:tabs>
          <w:tab w:leader="none" w:pos="14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Dispositions of cash or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40" w:right="339" w:bottom="1440" w:gutter="0" w:footer="0" w:header="0"/>
        </w:sectPr>
      </w:pPr>
    </w:p>
    <w:bookmarkStart w:id="177" w:name="page178"/>
    <w:bookmarkEnd w:id="177"/>
    <w:p>
      <w:pPr>
        <w:spacing w:after="0" w:line="357" w:lineRule="exact"/>
        <w:rPr>
          <w:sz w:val="20"/>
          <w:szCs w:val="20"/>
          <w:color w:val="auto"/>
        </w:rPr>
      </w:pPr>
    </w:p>
    <w:p>
      <w:pPr>
        <w:ind w:left="1480" w:hanging="648"/>
        <w:spacing w:after="0"/>
        <w:tabs>
          <w:tab w:leader="none" w:pos="14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Disposition in connection with a co-development or collaboration agreement;</w:t>
      </w:r>
    </w:p>
    <w:p>
      <w:pPr>
        <w:spacing w:after="0" w:line="175" w:lineRule="exact"/>
        <w:rPr>
          <w:rFonts w:ascii="Arial" w:cs="Arial" w:eastAsia="Arial" w:hAnsi="Arial"/>
          <w:sz w:val="20"/>
          <w:szCs w:val="20"/>
          <w:color w:val="auto"/>
        </w:rPr>
      </w:pPr>
    </w:p>
    <w:p>
      <w:pPr>
        <w:ind w:left="1480" w:hanging="648"/>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creation of a Permitted Lien (but not the sale or other disposition of the property subject to such Lien);</w:t>
      </w:r>
    </w:p>
    <w:p>
      <w:pPr>
        <w:spacing w:after="0" w:line="211" w:lineRule="exact"/>
        <w:rPr>
          <w:rFonts w:ascii="Arial" w:cs="Arial" w:eastAsia="Arial" w:hAnsi="Arial"/>
          <w:sz w:val="18"/>
          <w:szCs w:val="18"/>
          <w:color w:val="auto"/>
        </w:rPr>
      </w:pPr>
    </w:p>
    <w:p>
      <w:pPr>
        <w:jc w:val="both"/>
        <w:ind w:left="180" w:firstLine="652"/>
        <w:spacing w:after="0" w:line="229" w:lineRule="auto"/>
        <w:tabs>
          <w:tab w:leader="none" w:pos="1468" w:val="left"/>
        </w:tabs>
        <w:numPr>
          <w:ilvl w:val="0"/>
          <w:numId w:val="94"/>
        </w:numPr>
        <w:rPr>
          <w:rFonts w:ascii="Arial" w:cs="Arial" w:eastAsia="Arial" w:hAnsi="Arial"/>
          <w:sz w:val="19"/>
          <w:szCs w:val="19"/>
          <w:color w:val="auto"/>
        </w:rPr>
      </w:pPr>
      <w:r>
        <w:rPr>
          <w:rFonts w:ascii="Arial" w:cs="Arial" w:eastAsia="Arial" w:hAnsi="Arial"/>
          <w:sz w:val="19"/>
          <w:szCs w:val="19"/>
          <w:color w:val="auto"/>
        </w:rPr>
        <w:t>Dispositions of Equity Interests in any Subsidiary prior to the time such Subsidiary becomes a wholly-owned Subsidiary, in each case pursuant to any stock appreciation rights plans, equity incentive or achievement plans or any similar plans or the exercise of warrants, options or other securities convertible into or exchangeable for the Equity Interests of such Subsidiary, so long as such rights, plans, warrants, options or other securities were not entered into or issued in connection with or in contemplation of such person becoming a Subsidiary;</w:t>
      </w:r>
    </w:p>
    <w:p>
      <w:pPr>
        <w:spacing w:after="0" w:line="159" w:lineRule="exact"/>
        <w:rPr>
          <w:rFonts w:ascii="Arial" w:cs="Arial" w:eastAsia="Arial" w:hAnsi="Arial"/>
          <w:sz w:val="19"/>
          <w:szCs w:val="19"/>
          <w:color w:val="auto"/>
        </w:rPr>
      </w:pPr>
    </w:p>
    <w:p>
      <w:pPr>
        <w:ind w:left="180" w:firstLine="652"/>
        <w:spacing w:after="0" w:line="236" w:lineRule="auto"/>
        <w:tabs>
          <w:tab w:leader="none" w:pos="1469"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sale, assignment or other transfer of Securitization Assets in connection with a Qualified Securitization Financing or a Qualified Receivables Factoring;</w:t>
      </w:r>
    </w:p>
    <w:p>
      <w:pPr>
        <w:spacing w:after="0" w:line="168" w:lineRule="exact"/>
        <w:rPr>
          <w:rFonts w:ascii="Arial" w:cs="Arial" w:eastAsia="Arial" w:hAnsi="Arial"/>
          <w:sz w:val="20"/>
          <w:szCs w:val="20"/>
          <w:color w:val="auto"/>
        </w:rPr>
      </w:pPr>
    </w:p>
    <w:p>
      <w:pPr>
        <w:jc w:val="both"/>
        <w:ind w:left="180" w:firstLine="652"/>
        <w:spacing w:after="0" w:line="223" w:lineRule="auto"/>
        <w:tabs>
          <w:tab w:leader="none" w:pos="1470" w:val="left"/>
        </w:tabs>
        <w:numPr>
          <w:ilvl w:val="0"/>
          <w:numId w:val="94"/>
        </w:numPr>
        <w:rPr>
          <w:rFonts w:ascii="Arial" w:cs="Arial" w:eastAsia="Arial" w:hAnsi="Arial"/>
          <w:sz w:val="20"/>
          <w:szCs w:val="20"/>
          <w:color w:val="auto"/>
        </w:rPr>
      </w:pPr>
      <w:r>
        <w:rPr>
          <w:rFonts w:ascii="Arial" w:cs="Arial" w:eastAsia="Arial" w:hAnsi="Arial"/>
          <w:sz w:val="20"/>
          <w:szCs w:val="20"/>
          <w:color w:val="auto"/>
        </w:rPr>
        <w:t>Dispositions of Investments made in Drug Development Funds not exceeding, for any individual or series of related Dispositions, the greater of $120,000,000 and 10% of Consolidated EBITDA for the Test Period most recently ended on or prior to the date of such Disposition(s);</w:t>
      </w:r>
    </w:p>
    <w:p>
      <w:pPr>
        <w:spacing w:after="0" w:line="168" w:lineRule="exact"/>
        <w:rPr>
          <w:rFonts w:ascii="Arial" w:cs="Arial" w:eastAsia="Arial" w:hAnsi="Arial"/>
          <w:sz w:val="20"/>
          <w:szCs w:val="20"/>
          <w:color w:val="auto"/>
        </w:rPr>
      </w:pPr>
    </w:p>
    <w:p>
      <w:pPr>
        <w:ind w:left="180" w:firstLine="652"/>
        <w:spacing w:after="0" w:line="229" w:lineRule="auto"/>
        <w:tabs>
          <w:tab w:leader="none" w:pos="1471"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any Sale and Leaseback Transaction provided that the Capital Lease Obligations arising in connection therewith would be permitted under Section 6.01;</w:t>
      </w:r>
    </w:p>
    <w:p>
      <w:pPr>
        <w:spacing w:after="0" w:line="168" w:lineRule="exact"/>
        <w:rPr>
          <w:rFonts w:ascii="Arial" w:cs="Arial" w:eastAsia="Arial" w:hAnsi="Arial"/>
          <w:sz w:val="20"/>
          <w:szCs w:val="20"/>
          <w:color w:val="auto"/>
        </w:rPr>
      </w:pPr>
    </w:p>
    <w:p>
      <w:pPr>
        <w:ind w:left="1480" w:hanging="648"/>
        <w:spacing w:after="0"/>
        <w:tabs>
          <w:tab w:leader="none" w:pos="14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discounting of customer invoices in the ordinary course of business;</w:t>
      </w:r>
    </w:p>
    <w:p>
      <w:pPr>
        <w:spacing w:after="0" w:line="188" w:lineRule="exact"/>
        <w:rPr>
          <w:rFonts w:ascii="Arial" w:cs="Arial" w:eastAsia="Arial" w:hAnsi="Arial"/>
          <w:sz w:val="20"/>
          <w:szCs w:val="20"/>
          <w:color w:val="auto"/>
        </w:rPr>
      </w:pPr>
    </w:p>
    <w:p>
      <w:pPr>
        <w:ind w:left="1480" w:hanging="648"/>
        <w:spacing w:after="0"/>
        <w:tabs>
          <w:tab w:leader="none" w:pos="14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80" w:firstLine="652"/>
        <w:spacing w:after="0" w:line="236" w:lineRule="auto"/>
        <w:tabs>
          <w:tab w:leader="none" w:pos="1473" w:val="left"/>
        </w:tabs>
        <w:numPr>
          <w:ilvl w:val="0"/>
          <w:numId w:val="94"/>
        </w:numPr>
        <w:rPr>
          <w:rFonts w:ascii="Arial" w:cs="Arial" w:eastAsia="Arial" w:hAnsi="Arial"/>
          <w:sz w:val="20"/>
          <w:szCs w:val="20"/>
          <w:color w:val="auto"/>
        </w:rPr>
      </w:pPr>
      <w:r>
        <w:rPr>
          <w:rFonts w:ascii="Arial" w:cs="Arial" w:eastAsia="Arial" w:hAnsi="Arial"/>
          <w:sz w:val="20"/>
          <w:szCs w:val="20"/>
          <w:color w:val="auto"/>
        </w:rPr>
        <w:t>Disposition of any assets made to obtain the approval of any applicable antitrust authority in connection with any acquisition or other Investment not prohibited by this Agreement;</w:t>
      </w:r>
    </w:p>
    <w:p>
      <w:pPr>
        <w:spacing w:after="0" w:line="168" w:lineRule="exact"/>
        <w:rPr>
          <w:rFonts w:ascii="Arial" w:cs="Arial" w:eastAsia="Arial" w:hAnsi="Arial"/>
          <w:sz w:val="20"/>
          <w:szCs w:val="20"/>
          <w:color w:val="auto"/>
        </w:rPr>
      </w:pPr>
    </w:p>
    <w:p>
      <w:pPr>
        <w:ind w:left="1480" w:hanging="648"/>
        <w:spacing w:after="0"/>
        <w:tabs>
          <w:tab w:leader="none" w:pos="14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any Sale and Leaseback Transaction related to the Headquarters;</w:t>
      </w:r>
    </w:p>
    <w:p>
      <w:pPr>
        <w:spacing w:after="0" w:line="175" w:lineRule="exact"/>
        <w:rPr>
          <w:rFonts w:ascii="Arial" w:cs="Arial" w:eastAsia="Arial" w:hAnsi="Arial"/>
          <w:sz w:val="20"/>
          <w:szCs w:val="20"/>
          <w:color w:val="auto"/>
        </w:rPr>
      </w:pPr>
    </w:p>
    <w:p>
      <w:pPr>
        <w:ind w:left="1480" w:hanging="648"/>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w:t>
      </w:r>
    </w:p>
    <w:p>
      <w:pPr>
        <w:spacing w:after="0" w:line="11"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20"/>
          <w:szCs w:val="20"/>
          <w:color w:val="auto"/>
        </w:rPr>
        <w:t>law;</w:t>
      </w:r>
    </w:p>
    <w:p>
      <w:pPr>
        <w:spacing w:after="0" w:line="172" w:lineRule="exact"/>
        <w:rPr>
          <w:rFonts w:ascii="Arial" w:cs="Arial" w:eastAsia="Arial" w:hAnsi="Arial"/>
          <w:sz w:val="18"/>
          <w:szCs w:val="18"/>
          <w:color w:val="auto"/>
        </w:rPr>
      </w:pPr>
    </w:p>
    <w:p>
      <w:pPr>
        <w:jc w:val="both"/>
        <w:ind w:left="180" w:firstLine="652"/>
        <w:spacing w:after="0" w:line="252" w:lineRule="auto"/>
        <w:tabs>
          <w:tab w:leader="none" w:pos="14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that is promptly purchased or (ii) the proceeds of such Asset Sale are promptly applied to the purchase price of such replacement property (which replacement property is actually promptly purchased); and</w:t>
      </w:r>
    </w:p>
    <w:p>
      <w:pPr>
        <w:spacing w:after="0" w:line="157" w:lineRule="exact"/>
        <w:rPr>
          <w:rFonts w:ascii="Arial" w:cs="Arial" w:eastAsia="Arial" w:hAnsi="Arial"/>
          <w:sz w:val="18"/>
          <w:szCs w:val="18"/>
          <w:color w:val="auto"/>
        </w:rPr>
      </w:pPr>
    </w:p>
    <w:p>
      <w:pPr>
        <w:ind w:left="180" w:firstLine="652"/>
        <w:spacing w:after="0" w:line="229" w:lineRule="auto"/>
        <w:tabs>
          <w:tab w:leader="none" w:pos="1472" w:val="left"/>
        </w:tabs>
        <w:numPr>
          <w:ilvl w:val="0"/>
          <w:numId w:val="94"/>
        </w:numPr>
        <w:rPr>
          <w:rFonts w:ascii="Arial" w:cs="Arial" w:eastAsia="Arial" w:hAnsi="Arial"/>
          <w:sz w:val="20"/>
          <w:szCs w:val="20"/>
          <w:color w:val="auto"/>
        </w:rPr>
      </w:pPr>
      <w:r>
        <w:rPr>
          <w:rFonts w:ascii="Arial" w:cs="Arial" w:eastAsia="Arial" w:hAnsi="Arial"/>
          <w:sz w:val="20"/>
          <w:szCs w:val="20"/>
          <w:color w:val="auto"/>
        </w:rPr>
        <w:t>Dispositions that otherwise constitute a Permitted Investment or otherwise constitute a Restricted Payment permitted by Section 6.04 or a Permitted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440" w:right="339" w:bottom="1440" w:gutter="0" w:footer="0" w:header="0"/>
        </w:sectPr>
      </w:pPr>
    </w:p>
    <w:bookmarkStart w:id="178" w:name="page179"/>
    <w:bookmarkEnd w:id="178"/>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w:t>
      </w:r>
    </w:p>
    <w:p>
      <w:pPr>
        <w:spacing w:after="0"/>
        <w:rPr>
          <w:sz w:val="20"/>
          <w:szCs w:val="20"/>
          <w:color w:val="auto"/>
        </w:rPr>
      </w:pPr>
      <w:r>
        <w:rPr>
          <w:rFonts w:ascii="Arial" w:cs="Arial" w:eastAsia="Arial" w:hAnsi="Arial"/>
          <w:sz w:val="20"/>
          <w:szCs w:val="20"/>
          <w:color w:val="auto"/>
        </w:rPr>
        <w:t>other form approved by the Administrative Agent.</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w:t>
      </w:r>
    </w:p>
    <w:p>
      <w:pPr>
        <w:spacing w:after="0" w:line="250" w:lineRule="auto"/>
        <w:rPr>
          <w:sz w:val="20"/>
          <w:szCs w:val="20"/>
          <w:color w:val="auto"/>
        </w:rPr>
      </w:pPr>
      <w:r>
        <w:rPr>
          <w:rFonts w:ascii="Arial" w:cs="Arial" w:eastAsia="Arial" w:hAnsi="Arial"/>
          <w:sz w:val="18"/>
          <w:szCs w:val="18"/>
          <w:color w:val="auto"/>
        </w:rPr>
        <w:t>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Manager</w:t>
      </w:r>
      <w:r>
        <w:rPr>
          <w:rFonts w:ascii="Arial" w:cs="Arial" w:eastAsia="Arial" w:hAnsi="Arial"/>
          <w:sz w:val="20"/>
          <w:szCs w:val="20"/>
          <w:color w:val="auto"/>
        </w:rPr>
        <w:t>” has the meaning assigned to such term in Section 2.23(a).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Procedures</w:t>
      </w:r>
      <w:r>
        <w:rPr>
          <w:rFonts w:ascii="Arial" w:cs="Arial" w:eastAsia="Arial" w:hAnsi="Arial"/>
          <w:sz w:val="20"/>
          <w:szCs w:val="20"/>
          <w:color w:val="auto"/>
        </w:rPr>
        <w:t xml:space="preserve">” means the auction procedures with respect to Purchase Offers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 Renewal Letter of Credit</w:t>
      </w:r>
      <w:r>
        <w:rPr>
          <w:rFonts w:ascii="Arial" w:cs="Arial" w:eastAsia="Arial" w:hAnsi="Arial"/>
          <w:sz w:val="20"/>
          <w:szCs w:val="20"/>
          <w:color w:val="auto"/>
        </w:rPr>
        <w:t>” has the meaning assigned to such term in Section 2.06(c).</w:t>
      </w:r>
    </w:p>
    <w:p>
      <w:pPr>
        <w:spacing w:after="0" w:line="175"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with respect to any Tranche of Revolving Commitments, the period from and including the Closing Date to but excluding the earlier of the Maturity Date with respect to the Revolving Commitments of such Tranche and the date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termination of all of the Revolving Commitments of such Tranche.</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means, at any time with respect to any Lender, the Revolving Commitments of such Lender then in effect minus the Revolving Credit Exposure of such Lender at such time; it being understood and agreed that any Lender’s Swingline</w:t>
      </w:r>
    </w:p>
    <w:p>
      <w:pPr>
        <w:ind w:right="20"/>
        <w:spacing w:after="0" w:line="220" w:lineRule="auto"/>
        <w:rPr>
          <w:sz w:val="20"/>
          <w:szCs w:val="20"/>
          <w:color w:val="auto"/>
        </w:rPr>
      </w:pPr>
      <w:r>
        <w:rPr>
          <w:rFonts w:ascii="Arial" w:cs="Arial" w:eastAsia="Arial" w:hAnsi="Arial"/>
          <w:sz w:val="20"/>
          <w:szCs w:val="20"/>
          <w:color w:val="auto"/>
        </w:rPr>
        <w:t>Exposure shall not be deemed to be a component of the Revolving Credit Exposure for purposes of calculating the commitment fee under Section 2.12(a).</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Revolving Utilization</w:t>
      </w:r>
      <w:r>
        <w:rPr>
          <w:rFonts w:ascii="Arial" w:cs="Arial" w:eastAsia="Arial" w:hAnsi="Arial"/>
          <w:sz w:val="18"/>
          <w:szCs w:val="18"/>
          <w:color w:val="auto"/>
        </w:rPr>
        <w:t>” means, on the last day of each fiscal quarter, the percentage equal to a fraction the numerator of which is the average daily outstanding principal amount of all Revolving Loans and the total LC Exposure during such fiscal quarter and the</w:t>
      </w:r>
    </w:p>
    <w:p>
      <w:pPr>
        <w:spacing w:after="0"/>
        <w:rPr>
          <w:sz w:val="20"/>
          <w:szCs w:val="20"/>
          <w:color w:val="auto"/>
        </w:rPr>
      </w:pPr>
      <w:r>
        <w:rPr>
          <w:rFonts w:ascii="Arial" w:cs="Arial" w:eastAsia="Arial" w:hAnsi="Arial"/>
          <w:sz w:val="20"/>
          <w:szCs w:val="20"/>
          <w:color w:val="auto"/>
        </w:rPr>
        <w:t>denominator of which is the aggregate Revolving Commitments of all Revolving Lenders.</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w:t>
      </w:r>
    </w:p>
    <w:p>
      <w:pPr>
        <w:spacing w:after="0" w:line="224" w:lineRule="auto"/>
        <w:rPr>
          <w:sz w:val="20"/>
          <w:szCs w:val="20"/>
          <w:color w:val="auto"/>
        </w:rPr>
      </w:pPr>
      <w:r>
        <w:rPr>
          <w:rFonts w:ascii="Arial" w:cs="Arial" w:eastAsia="Arial" w:hAnsi="Arial"/>
          <w:sz w:val="19"/>
          <w:szCs w:val="19"/>
          <w:color w:val="auto"/>
        </w:rPr>
        <w:t>the United Kingdom Banking Act 2009 (as amended from time to time) and any other law, regulation or rule applicable in the United</w:t>
      </w:r>
    </w:p>
    <w:p>
      <w:pPr>
        <w:spacing w:after="0" w:line="220" w:lineRule="auto"/>
        <w:rPr>
          <w:sz w:val="20"/>
          <w:szCs w:val="20"/>
          <w:color w:val="auto"/>
        </w:rPr>
      </w:pPr>
      <w:r>
        <w:rPr>
          <w:rFonts w:ascii="Arial" w:cs="Arial" w:eastAsia="Arial" w:hAnsi="Arial"/>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or hereafter in effect, and any successor</w:t>
      </w:r>
    </w:p>
    <w:p>
      <w:pPr>
        <w:spacing w:after="0"/>
        <w:rPr>
          <w:sz w:val="20"/>
          <w:szCs w:val="20"/>
          <w:color w:val="auto"/>
        </w:rPr>
      </w:pPr>
      <w:r>
        <w:rPr>
          <w:rFonts w:ascii="Arial" w:cs="Arial" w:eastAsia="Arial" w:hAnsi="Arial"/>
          <w:sz w:val="20"/>
          <w:szCs w:val="20"/>
          <w:color w:val="auto"/>
        </w:rPr>
        <w:t>thereto.</w:t>
      </w:r>
    </w:p>
    <w:p>
      <w:pPr>
        <w:spacing w:after="0" w:line="15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ERISA) that is subject to Title I of ERISA, (b) a “plan” as defined in and subject to Section 4975 of the Code or (c) any Person whose assets include (for purposes of ERISA Section 3(42) or otherwise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purposes of Title I of ERISA or Section 4975 of the Code) the assets of any such “employee benefit plan” or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 Laws</w:t>
      </w:r>
      <w:r>
        <w:rPr>
          <w:rFonts w:ascii="Arial" w:cs="Arial" w:eastAsia="Arial" w:hAnsi="Arial"/>
          <w:sz w:val="18"/>
          <w:szCs w:val="18"/>
          <w:color w:val="auto"/>
        </w:rPr>
        <w:t>” means all laws, rules, regulations, codes, ordinances, or binding orders, decrees, judgments, injunctions, notices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agreements issued, promulgated or entered into by any Governmental Authority, relating to Plans, Multiemployer Plans, Non-U.S. Plans and Irish Pension Schemes, including without limitation, ERISA and any other comparable law, rule or regulation relating to Non-U.S. Plans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Irish Pension Schemes.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means:</w:t>
      </w:r>
    </w:p>
    <w:p>
      <w:pPr>
        <w:spacing w:after="0" w:line="162" w:lineRule="exact"/>
        <w:rPr>
          <w:sz w:val="20"/>
          <w:szCs w:val="20"/>
          <w:color w:val="auto"/>
        </w:rPr>
      </w:pPr>
    </w:p>
    <w:p>
      <w:pPr>
        <w:ind w:left="660" w:right="20" w:firstLine="644"/>
        <w:spacing w:after="0" w:line="236"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respect to a corporation, the board of directors of the corporation or any committee thereof duly authorized to act on behalf of such board;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respect to a partnership, the Board of Directors of the general partner of the partnership;</w:t>
      </w:r>
    </w:p>
    <w:p>
      <w:pPr>
        <w:spacing w:after="0" w:line="188" w:lineRule="exact"/>
        <w:rPr>
          <w:rFonts w:ascii="Arial" w:cs="Arial" w:eastAsia="Arial" w:hAnsi="Arial"/>
          <w:sz w:val="20"/>
          <w:szCs w:val="20"/>
          <w:color w:val="auto"/>
        </w:rPr>
      </w:pPr>
    </w:p>
    <w:p>
      <w:pPr>
        <w:ind w:left="660" w:firstLine="644"/>
        <w:spacing w:after="0" w:line="236"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respect to a limited liability company managed by the member or members, the managing member or members or any controlling committee of managing members thereof;</w:t>
      </w:r>
    </w:p>
    <w:p>
      <w:pPr>
        <w:spacing w:after="0" w:line="155" w:lineRule="exact"/>
        <w:rPr>
          <w:rFonts w:ascii="Arial" w:cs="Arial" w:eastAsia="Arial" w:hAnsi="Arial"/>
          <w:sz w:val="20"/>
          <w:szCs w:val="20"/>
          <w:color w:val="auto"/>
        </w:rPr>
      </w:pPr>
    </w:p>
    <w:p>
      <w:pPr>
        <w:ind w:left="660" w:firstLine="644"/>
        <w:spacing w:after="0" w:line="236" w:lineRule="auto"/>
        <w:tabs>
          <w:tab w:leader="none" w:pos="1944"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respect to a limited liability company managed by a manager or managers, the manager or managers and any controlling committee of managers; and</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respect to any other Person, the board or committee of such Person serving a similar function.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has the meaning assigned to such term in the final paragraph of Section 5.01.</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 collectively, the Lux Borrower, the U.S. Borrower, each Revolving Borrower, the Lux U.S. Subsidiary Borrower and each Additional Borrower.</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Class, Type and currency made, converted or continued on the same date and, in the case of 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auto"/>
        </w:rPr>
        <w:t xml:space="preserve"> or RFR Loans meeting the foregoing requirements under this clause (a), as to</w:t>
      </w:r>
    </w:p>
    <w:p>
      <w:pPr>
        <w:spacing w:after="0" w:line="226" w:lineRule="auto"/>
        <w:rPr>
          <w:sz w:val="20"/>
          <w:szCs w:val="20"/>
          <w:color w:val="auto"/>
        </w:rPr>
      </w:pPr>
      <w:r>
        <w:rPr>
          <w:rFonts w:ascii="Arial" w:cs="Arial" w:eastAsia="Arial" w:hAnsi="Arial"/>
          <w:sz w:val="18"/>
          <w:szCs w:val="18"/>
          <w:color w:val="auto"/>
        </w:rPr>
        <w:t>which a single Interest Period is in effect, (b) Term Loans of the same Class and Type made on the same date and, in the case of 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auto"/>
        </w:rPr>
        <w:t xml:space="preserve"> or RFR Loans meeting the foregoing requirements under this clause (b), as to which a single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Interest Period is in effect or (c) a Swingline Loan.</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by the Applicable Borrower for a Borrowing, in substantially the form of Exhibit I hereto, in accordance with Section 2.03.</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New York City or London,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United Kingdom or, if such day relates to the payment of any obligation or the performance of any covenant, duty or obligation of (x) a Borrower organized in Luxembourg or (y) a Borrower incorporated in Ireland, are authorized or required by law to remain closed; </w:t>
      </w:r>
      <w:r>
        <w:rPr>
          <w:rFonts w:ascii="Arial" w:cs="Arial" w:eastAsia="Arial" w:hAnsi="Arial"/>
          <w:sz w:val="18"/>
          <w:szCs w:val="18"/>
          <w:u w:val="single" w:color="auto"/>
          <w:color w:val="auto"/>
        </w:rPr>
        <w:t>provided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that, when used in connection with a Eurocurrency Loan</w:t>
      </w:r>
      <w:r>
        <w:rPr>
          <w:rFonts w:ascii="Arial" w:cs="Arial" w:eastAsia="Arial" w:hAnsi="Arial"/>
          <w:sz w:val="20"/>
          <w:szCs w:val="20"/>
          <w:u w:val="single" w:color="auto"/>
          <w:color w:val="0000FF"/>
        </w:rPr>
        <w:t>, USD Term SOFR Loan</w:t>
      </w:r>
      <w:r>
        <w:rPr>
          <w:rFonts w:ascii="Arial" w:cs="Arial" w:eastAsia="Arial" w:hAnsi="Arial"/>
          <w:sz w:val="20"/>
          <w:szCs w:val="20"/>
          <w:color w:val="auto"/>
        </w:rPr>
        <w:t xml:space="preserve"> or RFR Loan,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shall also exclude any day on which banks are not open for dealings in the relevant Agreed Currency in the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interbank market or the principal financial center of the country of such Agreed Currency (and, if the Borrowings or LC Disbursements which are the subject of a borrowing, drawing, payment, reimbursement or rate selection are denominated in euros, the term “Business Day”</w:t>
      </w:r>
    </w:p>
    <w:p>
      <w:pPr>
        <w:spacing w:after="0"/>
        <w:rPr>
          <w:sz w:val="20"/>
          <w:szCs w:val="20"/>
          <w:color w:val="auto"/>
        </w:rPr>
      </w:pPr>
      <w:r>
        <w:rPr>
          <w:rFonts w:ascii="Arial" w:cs="Arial" w:eastAsia="Arial" w:hAnsi="Arial"/>
          <w:sz w:val="20"/>
          <w:szCs w:val="20"/>
          <w:color w:val="auto"/>
        </w:rPr>
        <w:t>shall also exclude any day on which the TARGET payment system is not open for the settlement of payments in euro).</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w:t>
      </w:r>
    </w:p>
    <w:p>
      <w:pPr>
        <w:spacing w:after="0" w:line="226" w:lineRule="auto"/>
        <w:rPr>
          <w:sz w:val="20"/>
          <w:szCs w:val="20"/>
          <w:color w:val="auto"/>
        </w:rPr>
      </w:pPr>
      <w:r>
        <w:rPr>
          <w:rFonts w:ascii="Arial" w:cs="Arial" w:eastAsia="Arial" w:hAnsi="Arial"/>
          <w:sz w:val="18"/>
          <w:szCs w:val="18"/>
          <w:color w:val="auto"/>
        </w:rPr>
        <w:t xml:space="preserve">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obligations of any person that are or would be</w:t>
      </w:r>
    </w:p>
    <w:p>
      <w:pPr>
        <w:spacing w:after="0" w:line="224" w:lineRule="auto"/>
        <w:rPr>
          <w:sz w:val="20"/>
          <w:szCs w:val="20"/>
          <w:color w:val="auto"/>
        </w:rPr>
      </w:pPr>
      <w:r>
        <w:rPr>
          <w:rFonts w:ascii="Arial" w:cs="Arial" w:eastAsia="Arial" w:hAnsi="Arial"/>
          <w:sz w:val="19"/>
          <w:szCs w:val="19"/>
          <w:color w:val="auto"/>
        </w:rPr>
        <w:t>characterized as operating lease obligations in accordance with GAAP on December 31, 2015 (whether or not such operating lease</w:t>
      </w:r>
    </w:p>
    <w:p>
      <w:pPr>
        <w:ind w:right="20"/>
        <w:spacing w:after="0" w:line="226" w:lineRule="auto"/>
        <w:rPr>
          <w:sz w:val="20"/>
          <w:szCs w:val="20"/>
          <w:color w:val="auto"/>
        </w:rPr>
      </w:pPr>
      <w:r>
        <w:rPr>
          <w:rFonts w:ascii="Arial" w:cs="Arial" w:eastAsia="Arial" w:hAnsi="Arial"/>
          <w:sz w:val="18"/>
          <w:szCs w:val="18"/>
          <w:color w:val="auto"/>
        </w:rPr>
        <w:t>obligations were in effect on such date) shall continue to be accounted for as operating lease obligations (and not as Capital Lease Obligations) for purposes of this Agreement regardless of any change in GAAP following December 31, 2015 that would otherwise require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obligations to be recharacterized (on a prospective or retroactive basis or otherwise) as Capital Lease Obligations.</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Markets Indebtedness</w:t>
      </w:r>
      <w:r>
        <w:rPr>
          <w:rFonts w:ascii="Arial" w:cs="Arial" w:eastAsia="Arial" w:hAnsi="Arial"/>
          <w:sz w:val="18"/>
          <w:szCs w:val="18"/>
          <w:color w:val="auto"/>
        </w:rPr>
        <w:t>” means (i) any Indebtedness consisting of bonds, debentures, Notes or other similar debt securities issued in (a) a public offering registered under the Securities Act or (b) a private placement to institutional investors that is resold in</w:t>
      </w:r>
    </w:p>
    <w:p>
      <w:pPr>
        <w:spacing w:after="0" w:line="220" w:lineRule="auto"/>
        <w:rPr>
          <w:sz w:val="20"/>
          <w:szCs w:val="20"/>
          <w:color w:val="auto"/>
        </w:rPr>
      </w:pPr>
      <w:r>
        <w:rPr>
          <w:rFonts w:ascii="Arial" w:cs="Arial" w:eastAsia="Arial" w:hAnsi="Arial"/>
          <w:sz w:val="20"/>
          <w:szCs w:val="20"/>
          <w:color w:val="auto"/>
        </w:rPr>
        <w:t>accordance with Rule 144A or Regulation S of the Securities Act, whether or not it includes registration rights entitling the holders of such debt securities to registration thereof with the SEC and (ii) any Indebtedness consisting of term loan facilities.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Holdings and the Restricted Subsidiaries during such period in respect of licensed or purchased software or internally</w:t>
      </w:r>
    </w:p>
    <w:p>
      <w:pPr>
        <w:spacing w:after="0" w:line="227" w:lineRule="auto"/>
        <w:rPr>
          <w:sz w:val="20"/>
          <w:szCs w:val="20"/>
          <w:color w:val="auto"/>
        </w:rPr>
      </w:pPr>
      <w:r>
        <w:rPr>
          <w:rFonts w:ascii="Arial" w:cs="Arial" w:eastAsia="Arial" w:hAnsi="Arial"/>
          <w:sz w:val="20"/>
          <w:szCs w:val="20"/>
          <w:color w:val="auto"/>
        </w:rPr>
        <w:t>developed software and software enhancements that, in conformity with GAAP, are or are required to be reflected as capitalized costs on the consolidated balance sheet of Holdings and the Restricted Subsidiaries.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Collateralized</w:t>
      </w:r>
      <w:r>
        <w:rPr>
          <w:rFonts w:ascii="Arial" w:cs="Arial" w:eastAsia="Arial" w:hAnsi="Arial"/>
          <w:sz w:val="18"/>
          <w:szCs w:val="18"/>
          <w:color w:val="auto"/>
        </w:rPr>
        <w:t>” means, with respect to any Letter of Credit, as of any date, that the Applicable Borrower shall have deposited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the LC Collateral Account, in the name of the Administrative Agent and for the benefit of the Lenders, an amount in cash equal to 102% of the LC Exposure as of such date plus any accrued and unpaid interest thereon pursuant to such documentation and arrangements as 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reasonably satisfactory to the Administrative Agent. “Cash Collateralize” shall have the correlative meaning.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162" w:lineRule="exact"/>
        <w:rPr>
          <w:sz w:val="20"/>
          <w:szCs w:val="20"/>
          <w:color w:val="auto"/>
        </w:rPr>
      </w:pPr>
    </w:p>
    <w:p>
      <w:pPr>
        <w:jc w:val="both"/>
        <w:ind w:left="660" w:firstLine="644"/>
        <w:spacing w:after="0" w:line="220" w:lineRule="auto"/>
        <w:tabs>
          <w:tab w:leader="none" w:pos="1946" w:val="left"/>
        </w:tabs>
        <w:numPr>
          <w:ilvl w:val="0"/>
          <w:numId w:val="96"/>
        </w:numPr>
        <w:rPr>
          <w:rFonts w:ascii="Arial" w:cs="Arial" w:eastAsia="Arial" w:hAnsi="Arial"/>
          <w:sz w:val="20"/>
          <w:szCs w:val="20"/>
          <w:color w:val="auto"/>
        </w:rPr>
      </w:pPr>
      <w:r>
        <w:rPr>
          <w:rFonts w:ascii="Arial" w:cs="Arial" w:eastAsia="Arial" w:hAnsi="Arial"/>
          <w:sz w:val="20"/>
          <w:szCs w:val="20"/>
          <w:color w:val="auto"/>
        </w:rPr>
        <w:t>(i) United States dollars, Canadian dollars, euro, Pounds Sterling, Yen, Swiss Francs or any national currency of any member state of the European Union, (ii) with respect to Holdings or any Restricted Subsidiary, the national currency of the jurisdiction in which such Person is organized or domiciled, and (iii) any other foreign currency held by Holdings and the Restricted Subsidiaries in the ordinary course of business;</w:t>
      </w:r>
    </w:p>
    <w:p>
      <w:pPr>
        <w:spacing w:after="0" w:line="169" w:lineRule="exact"/>
        <w:rPr>
          <w:rFonts w:ascii="Arial" w:cs="Arial" w:eastAsia="Arial" w:hAnsi="Arial"/>
          <w:sz w:val="20"/>
          <w:szCs w:val="20"/>
          <w:color w:val="auto"/>
        </w:rPr>
      </w:pPr>
    </w:p>
    <w:p>
      <w:pPr>
        <w:jc w:val="both"/>
        <w:ind w:left="660" w:firstLine="644"/>
        <w:spacing w:after="0" w:line="220" w:lineRule="auto"/>
        <w:tabs>
          <w:tab w:leader="none" w:pos="1944" w:val="left"/>
        </w:tabs>
        <w:numPr>
          <w:ilvl w:val="0"/>
          <w:numId w:val="96"/>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357" w:lineRule="exact"/>
        <w:rPr>
          <w:sz w:val="20"/>
          <w:szCs w:val="20"/>
          <w:color w:val="auto"/>
        </w:rPr>
      </w:pPr>
    </w:p>
    <w:p>
      <w:pPr>
        <w:ind w:left="660" w:firstLine="644"/>
        <w:spacing w:after="0" w:line="229" w:lineRule="auto"/>
        <w:tabs>
          <w:tab w:leader="none" w:pos="1946" w:val="left"/>
        </w:tabs>
        <w:numPr>
          <w:ilvl w:val="1"/>
          <w:numId w:val="97"/>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68"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1"/>
          <w:numId w:val="97"/>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$250,000,000 in the case of U.S. banks and $250,000,000 (or the foreign currency equivalent as of the date of determination) in the case of non-U.S. banks;</w:t>
      </w:r>
    </w:p>
    <w:p>
      <w:pPr>
        <w:spacing w:after="0" w:line="163" w:lineRule="exact"/>
        <w:rPr>
          <w:rFonts w:ascii="Arial" w:cs="Arial" w:eastAsia="Arial" w:hAnsi="Arial"/>
          <w:sz w:val="18"/>
          <w:szCs w:val="18"/>
          <w:color w:val="auto"/>
        </w:rPr>
      </w:pPr>
    </w:p>
    <w:p>
      <w:pPr>
        <w:ind w:left="660" w:right="20" w:firstLine="644"/>
        <w:spacing w:after="0" w:line="269" w:lineRule="auto"/>
        <w:tabs>
          <w:tab w:leader="none" w:pos="1946" w:val="left"/>
        </w:tabs>
        <w:numPr>
          <w:ilvl w:val="1"/>
          <w:numId w:val="97"/>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thirty (30) days for securities described in clauses (b) and (d) above and entered into with a financial institution satisfying the criteria described in clause (d) above;</w:t>
      </w:r>
    </w:p>
    <w:p>
      <w:pPr>
        <w:spacing w:after="0" w:line="143" w:lineRule="exact"/>
        <w:rPr>
          <w:rFonts w:ascii="Arial" w:cs="Arial" w:eastAsia="Arial" w:hAnsi="Arial"/>
          <w:sz w:val="18"/>
          <w:szCs w:val="18"/>
          <w:color w:val="auto"/>
        </w:rPr>
      </w:pPr>
    </w:p>
    <w:p>
      <w:pPr>
        <w:jc w:val="both"/>
        <w:ind w:left="660" w:firstLine="644"/>
        <w:spacing w:after="0" w:line="223" w:lineRule="auto"/>
        <w:tabs>
          <w:tab w:leader="none" w:pos="1951" w:val="left"/>
        </w:tabs>
        <w:numPr>
          <w:ilvl w:val="1"/>
          <w:numId w:val="97"/>
        </w:numPr>
        <w:rPr>
          <w:rFonts w:ascii="Arial" w:cs="Arial" w:eastAsia="Arial" w:hAnsi="Arial"/>
          <w:sz w:val="20"/>
          <w:szCs w:val="20"/>
          <w:color w:val="auto"/>
        </w:rPr>
      </w:pPr>
      <w:r>
        <w:rPr>
          <w:rFonts w:ascii="Arial" w:cs="Arial" w:eastAsia="Arial" w:hAnsi="Arial"/>
          <w:sz w:val="20"/>
          <w:szCs w:val="20"/>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944" w:val="left"/>
        </w:tabs>
        <w:numPr>
          <w:ilvl w:val="1"/>
          <w:numId w:val="97"/>
        </w:numPr>
        <w:rPr>
          <w:rFonts w:ascii="Arial" w:cs="Arial" w:eastAsia="Arial" w:hAnsi="Arial"/>
          <w:sz w:val="20"/>
          <w:szCs w:val="20"/>
          <w:color w:val="auto"/>
        </w:rPr>
      </w:pPr>
      <w:r>
        <w:rPr>
          <w:rFonts w:ascii="Arial" w:cs="Arial" w:eastAsia="Arial" w:hAnsi="Arial"/>
          <w:sz w:val="20"/>
          <w:szCs w:val="20"/>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69" w:lineRule="exact"/>
        <w:rPr>
          <w:rFonts w:ascii="Arial" w:cs="Arial" w:eastAsia="Arial" w:hAnsi="Arial"/>
          <w:sz w:val="20"/>
          <w:szCs w:val="20"/>
          <w:color w:val="auto"/>
        </w:rPr>
      </w:pPr>
    </w:p>
    <w:p>
      <w:pPr>
        <w:jc w:val="both"/>
        <w:ind w:left="660" w:firstLine="644"/>
        <w:spacing w:after="0" w:line="239" w:lineRule="auto"/>
        <w:tabs>
          <w:tab w:leader="none" w:pos="1944"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investment funds investing substantially all of their assets in securities of the types described in clauses (a) through</w:t>
      </w:r>
    </w:p>
    <w:p>
      <w:pPr>
        <w:spacing w:after="0" w:line="11" w:lineRule="exact"/>
        <w:rPr>
          <w:rFonts w:ascii="Arial" w:cs="Arial" w:eastAsia="Arial" w:hAnsi="Arial"/>
          <w:sz w:val="18"/>
          <w:szCs w:val="18"/>
          <w:color w:val="auto"/>
        </w:rPr>
      </w:pPr>
    </w:p>
    <w:p>
      <w:pPr>
        <w:ind w:left="940" w:hanging="284"/>
        <w:spacing w:after="0"/>
        <w:tabs>
          <w:tab w:leader="none" w:pos="9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above; and</w:t>
      </w:r>
    </w:p>
    <w:p>
      <w:pPr>
        <w:spacing w:after="0" w:line="159" w:lineRule="exact"/>
        <w:rPr>
          <w:rFonts w:ascii="Arial" w:cs="Arial" w:eastAsia="Arial" w:hAnsi="Arial"/>
          <w:sz w:val="20"/>
          <w:szCs w:val="20"/>
          <w:color w:val="auto"/>
        </w:rPr>
      </w:pPr>
    </w:p>
    <w:p>
      <w:pPr>
        <w:jc w:val="both"/>
        <w:ind w:left="660" w:firstLine="644"/>
        <w:spacing w:after="0" w:line="227" w:lineRule="auto"/>
        <w:tabs>
          <w:tab w:leader="none" w:pos="1954" w:val="left"/>
        </w:tabs>
        <w:numPr>
          <w:ilvl w:val="1"/>
          <w:numId w:val="98"/>
        </w:numPr>
        <w:rPr>
          <w:rFonts w:ascii="Arial" w:cs="Arial" w:eastAsia="Arial" w:hAnsi="Arial"/>
          <w:sz w:val="20"/>
          <w:szCs w:val="20"/>
          <w:color w:val="auto"/>
        </w:rPr>
      </w:pPr>
      <w:r>
        <w:rPr>
          <w:rFonts w:ascii="Arial" w:cs="Arial" w:eastAsia="Arial" w:hAnsi="Arial"/>
          <w:sz w:val="20"/>
          <w:szCs w:val="20"/>
          <w:color w:val="auto"/>
        </w:rPr>
        <w:t>in the case of any Holdings or Foreign Subsidiary, other short-term investments that are analogous to the foregoing, are of comparable credit quality and are customarily used by companies in the jurisdiction of Holdings or such Foreign Subsidiary for cash management purposes.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w:t>
      </w:r>
    </w:p>
    <w:p>
      <w:pPr>
        <w:spacing w:after="0" w:line="35" w:lineRule="exact"/>
        <w:rPr>
          <w:sz w:val="20"/>
          <w:szCs w:val="20"/>
          <w:color w:val="auto"/>
        </w:rPr>
      </w:pPr>
    </w:p>
    <w:p>
      <w:pPr>
        <w:ind w:right="20" w:firstLine="8"/>
        <w:spacing w:after="0" w:line="227" w:lineRule="auto"/>
        <w:tabs>
          <w:tab w:leader="none" w:pos="2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amounts are converted into any currency listed in clause (a) above as promptly as practicable and in any event within ten business days following the receipt of such amounts.</w:t>
      </w:r>
    </w:p>
    <w:p>
      <w:pPr>
        <w:spacing w:after="0" w:line="14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netting, foreign exchange facilities, credit or debit card, electronic funds transfer and other cash management arrangements.</w:t>
      </w:r>
    </w:p>
    <w:p>
      <w:pPr>
        <w:spacing w:after="0" w:line="144"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Person (A) that is a Lender, an Agent or a Lead Arranger (or an Affiliate of a Lender, an Agent or a Lead Arranger) and any Person who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Lender, an Agent or a Lead Arranger (or any Affiliate of a Lender, an Agent or a Lead Arranger) at the time it entered into a Cash Management Agreement, in each case, in its capacity as a party to such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(or</w:t>
      </w:r>
    </w:p>
    <w:p>
      <w:pPr>
        <w:spacing w:after="0" w:line="235" w:lineRule="auto"/>
        <w:rPr>
          <w:sz w:val="20"/>
          <w:szCs w:val="20"/>
          <w:color w:val="auto"/>
        </w:rPr>
      </w:pPr>
      <w:r>
        <w:rPr>
          <w:rFonts w:ascii="Arial" w:cs="Arial" w:eastAsia="Arial" w:hAnsi="Arial"/>
          <w:sz w:val="18"/>
          <w:szCs w:val="18"/>
          <w:color w:val="auto"/>
        </w:rPr>
        <w:t>was, at the time it entered into a Cash Management Agreement) an Affiliate of a Lender, an Agent or a Lead Arranger (other than any such</w:t>
      </w:r>
    </w:p>
    <w:p>
      <w:pPr>
        <w:spacing w:after="0" w:line="226" w:lineRule="auto"/>
        <w:rPr>
          <w:sz w:val="20"/>
          <w:szCs w:val="20"/>
          <w:color w:val="auto"/>
        </w:rPr>
      </w:pPr>
      <w:r>
        <w:rPr>
          <w:rFonts w:ascii="Arial" w:cs="Arial" w:eastAsia="Arial" w:hAnsi="Arial"/>
          <w:sz w:val="18"/>
          <w:szCs w:val="18"/>
          <w:color w:val="auto"/>
        </w:rPr>
        <w:t>Person that is an Affiliate of Citibank, N.A.), such person shall deliver to the Administrative Agent a letter agreement pursuant to which such person (i) appoints the Collateral Agent as its agent under the applicable Loan Documents and (ii) agrees to be bound by the provisions of</w:t>
      </w:r>
    </w:p>
    <w:p>
      <w:pPr>
        <w:spacing w:after="0" w:line="236" w:lineRule="auto"/>
        <w:rPr>
          <w:sz w:val="20"/>
          <w:szCs w:val="20"/>
          <w:color w:val="auto"/>
        </w:rPr>
      </w:pPr>
      <w:r>
        <w:rPr>
          <w:rFonts w:ascii="Arial" w:cs="Arial" w:eastAsia="Arial" w:hAnsi="Arial"/>
          <w:sz w:val="18"/>
          <w:szCs w:val="18"/>
          <w:color w:val="auto"/>
        </w:rPr>
        <w:t>Article VIII, Sections 9.03 and 9.09 and Section 10 of the U.S. Security Agreement as if it were a Lender or (B) that is designated in writing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by Holdings to the Administrative Agent as a “Cash Management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Agent or Lead Arranger, such Person executes and delivers to the Administrative Agent and Holdings a letter agreement in form and substance reasonably</w:t>
      </w:r>
    </w:p>
    <w:p>
      <w:pPr>
        <w:spacing w:after="0" w:line="236" w:lineRule="auto"/>
        <w:rPr>
          <w:sz w:val="20"/>
          <w:szCs w:val="20"/>
          <w:color w:val="auto"/>
        </w:rPr>
      </w:pPr>
      <w:r>
        <w:rPr>
          <w:rFonts w:ascii="Arial" w:cs="Arial" w:eastAsia="Arial" w:hAnsi="Arial"/>
          <w:sz w:val="18"/>
          <w:szCs w:val="18"/>
          <w:color w:val="auto"/>
        </w:rPr>
        <w:t>acceptable to the Administrative agent and Holdings pursuant to which such Person (i) appoints the Collateral Agent as its agent under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applicable Loan Documents and (ii) agrees to be bound by the provisions of Article VIII, Sections 9.03 and 9.09 hereof and Section 10 of the U.S. Security Agreement as if it were a Lender.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Central Bank Rate</w:t>
      </w:r>
      <w:r>
        <w:rPr>
          <w:rFonts w:ascii="Arial" w:cs="Arial" w:eastAsia="Arial" w:hAnsi="Arial"/>
          <w:sz w:val="20"/>
          <w:szCs w:val="20"/>
          <w:color w:val="auto"/>
        </w:rPr>
        <w:t>” means the Bank of England’s Bank Rate as published by the Bank of England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in relation to the Central Bank Rate prevailing at close of business on any RFR Business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Day, the 20% trimmed arithmetic mean (calculated by the Administrative Agent) of the Central Bank Rate Spreads for the 5 most immediately preceding RFR Business Days for which the RFR is available.</w:t>
      </w:r>
    </w:p>
    <w:p>
      <w:pPr>
        <w:spacing w:after="0" w:line="156"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 Spread</w:t>
      </w:r>
      <w:r>
        <w:rPr>
          <w:rFonts w:ascii="Arial" w:cs="Arial" w:eastAsia="Arial" w:hAnsi="Arial"/>
          <w:sz w:val="16"/>
          <w:szCs w:val="16"/>
          <w:color w:val="auto"/>
        </w:rPr>
        <w:t>” means, in relation to any RFR Business Day, the difference (expressed as a percentage rate per annum) calculated by the Administrative Agent of (x) the RFR for such RFR Business Day and (y) the Central Bank Rate prevailing at close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business on such RFR Business Day.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Code.</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Closing Date, of any of the following: (a) the adoption or taking effect of any law, rule, regulation or treaty, (b) any change in any law, rule, regulation or treaty or in the administration, interpretation or application thereof by</w:t>
      </w:r>
    </w:p>
    <w:p>
      <w:pPr>
        <w:spacing w:after="0" w:line="235" w:lineRule="auto"/>
        <w:rPr>
          <w:sz w:val="20"/>
          <w:szCs w:val="20"/>
          <w:color w:val="auto"/>
        </w:rPr>
      </w:pPr>
      <w:r>
        <w:rPr>
          <w:rFonts w:ascii="Arial" w:cs="Arial" w:eastAsia="Arial" w:hAnsi="Arial"/>
          <w:sz w:val="18"/>
          <w:szCs w:val="18"/>
          <w:color w:val="auto"/>
        </w:rPr>
        <w:t>any Governmental Authority or (c) the making or issuance of any request, rules, guideline, requirement or directive (whether or not having</w:t>
      </w:r>
    </w:p>
    <w:p>
      <w:pPr>
        <w:spacing w:after="0" w:line="226" w:lineRule="auto"/>
        <w:rPr>
          <w:sz w:val="20"/>
          <w:szCs w:val="20"/>
          <w:color w:val="auto"/>
        </w:rPr>
      </w:pPr>
      <w:r>
        <w:rPr>
          <w:rFonts w:ascii="Arial" w:cs="Arial" w:eastAsia="Arial" w:hAnsi="Arial"/>
          <w:sz w:val="18"/>
          <w:szCs w:val="18"/>
          <w:color w:val="auto"/>
        </w:rPr>
        <w:t xml:space="preserve">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herein to the contrary, (i) the Dodd-Frank Wall Street Reform and Consumer Protection Act and all requests, rules, guidelines, requirements and directives thereunder, issued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connection therewith or in implementation thereof shall be deemed to be a “Change in Law” regardless of the date enacted, adopted, issued or implemented and (ii) all reports, notes, guidelines, rules, requests and directives promulgated by the Bank for International Settlements,</w:t>
      </w:r>
    </w:p>
    <w:p>
      <w:pPr>
        <w:spacing w:after="0" w:line="236" w:lineRule="auto"/>
        <w:rPr>
          <w:sz w:val="20"/>
          <w:szCs w:val="20"/>
          <w:color w:val="auto"/>
        </w:rPr>
      </w:pPr>
      <w:r>
        <w:rPr>
          <w:rFonts w:ascii="Arial" w:cs="Arial" w:eastAsia="Arial" w:hAnsi="Arial"/>
          <w:sz w:val="18"/>
          <w:szCs w:val="18"/>
          <w:color w:val="auto"/>
        </w:rPr>
        <w:t>the Basel Committee on Banking Supervision (or any successor or similar authority) or the United States or foreign regulatory authorities, in</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each case, pursuant to Basel III, shall, in each case, be deemed to be a “Change in Law” regardless of the date enacted, adopted, issued or implemented.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of beneficial ownership, directly or indirectly, by any Person or group (within the meaning of the Securities Exchange Act of 1934 and the rules of the SEC thereunder as in effect on the Closing Date), of Equity Interests</w:t>
      </w:r>
    </w:p>
    <w:p>
      <w:pPr>
        <w:spacing w:after="0" w:line="235" w:lineRule="auto"/>
        <w:rPr>
          <w:sz w:val="20"/>
          <w:szCs w:val="20"/>
          <w:color w:val="auto"/>
        </w:rPr>
      </w:pPr>
      <w:r>
        <w:rPr>
          <w:rFonts w:ascii="Arial" w:cs="Arial" w:eastAsia="Arial" w:hAnsi="Arial"/>
          <w:sz w:val="18"/>
          <w:szCs w:val="18"/>
          <w:color w:val="auto"/>
        </w:rPr>
        <w:t>representing more than 50% of the aggregate ordinary voting power represented by the issued and outstanding Equity Interests of Holdings;</w:t>
      </w:r>
    </w:p>
    <w:p>
      <w:pPr>
        <w:ind w:firstLine="8"/>
        <w:spacing w:after="0" w:line="220" w:lineRule="auto"/>
        <w:tabs>
          <w:tab w:leader="none" w:pos="30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occurrence of a change of control, or other similar provision, as defined in any agreement or instrument evidencing any Material Indebtedness triggering a default or mandatory prepayment, which default or mandatory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prepayment has not been waived in writing (other than Indebtedness subject to repayment on the Closing Date in connection with the Transactions); or (c) any Borrower ceasing to be either a direct or indirect wholly-owned subsidiary of Holdings. For the avoidance of doubt,</w:t>
      </w:r>
    </w:p>
    <w:p>
      <w:pPr>
        <w:spacing w:after="0" w:line="227" w:lineRule="auto"/>
        <w:rPr>
          <w:sz w:val="20"/>
          <w:szCs w:val="20"/>
          <w:color w:val="auto"/>
        </w:rPr>
      </w:pPr>
      <w:r>
        <w:rPr>
          <w:rFonts w:ascii="Arial" w:cs="Arial" w:eastAsia="Arial" w:hAnsi="Arial"/>
          <w:sz w:val="20"/>
          <w:szCs w:val="20"/>
          <w:color w:val="auto"/>
        </w:rPr>
        <w:t>none of the Transactions shall be deemed a Change of Control so long as, after giving effect thereto, clauses (a) through (c) above are complied with.</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a transaction will not be deemed to constitute a Change of Control if (x) Holdings becomes a direct</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or indirect wholly-owned Subsidiary of a holding company and (y)(i) the direct or indirect holders of the Voting Stock of such holding company immediately following that transaction are substantially the same as the holders of Holdings’ issued and outstanding Equity</w:t>
      </w:r>
    </w:p>
    <w:p>
      <w:pPr>
        <w:spacing w:after="0" w:line="222" w:lineRule="auto"/>
        <w:rPr>
          <w:sz w:val="20"/>
          <w:szCs w:val="20"/>
          <w:color w:val="auto"/>
        </w:rPr>
      </w:pPr>
      <w:r>
        <w:rPr>
          <w:rFonts w:ascii="Arial" w:cs="Arial" w:eastAsia="Arial" w:hAnsi="Arial"/>
          <w:sz w:val="19"/>
          <w:szCs w:val="19"/>
          <w:color w:val="auto"/>
        </w:rPr>
        <w:t>Interests immediately prior to that transaction or (ii) immediately following that transaction no Person (other than a holding company</w:t>
      </w:r>
    </w:p>
    <w:p>
      <w:pPr>
        <w:spacing w:after="0" w:line="220" w:lineRule="auto"/>
        <w:rPr>
          <w:sz w:val="20"/>
          <w:szCs w:val="20"/>
          <w:color w:val="auto"/>
        </w:rPr>
      </w:pPr>
      <w:r>
        <w:rPr>
          <w:rFonts w:ascii="Arial" w:cs="Arial" w:eastAsia="Arial" w:hAnsi="Arial"/>
          <w:sz w:val="20"/>
          <w:szCs w:val="20"/>
          <w:color w:val="auto"/>
        </w:rPr>
        <w:t>satisfying the requirements of this sentence) is the beneficial owner, directly or indirectly, of more than 50% of the Voting Stock of such holding company.</w:t>
      </w:r>
    </w:p>
    <w:p>
      <w:pPr>
        <w:spacing w:after="0" w:line="156"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xml:space="preserve">”, when used in reference to (a) any Loan or Borrowing, refers to whether such Loan, or the Loans comprising such Borrowing, are Loans of a particular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Loans within a Tranche having different Maturity Dates, Applicable</w:t>
      </w:r>
    </w:p>
    <w:p>
      <w:pPr>
        <w:spacing w:after="0" w:line="224" w:lineRule="auto"/>
        <w:rPr>
          <w:sz w:val="20"/>
          <w:szCs w:val="20"/>
          <w:color w:val="auto"/>
        </w:rPr>
      </w:pPr>
      <w:r>
        <w:rPr>
          <w:rFonts w:ascii="Arial" w:cs="Arial" w:eastAsia="Arial" w:hAnsi="Arial"/>
          <w:sz w:val="19"/>
          <w:szCs w:val="19"/>
          <w:color w:val="auto"/>
        </w:rPr>
        <w:t>Margins, currency of denomination (except pursuant to a Class of revolving commitments allowing extensions of credit thereunder in</w:t>
      </w:r>
    </w:p>
    <w:p>
      <w:pPr>
        <w:spacing w:after="0" w:line="215" w:lineRule="auto"/>
        <w:rPr>
          <w:sz w:val="20"/>
          <w:szCs w:val="20"/>
          <w:color w:val="auto"/>
        </w:rPr>
      </w:pPr>
      <w:r>
        <w:rPr>
          <w:rFonts w:ascii="Arial" w:cs="Arial" w:eastAsia="Arial" w:hAnsi="Arial"/>
          <w:sz w:val="19"/>
          <w:szCs w:val="19"/>
          <w:color w:val="auto"/>
        </w:rPr>
        <w:t xml:space="preserve">multiple currencies), repayments or other terms shall be regarded as separate Classes of Loans and Borrowings for purposes of this Agreement, (b) any Commitment, refers to whether such Commitment is a Commitment of a particular Tranche;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w:t>
      </w:r>
    </w:p>
    <w:p>
      <w:pPr>
        <w:spacing w:after="0" w:line="234" w:lineRule="auto"/>
        <w:rPr>
          <w:sz w:val="20"/>
          <w:szCs w:val="20"/>
          <w:color w:val="auto"/>
        </w:rPr>
      </w:pPr>
      <w:r>
        <w:rPr>
          <w:rFonts w:ascii="Arial" w:cs="Arial" w:eastAsia="Arial" w:hAnsi="Arial"/>
          <w:sz w:val="18"/>
          <w:szCs w:val="18"/>
          <w:color w:val="auto"/>
        </w:rPr>
        <w:t>Commitments within a Tranche having different Maturity Dates, Applicable Margins, currency of denomination (except pursuant to a Class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revolving commitments allowing extensions of credit thereunder in multiple currencies), repayments or other terms shall be regarded as separate Classes of Commitments for purposes of this Agreement and (c) any Lender, refers to whether such Lender is a Lender of a</w:t>
      </w:r>
    </w:p>
    <w:p>
      <w:pPr>
        <w:spacing w:after="0" w:line="236" w:lineRule="auto"/>
        <w:rPr>
          <w:sz w:val="20"/>
          <w:szCs w:val="20"/>
          <w:color w:val="auto"/>
        </w:rPr>
      </w:pPr>
      <w:r>
        <w:rPr>
          <w:rFonts w:ascii="Arial" w:cs="Arial" w:eastAsia="Arial" w:hAnsi="Arial"/>
          <w:sz w:val="18"/>
          <w:szCs w:val="18"/>
          <w:color w:val="auto"/>
        </w:rPr>
        <w:t xml:space="preserve">particular Tranche;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holding Loans or Commitments within a Tranche having different Maturity Dates,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Margins, currency of denomination (except pursuant to a Class of revolving commitments allowing extensions of credit thereunder in multiple currencies), repayments or other terms shall be regarded as a Lender with respect to separate Classes of Loans and/or Commitments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 applicable) for purposes of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July 1, 2021.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 (unless otherwise provided herein).</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any and all property owned, leased or operated by a Loan Party on which Liens are purported to be granted pursuant to the Collateral Documents as security for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Collateral shall exclude Excluded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means Citibank, N.A., London Branch in its capacity as collateral agent for the Secured Parties.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collectively, the U.S. Security Agreement, each Foreign Security Document and all other</w:t>
      </w:r>
    </w:p>
    <w:p>
      <w:pPr>
        <w:jc w:val="both"/>
        <w:spacing w:after="0" w:line="226" w:lineRule="auto"/>
        <w:rPr>
          <w:sz w:val="20"/>
          <w:szCs w:val="20"/>
          <w:color w:val="auto"/>
        </w:rPr>
      </w:pPr>
      <w:r>
        <w:rPr>
          <w:rFonts w:ascii="Arial" w:cs="Arial" w:eastAsia="Arial" w:hAnsi="Arial"/>
          <w:sz w:val="18"/>
          <w:szCs w:val="18"/>
          <w:color w:val="auto"/>
        </w:rPr>
        <w:t>agreements, instruments and documents executed in connection with this Agreement that are intended to create or evidence Liens to secure the Secured Obligations, and shall also include, without limitation, all other security agreements, pledge agreements, deeds of trust,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intercreditor agreements, collateral assignments and any agreements entered into for the purposes of perfection, now, or hereafter executed by Holdings or any of its Restricted Subsidiaries and delivered to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57"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with respect to each Lender, such Lender’s Revolving Commitment, Term Loan Commitment, Extended Revolving Commitment, Other Refinancing Commitment and Incremental Commitment.</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Companies Act</w:t>
      </w:r>
      <w:r>
        <w:rPr>
          <w:rFonts w:ascii="Arial" w:cs="Arial" w:eastAsia="Arial" w:hAnsi="Arial"/>
          <w:sz w:val="20"/>
          <w:szCs w:val="20"/>
          <w:color w:val="auto"/>
        </w:rPr>
        <w:t>” means the Companies Act 2014 of Ireland.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has the meaning assigned to such term in clause (c) of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Computation Date</w:t>
      </w:r>
      <w:r>
        <w:rPr>
          <w:rFonts w:ascii="Arial" w:cs="Arial" w:eastAsia="Arial" w:hAnsi="Arial"/>
          <w:sz w:val="20"/>
          <w:szCs w:val="20"/>
          <w:color w:val="auto"/>
        </w:rPr>
        <w:t>” shall have the meaning assigned to such term in Section 2.04.</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Expense</w:t>
      </w:r>
      <w:r>
        <w:rPr>
          <w:rFonts w:ascii="Arial" w:cs="Arial" w:eastAsia="Arial" w:hAnsi="Arial"/>
          <w:sz w:val="18"/>
          <w:szCs w:val="18"/>
          <w:color w:val="auto"/>
        </w:rPr>
        <w:t>” means with respect to any period, the total amount of depreciation and amortization expense, including any amortization of deferred financing fees, accretion of royalty liabilities, amortization in relation to</w:t>
      </w:r>
    </w:p>
    <w:p>
      <w:pPr>
        <w:spacing w:after="0" w:line="227" w:lineRule="auto"/>
        <w:rPr>
          <w:sz w:val="20"/>
          <w:szCs w:val="20"/>
          <w:color w:val="auto"/>
        </w:rPr>
      </w:pPr>
      <w:r>
        <w:rPr>
          <w:rFonts w:ascii="Arial" w:cs="Arial" w:eastAsia="Arial" w:hAnsi="Arial"/>
          <w:sz w:val="20"/>
          <w:szCs w:val="20"/>
          <w:color w:val="auto"/>
        </w:rPr>
        <w:t>terminated Swap Obligations and amortization of intangibles, including, but not limited to, goodwill, of the Group for such period on a consolidated basis and otherwise determined in accordance with GAAP.</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Test Period,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other than clauses</w:t>
      </w:r>
    </w:p>
    <w:p>
      <w:pPr>
        <w:spacing w:after="0" w:line="12"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and (viii), solely to the extent deducted (and not otherwise excluded) in determining Consolidated Net Income,</w:t>
      </w:r>
    </w:p>
    <w:p>
      <w:pPr>
        <w:spacing w:after="0" w:line="145" w:lineRule="exact"/>
        <w:rPr>
          <w:rFonts w:ascii="Arial" w:cs="Arial" w:eastAsia="Arial" w:hAnsi="Arial"/>
          <w:sz w:val="20"/>
          <w:szCs w:val="20"/>
          <w:color w:val="auto"/>
        </w:rPr>
      </w:pPr>
    </w:p>
    <w:p>
      <w:pPr>
        <w:ind w:left="2600" w:hanging="648"/>
        <w:spacing w:after="0"/>
        <w:tabs>
          <w:tab w:leader="none" w:pos="26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expense for Taxes paid or accrued, to the extent accounted for as Income Taxes under GAAP,</w:t>
      </w:r>
    </w:p>
    <w:p>
      <w:pPr>
        <w:spacing w:after="0" w:line="188" w:lineRule="exact"/>
        <w:rPr>
          <w:rFonts w:ascii="Arial" w:cs="Arial" w:eastAsia="Arial" w:hAnsi="Arial"/>
          <w:sz w:val="20"/>
          <w:szCs w:val="20"/>
          <w:color w:val="auto"/>
        </w:rPr>
      </w:pPr>
    </w:p>
    <w:p>
      <w:pPr>
        <w:jc w:val="both"/>
        <w:ind w:left="1300" w:firstLine="652"/>
        <w:spacing w:after="0" w:line="223" w:lineRule="auto"/>
        <w:tabs>
          <w:tab w:leader="none" w:pos="259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consolidated interest expense and charges and deferred financing fees, losses on hedging obligations or other derivative instruments entered into for the purpose of hedging interest rate risk, net of gains on such hedging obligations, and costs of surety bonds in connection with financing activities,</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Consolidated Depreciation and Amortization Expense,</w:t>
      </w:r>
    </w:p>
    <w:p>
      <w:pPr>
        <w:spacing w:after="0" w:line="175" w:lineRule="exact"/>
        <w:rPr>
          <w:rFonts w:ascii="Arial" w:cs="Arial" w:eastAsia="Arial" w:hAnsi="Arial"/>
          <w:sz w:val="20"/>
          <w:szCs w:val="20"/>
          <w:color w:val="auto"/>
        </w:rPr>
      </w:pPr>
    </w:p>
    <w:p>
      <w:pPr>
        <w:ind w:left="1300" w:firstLine="652"/>
        <w:spacing w:after="0" w:line="236" w:lineRule="auto"/>
        <w:tabs>
          <w:tab w:leader="none" w:pos="258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non-cash charges recorded in respect of purchase accounting and non-cash exchange, translation or performance losses relating to any foreign currency hedging transactions or currency fluctuations,</w:t>
      </w:r>
    </w:p>
    <w:p>
      <w:pPr>
        <w:spacing w:after="0" w:line="168" w:lineRule="exact"/>
        <w:rPr>
          <w:rFonts w:ascii="Arial" w:cs="Arial" w:eastAsia="Arial" w:hAnsi="Arial"/>
          <w:sz w:val="20"/>
          <w:szCs w:val="20"/>
          <w:color w:val="auto"/>
        </w:rPr>
      </w:pPr>
    </w:p>
    <w:p>
      <w:pPr>
        <w:jc w:val="both"/>
        <w:ind w:left="1300" w:firstLine="652"/>
        <w:spacing w:after="0" w:line="274" w:lineRule="auto"/>
        <w:tabs>
          <w:tab w:leader="none" w:pos="258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any other non-cash charges, expenses or losses, including, without limitation, (x) any non-cash compensation expense, non-cash translation loss and non-cash expense relating to the vesting of warrants and (y) pursuant to any management equity plan or stock plan or pursuant to Statement of Financial Accounting Standards 158 (codified under Accounting Standards Codification 715);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accruals or reserves for potential cash items in any future period may or may not (at the election of Holdings) be added back in such period and, to the extent added back, the cash payment in respect of such accrual or reserve in a future period shall be subtracted from Consolidated EBITDA in such future period,</w:t>
      </w:r>
    </w:p>
    <w:p>
      <w:pPr>
        <w:spacing w:after="0" w:line="130" w:lineRule="exact"/>
        <w:rPr>
          <w:rFonts w:ascii="Arial" w:cs="Arial" w:eastAsia="Arial" w:hAnsi="Arial"/>
          <w:sz w:val="16"/>
          <w:szCs w:val="16"/>
          <w:color w:val="auto"/>
        </w:rPr>
      </w:pPr>
    </w:p>
    <w:p>
      <w:pPr>
        <w:ind w:left="2580" w:hanging="628"/>
        <w:spacing w:after="0"/>
        <w:tabs>
          <w:tab w:leader="none" w:pos="258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expenses with respect to casualty events,</w:t>
      </w:r>
    </w:p>
    <w:p>
      <w:pPr>
        <w:spacing w:after="0" w:line="188" w:lineRule="exact"/>
        <w:rPr>
          <w:rFonts w:ascii="Arial" w:cs="Arial" w:eastAsia="Arial" w:hAnsi="Arial"/>
          <w:sz w:val="20"/>
          <w:szCs w:val="20"/>
          <w:color w:val="auto"/>
        </w:rPr>
      </w:pPr>
    </w:p>
    <w:p>
      <w:pPr>
        <w:ind w:left="1300" w:firstLine="652"/>
        <w:spacing w:after="0" w:line="236" w:lineRule="auto"/>
        <w:tabs>
          <w:tab w:leader="none" w:pos="258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amount of Run-rate cost savings, synergies and operating expense reductions projected by Holdings to be realized as a result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57"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Transactions, any Permitted Acquisition, any other Investment, dispositions, divestitures, restructurings, operating improvements, cost savings initiatives and other similar initiatives projected by Holdings in good faith to result from actions</w:t>
      </w:r>
    </w:p>
    <w:p>
      <w:pPr>
        <w:ind w:left="180"/>
        <w:spacing w:after="0" w:line="235" w:lineRule="auto"/>
        <w:rPr>
          <w:sz w:val="20"/>
          <w:szCs w:val="20"/>
          <w:color w:val="auto"/>
        </w:rPr>
      </w:pPr>
      <w:r>
        <w:rPr>
          <w:rFonts w:ascii="Arial" w:cs="Arial" w:eastAsia="Arial" w:hAnsi="Arial"/>
          <w:sz w:val="18"/>
          <w:szCs w:val="18"/>
          <w:color w:val="auto"/>
        </w:rPr>
        <w:t>taken, committed to be taken or with respect to which substantial steps have been taken or are expected in good faith to be</w:t>
      </w:r>
    </w:p>
    <w:p>
      <w:pPr>
        <w:ind w:left="180"/>
        <w:spacing w:after="0" w:line="255" w:lineRule="auto"/>
        <w:rPr>
          <w:sz w:val="20"/>
          <w:szCs w:val="20"/>
          <w:color w:val="auto"/>
        </w:rPr>
      </w:pPr>
      <w:r>
        <w:rPr>
          <w:rFonts w:ascii="Arial" w:cs="Arial" w:eastAsia="Arial" w:hAnsi="Arial"/>
          <w:sz w:val="16"/>
          <w:szCs w:val="16"/>
          <w:color w:val="auto"/>
        </w:rPr>
        <w:t>taken, other than in the case of the Transactions, within 24 months of such transaction, initiative or event, in each case, calculated as though such cost savings, synergies and operating expense reductions had been realized on the first day of the</w:t>
      </w:r>
    </w:p>
    <w:p>
      <w:pPr>
        <w:ind w:left="180"/>
        <w:spacing w:after="0" w:line="235" w:lineRule="auto"/>
        <w:rPr>
          <w:sz w:val="20"/>
          <w:szCs w:val="20"/>
          <w:color w:val="auto"/>
        </w:rPr>
      </w:pPr>
      <w:r>
        <w:rPr>
          <w:rFonts w:ascii="Arial" w:cs="Arial" w:eastAsia="Arial" w:hAnsi="Arial"/>
          <w:sz w:val="18"/>
          <w:szCs w:val="18"/>
          <w:color w:val="auto"/>
        </w:rPr>
        <w:t xml:space="preserve">applicable Test Period and net of the amount of actual benefits received during such period from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ind w:left="180"/>
        <w:spacing w:after="0" w:line="226" w:lineRule="auto"/>
        <w:rPr>
          <w:sz w:val="20"/>
          <w:szCs w:val="20"/>
          <w:color w:val="auto"/>
        </w:rPr>
      </w:pPr>
      <w:r>
        <w:rPr>
          <w:rFonts w:ascii="Arial" w:cs="Arial" w:eastAsia="Arial" w:hAnsi="Arial"/>
          <w:sz w:val="18"/>
          <w:szCs w:val="18"/>
          <w:color w:val="auto"/>
        </w:rPr>
        <w:t>that (A) such cost savings and synergies are factually supportable in the good faith judgment of Holdings and (B) no cost savings or synergies shall be added pursuant to this clause (vii) to the extent duplicative of any expenses or charges</w:t>
      </w:r>
    </w:p>
    <w:p>
      <w:pPr>
        <w:ind w:left="180"/>
        <w:spacing w:after="0" w:line="224" w:lineRule="auto"/>
        <w:rPr>
          <w:sz w:val="20"/>
          <w:szCs w:val="20"/>
          <w:color w:val="auto"/>
        </w:rPr>
      </w:pPr>
      <w:r>
        <w:rPr>
          <w:rFonts w:ascii="Arial" w:cs="Arial" w:eastAsia="Arial" w:hAnsi="Arial"/>
          <w:sz w:val="19"/>
          <w:szCs w:val="19"/>
          <w:color w:val="auto"/>
        </w:rPr>
        <w:t>otherwise added to Consolidated EBITDA or Consolidated Net Income, whether through a pro forma adjustment or</w:t>
      </w:r>
    </w:p>
    <w:p>
      <w:pPr>
        <w:ind w:left="180"/>
        <w:spacing w:after="0" w:line="226" w:lineRule="auto"/>
        <w:rPr>
          <w:sz w:val="20"/>
          <w:szCs w:val="20"/>
          <w:color w:val="auto"/>
        </w:rPr>
      </w:pPr>
      <w:r>
        <w:rPr>
          <w:rFonts w:ascii="Arial" w:cs="Arial" w:eastAsia="Arial" w:hAnsi="Arial"/>
          <w:sz w:val="18"/>
          <w:szCs w:val="18"/>
          <w:color w:val="auto"/>
        </w:rPr>
        <w:t>otherwise, for such period (the “</w:t>
      </w:r>
      <w:r>
        <w:rPr>
          <w:rFonts w:ascii="Arial" w:cs="Arial" w:eastAsia="Arial" w:hAnsi="Arial"/>
          <w:sz w:val="18"/>
          <w:szCs w:val="18"/>
          <w:u w:val="single" w:color="auto"/>
          <w:color w:val="auto"/>
        </w:rPr>
        <w:t>Pro Forma Synergies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(1) the aggregate amount of any adjustments under this clause (vii) permitted to be made in respect of the Transactions when calculating Consolidated EBITDA for any</w:t>
      </w:r>
    </w:p>
    <w:p>
      <w:pPr>
        <w:ind w:left="180"/>
        <w:spacing w:after="0" w:line="236" w:lineRule="auto"/>
        <w:rPr>
          <w:sz w:val="20"/>
          <w:szCs w:val="20"/>
          <w:color w:val="auto"/>
        </w:rPr>
      </w:pPr>
      <w:r>
        <w:rPr>
          <w:rFonts w:ascii="Arial" w:cs="Arial" w:eastAsia="Arial" w:hAnsi="Arial"/>
          <w:sz w:val="18"/>
          <w:szCs w:val="18"/>
          <w:color w:val="auto"/>
        </w:rPr>
        <w:t>Test Period ending after the second anniversary of the Closing Date shall not exceed the greater of (x) $150,000,000 and (y)</w:t>
      </w:r>
    </w:p>
    <w:p>
      <w:pPr>
        <w:spacing w:after="0" w:line="1" w:lineRule="exact"/>
        <w:rPr>
          <w:sz w:val="20"/>
          <w:szCs w:val="20"/>
          <w:color w:val="auto"/>
        </w:rPr>
      </w:pPr>
    </w:p>
    <w:p>
      <w:pPr>
        <w:jc w:val="both"/>
        <w:ind w:left="180"/>
        <w:spacing w:after="0" w:line="255" w:lineRule="auto"/>
        <w:rPr>
          <w:sz w:val="20"/>
          <w:szCs w:val="20"/>
          <w:color w:val="auto"/>
        </w:rPr>
      </w:pPr>
      <w:r>
        <w:rPr>
          <w:rFonts w:ascii="Arial" w:cs="Arial" w:eastAsia="Arial" w:hAnsi="Arial"/>
          <w:sz w:val="16"/>
          <w:szCs w:val="16"/>
          <w:color w:val="auto"/>
        </w:rPr>
        <w:t>the amount of such adjustments made in respect of the Transactions pursuant to this clause (vii) prior to such date and (2) the aggregate amount of any adjustments made pursuant to this clause (vii) for any period shall not exceed in the aggregate 25%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of Consolidated EBITDA for such period (before giving effect to any such adjustments),</w:t>
      </w:r>
    </w:p>
    <w:p>
      <w:pPr>
        <w:spacing w:after="0" w:line="173" w:lineRule="exact"/>
        <w:rPr>
          <w:sz w:val="20"/>
          <w:szCs w:val="20"/>
          <w:color w:val="auto"/>
        </w:rPr>
      </w:pPr>
    </w:p>
    <w:p>
      <w:pPr>
        <w:jc w:val="both"/>
        <w:ind w:left="180" w:firstLine="652"/>
        <w:spacing w:after="0" w:line="215" w:lineRule="auto"/>
        <w:tabs>
          <w:tab w:leader="none" w:pos="146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 to the extent covered by insurance and actually reimbursed within 365 days of the first date of determination by Holdings that there exists reasonable evidence that such amount will in fact be reimbursed by the insurer, expenses with respect to liability or casualty or business interruption and (ii) to the extent actually reimbursed, expenses incurred to the extent covered by indemnification provisions in any agreement in connection with any acquisition permitted under this Agreement,</w:t>
      </w:r>
    </w:p>
    <w:p>
      <w:pPr>
        <w:spacing w:after="0" w:line="171" w:lineRule="exact"/>
        <w:rPr>
          <w:rFonts w:ascii="Arial" w:cs="Arial" w:eastAsia="Arial" w:hAnsi="Arial"/>
          <w:sz w:val="20"/>
          <w:szCs w:val="20"/>
          <w:color w:val="auto"/>
        </w:rPr>
      </w:pPr>
    </w:p>
    <w:p>
      <w:pPr>
        <w:ind w:left="180" w:firstLine="652"/>
        <w:spacing w:after="0" w:line="285" w:lineRule="auto"/>
        <w:tabs>
          <w:tab w:leader="none" w:pos="146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cash charges and legal expenses in connection with litigation to the extent not constituting an extraordinary, non-recurring or unusual loss, charge or expense in an aggregate amount for any Test Period not to exceed $5 million,</w:t>
      </w:r>
    </w:p>
    <w:p>
      <w:pPr>
        <w:spacing w:after="0" w:line="115" w:lineRule="exact"/>
        <w:rPr>
          <w:rFonts w:ascii="Arial" w:cs="Arial" w:eastAsia="Arial" w:hAnsi="Arial"/>
          <w:sz w:val="18"/>
          <w:szCs w:val="18"/>
          <w:color w:val="auto"/>
        </w:rPr>
      </w:pPr>
    </w:p>
    <w:p>
      <w:pPr>
        <w:ind w:left="1460" w:hanging="628"/>
        <w:spacing w:after="0"/>
        <w:tabs>
          <w:tab w:leader="none" w:pos="1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reserves taken during such period on account of contingent cash payments that may be required in future</w:t>
      </w:r>
    </w:p>
    <w:p>
      <w:pPr>
        <w:spacing w:after="0" w:line="11"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20"/>
          <w:szCs w:val="20"/>
          <w:color w:val="auto"/>
        </w:rPr>
        <w:t>periods,</w:t>
      </w:r>
    </w:p>
    <w:p>
      <w:pPr>
        <w:spacing w:after="0" w:line="172" w:lineRule="exact"/>
        <w:rPr>
          <w:rFonts w:ascii="Arial" w:cs="Arial" w:eastAsia="Arial" w:hAnsi="Arial"/>
          <w:sz w:val="18"/>
          <w:szCs w:val="18"/>
          <w:color w:val="auto"/>
        </w:rPr>
      </w:pPr>
    </w:p>
    <w:p>
      <w:pPr>
        <w:ind w:left="1460" w:hanging="628"/>
        <w:spacing w:after="0"/>
        <w:tabs>
          <w:tab w:leader="none" w:pos="14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left="180" w:firstLine="652"/>
        <w:spacing w:after="0" w:line="227" w:lineRule="auto"/>
        <w:tabs>
          <w:tab w:leader="none" w:pos="146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amount of any minority interest expense consisting of Subsidiary income attributable to minority equity interests of third parties in any non-wholly-owned Subsidiary deducted (and not added back) in such period in calculating Consolidated Net Income,</w:t>
      </w:r>
    </w:p>
    <w:p>
      <w:pPr>
        <w:spacing w:after="0" w:line="157" w:lineRule="exact"/>
        <w:rPr>
          <w:rFonts w:ascii="Arial" w:cs="Arial" w:eastAsia="Arial" w:hAnsi="Arial"/>
          <w:sz w:val="20"/>
          <w:szCs w:val="20"/>
          <w:color w:val="auto"/>
        </w:rPr>
      </w:pPr>
    </w:p>
    <w:p>
      <w:pPr>
        <w:jc w:val="both"/>
        <w:ind w:left="180" w:right="20" w:firstLine="652"/>
        <w:spacing w:after="0" w:line="223" w:lineRule="auto"/>
        <w:tabs>
          <w:tab w:leader="none" w:pos="146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amount of loss or discount on sales of receivables, Securitization Assets and related assets to any Securitization Subsidiary in connection with a Qualified Securitization Financing or to any other Person in connection with a Qualified Receivables Factoring,</w:t>
      </w:r>
    </w:p>
    <w:p>
      <w:pPr>
        <w:spacing w:after="0" w:line="168" w:lineRule="exact"/>
        <w:rPr>
          <w:rFonts w:ascii="Arial" w:cs="Arial" w:eastAsia="Arial" w:hAnsi="Arial"/>
          <w:sz w:val="20"/>
          <w:szCs w:val="20"/>
          <w:color w:val="auto"/>
        </w:rPr>
      </w:pPr>
    </w:p>
    <w:p>
      <w:pPr>
        <w:ind w:left="180" w:right="20" w:firstLine="652"/>
        <w:spacing w:after="0" w:line="257" w:lineRule="auto"/>
        <w:tabs>
          <w:tab w:leader="none" w:pos="146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restructuring costs (including in connection with any tax related restructuring), integration costs, retention, recruiting, relocation and signing or completion bonuses and expenses, stock option and other equity-based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20"/>
          </w:cols>
          <w:pgMar w:left="1440" w:top="1440" w:right="339" w:bottom="1440" w:gutter="0" w:footer="0" w:header="0"/>
        </w:sectPr>
      </w:pPr>
    </w:p>
    <w:bookmarkStart w:id="186" w:name="page187"/>
    <w:bookmarkEnd w:id="186"/>
    <w:p>
      <w:pPr>
        <w:spacing w:after="0" w:line="357"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compensation expenses and the amount of payments made to option holders in connection with, or as a result of, any distribution being made to shareholders, severance costs, systems establishment costs, costs relating to entry into a new</w:t>
      </w:r>
    </w:p>
    <w:p>
      <w:pPr>
        <w:ind w:left="180"/>
        <w:spacing w:after="0" w:line="235" w:lineRule="auto"/>
        <w:rPr>
          <w:sz w:val="20"/>
          <w:szCs w:val="20"/>
          <w:color w:val="auto"/>
        </w:rPr>
      </w:pPr>
      <w:r>
        <w:rPr>
          <w:rFonts w:ascii="Arial" w:cs="Arial" w:eastAsia="Arial" w:hAnsi="Arial"/>
          <w:sz w:val="18"/>
          <w:szCs w:val="18"/>
          <w:color w:val="auto"/>
        </w:rPr>
        <w:t>market or to exiting a market, costs associated with office and facility openings, pre-openings, closings, expansions and</w:t>
      </w:r>
    </w:p>
    <w:p>
      <w:pPr>
        <w:ind w:left="180"/>
        <w:spacing w:after="0" w:line="226" w:lineRule="auto"/>
        <w:rPr>
          <w:sz w:val="20"/>
          <w:szCs w:val="20"/>
          <w:color w:val="auto"/>
        </w:rPr>
      </w:pPr>
      <w:r>
        <w:rPr>
          <w:rFonts w:ascii="Arial" w:cs="Arial" w:eastAsia="Arial" w:hAnsi="Arial"/>
          <w:sz w:val="18"/>
          <w:szCs w:val="18"/>
          <w:color w:val="auto"/>
        </w:rPr>
        <w:t>consolidations (including but not limited to termination costs, moving costs and legal costs), new operation costs, unused warehouse space costs, new contract or corporate development costs, software and other intellectual property development</w:t>
      </w:r>
    </w:p>
    <w:p>
      <w:pPr>
        <w:ind w:left="180"/>
        <w:spacing w:after="0" w:line="236" w:lineRule="auto"/>
        <w:rPr>
          <w:sz w:val="20"/>
          <w:szCs w:val="20"/>
          <w:color w:val="auto"/>
        </w:rPr>
      </w:pPr>
      <w:r>
        <w:rPr>
          <w:rFonts w:ascii="Arial" w:cs="Arial" w:eastAsia="Arial" w:hAnsi="Arial"/>
          <w:sz w:val="18"/>
          <w:szCs w:val="18"/>
          <w:color w:val="auto"/>
        </w:rPr>
        <w:t>costs, project start-up costs, costs relating to early termination of rights fee arrangements, consulting fees, curtailments or</w:t>
      </w:r>
    </w:p>
    <w:p>
      <w:pPr>
        <w:spacing w:after="0" w:line="1" w:lineRule="exact"/>
        <w:rPr>
          <w:sz w:val="20"/>
          <w:szCs w:val="20"/>
          <w:color w:val="auto"/>
        </w:rPr>
      </w:pPr>
    </w:p>
    <w:p>
      <w:pPr>
        <w:jc w:val="both"/>
        <w:ind w:left="180"/>
        <w:spacing w:after="0" w:line="226" w:lineRule="auto"/>
        <w:rPr>
          <w:sz w:val="20"/>
          <w:szCs w:val="20"/>
          <w:color w:val="auto"/>
        </w:rPr>
      </w:pPr>
      <w:r>
        <w:rPr>
          <w:rFonts w:ascii="Arial" w:cs="Arial" w:eastAsia="Arial" w:hAnsi="Arial"/>
          <w:sz w:val="18"/>
          <w:szCs w:val="18"/>
          <w:color w:val="auto"/>
        </w:rPr>
        <w:t>modifications to pension and post-retirement employee benefits and any costs attributable to the undertaking and/or implementation of new initiatives, business optimization activities, cost savings initiatives, cost rationalization programs,</w:t>
      </w:r>
    </w:p>
    <w:p>
      <w:pPr>
        <w:ind w:left="180"/>
        <w:spacing w:after="0" w:line="236" w:lineRule="auto"/>
        <w:rPr>
          <w:sz w:val="20"/>
          <w:szCs w:val="20"/>
          <w:color w:val="auto"/>
        </w:rPr>
      </w:pPr>
      <w:r>
        <w:rPr>
          <w:rFonts w:ascii="Arial" w:cs="Arial" w:eastAsia="Arial" w:hAnsi="Arial"/>
          <w:sz w:val="18"/>
          <w:szCs w:val="18"/>
          <w:color w:val="auto"/>
        </w:rPr>
        <w:t>operating expense reductions, synergies and/or similar initiatives or programs (including, without limitation, in connection</w:t>
      </w:r>
    </w:p>
    <w:p>
      <w:pPr>
        <w:spacing w:after="0" w:line="1"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auto"/>
        </w:rPr>
        <w:t>with the Transactions or any inventory optimization program, integration, restructuring or transition, any reconstruction, decommissioning, recommissioning or reconfiguration of fixed assets for alternative uses, any facility opening and/or pre-</w:t>
      </w:r>
    </w:p>
    <w:p>
      <w:pPr>
        <w:ind w:left="180"/>
        <w:spacing w:after="0" w:line="236" w:lineRule="auto"/>
        <w:rPr>
          <w:sz w:val="20"/>
          <w:szCs w:val="20"/>
          <w:color w:val="auto"/>
        </w:rPr>
      </w:pPr>
      <w:r>
        <w:rPr>
          <w:rFonts w:ascii="Arial" w:cs="Arial" w:eastAsia="Arial" w:hAnsi="Arial"/>
          <w:sz w:val="18"/>
          <w:szCs w:val="18"/>
          <w:color w:val="auto"/>
        </w:rPr>
        <w:t>opening, any implementation of operational and reporting systems and technology initiatives (including any expense relating</w:t>
      </w:r>
    </w:p>
    <w:p>
      <w:pPr>
        <w:spacing w:after="0" w:line="1" w:lineRule="exact"/>
        <w:rPr>
          <w:sz w:val="20"/>
          <w:szCs w:val="20"/>
          <w:color w:val="auto"/>
        </w:rPr>
      </w:pPr>
    </w:p>
    <w:p>
      <w:pPr>
        <w:ind w:left="180" w:right="20"/>
        <w:spacing w:after="0" w:line="220" w:lineRule="auto"/>
        <w:rPr>
          <w:sz w:val="20"/>
          <w:szCs w:val="20"/>
          <w:color w:val="auto"/>
        </w:rPr>
      </w:pPr>
      <w:r>
        <w:rPr>
          <w:rFonts w:ascii="Arial" w:cs="Arial" w:eastAsia="Arial" w:hAnsi="Arial"/>
          <w:sz w:val="20"/>
          <w:szCs w:val="20"/>
          <w:color w:val="auto"/>
        </w:rPr>
        <w:t>to the implementation of enhanced accounting or IT functions or new system designs)), any employee ramp-up charges or any charges related to underutilized personnel (including duplicative personnel),</w:t>
      </w:r>
    </w:p>
    <w:p>
      <w:pPr>
        <w:spacing w:after="0" w:line="170" w:lineRule="exact"/>
        <w:rPr>
          <w:sz w:val="20"/>
          <w:szCs w:val="20"/>
          <w:color w:val="auto"/>
        </w:rPr>
      </w:pPr>
    </w:p>
    <w:p>
      <w:pPr>
        <w:ind w:left="180" w:firstLine="652"/>
        <w:spacing w:after="0" w:line="236" w:lineRule="auto"/>
        <w:tabs>
          <w:tab w:leader="none" w:pos="146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extraordinary, unusual, special, exceptional or non-recurring charges, expenses or losses (as determined by Holdings in good faith),</w:t>
      </w:r>
    </w:p>
    <w:p>
      <w:pPr>
        <w:spacing w:after="0" w:line="155" w:lineRule="exact"/>
        <w:rPr>
          <w:rFonts w:ascii="Arial" w:cs="Arial" w:eastAsia="Arial" w:hAnsi="Arial"/>
          <w:sz w:val="20"/>
          <w:szCs w:val="20"/>
          <w:color w:val="auto"/>
        </w:rPr>
      </w:pPr>
    </w:p>
    <w:p>
      <w:pPr>
        <w:ind w:left="1480" w:hanging="648"/>
        <w:spacing w:after="0"/>
        <w:tabs>
          <w:tab w:leader="none" w:pos="14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add backs and other adjustments consistent with Regulation S-X,</w:t>
      </w:r>
    </w:p>
    <w:p>
      <w:pPr>
        <w:spacing w:after="0" w:line="188" w:lineRule="exact"/>
        <w:rPr>
          <w:rFonts w:ascii="Arial" w:cs="Arial" w:eastAsia="Arial" w:hAnsi="Arial"/>
          <w:sz w:val="20"/>
          <w:szCs w:val="20"/>
          <w:color w:val="auto"/>
        </w:rPr>
      </w:pPr>
    </w:p>
    <w:p>
      <w:pPr>
        <w:jc w:val="both"/>
        <w:ind w:left="180" w:firstLine="652"/>
        <w:spacing w:after="0" w:line="238" w:lineRule="auto"/>
        <w:tabs>
          <w:tab w:leader="none" w:pos="14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fees, costs and expenses (including, without limitation, premium) incurred in connection with the Transactions and other transaction fees, costs, accruals and expenses (including rationalization, legal, tax and other costs and expenses) incurred in connection with any acquisition, investment, dividend, restricted payment, disposition, recapitalization, merger, consolidation or amalgamation, issuance, exchange or repayment of Indebtedness, option buyouts, refinancing, amendments or other modifications of debt instruments, early extinguishment of debt, hedging agreements or other derivative instruments (in each case whether or not such transaction was successfully completed),</w:t>
      </w:r>
    </w:p>
    <w:p>
      <w:pPr>
        <w:spacing w:after="0" w:line="172" w:lineRule="exact"/>
        <w:rPr>
          <w:rFonts w:ascii="Arial" w:cs="Arial" w:eastAsia="Arial" w:hAnsi="Arial"/>
          <w:sz w:val="18"/>
          <w:szCs w:val="18"/>
          <w:color w:val="auto"/>
        </w:rPr>
      </w:pPr>
    </w:p>
    <w:p>
      <w:pPr>
        <w:jc w:val="both"/>
        <w:ind w:left="180" w:firstLine="652"/>
        <w:spacing w:after="0" w:line="214" w:lineRule="auto"/>
        <w:tabs>
          <w:tab w:leader="none" w:pos="147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without limiting the generality of clause (v) above, any costs or expense incurred by Holdings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Equity Interests) solely to the extent that such net cash proceeds are excluded from the calculation set forth in Section 6.04(a)(ii)(C),</w:t>
      </w:r>
    </w:p>
    <w:p>
      <w:pPr>
        <w:spacing w:after="0" w:line="173" w:lineRule="exact"/>
        <w:rPr>
          <w:rFonts w:ascii="Arial" w:cs="Arial" w:eastAsia="Arial" w:hAnsi="Arial"/>
          <w:sz w:val="20"/>
          <w:szCs w:val="20"/>
          <w:color w:val="auto"/>
        </w:rPr>
      </w:pPr>
    </w:p>
    <w:p>
      <w:pPr>
        <w:jc w:val="both"/>
        <w:ind w:left="180" w:firstLine="652"/>
        <w:spacing w:after="0" w:line="220" w:lineRule="auto"/>
        <w:tabs>
          <w:tab w:leader="none" w:pos="146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without limiting the generality of clause (v) above, the amount of expenses relating to payments made to option, phantom equity or profits interest holders of Holdings or any of its direct or indirect Subsidiaries or parent companies in connection with, or as a result of, any distribution being made to equity holders of such Person or its direct or indirect parent companies,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20"/>
          </w:cols>
          <w:pgMar w:left="1440" w:top="1440" w:right="339" w:bottom="1440" w:gutter="0" w:footer="0" w:header="0"/>
        </w:sectPr>
      </w:pPr>
    </w:p>
    <w:bookmarkStart w:id="187" w:name="page188"/>
    <w:bookmarkEnd w:id="187"/>
    <w:p>
      <w:pPr>
        <w:spacing w:after="0" w:line="357" w:lineRule="exact"/>
        <w:rPr>
          <w:sz w:val="20"/>
          <w:szCs w:val="20"/>
          <w:color w:val="auto"/>
        </w:rPr>
      </w:pPr>
    </w:p>
    <w:p>
      <w:pPr>
        <w:ind w:left="1300"/>
        <w:spacing w:after="0" w:line="236" w:lineRule="auto"/>
        <w:rPr>
          <w:sz w:val="20"/>
          <w:szCs w:val="20"/>
          <w:color w:val="auto"/>
        </w:rPr>
      </w:pPr>
      <w:r>
        <w:rPr>
          <w:rFonts w:ascii="Arial" w:cs="Arial" w:eastAsia="Arial" w:hAnsi="Arial"/>
          <w:sz w:val="18"/>
          <w:szCs w:val="18"/>
          <w:color w:val="auto"/>
        </w:rPr>
        <w:t>payments are being made to compensate such option, phantom equity or profits interest holders as though they were equity holders at the time of, and entitled to share in, such distribution, in each case to the extent permitted under this Agreement</w:t>
      </w:r>
    </w:p>
    <w:p>
      <w:pPr>
        <w:ind w:left="1300"/>
        <w:spacing w:after="0" w:line="222" w:lineRule="auto"/>
        <w:rPr>
          <w:sz w:val="20"/>
          <w:szCs w:val="20"/>
          <w:color w:val="auto"/>
        </w:rPr>
      </w:pPr>
      <w:r>
        <w:rPr>
          <w:rFonts w:ascii="Arial" w:cs="Arial" w:eastAsia="Arial" w:hAnsi="Arial"/>
          <w:sz w:val="19"/>
          <w:szCs w:val="19"/>
          <w:color w:val="auto"/>
        </w:rPr>
        <w:t>and expenses relating to distributions made to equity holders of such Person or its direct or indirect parent companies</w:t>
      </w:r>
    </w:p>
    <w:p>
      <w:pPr>
        <w:spacing w:after="0" w:line="1" w:lineRule="exact"/>
        <w:rPr>
          <w:sz w:val="20"/>
          <w:szCs w:val="20"/>
          <w:color w:val="auto"/>
        </w:rPr>
      </w:pPr>
    </w:p>
    <w:p>
      <w:pPr>
        <w:ind w:left="1300" w:right="20"/>
        <w:spacing w:after="0" w:line="220" w:lineRule="auto"/>
        <w:rPr>
          <w:sz w:val="20"/>
          <w:szCs w:val="20"/>
          <w:color w:val="auto"/>
        </w:rPr>
      </w:pPr>
      <w:r>
        <w:rPr>
          <w:rFonts w:ascii="Arial" w:cs="Arial" w:eastAsia="Arial" w:hAnsi="Arial"/>
          <w:sz w:val="20"/>
          <w:szCs w:val="20"/>
          <w:color w:val="auto"/>
        </w:rPr>
        <w:t>resulting from the application of Financial Accounting Standards Codification Topic 718— Compensation — Stock Compensation (formerly Financial Accounting Standards Board Statement No. 123 (Revised 2004)), and</w:t>
      </w:r>
    </w:p>
    <w:p>
      <w:pPr>
        <w:spacing w:after="0" w:line="170" w:lineRule="exact"/>
        <w:rPr>
          <w:sz w:val="20"/>
          <w:szCs w:val="20"/>
          <w:color w:val="auto"/>
        </w:rPr>
      </w:pPr>
    </w:p>
    <w:p>
      <w:pPr>
        <w:jc w:val="both"/>
        <w:ind w:left="1300" w:firstLine="652"/>
        <w:spacing w:after="0" w:line="229" w:lineRule="auto"/>
        <w:tabs>
          <w:tab w:leader="none" w:pos="258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to the extent deducted (and not added back) in calculating Consolidated Net Income,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minus</w:t>
      </w:r>
      <w:r>
        <w:rPr>
          <w:rFonts w:ascii="Arial" w:cs="Arial" w:eastAsia="Arial" w:hAnsi="Arial"/>
          <w:sz w:val="20"/>
          <w:szCs w:val="20"/>
          <w:color w:val="auto"/>
        </w:rPr>
        <w:t>, to the extent included in Consolidated Net Income and without duplication,</w:t>
      </w:r>
    </w:p>
    <w:p>
      <w:pPr>
        <w:spacing w:after="0" w:line="175" w:lineRule="exact"/>
        <w:rPr>
          <w:sz w:val="20"/>
          <w:szCs w:val="20"/>
          <w:color w:val="auto"/>
        </w:rPr>
      </w:pPr>
    </w:p>
    <w:p>
      <w:pPr>
        <w:ind w:left="1940" w:hanging="636"/>
        <w:spacing w:after="0"/>
        <w:tabs>
          <w:tab w:leader="none" w:pos="19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unusual, infrequent or extraordinary income or gains, and</w:t>
      </w:r>
    </w:p>
    <w:p>
      <w:pPr>
        <w:spacing w:after="0" w:line="175" w:lineRule="exact"/>
        <w:rPr>
          <w:rFonts w:ascii="Arial" w:cs="Arial" w:eastAsia="Arial" w:hAnsi="Arial"/>
          <w:sz w:val="20"/>
          <w:szCs w:val="20"/>
          <w:color w:val="auto"/>
        </w:rPr>
      </w:pPr>
    </w:p>
    <w:p>
      <w:pPr>
        <w:jc w:val="both"/>
        <w:ind w:left="660" w:firstLine="644"/>
        <w:spacing w:after="0" w:line="287" w:lineRule="auto"/>
        <w:tabs>
          <w:tab w:leader="none" w:pos="194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any other non-cash income (except to the extent representing an accrual for future cash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non-cash gains are deducted pursuant to this clause (2)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calculated for Holdings and its Restricted Subsidiaries in accordance with GAAP (to the extent applicable) on a consolidated</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included in Consolidated Net Income, (A) currency translation gains and losses shall be excluded in determining Consolidated EBITDA (including the net loss or gain resulting from swap agreements for currency exchange risk) and</w:t>
      </w:r>
    </w:p>
    <w:p>
      <w:pPr>
        <w:spacing w:after="0" w:line="2" w:lineRule="exact"/>
        <w:rPr>
          <w:sz w:val="20"/>
          <w:szCs w:val="20"/>
          <w:color w:val="auto"/>
        </w:rPr>
      </w:pPr>
    </w:p>
    <w:p>
      <w:pPr>
        <w:ind w:left="660" w:hanging="4"/>
        <w:spacing w:after="0" w:line="227" w:lineRule="auto"/>
        <w:tabs>
          <w:tab w:leader="none" w:pos="98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adjustments resulting from the application of Statement of Financial Accounting Standards 133 (codified under Accounting Standards Codification 815) shall be excluded in determining Consolidated EBITDA.</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For the avoidance of doubt, the foregoing additions to, and subtractions from, Consolidated EBITDA shall not give effect to any items</w:t>
      </w:r>
    </w:p>
    <w:p>
      <w:pPr>
        <w:spacing w:after="0" w:line="226" w:lineRule="auto"/>
        <w:rPr>
          <w:sz w:val="20"/>
          <w:szCs w:val="20"/>
          <w:color w:val="auto"/>
        </w:rPr>
      </w:pPr>
      <w:r>
        <w:rPr>
          <w:rFonts w:ascii="Arial" w:cs="Arial" w:eastAsia="Arial" w:hAnsi="Arial"/>
          <w:sz w:val="18"/>
          <w:szCs w:val="18"/>
          <w:color w:val="auto"/>
        </w:rPr>
        <w:t>attributable to the Unrestricted Subsidiaries, other than as set forth in the last sentence of Section 1.04(a). For the purposes of calculating Consolidated EBITDA for any Test Period, if during such Test Period or after such Test Period but prior to the applicable date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determination, Holdings or any Restricted Subsidiary shall have made any Specified Transaction, converted any Restricted Subsidiary into an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Unrestricted Subsidiary, or converted any Unrestricted Subsidiary into a Restricted Subsidiary, Consolidated EBITDA shall be calculated for such Test Period after giving effect thereto on a Pro Forma Basis in accordance with Section 1.07, as if such Specified Transaction 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conversion, and any related incurrence or repayment of Indebtedness, occurred on the first day of such Test Period. If since the beginning of such Test Period any Person (that subsequently became a Restricted Subsidiary or was merged with or into Holdings or any Restricted</w:t>
      </w:r>
    </w:p>
    <w:p>
      <w:pPr>
        <w:spacing w:after="0" w:line="236" w:lineRule="auto"/>
        <w:rPr>
          <w:sz w:val="20"/>
          <w:szCs w:val="20"/>
          <w:color w:val="auto"/>
        </w:rPr>
      </w:pPr>
      <w:r>
        <w:rPr>
          <w:rFonts w:ascii="Arial" w:cs="Arial" w:eastAsia="Arial" w:hAnsi="Arial"/>
          <w:sz w:val="18"/>
          <w:szCs w:val="18"/>
          <w:color w:val="auto"/>
        </w:rPr>
        <w:t>Subsidiary since the beginning of such period but prior to the end of such Test Period) shall have made any Specified Transaction or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conversions that would have required adjustment pursuant to this definition, then the Consolidated EBITDA shall be calculated on a Pro Forma Basis in accordance with Section 1.07 for such period as if such Specified Transaction or conversion had occurred on the first day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reference to any period, the sum, without duplication, of the interest expense paid in cash of the Group calculated on a consolidated basis for such period in accordance with GAAP, including, without limitation, interest</w:t>
      </w:r>
    </w:p>
    <w:p>
      <w:pPr>
        <w:spacing w:after="0" w:line="235" w:lineRule="auto"/>
        <w:rPr>
          <w:sz w:val="20"/>
          <w:szCs w:val="20"/>
          <w:color w:val="auto"/>
        </w:rPr>
      </w:pPr>
      <w:r>
        <w:rPr>
          <w:rFonts w:ascii="Arial" w:cs="Arial" w:eastAsia="Arial" w:hAnsi="Arial"/>
          <w:sz w:val="18"/>
          <w:szCs w:val="18"/>
          <w:color w:val="auto"/>
        </w:rPr>
        <w:t>expense under Capital Lease Obligations that is treated as interest in accordance with GAAP, imputed interest with respect to Attributable</w:t>
      </w:r>
    </w:p>
    <w:p>
      <w:pPr>
        <w:spacing w:after="0" w:line="226" w:lineRule="auto"/>
        <w:rPr>
          <w:sz w:val="20"/>
          <w:szCs w:val="20"/>
          <w:color w:val="auto"/>
        </w:rPr>
      </w:pPr>
      <w:r>
        <w:rPr>
          <w:rFonts w:ascii="Arial" w:cs="Arial" w:eastAsia="Arial" w:hAnsi="Arial"/>
          <w:sz w:val="18"/>
          <w:szCs w:val="18"/>
          <w:color w:val="auto"/>
        </w:rPr>
        <w:t>Debt and net payments, if any, pursuant to interest rate Permitted Hedging Obligations, but excluding any (i) non-cash interest expense attributable to the movement in mark-to-market valuation of Permitted Hedging Obligations or other derivative instruments pursuant to</w:t>
      </w:r>
    </w:p>
    <w:p>
      <w:pPr>
        <w:spacing w:after="0" w:line="236" w:lineRule="auto"/>
        <w:rPr>
          <w:sz w:val="20"/>
          <w:szCs w:val="20"/>
          <w:color w:val="auto"/>
        </w:rPr>
      </w:pPr>
      <w:r>
        <w:rPr>
          <w:rFonts w:ascii="Arial" w:cs="Arial" w:eastAsia="Arial" w:hAnsi="Arial"/>
          <w:sz w:val="18"/>
          <w:szCs w:val="18"/>
          <w:color w:val="auto"/>
        </w:rPr>
        <w:t>Statement of Financial Accounting Standards No. 133 (codified under Accounting Standards Codification 815), (ii) non-cash interest expense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attributable to the amortization of gains or losses resulting from the termination of Permitted Hedging Obligations prior to or reasonably contemporaneously with the Closing Date, (iii) amortization of deferred financing fees, (iv) expensing of commitment, bridge or other</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financing fees and (v) interest expense arising out of the amortization of debt discount under Accounting Standards Codification 470-20; less interest income of the Group for such period (including income pursuant to any Permitted Hedging Obligations).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reference to any period, the net income (or loss) of the Group calculated in accordance with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GAAP on a consolidated basis (without duplication) for such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w:t>
      </w:r>
    </w:p>
    <w:p>
      <w:pPr>
        <w:spacing w:after="0" w:line="146" w:lineRule="exact"/>
        <w:rPr>
          <w:sz w:val="20"/>
          <w:szCs w:val="20"/>
          <w:color w:val="auto"/>
        </w:rPr>
      </w:pPr>
    </w:p>
    <w:p>
      <w:pPr>
        <w:jc w:val="both"/>
        <w:ind w:left="660" w:firstLine="644"/>
        <w:spacing w:after="0" w:line="223" w:lineRule="auto"/>
        <w:tabs>
          <w:tab w:leader="none" w:pos="194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any income (or loss) of any Person other than Holdings or a Restricted Subsidiary, but any such income so excluded may be included in such period or any later period to the extent of any cash dividends or distributions actually paid in the relevant period to Holdings or any Restricted Subsidiary of Holdings,</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for Restricted Payments under </w:t>
      </w:r>
      <w:r>
        <w:rPr>
          <w:rFonts w:ascii="Arial" w:cs="Arial" w:eastAsia="Arial" w:hAnsi="Arial"/>
          <w:sz w:val="19"/>
          <w:szCs w:val="19"/>
          <w:u w:val="single" w:color="auto"/>
          <w:color w:val="auto"/>
        </w:rPr>
        <w:t>Section 6.04(a)(ii)(A)</w:t>
      </w:r>
      <w:r>
        <w:rPr>
          <w:rFonts w:ascii="Arial" w:cs="Arial" w:eastAsia="Arial" w:hAnsi="Arial"/>
          <w:sz w:val="19"/>
          <w:szCs w:val="19"/>
          <w:color w:val="auto"/>
        </w:rPr>
        <w:t xml:space="preserve"> and for the purpose of determining the amount of Excess Cash Flow, the income of, and any amounts referred to in clause (a) of this proviso paid to, any Subsidiary (other than a Guarantor) to the extent that, on the date of determination, the declaration or payment of cash dividends or other cash distributions by such Subsidiary of that income is not at the time permitted by applicable law or any agreement or instrument applicable to such Subsidiary, unless such restriction with respect to the payment of cash dividends or other cash distributions has been legally waived or otherwise released;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thereof in respect of such period, to the extent not already included therein,</w:t>
      </w:r>
    </w:p>
    <w:p>
      <w:pPr>
        <w:spacing w:after="0" w:line="170" w:lineRule="exact"/>
        <w:rPr>
          <w:rFonts w:ascii="Arial" w:cs="Arial" w:eastAsia="Arial" w:hAnsi="Arial"/>
          <w:sz w:val="19"/>
          <w:szCs w:val="19"/>
          <w:color w:val="auto"/>
        </w:rPr>
      </w:pPr>
    </w:p>
    <w:p>
      <w:pPr>
        <w:jc w:val="both"/>
        <w:ind w:left="660" w:firstLine="644"/>
        <w:spacing w:after="0" w:line="214" w:lineRule="auto"/>
        <w:tabs>
          <w:tab w:leader="none" w:pos="194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any fees, costs and expenses (including, without limitation, any premium) directly incurred or paid during such period, or any amortization thereof for such period, in connection with (x) the Transactions, (y) any other Permitted Acquisition or other acquisition not prohibited under this Agreement, and, to the extent permitted hereunder, any other Investments and any Dispositions, and (z) to the extent permitted hereunder, issuances or incurrence of Indebtedness, issuances of Equity Interests or refinancing transactions and modifications of instruments of Indebtedness (in each case, including any such transaction consummated prior to the Closing Date, and any such transaction undertaken but not completed) and any charges or non-recurring costs incurred during such period as a result of such transaction,</w:t>
      </w:r>
    </w:p>
    <w:p>
      <w:pPr>
        <w:spacing w:after="0" w:line="157" w:lineRule="exact"/>
        <w:rPr>
          <w:rFonts w:ascii="Arial" w:cs="Arial" w:eastAsia="Arial" w:hAnsi="Arial"/>
          <w:sz w:val="20"/>
          <w:szCs w:val="20"/>
          <w:color w:val="auto"/>
        </w:rPr>
      </w:pPr>
    </w:p>
    <w:p>
      <w:pPr>
        <w:jc w:val="both"/>
        <w:ind w:left="660" w:firstLine="644"/>
        <w:spacing w:after="0" w:line="227" w:lineRule="auto"/>
        <w:tabs>
          <w:tab w:leader="none" w:pos="19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at the option of Holdings, the effects of discontinued operations (but if such operations are classified as discontinued due to the fact that they are subject to an agreement to dispose of such operations or in contemplation of the same, or are otherwise classified as “held for sale” under GAAP, only when and to the extent such operations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actually disposed of) and any net after-tax gains or losses from asset dispositions (other than in the ordinary course of business (as determined by Holdings in good faith)),</w:t>
      </w:r>
    </w:p>
    <w:p>
      <w:pPr>
        <w:spacing w:after="0" w:line="169" w:lineRule="exact"/>
        <w:rPr>
          <w:sz w:val="20"/>
          <w:szCs w:val="20"/>
          <w:color w:val="auto"/>
        </w:rPr>
      </w:pPr>
    </w:p>
    <w:p>
      <w:pPr>
        <w:ind w:left="1280" w:hanging="636"/>
        <w:spacing w:after="0"/>
        <w:tabs>
          <w:tab w:leader="none" w:pos="1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non-cash amounts included in Consolidated Interest Expense,</w:t>
      </w:r>
    </w:p>
    <w:p>
      <w:pPr>
        <w:spacing w:after="0" w:line="188" w:lineRule="exact"/>
        <w:rPr>
          <w:rFonts w:ascii="Arial" w:cs="Arial" w:eastAsia="Arial" w:hAnsi="Arial"/>
          <w:sz w:val="20"/>
          <w:szCs w:val="20"/>
          <w:color w:val="auto"/>
        </w:rPr>
      </w:pPr>
    </w:p>
    <w:p>
      <w:pPr>
        <w:ind w:firstLine="644"/>
        <w:spacing w:after="0" w:line="229" w:lineRule="auto"/>
        <w:tabs>
          <w:tab w:leader="none" w:pos="129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non-cash compensation expense incurred with any issuance of equity interests to an employee of such Person or any Restricted Subsidiary,</w:t>
      </w:r>
    </w:p>
    <w:p>
      <w:pPr>
        <w:spacing w:after="0" w:line="168" w:lineRule="exact"/>
        <w:rPr>
          <w:rFonts w:ascii="Arial" w:cs="Arial" w:eastAsia="Arial" w:hAnsi="Arial"/>
          <w:sz w:val="20"/>
          <w:szCs w:val="20"/>
          <w:color w:val="auto"/>
        </w:rPr>
      </w:pPr>
    </w:p>
    <w:p>
      <w:pPr>
        <w:ind w:right="20" w:firstLine="644"/>
        <w:spacing w:after="0" w:line="236" w:lineRule="auto"/>
        <w:tabs>
          <w:tab w:leader="none" w:pos="128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income (loss) for such period attributable to the early extinguishment of Indebtedness, together with any related provision for Taxes on any such income,</w:t>
      </w:r>
    </w:p>
    <w:p>
      <w:pPr>
        <w:spacing w:after="0" w:line="155" w:lineRule="exact"/>
        <w:rPr>
          <w:rFonts w:ascii="Arial" w:cs="Arial" w:eastAsia="Arial" w:hAnsi="Arial"/>
          <w:sz w:val="20"/>
          <w:szCs w:val="20"/>
          <w:color w:val="auto"/>
        </w:rPr>
      </w:pPr>
    </w:p>
    <w:p>
      <w:pPr>
        <w:ind w:left="1280" w:hanging="636"/>
        <w:spacing w:after="0"/>
        <w:tabs>
          <w:tab w:leader="none" w:pos="1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gain or loss realized as a result of the cumulative effect of a change in accounting principles,</w:t>
      </w:r>
    </w:p>
    <w:p>
      <w:pPr>
        <w:spacing w:after="0" w:line="188" w:lineRule="exact"/>
        <w:rPr>
          <w:rFonts w:ascii="Arial" w:cs="Arial" w:eastAsia="Arial" w:hAnsi="Arial"/>
          <w:sz w:val="20"/>
          <w:szCs w:val="20"/>
          <w:color w:val="auto"/>
        </w:rPr>
      </w:pPr>
    </w:p>
    <w:p>
      <w:pPr>
        <w:jc w:val="both"/>
        <w:ind w:firstLine="644"/>
        <w:spacing w:after="0" w:line="235" w:lineRule="auto"/>
        <w:tabs>
          <w:tab w:leader="none" w:pos="129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gains or losses resulting from any reappraisal, revaluation or write-up or write-down of assets or liabilities (including any gains and losses attributable to movement in the mark-to-market valuation of any convertible indebtedness, any related call options or warrant transactions and any other derivatives and Deferred Acquisition Consideration),</w:t>
      </w:r>
    </w:p>
    <w:p>
      <w:pPr>
        <w:spacing w:after="0" w:line="168" w:lineRule="exact"/>
        <w:rPr>
          <w:rFonts w:ascii="Arial" w:cs="Arial" w:eastAsia="Arial" w:hAnsi="Arial"/>
          <w:sz w:val="19"/>
          <w:szCs w:val="19"/>
          <w:color w:val="auto"/>
        </w:rPr>
      </w:pPr>
    </w:p>
    <w:p>
      <w:pPr>
        <w:ind w:left="1280" w:hanging="636"/>
        <w:spacing w:after="0"/>
        <w:tabs>
          <w:tab w:leader="none" w:pos="1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non-cash charges recorded in respect of intangible assets, including goodwill,</w:t>
      </w:r>
    </w:p>
    <w:p>
      <w:pPr>
        <w:spacing w:after="0" w:line="188" w:lineRule="exact"/>
        <w:rPr>
          <w:rFonts w:ascii="Arial" w:cs="Arial" w:eastAsia="Arial" w:hAnsi="Arial"/>
          <w:sz w:val="20"/>
          <w:szCs w:val="20"/>
          <w:color w:val="auto"/>
        </w:rPr>
      </w:pPr>
    </w:p>
    <w:p>
      <w:pPr>
        <w:jc w:val="both"/>
        <w:ind w:firstLine="644"/>
        <w:spacing w:after="0" w:line="223" w:lineRule="auto"/>
        <w:tabs>
          <w:tab w:leader="none" w:pos="128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effect of any purchase allocation accounting adjustments in respect of any acquisition consummated prior to the Closing Date, the Transactions and any acquisition permitted under this Agreement, and the amortization or write-off of any amounts in respect thereof,</w:t>
      </w:r>
    </w:p>
    <w:p>
      <w:pPr>
        <w:spacing w:after="0" w:line="168" w:lineRule="exact"/>
        <w:rPr>
          <w:rFonts w:ascii="Arial" w:cs="Arial" w:eastAsia="Arial" w:hAnsi="Arial"/>
          <w:sz w:val="20"/>
          <w:szCs w:val="20"/>
          <w:color w:val="auto"/>
        </w:rPr>
      </w:pPr>
    </w:p>
    <w:p>
      <w:pPr>
        <w:jc w:val="both"/>
        <w:ind w:firstLine="644"/>
        <w:spacing w:after="0" w:line="223" w:lineRule="auto"/>
        <w:tabs>
          <w:tab w:leader="none" w:pos="129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unusual, infrequent or extraordinary loss or charge and any restructuring charges or reserves, including write-downs and write-offs, any costs incurred in connection with the Transactions, Permitted Investments and Dispositions, costs related to the closure, consolidation and integration of facilities, information technology infrastructure and legal entities, and severance and retention bonuses, any charges to establish accruals and reserves or to make payments associated with the reassessment or realignment of the business and operations of Holdings and its Subsidiaries (including, without limitation, the sale or closing of facilities, severance, stay bonuses and curtailments or modifications to pension and post-retirement employee benefit plans, asset impairments or asset disposals (including leased facilities), charges for purchase and lease commitments, start-up costs for new facilities, reserves for excess, obsolete or unbalanced inventories, relocation costs which are not otherwise capitalized, and any related promotional costs of exiting products or product lines, start up, transition, integration and other restructuring and business optimization costs,</w:t>
      </w:r>
    </w:p>
    <w:p>
      <w:pPr>
        <w:spacing w:after="0" w:line="156" w:lineRule="exact"/>
        <w:rPr>
          <w:rFonts w:ascii="Arial" w:cs="Arial" w:eastAsia="Arial" w:hAnsi="Arial"/>
          <w:sz w:val="19"/>
          <w:szCs w:val="19"/>
          <w:color w:val="auto"/>
        </w:rPr>
      </w:pPr>
    </w:p>
    <w:p>
      <w:pPr>
        <w:ind w:left="1280" w:hanging="636"/>
        <w:spacing w:after="0"/>
        <w:tabs>
          <w:tab w:leader="none" w:pos="12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amortization of debt discount under Accounting Standards Codification 470-20,</w:t>
      </w:r>
    </w:p>
    <w:p>
      <w:pPr>
        <w:spacing w:after="0" w:line="188" w:lineRule="exact"/>
        <w:rPr>
          <w:rFonts w:ascii="Arial" w:cs="Arial" w:eastAsia="Arial" w:hAnsi="Arial"/>
          <w:sz w:val="20"/>
          <w:szCs w:val="20"/>
          <w:color w:val="auto"/>
        </w:rPr>
      </w:pPr>
    </w:p>
    <w:p>
      <w:pPr>
        <w:ind w:left="1280" w:hanging="636"/>
        <w:spacing w:after="0"/>
        <w:tabs>
          <w:tab w:leader="none" w:pos="12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non-cash foreign translation gains and losses including, without limitation, in respect of Swap Agreements,</w:t>
      </w:r>
    </w:p>
    <w:p>
      <w:pPr>
        <w:spacing w:after="0" w:line="200" w:lineRule="exact"/>
        <w:rPr>
          <w:rFonts w:ascii="Arial" w:cs="Arial" w:eastAsia="Arial" w:hAnsi="Arial"/>
          <w:sz w:val="19"/>
          <w:szCs w:val="19"/>
          <w:color w:val="auto"/>
        </w:rPr>
      </w:pPr>
    </w:p>
    <w:p>
      <w:pPr>
        <w:jc w:val="both"/>
        <w:ind w:firstLine="644"/>
        <w:spacing w:after="0" w:line="223" w:lineRule="auto"/>
        <w:tabs>
          <w:tab w:leader="none" w:pos="128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accruals and reserves (including contingent liabilities) that are established or adjusted within twelve months after the Closing Date that are so required to be established as a result of the Transactions or other Permitted Acquisitions in accordance with GAAP, or changes as a result of adoption of modification of accounting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80"/>
          </w:cols>
          <w:pgMar w:left="980" w:top="1440" w:right="339" w:bottom="1440" w:gutter="0" w:footer="0" w:header="0"/>
        </w:sectPr>
      </w:pPr>
    </w:p>
    <w:bookmarkStart w:id="190" w:name="page191"/>
    <w:bookmarkEnd w:id="190"/>
    <w:p>
      <w:pPr>
        <w:spacing w:after="0" w:line="357" w:lineRule="exact"/>
        <w:rPr>
          <w:sz w:val="20"/>
          <w:szCs w:val="20"/>
          <w:color w:val="auto"/>
        </w:rPr>
      </w:pPr>
    </w:p>
    <w:p>
      <w:pPr>
        <w:ind w:left="660" w:firstLine="644"/>
        <w:spacing w:after="0" w:line="229" w:lineRule="auto"/>
        <w:tabs>
          <w:tab w:leader="none" w:pos="194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deferred tax expense associated with tax deductions or net operating losses arising as a result of the Transactions, or the release of any valuation allowance related to such items.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means at any time the sum, without duplication, of the aggregate Indebtedness of Holdings and its</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Restricted Subsidiaries consisting of obligations for borrowed money, Capital Lease Obligations and purchase money debt obligations and obligations evidenced by bonds, debentures, notes or similar instruments (other than Indebtedness with respect to Cash Management</w:t>
      </w:r>
    </w:p>
    <w:p>
      <w:pPr>
        <w:spacing w:after="0" w:line="236" w:lineRule="auto"/>
        <w:rPr>
          <w:sz w:val="20"/>
          <w:szCs w:val="20"/>
          <w:color w:val="auto"/>
        </w:rPr>
      </w:pPr>
      <w:r>
        <w:rPr>
          <w:rFonts w:ascii="Arial" w:cs="Arial" w:eastAsia="Arial" w:hAnsi="Arial"/>
          <w:sz w:val="18"/>
          <w:szCs w:val="18"/>
          <w:color w:val="auto"/>
        </w:rPr>
        <w:t>Agreements, Swap Agreements and intercompany Indebtedness), in each case that is of a type that would be reflected on a consolidated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balance sheet of Holdings prepared as of such time in accordance with GAAP. For the avoidance of doubt and notwithstanding anything to the contrary contained above, Consolidated Total Indebtedness excludes (x) all Indebtedness incurred under a Qualified Securitization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Financing or a Qualified Receivables Factoring and (y) letters of credit other than to the extent drawn and not reimbursed after two (2) Business Days.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Working Capital</w:t>
      </w:r>
      <w:r>
        <w:rPr>
          <w:rFonts w:ascii="Arial" w:cs="Arial" w:eastAsia="Arial" w:hAnsi="Arial"/>
          <w:sz w:val="19"/>
          <w:szCs w:val="19"/>
          <w:color w:val="auto"/>
        </w:rPr>
        <w:t>” means, as at any date of determination, the excess of Current Assets over Current Liabilities.</w:t>
      </w:r>
    </w:p>
    <w:p>
      <w:pPr>
        <w:spacing w:after="0" w:line="17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Affiliate</w:t>
      </w:r>
      <w:r>
        <w:rPr>
          <w:rFonts w:ascii="Arial" w:cs="Arial" w:eastAsia="Arial" w:hAnsi="Arial"/>
          <w:sz w:val="20"/>
          <w:szCs w:val="20"/>
          <w:color w:val="auto"/>
        </w:rPr>
        <w:t>” has the meaning assigned to such term in Section 3.15.</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Convertible Debt Security</w:t>
      </w:r>
      <w:r>
        <w:rPr>
          <w:rFonts w:ascii="Arial" w:cs="Arial" w:eastAsia="Arial" w:hAnsi="Arial"/>
          <w:sz w:val="20"/>
          <w:szCs w:val="20"/>
          <w:color w:val="auto"/>
        </w:rPr>
        <w:t>” means debt securities or other Indebtedness, the terms of which provide for conversion into, or exchange for, Equity Interests (other than Disqualified Equity Interests) of Holdings, cash in lieu thereof or a combination of Equity Interests and cash in lieu thereof.</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Jurisdiction</w:t>
      </w:r>
      <w:r>
        <w:rPr>
          <w:rFonts w:ascii="Arial" w:cs="Arial" w:eastAsia="Arial" w:hAnsi="Arial"/>
          <w:sz w:val="19"/>
          <w:szCs w:val="19"/>
          <w:color w:val="auto"/>
        </w:rPr>
        <w:t>” mean each of the United States (including any state or subdivision thereof), Luxembourg, Ireland and any other jurisdiction designated by Holdings and approved by the Administrative Agent, acting reasonably and in good faith.</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 Refinancing Indebtedness</w:t>
      </w:r>
      <w:r>
        <w:rPr>
          <w:rFonts w:ascii="Arial" w:cs="Arial" w:eastAsia="Arial" w:hAnsi="Arial"/>
          <w:sz w:val="18"/>
          <w:szCs w:val="18"/>
          <w:color w:val="auto"/>
        </w:rPr>
        <w:t>” means any (a) Permitted Pari Passu Secured Refinancing Debt, (b) Permitted Junior</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Secured Refinancing Debt, (c) Permitted Unsecured Refinancing Debt or (d) Indebtedness incurred pursuant to a Refinancing Amendment, in each case, issued, incurred or otherwise obtained (including by means of the extension or renewal of existing Indebtedness) in exchange for,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to extend, renew, replace or refinance, in whole or part, existing Loans and Commitments (including any successive Credit Agreement Refinancing Indebtedness)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exchanging, extending, renewing, replacing or refinancing</w:t>
      </w:r>
    </w:p>
    <w:p>
      <w:pPr>
        <w:spacing w:after="0" w:line="236" w:lineRule="auto"/>
        <w:rPr>
          <w:sz w:val="20"/>
          <w:szCs w:val="20"/>
          <w:color w:val="auto"/>
        </w:rPr>
      </w:pPr>
      <w:r>
        <w:rPr>
          <w:rFonts w:ascii="Arial" w:cs="Arial" w:eastAsia="Arial" w:hAnsi="Arial"/>
          <w:sz w:val="18"/>
          <w:szCs w:val="18"/>
          <w:color w:val="auto"/>
        </w:rPr>
        <w:t>Indebtedness (including, if such Indebtedness includes any Other Refinancing Revolving Commitments, the unused portion of such Other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Refinancing Revolving Commitments) is in an original aggregate principal amount not greater than the aggregate principal amount of the Refinanced Debt (and, in the case of Refinanced Debt consisting, in whole or in part, of unused Revolving Commitments, Incremental</w:t>
      </w:r>
    </w:p>
    <w:p>
      <w:pPr>
        <w:spacing w:after="0" w:line="224" w:lineRule="auto"/>
        <w:rPr>
          <w:sz w:val="20"/>
          <w:szCs w:val="20"/>
          <w:color w:val="auto"/>
        </w:rPr>
      </w:pPr>
      <w:r>
        <w:rPr>
          <w:rFonts w:ascii="Arial" w:cs="Arial" w:eastAsia="Arial" w:hAnsi="Arial"/>
          <w:sz w:val="19"/>
          <w:szCs w:val="19"/>
          <w:color w:val="auto"/>
        </w:rPr>
        <w:t>Revolving Commitments, Extended Revolving Commitments or Other Refinancing Revolving Commitments, the amount thereof) plus</w:t>
      </w:r>
    </w:p>
    <w:p>
      <w:pPr>
        <w:jc w:val="both"/>
        <w:spacing w:after="0" w:line="226" w:lineRule="auto"/>
        <w:rPr>
          <w:sz w:val="20"/>
          <w:szCs w:val="20"/>
          <w:color w:val="auto"/>
        </w:rPr>
      </w:pPr>
      <w:r>
        <w:rPr>
          <w:rFonts w:ascii="Arial" w:cs="Arial" w:eastAsia="Arial" w:hAnsi="Arial"/>
          <w:sz w:val="18"/>
          <w:szCs w:val="18"/>
          <w:color w:val="auto"/>
        </w:rPr>
        <w:t>unpaid accrued interest and premium (including tender premium) thereon, any committed and undrawn amounts associated with, upfront fees and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on, and underwriting discounts, fees, commissions and expenses incurred in connection with, such</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exchanging, extending, renewing, replacing or refinancing Indebtedness, (ii) such Indebtedness has a final maturity date equal to or later than, and, except in the case of Other Refinancing Revolving Commitments, a Weighted Average Life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equal to or greater than, the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 shall not apply to (x) Permitted Pari Passu Secured Refinancing Debt in the form of Term A Facilities and (y) customary “bridge loan” facilities with a tenor of no longer than one year (provided that such</w:t>
      </w:r>
    </w:p>
    <w:p>
      <w:pPr>
        <w:spacing w:after="0" w:line="211" w:lineRule="auto"/>
        <w:rPr>
          <w:sz w:val="20"/>
          <w:szCs w:val="20"/>
          <w:color w:val="auto"/>
        </w:rPr>
      </w:pPr>
      <w:r>
        <w:rPr>
          <w:rFonts w:ascii="Arial" w:cs="Arial" w:eastAsia="Arial" w:hAnsi="Arial"/>
          <w:sz w:val="20"/>
          <w:szCs w:val="20"/>
          <w:color w:val="auto"/>
        </w:rPr>
        <w:t>facilities automatically convert or exchange into long-term debt otherwise meeting the requirements of this clause (ii)), (iii)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Indebtedness shall contain covenants and events of default that are either (x) no more restrictive (taken as a whole) to Holdings and its Restricted Subsidiaries than those included in this Agreement in all material respects as determined by Holdings in good faith or (y) are on</w:t>
      </w:r>
    </w:p>
    <w:p>
      <w:pPr>
        <w:spacing w:after="0" w:line="236" w:lineRule="auto"/>
        <w:rPr>
          <w:sz w:val="20"/>
          <w:szCs w:val="20"/>
          <w:color w:val="auto"/>
        </w:rPr>
      </w:pPr>
      <w:r>
        <w:rPr>
          <w:rFonts w:ascii="Arial" w:cs="Arial" w:eastAsia="Arial" w:hAnsi="Arial"/>
          <w:sz w:val="18"/>
          <w:szCs w:val="18"/>
          <w:color w:val="auto"/>
        </w:rPr>
        <w:t>market terms at the time of issuance, as determined by Holdings in good faith, which terms shall also be implemented for the benefit of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Initial Term Loans and the Revolving Loans; provided that Credit Agreement Refinancing Indebtedness in the form of Term A Facilities or revolving facilities may contain one or more financial maintenance covenants (and related events of default) irrespective of whether or not</w:t>
      </w:r>
    </w:p>
    <w:p>
      <w:pPr>
        <w:spacing w:after="0" w:line="236" w:lineRule="auto"/>
        <w:rPr>
          <w:sz w:val="20"/>
          <w:szCs w:val="20"/>
          <w:color w:val="auto"/>
        </w:rPr>
      </w:pPr>
      <w:r>
        <w:rPr>
          <w:rFonts w:ascii="Arial" w:cs="Arial" w:eastAsia="Arial" w:hAnsi="Arial"/>
          <w:sz w:val="18"/>
          <w:szCs w:val="18"/>
          <w:color w:val="auto"/>
        </w:rPr>
        <w:t>such covenants (and related events of default) are included in this Agreement for the benefit of the Term Loans (but such covenants shall be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included for the benefit of the other Revolving Commitments), (iv) such Credit Agreement Refinancing Indebtedness may participate on a pro rata basis or a less than pro rata basis (but not a greater than pro rata basis) than the Initial Term Loans in mandatory prepayments under</w:t>
      </w:r>
    </w:p>
    <w:p>
      <w:pPr>
        <w:spacing w:after="0" w:line="236" w:lineRule="auto"/>
        <w:rPr>
          <w:sz w:val="20"/>
          <w:szCs w:val="20"/>
          <w:color w:val="auto"/>
        </w:rPr>
      </w:pPr>
      <w:r>
        <w:rPr>
          <w:rFonts w:ascii="Arial" w:cs="Arial" w:eastAsia="Arial" w:hAnsi="Arial"/>
          <w:sz w:val="18"/>
          <w:szCs w:val="18"/>
          <w:color w:val="auto"/>
        </w:rPr>
        <w:t>this Agreement and (v) such Refinanced Debt shall be repaid, defeased or satisfied and discharged, and all accrued interest, fees and</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20"/>
          <w:szCs w:val="20"/>
          <w:color w:val="auto"/>
        </w:rPr>
        <w:t>premiums (if any) in connection therewith shall be paid, on the date such Credit Agreement Refinancing Indebtedness is issued, incurred or obtained.</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Event</w:t>
      </w:r>
      <w:r>
        <w:rPr>
          <w:rFonts w:ascii="Arial" w:cs="Arial" w:eastAsia="Arial" w:hAnsi="Arial"/>
          <w:sz w:val="20"/>
          <w:szCs w:val="20"/>
          <w:color w:val="auto"/>
        </w:rPr>
        <w:t>” means a Borrowing, the issuance, extension or increase in amount of a Letter of Credit, an LC Disbursement or any of the foregoing.</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xml:space="preserve">” means, as to any Lender at any time, the sum of (a) such Lender’s Revolving Credit Exposure at such time, </w:t>
      </w:r>
      <w:r>
        <w:rPr>
          <w:rFonts w:ascii="Arial" w:cs="Arial" w:eastAsia="Arial" w:hAnsi="Arial"/>
          <w:sz w:val="20"/>
          <w:szCs w:val="20"/>
          <w:i w:val="1"/>
          <w:iCs w:val="1"/>
          <w:color w:val="auto"/>
        </w:rPr>
        <w:t>plus</w:t>
      </w:r>
      <w:r>
        <w:rPr>
          <w:rFonts w:ascii="Arial" w:cs="Arial" w:eastAsia="Arial" w:hAnsi="Arial"/>
          <w:sz w:val="20"/>
          <w:szCs w:val="20"/>
          <w:color w:val="auto"/>
        </w:rPr>
        <w:t xml:space="preserve"> (b) an amount equal to the aggregate principal amount of its Term Loans outstanding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Amount</w:t>
      </w:r>
      <w:r>
        <w:rPr>
          <w:rFonts w:ascii="Arial" w:cs="Arial" w:eastAsia="Arial" w:hAnsi="Arial"/>
          <w:sz w:val="20"/>
          <w:szCs w:val="20"/>
          <w:color w:val="auto"/>
        </w:rPr>
        <w:t>” has the meaning assigned to such term in Section 7.02(a).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Expiration Date</w:t>
      </w:r>
      <w:r>
        <w:rPr>
          <w:rFonts w:ascii="Arial" w:cs="Arial" w:eastAsia="Arial" w:hAnsi="Arial"/>
          <w:sz w:val="20"/>
          <w:szCs w:val="20"/>
          <w:color w:val="auto"/>
        </w:rPr>
        <w:t>” has the meaning assigned to such term in Section 7.02(a).</w:t>
      </w:r>
    </w:p>
    <w:p>
      <w:pPr>
        <w:spacing w:after="0" w:line="16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Assets</w:t>
      </w:r>
      <w:r>
        <w:rPr>
          <w:rFonts w:ascii="Arial" w:cs="Arial" w:eastAsia="Arial" w:hAnsi="Arial"/>
          <w:sz w:val="16"/>
          <w:szCs w:val="16"/>
          <w:color w:val="auto"/>
        </w:rPr>
        <w:t>” means, at any time, the consolidated current assets (other than cash and Cash Equivalents, the current portion of current and deferred Taxes, permitted loans made to third parties, assets held for sale, available for sale Investments, pension assets, deferred bank and financing fees and derivative financial instruments including any Swap Agreements) of Holdings and its Restricted Subsidiaries.</w:t>
      </w:r>
    </w:p>
    <w:p>
      <w:pPr>
        <w:spacing w:after="0" w:line="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at any time, the consolidated current liabilities of Holdings and its Restricted Subsidiaries at such time, but excluding, without duplication, (a) the current portion of any long-term Indebtedness or any Swap Agreements, (b) outstanding revolving</w:t>
      </w:r>
    </w:p>
    <w:p>
      <w:pPr>
        <w:spacing w:after="0" w:line="235" w:lineRule="auto"/>
        <w:rPr>
          <w:sz w:val="20"/>
          <w:szCs w:val="20"/>
          <w:color w:val="auto"/>
        </w:rPr>
      </w:pPr>
      <w:r>
        <w:rPr>
          <w:rFonts w:ascii="Arial" w:cs="Arial" w:eastAsia="Arial" w:hAnsi="Arial"/>
          <w:sz w:val="18"/>
          <w:szCs w:val="18"/>
          <w:color w:val="auto"/>
        </w:rPr>
        <w:t>loans and undrawn letters of credit, (c) the current portion of interest expense, (d) the current portion of any Capital Lease Obligations, (e) the</w:t>
      </w:r>
    </w:p>
    <w:p>
      <w:pPr>
        <w:jc w:val="both"/>
        <w:spacing w:after="0" w:line="226" w:lineRule="auto"/>
        <w:rPr>
          <w:sz w:val="20"/>
          <w:szCs w:val="20"/>
          <w:color w:val="auto"/>
        </w:rPr>
      </w:pPr>
      <w:r>
        <w:rPr>
          <w:rFonts w:ascii="Arial" w:cs="Arial" w:eastAsia="Arial" w:hAnsi="Arial"/>
          <w:sz w:val="18"/>
          <w:szCs w:val="18"/>
          <w:color w:val="auto"/>
        </w:rPr>
        <w:t>current portion of current and deferred Taxes, (f) liabilities in respect of unpaid earn-outs, (g) the current portion of any other long-term liabilities, (h) accruals relating to restructuring reserves, (i) liabilities in respect of funds of third parties on deposit with Holdings and its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Restricted Subsidiaries, (j) deferred revenue arising from cash receipts and (k) advances and deposits from customers accounted for as unearned income.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w:t>
      </w:r>
      <w:r>
        <w:rPr>
          <w:rFonts w:ascii="Arial" w:cs="Arial" w:eastAsia="Arial" w:hAnsi="Arial"/>
          <w:sz w:val="18"/>
          <w:szCs w:val="18"/>
          <w:color w:val="auto"/>
        </w:rPr>
        <w:t>” means, for any day (an “</w:t>
      </w:r>
      <w:r>
        <w:rPr>
          <w:rFonts w:ascii="Arial" w:cs="Arial" w:eastAsia="Arial" w:hAnsi="Arial"/>
          <w:sz w:val="18"/>
          <w:szCs w:val="18"/>
          <w:u w:val="single" w:color="auto"/>
          <w:color w:val="auto"/>
        </w:rPr>
        <w:t>RFR Interest Day</w:t>
      </w:r>
      <w:r>
        <w:rPr>
          <w:rFonts w:ascii="Arial" w:cs="Arial" w:eastAsia="Arial" w:hAnsi="Arial"/>
          <w:sz w:val="18"/>
          <w:szCs w:val="18"/>
          <w:color w:val="auto"/>
        </w:rPr>
        <w:t>”), an interest rate per annum equal to (x) SONIA for the day that is 5</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RFR Business Days prior to (i) if such RFR Interest Day is an RFR Business Day, such RFR Interest Day or (ii) if such RFR Interest Day is not an RFR Business Day, the RFR Business Day immediately preceding such RFR Interest Day (such RFR Business Day determined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pursuant to each of subclauses (i) and (ii), the “</w:t>
      </w:r>
      <w:r>
        <w:rPr>
          <w:rFonts w:ascii="Arial" w:cs="Arial" w:eastAsia="Arial" w:hAnsi="Arial"/>
          <w:sz w:val="20"/>
          <w:szCs w:val="20"/>
          <w:u w:val="single" w:color="auto"/>
          <w:color w:val="auto"/>
        </w:rPr>
        <w:t>RFR Lookback Day</w:t>
      </w:r>
      <w:r>
        <w:rPr>
          <w:rFonts w:ascii="Arial" w:cs="Arial" w:eastAsia="Arial" w:hAnsi="Arial"/>
          <w:sz w:val="20"/>
          <w:szCs w:val="20"/>
          <w:color w:val="auto"/>
        </w:rPr>
        <w:t>”), (y) if SONIA is not available for the RFR Lookback Day determined pursuant to clause (x) above, the Daily Simple RFR for such RFR Lookback Day shall be the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rate per annum which is the aggregate of (I) the Central Bank Rate for such RFR Lookback Day and (II) the applicable Central Bank Rate Adjustment or (z) if clause (y) applies but the Central Bank Rate for the applicable RFR Lookback Day is not available, the Daily Simple</w:t>
      </w:r>
    </w:p>
    <w:p>
      <w:pPr>
        <w:spacing w:after="0" w:line="235" w:lineRule="auto"/>
        <w:rPr>
          <w:sz w:val="20"/>
          <w:szCs w:val="20"/>
          <w:color w:val="auto"/>
        </w:rPr>
      </w:pPr>
      <w:r>
        <w:rPr>
          <w:rFonts w:ascii="Arial" w:cs="Arial" w:eastAsia="Arial" w:hAnsi="Arial"/>
          <w:sz w:val="18"/>
          <w:szCs w:val="18"/>
          <w:color w:val="auto"/>
        </w:rPr>
        <w:t>RFR for such RFR Lookback Day shall be the percentage rate per annum which is the aggregate of (I) the most recent Central Bank Rate for</w:t>
      </w:r>
    </w:p>
    <w:p>
      <w:pPr>
        <w:spacing w:after="0" w:line="220" w:lineRule="auto"/>
        <w:rPr>
          <w:sz w:val="20"/>
          <w:szCs w:val="20"/>
          <w:color w:val="auto"/>
        </w:rPr>
      </w:pPr>
      <w:r>
        <w:rPr>
          <w:rFonts w:ascii="Arial" w:cs="Arial" w:eastAsia="Arial" w:hAnsi="Arial"/>
          <w:sz w:val="20"/>
          <w:szCs w:val="20"/>
          <w:color w:val="auto"/>
        </w:rPr>
        <w:t xml:space="preserve">an RFR Business Day which is no more than five RFR Business Days before that RFR Lookback Day and (II) the applicable Central Bank Rate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Revolving Loans, such rate shall not be less than zero.</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examinership or similar debtor relief laws of the United</w:t>
      </w:r>
    </w:p>
    <w:p>
      <w:pPr>
        <w:spacing w:after="0"/>
        <w:rPr>
          <w:sz w:val="20"/>
          <w:szCs w:val="20"/>
          <w:color w:val="auto"/>
        </w:rPr>
      </w:pPr>
      <w:r>
        <w:rPr>
          <w:rFonts w:ascii="Arial" w:cs="Arial" w:eastAsia="Arial" w:hAnsi="Arial"/>
          <w:sz w:val="20"/>
          <w:szCs w:val="20"/>
          <w:color w:val="auto"/>
        </w:rPr>
        <w:t>States or other applicable jurisdictions from time to time in effect and affecting the rights of creditors generally.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Declined Prepayment Amount</w:t>
      </w:r>
      <w:r>
        <w:rPr>
          <w:rFonts w:ascii="Arial" w:cs="Arial" w:eastAsia="Arial" w:hAnsi="Arial"/>
          <w:sz w:val="20"/>
          <w:szCs w:val="20"/>
          <w:color w:val="auto"/>
        </w:rPr>
        <w:t>” has the meaning assigned to such term in Section 2.11(e).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Term Lender</w:t>
      </w:r>
      <w:r>
        <w:rPr>
          <w:rFonts w:ascii="Arial" w:cs="Arial" w:eastAsia="Arial" w:hAnsi="Arial"/>
          <w:sz w:val="20"/>
          <w:szCs w:val="20"/>
          <w:color w:val="auto"/>
        </w:rPr>
        <w:t>” has the meaning assigned to such term in Section 2.11(e).</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subject to Section 2.26, any Lender that (a) has failed within two (2) Business Days of the date required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be funded or paid, to (i) fund all or any portion of its Loans, (ii) fund all or any portion of its participations in Letters of Credit or Swingline Loans or (iii) pay over to any Secured Party any other amount required to be paid by it hereunder, unless, in the case of clause (i)</w:t>
      </w:r>
    </w:p>
    <w:p>
      <w:pPr>
        <w:spacing w:after="0" w:line="236" w:lineRule="auto"/>
        <w:rPr>
          <w:sz w:val="20"/>
          <w:szCs w:val="20"/>
          <w:color w:val="auto"/>
        </w:rPr>
      </w:pPr>
      <w:r>
        <w:rPr>
          <w:rFonts w:ascii="Arial" w:cs="Arial" w:eastAsia="Arial" w:hAnsi="Arial"/>
          <w:sz w:val="18"/>
          <w:szCs w:val="18"/>
          <w:color w:val="auto"/>
        </w:rPr>
        <w:t>above, such Lender notifies the Administrative Agent and the Applicable Borrower in writing that such failure is the result of such Lender’s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determination that one or more conditions precedent to funding (each of which conditions precedent, together with any applicable default, shall be specifically identified in such writing) has not been satisfied, (b) has notified the Applicable Borrower and the Administrative Agent</w:t>
      </w:r>
    </w:p>
    <w:p>
      <w:pPr>
        <w:spacing w:after="0" w:line="236" w:lineRule="auto"/>
        <w:rPr>
          <w:sz w:val="20"/>
          <w:szCs w:val="20"/>
          <w:color w:val="auto"/>
        </w:rPr>
      </w:pPr>
      <w:r>
        <w:rPr>
          <w:rFonts w:ascii="Arial" w:cs="Arial" w:eastAsia="Arial" w:hAnsi="Arial"/>
          <w:sz w:val="18"/>
          <w:szCs w:val="18"/>
          <w:color w:val="auto"/>
        </w:rPr>
        <w:t>in writing that it does not intend to comply with its funding obligations hereunder, or has made a public statement to that effect (unless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writing or public statement relates to such Lender’s obligation to fund a Loan hereunder and states that such position is based on such Lender’s determination that a condition precedent to funding (which condition precedent, together with any applicable default, shall be</w:t>
      </w:r>
    </w:p>
    <w:p>
      <w:pPr>
        <w:spacing w:after="0" w:line="236" w:lineRule="auto"/>
        <w:rPr>
          <w:sz w:val="20"/>
          <w:szCs w:val="20"/>
          <w:color w:val="auto"/>
        </w:rPr>
      </w:pPr>
      <w:r>
        <w:rPr>
          <w:rFonts w:ascii="Arial" w:cs="Arial" w:eastAsia="Arial" w:hAnsi="Arial"/>
          <w:sz w:val="18"/>
          <w:szCs w:val="18"/>
          <w:color w:val="auto"/>
        </w:rPr>
        <w:t>specifically identified in such writing or public statement) cannot be satisfied), (c) has failed, within three (3) Business Days after written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request by the Administrative Agent or the Applicable Borrower, to confirm in writing to the Administrative Agent and the Applicable Borrower that it will comply with its prospective funding obligations hereunder (provided that such Lender shall cease to be a Defaulting</w:t>
      </w:r>
    </w:p>
    <w:p>
      <w:pPr>
        <w:spacing w:after="0" w:line="221" w:lineRule="auto"/>
        <w:rPr>
          <w:sz w:val="20"/>
          <w:szCs w:val="20"/>
          <w:color w:val="auto"/>
        </w:rPr>
      </w:pPr>
      <w:r>
        <w:rPr>
          <w:rFonts w:ascii="Arial" w:cs="Arial" w:eastAsia="Arial" w:hAnsi="Arial"/>
          <w:sz w:val="18"/>
          <w:szCs w:val="18"/>
          <w:color w:val="auto"/>
        </w:rPr>
        <w:t>Lender pursuant to this clause (c) upon receipt of such written confirmation by the Administrative Agent and the Applicable Borrower), or</w:t>
      </w:r>
    </w:p>
    <w:p>
      <w:pPr>
        <w:jc w:val="both"/>
        <w:ind w:firstLine="8"/>
        <w:spacing w:after="0" w:line="233" w:lineRule="auto"/>
        <w:tabs>
          <w:tab w:leader="none" w:pos="2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Lender (subject to Section 2.26) upon delivery of written notice of such determination to the Applicable Borrower and each Lender.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Acquisition Consideration</w:t>
      </w:r>
      <w:r>
        <w:rPr>
          <w:rFonts w:ascii="Arial" w:cs="Arial" w:eastAsia="Arial" w:hAnsi="Arial"/>
          <w:sz w:val="18"/>
          <w:szCs w:val="18"/>
          <w:color w:val="auto"/>
        </w:rPr>
        <w:t>” means any purchase price adjustments, contingent or other deferred payment payments of a</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similar nature (including any non-compete payments and consulting payments) made in connection with any Permitted Acquisition or other acquisition permitted under this Agreement.</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Non-Cash Consideration</w:t>
      </w:r>
      <w:r>
        <w:rPr>
          <w:rFonts w:ascii="Arial" w:cs="Arial" w:eastAsia="Arial" w:hAnsi="Arial"/>
          <w:sz w:val="16"/>
          <w:szCs w:val="16"/>
          <w:color w:val="auto"/>
        </w:rPr>
        <w:t>” means the fair market value of non-cash consideration received by Holdings or a Restricted Subsidiary in connection with a Disposition pursuant to Section 6.03(a) that is designated as Designated Non-Cash Consideration pursuant to</w:t>
      </w:r>
    </w:p>
    <w:p>
      <w:pPr>
        <w:spacing w:after="0" w:line="236" w:lineRule="auto"/>
        <w:rPr>
          <w:sz w:val="20"/>
          <w:szCs w:val="20"/>
          <w:color w:val="auto"/>
        </w:rPr>
      </w:pPr>
      <w:r>
        <w:rPr>
          <w:rFonts w:ascii="Arial" w:cs="Arial" w:eastAsia="Arial" w:hAnsi="Arial"/>
          <w:sz w:val="18"/>
          <w:szCs w:val="18"/>
          <w:color w:val="auto"/>
        </w:rPr>
        <w:t>a certificate of Holdings, setting forth the basis of such valuation (which amount will be reduced by the fair market value of the portion of the</w:t>
      </w:r>
    </w:p>
    <w:p>
      <w:pPr>
        <w:jc w:val="both"/>
        <w:spacing w:after="0" w:line="226" w:lineRule="auto"/>
        <w:rPr>
          <w:sz w:val="20"/>
          <w:szCs w:val="20"/>
          <w:color w:val="auto"/>
        </w:rPr>
      </w:pPr>
      <w:r>
        <w:rPr>
          <w:rFonts w:ascii="Arial" w:cs="Arial" w:eastAsia="Arial" w:hAnsi="Arial"/>
          <w:sz w:val="18"/>
          <w:szCs w:val="18"/>
          <w:color w:val="auto"/>
        </w:rPr>
        <w:t xml:space="preserve">non-cash consideration converted to cash or Cash Equivalents within one hundred eighty (180) days following the consummation of the applicable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consideration once converted to cash and/or Cash Equivalents, shall be deemed to constitute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Net Proceeds received on the date such applicable Designated Non-Cash Consideration was converted to cash and/or Cash Equivalents and shall be subject to Section 2.11(c)(i)).</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Representative</w:t>
      </w:r>
      <w:r>
        <w:rPr>
          <w:rFonts w:ascii="Arial" w:cs="Arial" w:eastAsia="Arial" w:hAnsi="Arial"/>
          <w:sz w:val="16"/>
          <w:szCs w:val="16"/>
          <w:color w:val="auto"/>
        </w:rPr>
        <w:t>” means, with respect to any series of Alternative Incremental Facility Indebtedness, Permitted Pari Passu</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Secured Refinancing Debt, Permitted Junior Secured Refinancing Debt or Ratio Debt, the trustee, administrative agent, collateral agent, security agent or similar agent hereunder or under the agreement pursuant to which such Indebtedness is issued, incurred or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obtained, as the case may be, and each of their successors in such capacities.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means a sale, transfer, lease, disposition or exclusive license, including any “Disposition” by means of a merger, consolidation or similar transaction. “Dispose” and “Disposed” as to any assets subject to a Disposition shall have a corollary meaning.</w:t>
      </w:r>
    </w:p>
    <w:p>
      <w:pPr>
        <w:spacing w:after="0" w:line="10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 Consideration</w:t>
      </w:r>
      <w:r>
        <w:rPr>
          <w:rFonts w:ascii="Arial" w:cs="Arial" w:eastAsia="Arial" w:hAnsi="Arial"/>
          <w:sz w:val="20"/>
          <w:szCs w:val="20"/>
          <w:color w:val="auto"/>
        </w:rPr>
        <w:t>” means for any Disposition, the aggregate fair market value of any assets sold, transferred, leased, licensed or otherwise disposed of.</w:t>
      </w:r>
    </w:p>
    <w:p>
      <w:pPr>
        <w:spacing w:after="0" w:line="14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Equity Interest</w:t>
      </w:r>
      <w:r>
        <w:rPr>
          <w:rFonts w:ascii="Arial" w:cs="Arial" w:eastAsia="Arial" w:hAnsi="Arial"/>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44" w:lineRule="exact"/>
        <w:rPr>
          <w:sz w:val="20"/>
          <w:szCs w:val="20"/>
          <w:color w:val="auto"/>
        </w:rPr>
      </w:pPr>
    </w:p>
    <w:p>
      <w:pPr>
        <w:jc w:val="both"/>
        <w:ind w:left="660" w:firstLine="644"/>
        <w:spacing w:after="0" w:line="223" w:lineRule="auto"/>
        <w:tabs>
          <w:tab w:leader="none" w:pos="194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in such Person or of Holdings that do not constitute Disqualified Equity Interests and cash in lieu of fractional shares of such Equity Interests), whether pursuant to a sinking fund obligation or otherwise;</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4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is convertible or exchangeable at the option of the holder thereof for Indebtedness or Equity Interests (other than solely for Equity Interests in such Person or of Holdings that do not constitute Disqualified Equity Interests and cash in lieu of fractional shares of such Equity Interests); or</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94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is or may be redeemable (other than solely for Equity Interests in such Person or of Holdings that do not constitute Disqualified Equity Interests and cash in lieu of fractional shares of such Equity Interests) or is or may be required to be repurchased by such Person or any of its Affiliates (other than, at the option of such Person, solely for Equity Interests in such Person or of Holdings that do not constitute Disqualified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Interests and cash in lieu of fractional shares of such Equity Interests), in whole or in part, at the option of the holder thereof;</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each case, on or prior to the date that occurs 91 days after the Latest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Equity Interests that would not constitute Disqualified Equity Interest but for provisions thereof giving holders thereof the right to require such Person to purchase</w:t>
      </w:r>
    </w:p>
    <w:p>
      <w:pPr>
        <w:spacing w:after="0" w:line="226" w:lineRule="auto"/>
        <w:rPr>
          <w:sz w:val="20"/>
          <w:szCs w:val="20"/>
          <w:color w:val="auto"/>
        </w:rPr>
      </w:pPr>
      <w:r>
        <w:rPr>
          <w:rFonts w:ascii="Arial" w:cs="Arial" w:eastAsia="Arial" w:hAnsi="Arial"/>
          <w:sz w:val="18"/>
          <w:szCs w:val="18"/>
          <w:color w:val="auto"/>
        </w:rPr>
        <w:t>or redeem such Equity Interests upon the occurrence of an “asset sale,” “fundamental change” or “change of control” occurring prior to the date that is 91 days after the Latest Maturity Date shall not constitute Disqualified Equity Interest if the “asset sale,” “fundamental change” or</w:t>
      </w:r>
    </w:p>
    <w:p>
      <w:pPr>
        <w:spacing w:after="0" w:line="236" w:lineRule="auto"/>
        <w:rPr>
          <w:sz w:val="20"/>
          <w:szCs w:val="20"/>
          <w:color w:val="auto"/>
        </w:rPr>
      </w:pPr>
      <w:r>
        <w:rPr>
          <w:rFonts w:ascii="Arial" w:cs="Arial" w:eastAsia="Arial" w:hAnsi="Arial"/>
          <w:sz w:val="18"/>
          <w:szCs w:val="18"/>
          <w:color w:val="auto"/>
        </w:rPr>
        <w:t>“change of control” provisions applicable to such Equity Interests are not more favorable to the holders of such Equity Interests than Section</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6.03 and the provisions relating to a Change of Control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Equity Interests is issued to any plan for the benefit of directors, managers, employees or consultants of Holdings or its Subsidiaries or by any such plan to such directors,</w:t>
      </w:r>
    </w:p>
    <w:p>
      <w:pPr>
        <w:spacing w:after="0" w:line="235" w:lineRule="auto"/>
        <w:rPr>
          <w:sz w:val="20"/>
          <w:szCs w:val="20"/>
          <w:color w:val="auto"/>
        </w:rPr>
      </w:pPr>
      <w:r>
        <w:rPr>
          <w:rFonts w:ascii="Arial" w:cs="Arial" w:eastAsia="Arial" w:hAnsi="Arial"/>
          <w:sz w:val="18"/>
          <w:szCs w:val="18"/>
          <w:color w:val="auto"/>
        </w:rPr>
        <w:t>managers, employees or consultants, such Equity Interests shall not constitute Disqualified Equity Interest solely because it may be required</w:t>
      </w:r>
    </w:p>
    <w:p>
      <w:pPr>
        <w:spacing w:after="0" w:line="220" w:lineRule="auto"/>
        <w:rPr>
          <w:sz w:val="20"/>
          <w:szCs w:val="20"/>
          <w:color w:val="auto"/>
        </w:rPr>
      </w:pPr>
      <w:r>
        <w:rPr>
          <w:rFonts w:ascii="Arial" w:cs="Arial" w:eastAsia="Arial" w:hAnsi="Arial"/>
          <w:sz w:val="20"/>
          <w:szCs w:val="20"/>
          <w:color w:val="auto"/>
        </w:rPr>
        <w:t>to be repurchased by Holdings or its Subsidiaries in order to satisfy applicable statutory or regulatory obligations or as a result of such employee’s, director’s, officer’s, management member’s or consultant’s termination, death or disability.</w:t>
      </w:r>
    </w:p>
    <w:p>
      <w:pPr>
        <w:spacing w:after="0" w:line="12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The amount of any Disqualified Equity Interest that does not have a fixed redemption, repayment or repurchase price will be calculated in accordance with the terms of such Disqualified Equity Interest as if such Disqualified Equity Interest were redeemed, repaid or</w:t>
      </w:r>
    </w:p>
    <w:p>
      <w:pPr>
        <w:ind w:right="80"/>
        <w:spacing w:after="0" w:line="226" w:lineRule="auto"/>
        <w:rPr>
          <w:sz w:val="20"/>
          <w:szCs w:val="20"/>
          <w:color w:val="auto"/>
        </w:rPr>
      </w:pPr>
      <w:r>
        <w:rPr>
          <w:rFonts w:ascii="Arial" w:cs="Arial" w:eastAsia="Arial" w:hAnsi="Arial"/>
          <w:sz w:val="18"/>
          <w:szCs w:val="18"/>
          <w:color w:val="auto"/>
        </w:rPr>
        <w:t xml:space="preserve">repurchased by the issuer thereof on any date on which the amount of such Disqualified Equity Interest is to be determined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Disqualified Equity Interest could not be required to be repurchased by the issuer thereof at the time of such</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determination, the repurchase price will be the book value of such Disqualified Equity Interest as reflected in the most recent financial statements of such Person.</w:t>
      </w:r>
    </w:p>
    <w:p>
      <w:pPr>
        <w:spacing w:after="0" w:line="12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w:t>
      </w:r>
      <w:r>
        <w:rPr>
          <w:rFonts w:ascii="Arial" w:cs="Arial" w:eastAsia="Arial" w:hAnsi="Arial"/>
          <w:sz w:val="18"/>
          <w:szCs w:val="18"/>
          <w:color w:val="auto"/>
        </w:rPr>
        <w:t>” means (a) certain banks, financial institutions and other institutional lenders that have been specified by Holdings in writing to Citi prior to March 18, 2021, (b) any of Holdings, the Target’s or their respective Subsidiaries’ competitors that have</w:t>
      </w:r>
    </w:p>
    <w:p>
      <w:pPr>
        <w:spacing w:after="0" w:line="235" w:lineRule="auto"/>
        <w:rPr>
          <w:sz w:val="20"/>
          <w:szCs w:val="20"/>
          <w:color w:val="auto"/>
        </w:rPr>
      </w:pPr>
      <w:r>
        <w:rPr>
          <w:rFonts w:ascii="Arial" w:cs="Arial" w:eastAsia="Arial" w:hAnsi="Arial"/>
          <w:sz w:val="18"/>
          <w:szCs w:val="18"/>
          <w:color w:val="auto"/>
        </w:rPr>
        <w:t>been specified to (i) the Lead Arrangers by Holdings in writing before the Closing Date or (ii) to the Administrative Agent by Holdings in</w:t>
      </w:r>
    </w:p>
    <w:p>
      <w:pPr>
        <w:spacing w:after="0" w:line="226" w:lineRule="auto"/>
        <w:rPr>
          <w:sz w:val="20"/>
          <w:szCs w:val="20"/>
          <w:color w:val="auto"/>
        </w:rPr>
      </w:pPr>
      <w:r>
        <w:rPr>
          <w:rFonts w:ascii="Arial" w:cs="Arial" w:eastAsia="Arial" w:hAnsi="Arial"/>
          <w:sz w:val="18"/>
          <w:szCs w:val="18"/>
          <w:color w:val="auto"/>
        </w:rPr>
        <w:t>writing after the Closing Date at any time and from time to time and (c) in the case of each of clauses (a) and (b), any of their respective affiliates (other than any bona fide debt funds) that are either (x) identified in writing to the Lead Arrangers or, after the Closing Date, the</w:t>
      </w:r>
    </w:p>
    <w:p>
      <w:pPr>
        <w:spacing w:after="0" w:line="236" w:lineRule="auto"/>
        <w:rPr>
          <w:sz w:val="20"/>
          <w:szCs w:val="20"/>
          <w:color w:val="auto"/>
        </w:rPr>
      </w:pPr>
      <w:r>
        <w:rPr>
          <w:rFonts w:ascii="Arial" w:cs="Arial" w:eastAsia="Arial" w:hAnsi="Arial"/>
          <w:sz w:val="18"/>
          <w:szCs w:val="18"/>
          <w:color w:val="auto"/>
        </w:rPr>
        <w:t>Administrative Agent by Holdings from time to time or (y) clearly identifiable as affiliates of such persons on the basis of such affiliate’s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shall not apply retroactively to disqualify any person if such person shall have become a Lender or participant prior to such person’s designation as a Disqualified Lender, but shall disqualify such person from taking any further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assignment, transfer, allocation or participation after such designation.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of any currency at any date means (i) the amount of such currency if such currency is Dollars or (ii) the equivalent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 such currency of Dollars if such currency is a Foreign Currency, calculated on the basis of the Exchange Rate for such currency, on or as of the most recent Computation Date provided for in Section 2.04.</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w:t>
      </w:r>
    </w:p>
    <w:p>
      <w:pPr>
        <w:spacing w:after="0" w:line="227" w:lineRule="auto"/>
        <w:rPr>
          <w:sz w:val="20"/>
          <w:szCs w:val="20"/>
          <w:color w:val="auto"/>
        </w:rPr>
      </w:pPr>
      <w:r>
        <w:rPr>
          <w:rFonts w:ascii="Arial" w:cs="Arial" w:eastAsia="Arial" w:hAnsi="Arial"/>
          <w:sz w:val="20"/>
          <w:szCs w:val="20"/>
          <w:color w:val="auto"/>
        </w:rPr>
        <w:t>Agent or relevant Issuing Bank, as applicable, at such time on the basis of the spot rate (determined in respect of the most recent Computation Date or other applicable date of determination) for the purchase of Dollars with such Alternate Currency.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35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 Subsidiary organized under the laws of the United States, any state thereof or the District of Columbia.</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Drug Development Fund</w:t>
      </w:r>
      <w:r>
        <w:rPr>
          <w:rFonts w:ascii="Arial" w:cs="Arial" w:eastAsia="Arial" w:hAnsi="Arial"/>
          <w:sz w:val="18"/>
          <w:szCs w:val="18"/>
          <w:color w:val="auto"/>
        </w:rPr>
        <w:t>” means a fund, the primary business purpose of which is to invest in the development of pharmaceutical products or investigational medicinal products or devices, in which Holdings or any of its Restricted Subsidiaries owns a minority of the</w:t>
      </w:r>
    </w:p>
    <w:p>
      <w:pPr>
        <w:spacing w:after="0"/>
        <w:rPr>
          <w:sz w:val="20"/>
          <w:szCs w:val="20"/>
          <w:color w:val="auto"/>
        </w:rPr>
      </w:pPr>
      <w:r>
        <w:rPr>
          <w:rFonts w:ascii="Arial" w:cs="Arial" w:eastAsia="Arial" w:hAnsi="Arial"/>
          <w:sz w:val="20"/>
          <w:szCs w:val="20"/>
          <w:color w:val="auto"/>
        </w:rPr>
        <w:t>Equity Interests.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Payment Amount</w:t>
      </w:r>
      <w:r>
        <w:rPr>
          <w:rFonts w:ascii="Arial" w:cs="Arial" w:eastAsia="Arial" w:hAnsi="Arial"/>
          <w:sz w:val="20"/>
          <w:szCs w:val="20"/>
          <w:color w:val="auto"/>
        </w:rPr>
        <w:t>” has the meaning assigned to such term in Section 2.11(c)(iii).</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the Commodity Exchange Act and the regulations thereunder.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w:t>
      </w:r>
    </w:p>
    <w:p>
      <w:pPr>
        <w:spacing w:after="0"/>
        <w:rPr>
          <w:sz w:val="20"/>
          <w:szCs w:val="20"/>
          <w:color w:val="auto"/>
        </w:rPr>
      </w:pPr>
      <w:r>
        <w:rPr>
          <w:rFonts w:ascii="Arial" w:cs="Arial" w:eastAsia="Arial" w:hAnsi="Arial"/>
          <w:sz w:val="19"/>
          <w:szCs w:val="19"/>
          <w:color w:val="auto"/>
        </w:rPr>
        <w:t>subsidiary of an institution described in clauses (a) or (b) of this definition and is subject to consolidated supervision with its parent.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means, as to any Loans of any Class, the effective yield on such Loans as determined by Holdings in good faith, taking into account the applicable interest rate margins, any interest rate floors or similar devices, all recurring fees and other fees, including</w:t>
      </w:r>
    </w:p>
    <w:p>
      <w:pPr>
        <w:spacing w:after="0" w:line="235" w:lineRule="auto"/>
        <w:rPr>
          <w:sz w:val="20"/>
          <w:szCs w:val="20"/>
          <w:color w:val="auto"/>
        </w:rPr>
      </w:pPr>
      <w:r>
        <w:rPr>
          <w:rFonts w:ascii="Arial" w:cs="Arial" w:eastAsia="Arial" w:hAnsi="Arial"/>
          <w:sz w:val="18"/>
          <w:szCs w:val="18"/>
          <w:color w:val="auto"/>
        </w:rPr>
        <w:t>upfront or similar fees or original issue discount (amortized over the shorter of (x) the Weighted Average Life to Maturity of such Loans and</w:t>
      </w:r>
    </w:p>
    <w:p>
      <w:pPr>
        <w:jc w:val="both"/>
        <w:ind w:firstLine="8"/>
        <w:spacing w:after="0" w:line="229" w:lineRule="auto"/>
        <w:tabs>
          <w:tab w:leader="none" w:pos="32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four years following the date of incurrence thereof) payable generally to Lenders making such Loans, but excluding (i) any arrangement, structuring, commitment, ticking, underwriting or similar fees or other fees payable in connection therewith that are not generally shared with the Lenders thereunder and (ii) any customary consent fees paid generally to consenting Lenders.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Transferee</w:t>
      </w:r>
      <w:r>
        <w:rPr>
          <w:rFonts w:ascii="Arial" w:cs="Arial" w:eastAsia="Arial" w:hAnsi="Arial"/>
          <w:sz w:val="19"/>
          <w:szCs w:val="19"/>
          <w:color w:val="auto"/>
        </w:rPr>
        <w:t>” means an “accredited investor” (as defined in regulation D of the Securities Act) that (w) is not a natural</w:t>
      </w:r>
    </w:p>
    <w:p>
      <w:pPr>
        <w:spacing w:after="0" w:line="220" w:lineRule="auto"/>
        <w:rPr>
          <w:sz w:val="20"/>
          <w:szCs w:val="20"/>
          <w:color w:val="auto"/>
        </w:rPr>
      </w:pPr>
      <w:r>
        <w:rPr>
          <w:rFonts w:ascii="Arial" w:cs="Arial" w:eastAsia="Arial" w:hAnsi="Arial"/>
          <w:sz w:val="20"/>
          <w:szCs w:val="20"/>
          <w:color w:val="auto"/>
        </w:rPr>
        <w:t>person, (x) is not a Defaulting Lender, in each case at the time of the respective assignment or participation to such Person, (y) has provided any documentation required pursuant to the provisions of Section 2.17 and (z) is not a Disqualified Lender.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Enforcement Event</w:t>
      </w:r>
      <w:r>
        <w:rPr>
          <w:rFonts w:ascii="Arial" w:cs="Arial" w:eastAsia="Arial" w:hAnsi="Arial"/>
          <w:sz w:val="20"/>
          <w:szCs w:val="20"/>
          <w:color w:val="auto"/>
        </w:rPr>
        <w:t>” has the meaning assigned to such term in Schedule 1.01A.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applicable laws, rules, regulations, codes, ordinances, or binding orders, decrees, judgments,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injunctions, notices or agreements issued, promulgated or entered into by any Governmental Authority, relating to pollution or protection of the environment, including management or reclamation of natural resources, and the management, Release or threatened Release of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Hazardous Material or to occupational health and safety matters, as such occupational health and safety matters relate to exposure or handling of Hazardous Materials.</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or indirectly resulting from or based upon (a) violation of any Environmental Law, (b) the generation, use, handling, transportation, storage or treatment of any Hazardous Materials, (c) exposure to any Hazardous Materials, (d) the Release or threatened Release of any Hazardous</w:t>
      </w:r>
    </w:p>
    <w:p>
      <w:pPr>
        <w:jc w:val="both"/>
        <w:spacing w:after="0" w:line="227" w:lineRule="auto"/>
        <w:rPr>
          <w:sz w:val="20"/>
          <w:szCs w:val="20"/>
          <w:color w:val="auto"/>
        </w:rPr>
      </w:pPr>
      <w:r>
        <w:rPr>
          <w:rFonts w:ascii="Arial" w:cs="Arial" w:eastAsia="Arial" w:hAnsi="Arial"/>
          <w:sz w:val="20"/>
          <w:szCs w:val="20"/>
          <w:color w:val="auto"/>
        </w:rPr>
        <w:t>Materials into the environment or (e) any contract, agreement or other consensual arrangement pursuant to which liability is assumed or imposed with respect to any of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shares</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parts sociales</w:t>
      </w:r>
      <w:r>
        <w:rPr>
          <w:rFonts w:ascii="Arial" w:cs="Arial" w:eastAsia="Arial" w:hAnsi="Arial"/>
          <w:sz w:val="19"/>
          <w:szCs w:val="19"/>
          <w:color w:val="auto"/>
        </w:rPr>
        <w:t xml:space="preserve">) in a Luxembourg private limited liability company, beneficial interests in a trust or other equity ownership interests in a Person, and any warrants, options or other rights entitling the holder thereof to purchase or acquire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rPr>
          <w:sz w:val="20"/>
          <w:szCs w:val="20"/>
          <w:color w:val="auto"/>
        </w:rPr>
      </w:pPr>
      <w:r>
        <w:rPr>
          <w:rFonts w:ascii="Arial" w:cs="Arial" w:eastAsia="Arial" w:hAnsi="Arial"/>
          <w:sz w:val="20"/>
          <w:szCs w:val="20"/>
          <w:color w:val="auto"/>
        </w:rPr>
        <w:t>“Equity Interests” shall not include Convertible Debt Securities.</w:t>
      </w:r>
    </w:p>
    <w:p>
      <w:pPr>
        <w:spacing w:after="0" w:line="14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Equivalent Amount</w:t>
      </w:r>
      <w:r>
        <w:rPr>
          <w:rFonts w:ascii="Arial" w:cs="Arial" w:eastAsia="Arial" w:hAnsi="Arial"/>
          <w:sz w:val="20"/>
          <w:szCs w:val="20"/>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Holdings, is treated as a single employer under Section 414(b) or (c) of the Code or, solely for purposes of Section 302 of ERISA and Section 412 of the Code, is treated as a single employer under Section 414 of the Code.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respect to a Plan (other than an event for which the 30-day notice period is waived); (b) failure to satisfy the minimum funding standard under Section 412 of the Code or Section 302 of ERISA, whether or not waived; (c) the filing pursuant to Section 412(c) of the Code or</w:t>
      </w:r>
    </w:p>
    <w:p>
      <w:pPr>
        <w:spacing w:after="0" w:line="236" w:lineRule="auto"/>
        <w:rPr>
          <w:sz w:val="20"/>
          <w:szCs w:val="20"/>
          <w:color w:val="auto"/>
        </w:rPr>
      </w:pPr>
      <w:r>
        <w:rPr>
          <w:rFonts w:ascii="Arial" w:cs="Arial" w:eastAsia="Arial" w:hAnsi="Arial"/>
          <w:sz w:val="18"/>
          <w:szCs w:val="18"/>
          <w:color w:val="auto"/>
        </w:rPr>
        <w:t>Section 302(c) of ERISA of an application for a waiver of the minimum funding standard with respect to any Plan; (d) the incurrence by</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Holdings or any of its ERISA Affiliates of any liability under Title IV of ERISA with respect to the termination of any Plan other than any PBGC premiums due but not delinquent under Section 4007 of ERISA; (e) a determination that any Plan is, or is reasonably expected to be,</w:t>
      </w:r>
    </w:p>
    <w:p>
      <w:pPr>
        <w:spacing w:after="0" w:line="236" w:lineRule="auto"/>
        <w:rPr>
          <w:sz w:val="20"/>
          <w:szCs w:val="20"/>
          <w:color w:val="auto"/>
        </w:rPr>
      </w:pPr>
      <w:r>
        <w:rPr>
          <w:rFonts w:ascii="Arial" w:cs="Arial" w:eastAsia="Arial" w:hAnsi="Arial"/>
          <w:sz w:val="18"/>
          <w:szCs w:val="18"/>
          <w:color w:val="auto"/>
        </w:rPr>
        <w:t>considered an at-risk plan within the meaning of Section 430 of the Code or Section 303 of ERISA; (f) the receipt by Holdings or any ERISA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Affiliate from the PBGC or a plan administrator of any written notice relating to an intention to terminate any Plan or Plans or to appoint a trustee to administer any Plan; (g) the incurrence by Holdings or any of its ERISA Affiliates of any liability with respect to the withdrawal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partial withdrawal of Holdings or any of its ERISA Affiliates from any Multiemployer Plan; (h) the receipt by Holdings or any ERISA Affiliate of any notice that a Multiemployer Plan is, or is expected to be insolvent within the meaning of Title IV of ERISA; or (i) the receipt</w:t>
      </w:r>
    </w:p>
    <w:p>
      <w:pPr>
        <w:spacing w:after="0" w:line="236" w:lineRule="auto"/>
        <w:rPr>
          <w:sz w:val="20"/>
          <w:szCs w:val="20"/>
          <w:color w:val="auto"/>
        </w:rPr>
      </w:pPr>
      <w:r>
        <w:rPr>
          <w:rFonts w:ascii="Arial" w:cs="Arial" w:eastAsia="Arial" w:hAnsi="Arial"/>
          <w:sz w:val="18"/>
          <w:szCs w:val="18"/>
          <w:color w:val="auto"/>
        </w:rPr>
        <w:t>by Holdings or any ERISA Affiliate of any notice that a Multiemployer Plan is in endangered or critical status under Section 432 of the Code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Section 305 of ERISA; (j) the occurrence of any event which triggers the full or partial wind up of any occupational pension scheme (within the meaning of section 2 of the Irish Pensions Act 1990 (as amended) (the “</w:t>
      </w:r>
      <w:r>
        <w:rPr>
          <w:rFonts w:ascii="Arial" w:cs="Arial" w:eastAsia="Arial" w:hAnsi="Arial"/>
          <w:sz w:val="18"/>
          <w:szCs w:val="18"/>
          <w:u w:val="single" w:color="auto"/>
          <w:color w:val="auto"/>
        </w:rPr>
        <w:t>Pensions Act</w:t>
      </w:r>
      <w:r>
        <w:rPr>
          <w:rFonts w:ascii="Arial" w:cs="Arial" w:eastAsia="Arial" w:hAnsi="Arial"/>
          <w:sz w:val="18"/>
          <w:szCs w:val="18"/>
          <w:color w:val="auto"/>
        </w:rPr>
        <w:t>”)) sponsored by Holdings or its Subsidiaries</w:t>
      </w:r>
    </w:p>
    <w:p>
      <w:pPr>
        <w:spacing w:after="0" w:line="23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Irish Pension Scheme</w:t>
      </w:r>
      <w:r>
        <w:rPr>
          <w:rFonts w:ascii="Arial" w:cs="Arial" w:eastAsia="Arial" w:hAnsi="Arial"/>
          <w:sz w:val="18"/>
          <w:szCs w:val="18"/>
          <w:color w:val="auto"/>
        </w:rPr>
        <w:t>”); (k) the failure by an Irish Pension Scheme to meet the funding standard prescribed by Part IV of the Pensions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 as at a date in relation to which the trustees of the Irish Pension Scheme are required to cause an actuarial funding certificate to be prepared in accordance with the Pensions Act; (l) where any funding proposal (within the meaning of section 49 of the Pensions Act) which</w:t>
      </w:r>
    </w:p>
    <w:p>
      <w:pPr>
        <w:spacing w:after="0" w:line="236" w:lineRule="auto"/>
        <w:rPr>
          <w:sz w:val="20"/>
          <w:szCs w:val="20"/>
          <w:color w:val="auto"/>
        </w:rPr>
      </w:pPr>
      <w:r>
        <w:rPr>
          <w:rFonts w:ascii="Arial" w:cs="Arial" w:eastAsia="Arial" w:hAnsi="Arial"/>
          <w:sz w:val="18"/>
          <w:szCs w:val="18"/>
          <w:color w:val="auto"/>
        </w:rPr>
        <w:t>has been put in place to address a deficit within an Irish Pension Scheme goes off track (within the meaning of the Irish Pensions Authority’s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prescribed guidance under section 49 of the Pensions Act, “the Irish Pensions Authority” being the body established under Part II of the Pensions Act); (m) where a prosecution for an offence is brought under section 3 of the Pensions Act against the sponsoring employer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trustees concerning an Irish Pension Scheme or where the Irish Pensions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Authority brings proceedings before the Irish High Court concerning an Irish Pension Scheme under Part IX of the Pensions Act; (n) where the Irish Pensions Authority commences an investigation of or appoints an authorised officer over an Irish Pension Scheme in accordance</w:t>
      </w:r>
    </w:p>
    <w:p>
      <w:pPr>
        <w:spacing w:after="0" w:line="235" w:lineRule="auto"/>
        <w:rPr>
          <w:sz w:val="20"/>
          <w:szCs w:val="20"/>
          <w:color w:val="auto"/>
        </w:rPr>
      </w:pPr>
      <w:r>
        <w:rPr>
          <w:rFonts w:ascii="Arial" w:cs="Arial" w:eastAsia="Arial" w:hAnsi="Arial"/>
          <w:sz w:val="18"/>
          <w:szCs w:val="18"/>
          <w:color w:val="auto"/>
        </w:rPr>
        <w:t>with its powers under Part II of the Pensions Act, or where the Irish Pensions Authority issues to the trustees of an Irish Pension Scheme an</w:t>
      </w:r>
    </w:p>
    <w:p>
      <w:pPr>
        <w:spacing w:after="0" w:line="226" w:lineRule="auto"/>
        <w:rPr>
          <w:sz w:val="20"/>
          <w:szCs w:val="20"/>
          <w:color w:val="auto"/>
        </w:rPr>
      </w:pPr>
      <w:r>
        <w:rPr>
          <w:rFonts w:ascii="Arial" w:cs="Arial" w:eastAsia="Arial" w:hAnsi="Arial"/>
          <w:sz w:val="18"/>
          <w:szCs w:val="18"/>
          <w:color w:val="auto"/>
        </w:rPr>
        <w:t>advisory notice (within the meaning of section 26M of the Pensions Act) or a notice to trustees to provide an external report (within the meaning of section 26N of the Pensions Act); (o) where the Irish Financial Services and Pensions Ombudsman (being the person appointed</w:t>
      </w:r>
    </w:p>
    <w:p>
      <w:pPr>
        <w:spacing w:after="0" w:line="236" w:lineRule="auto"/>
        <w:rPr>
          <w:sz w:val="20"/>
          <w:szCs w:val="20"/>
          <w:color w:val="auto"/>
        </w:rPr>
      </w:pPr>
      <w:r>
        <w:rPr>
          <w:rFonts w:ascii="Arial" w:cs="Arial" w:eastAsia="Arial" w:hAnsi="Arial"/>
          <w:sz w:val="18"/>
          <w:szCs w:val="18"/>
          <w:color w:val="auto"/>
        </w:rPr>
        <w:t>as the “Ombudsman” under section 8(1)(a) of the Financial Services and Pensions Ombudsman Act 2017 (as amended)) either makes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determination against or brings enforcement proceedings against the sponsoring employer or the trustees concerning an Irish Pension Scheme; (p) where any arbitration proceedings or proceedings before the Irish High Court are initiated relating to a dispute between the</w:t>
      </w:r>
    </w:p>
    <w:p>
      <w:pPr>
        <w:spacing w:after="0" w:line="236" w:lineRule="auto"/>
        <w:rPr>
          <w:sz w:val="20"/>
          <w:szCs w:val="20"/>
          <w:color w:val="auto"/>
        </w:rPr>
      </w:pPr>
      <w:r>
        <w:rPr>
          <w:rFonts w:ascii="Arial" w:cs="Arial" w:eastAsia="Arial" w:hAnsi="Arial"/>
          <w:sz w:val="18"/>
          <w:szCs w:val="18"/>
          <w:color w:val="auto"/>
        </w:rPr>
        <w:t>sponsoring employer and/or the trustees and/or members (whether potential or actual) and/or beneficiaries (whether potential or actual) of 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Irish Pension Scheme; or (q) the failure by Holdings or its Subsidiaries to remit contributions to an Irish Pension Scheme within the prescribed period set out in section 58A of the Pensions Act or failure by Holdings or its Subsidiaries to pay any other contributions to 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Irish Pension Scheme which may be required under the terms of the Irish Pensions Scheme within a reasonable period after the due date for payment of such contributions.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has the meaning assigned to it in Section 8.02(a).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has the meaning assigned to it in Section 8.02(d).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Class</w:t>
      </w:r>
      <w:r>
        <w:rPr>
          <w:rFonts w:ascii="Arial" w:cs="Arial" w:eastAsia="Arial" w:hAnsi="Arial"/>
          <w:sz w:val="20"/>
          <w:szCs w:val="20"/>
          <w:color w:val="auto"/>
        </w:rPr>
        <w:t>” has the meaning assigned to it in Section 8.02(d).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has the meaning assigned to it in Section 8.02(d).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Subrogation Rights</w:t>
      </w:r>
      <w:r>
        <w:rPr>
          <w:rFonts w:ascii="Arial" w:cs="Arial" w:eastAsia="Arial" w:hAnsi="Arial"/>
          <w:sz w:val="20"/>
          <w:szCs w:val="20"/>
          <w:color w:val="auto"/>
        </w:rPr>
        <w:t>” has the meaning assigned to it in Section 8.02(d).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w:t>
      </w:r>
      <w:r>
        <w:rPr>
          <w:rFonts w:ascii="Arial" w:cs="Arial" w:eastAsia="Arial" w:hAnsi="Arial"/>
          <w:sz w:val="20"/>
          <w:szCs w:val="20"/>
          <w:color w:val="auto"/>
        </w:rPr>
        <w:t>” means the European Union.</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“EURIBOR Rate” means, for any Interest Period when used in reference to any Loan or Borrowing denominated in euros, (a) the </w:t>
      </w:r>
      <w:r>
        <w:rPr>
          <w:rFonts w:ascii="Arial" w:cs="Arial" w:eastAsia="Arial" w:hAnsi="Arial"/>
          <w:sz w:val="18"/>
          <w:szCs w:val="18"/>
          <w:color w:val="auto"/>
          <w:highlight w:val="white"/>
        </w:rPr>
        <w:t xml:space="preserve">rate of interest (rounded upwards, if necessary, to the nearest 1/100th) appearing </w:t>
      </w:r>
      <w:r>
        <w:rPr>
          <w:rFonts w:ascii="Arial" w:cs="Arial" w:eastAsia="Arial" w:hAnsi="Arial"/>
          <w:sz w:val="18"/>
          <w:szCs w:val="18"/>
          <w:color w:val="auto"/>
        </w:rPr>
        <w:t>on the applicable Bloomberg screen (or on any successor or</w:t>
      </w:r>
    </w:p>
    <w:p>
      <w:pPr>
        <w:spacing w:after="0" w:line="235" w:lineRule="auto"/>
        <w:rPr>
          <w:sz w:val="20"/>
          <w:szCs w:val="20"/>
          <w:color w:val="auto"/>
        </w:rPr>
      </w:pPr>
      <w:r>
        <w:rPr>
          <w:rFonts w:ascii="Arial" w:cs="Arial" w:eastAsia="Arial" w:hAnsi="Arial"/>
          <w:sz w:val="18"/>
          <w:szCs w:val="18"/>
          <w:color w:val="auto"/>
          <w:highlight w:val="white"/>
        </w:rPr>
        <w:t>substitute page of such service, or any successor to such service as determined by Administrative Agent) (the “</w:t>
      </w:r>
      <w:r>
        <w:rPr>
          <w:rFonts w:ascii="Arial" w:cs="Arial" w:eastAsia="Arial" w:hAnsi="Arial"/>
          <w:sz w:val="18"/>
          <w:szCs w:val="18"/>
          <w:u w:val="single" w:color="auto"/>
          <w:color w:val="auto"/>
          <w:highlight w:val="white"/>
        </w:rPr>
        <w:t>EURIBOR Screen Rate</w:t>
      </w:r>
      <w:r>
        <w:rPr>
          <w:rFonts w:ascii="Arial" w:cs="Arial" w:eastAsia="Arial" w:hAnsi="Arial"/>
          <w:sz w:val="18"/>
          <w:szCs w:val="18"/>
          <w:color w:val="auto"/>
          <w:highlight w:val="white"/>
        </w:rPr>
        <w:t>”) as</w:t>
      </w:r>
    </w:p>
    <w:p>
      <w:pPr>
        <w:spacing w:after="0" w:line="226" w:lineRule="auto"/>
        <w:rPr>
          <w:sz w:val="20"/>
          <w:szCs w:val="20"/>
          <w:color w:val="auto"/>
        </w:rPr>
      </w:pPr>
      <w:r>
        <w:rPr>
          <w:rFonts w:ascii="Arial" w:cs="Arial" w:eastAsia="Arial" w:hAnsi="Arial"/>
          <w:sz w:val="18"/>
          <w:szCs w:val="18"/>
          <w:color w:val="auto"/>
          <w:highlight w:val="white"/>
        </w:rPr>
        <w:t xml:space="preserve">the Euro interbank offered rate for deposits in Euros for a term comparable to such Interest Period, at approximately 11:00 a.m. (Brussels </w:t>
      </w:r>
      <w:r>
        <w:rPr>
          <w:rFonts w:ascii="Arial" w:cs="Arial" w:eastAsia="Arial" w:hAnsi="Arial"/>
          <w:sz w:val="18"/>
          <w:szCs w:val="18"/>
          <w:color w:val="auto"/>
        </w:rPr>
        <w:t>time) on the date which is two Business Days prior to the commencement of such Interest Period (but if more than one rate is specified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394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such page, the rate will be an arithmetic average of all such rates) and (b) if such rate is not available at such time for any reason, then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“EURIBOR Rate” for such Interest Period shall be the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reasonably determined by the Administrative Agent in good </w:t>
      </w:r>
      <w:r>
        <w:rPr>
          <w:rFonts w:ascii="Arial" w:cs="Arial" w:eastAsia="Arial" w:hAnsi="Arial"/>
          <w:sz w:val="18"/>
          <w:szCs w:val="18"/>
          <w:color w:val="auto"/>
          <w:highlight w:val="white"/>
        </w:rPr>
        <w:t xml:space="preserve">faith to be the rate </w:t>
      </w:r>
      <w:r>
        <w:rPr>
          <w:rFonts w:ascii="Arial" w:cs="Arial" w:eastAsia="Arial" w:hAnsi="Arial"/>
          <w:sz w:val="18"/>
          <w:szCs w:val="18"/>
          <w:i w:val="1"/>
          <w:iCs w:val="1"/>
          <w:color w:val="auto"/>
          <w:highlight w:val="white"/>
        </w:rPr>
        <w:t>per annum</w:t>
      </w:r>
      <w:r>
        <w:rPr>
          <w:rFonts w:ascii="Arial" w:cs="Arial" w:eastAsia="Arial" w:hAnsi="Arial"/>
          <w:sz w:val="18"/>
          <w:szCs w:val="18"/>
          <w:color w:val="auto"/>
          <w:highlight w:val="white"/>
        </w:rPr>
        <w:t xml:space="preserve"> at which deposits in euros for delivery on the first day of such Interest Period in immediately available funds in</w:t>
      </w:r>
    </w:p>
    <w:p>
      <w:pPr>
        <w:spacing w:after="0" w:line="236" w:lineRule="auto"/>
        <w:rPr>
          <w:sz w:val="20"/>
          <w:szCs w:val="20"/>
          <w:color w:val="auto"/>
        </w:rPr>
      </w:pPr>
      <w:r>
        <w:rPr>
          <w:rFonts w:ascii="Arial" w:cs="Arial" w:eastAsia="Arial" w:hAnsi="Arial"/>
          <w:sz w:val="18"/>
          <w:szCs w:val="18"/>
          <w:color w:val="auto"/>
          <w:highlight w:val="white"/>
        </w:rPr>
        <w:t>the approximate amount of the Eurocurrency Rate Loan being made, continued or converted by the Administrative Agent and with a term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equivalent to such Interest Period would be offered to the Administrative Agent by major banks in the London or other offshore interbank market for Euros at their request at approximately 11:00 a.m. (Brussels time) two Business Days prior to the commencement of such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2343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23430" cy="2571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highlight w:val="white"/>
        </w:rPr>
        <w:t xml:space="preserve">Period; </w:t>
      </w:r>
      <w:r>
        <w:rPr>
          <w:rFonts w:ascii="Arial" w:cs="Arial" w:eastAsia="Arial" w:hAnsi="Arial"/>
          <w:sz w:val="20"/>
          <w:szCs w:val="20"/>
          <w:u w:val="single" w:color="auto"/>
          <w:color w:val="auto"/>
          <w:highlight w:val="white"/>
        </w:rPr>
        <w:t>provided</w:t>
      </w:r>
      <w:r>
        <w:rPr>
          <w:sz w:val="1"/>
          <w:szCs w:val="1"/>
          <w:color w:val="auto"/>
        </w:rPr>
        <w:drawing>
          <wp:inline distT="0" distB="0" distL="0" distR="0">
            <wp:extent cx="34290" cy="1143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r>
        <w:rPr>
          <w:rFonts w:ascii="Arial" w:cs="Arial" w:eastAsia="Arial" w:hAnsi="Arial"/>
          <w:sz w:val="20"/>
          <w:szCs w:val="20"/>
          <w:color w:val="auto"/>
        </w:rPr>
        <w:t>that, to the extent that an interest rate is not ascertainable pursuant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provisions of this definition, “EURIBOR Rate” shall be the interest rate per annum equal to the Interpolated Screen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 Screen Rate</w:t>
      </w:r>
      <w:r>
        <w:rPr>
          <w:rFonts w:ascii="Arial" w:cs="Arial" w:eastAsia="Arial" w:hAnsi="Arial"/>
          <w:sz w:val="20"/>
          <w:szCs w:val="20"/>
          <w:color w:val="auto"/>
        </w:rPr>
        <w:t>” has the meaning assigned to such term in the definition of “EURIBOR Rate”.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and/or “</w:t>
      </w:r>
      <w:r>
        <w:rPr>
          <w:rFonts w:ascii="Arial" w:cs="Arial" w:eastAsia="Arial" w:hAnsi="Arial"/>
          <w:sz w:val="20"/>
          <w:szCs w:val="20"/>
          <w:u w:val="single" w:color="auto"/>
          <w:color w:val="auto"/>
        </w:rPr>
        <w:t>EUR</w:t>
      </w:r>
      <w:r>
        <w:rPr>
          <w:rFonts w:ascii="Arial" w:cs="Arial" w:eastAsia="Arial" w:hAnsi="Arial"/>
          <w:sz w:val="20"/>
          <w:szCs w:val="20"/>
          <w:color w:val="auto"/>
        </w:rPr>
        <w:t>” means the single currency of the Participating Member States.</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w:t>
      </w:r>
      <w:r>
        <w:rPr>
          <w:rFonts w:ascii="Arial" w:cs="Arial" w:eastAsia="Arial" w:hAnsi="Arial"/>
          <w:sz w:val="20"/>
          <w:szCs w:val="20"/>
          <w:color w:val="auto"/>
        </w:rPr>
        <w:t xml:space="preserve">” when used in reference to a currency, means an Agreed Currency </w:t>
      </w:r>
      <w:r>
        <w:rPr>
          <w:rFonts w:ascii="Arial" w:cs="Arial" w:eastAsia="Arial" w:hAnsi="Arial"/>
          <w:sz w:val="20"/>
          <w:szCs w:val="20"/>
          <w:u w:val="single" w:color="auto"/>
          <w:color w:val="0000FF"/>
        </w:rPr>
        <w:t>(other than Dollars)</w:t>
      </w:r>
      <w:r>
        <w:rPr>
          <w:rFonts w:ascii="Arial" w:cs="Arial" w:eastAsia="Arial" w:hAnsi="Arial"/>
          <w:sz w:val="20"/>
          <w:szCs w:val="20"/>
          <w:color w:val="auto"/>
        </w:rPr>
        <w:t>, and when used in reference to any Loan or Borrowing, means that such Loan, or the Loans comprising such Borrowing, bears interest at a rate determined by reference to the Eurocurrency Rate (other than any ABR Loan or ABR Borrowing).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Payment Office</w:t>
      </w:r>
      <w:r>
        <w:rPr>
          <w:rFonts w:ascii="Arial" w:cs="Arial" w:eastAsia="Arial" w:hAnsi="Arial"/>
          <w:sz w:val="19"/>
          <w:szCs w:val="19"/>
          <w:color w:val="auto"/>
        </w:rPr>
        <w:t>” of the Administrative Agent means, for each Foreign Currency, the office, branch, affiliate or</w:t>
      </w:r>
    </w:p>
    <w:p>
      <w:pPr>
        <w:jc w:val="both"/>
        <w:spacing w:after="0" w:line="220" w:lineRule="auto"/>
        <w:rPr>
          <w:sz w:val="20"/>
          <w:szCs w:val="20"/>
          <w:color w:val="auto"/>
        </w:rPr>
      </w:pPr>
      <w:r>
        <w:rPr>
          <w:rFonts w:ascii="Arial" w:cs="Arial" w:eastAsia="Arial" w:hAnsi="Arial"/>
          <w:sz w:val="20"/>
          <w:szCs w:val="20"/>
          <w:color w:val="auto"/>
        </w:rPr>
        <w:t>correspondent bank of the Administrative Agent for such currency as specified from time to time by the Administrative Agent to Holdings and each Lender.</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xml:space="preserve">” means </w:t>
      </w:r>
      <w:r>
        <w:rPr>
          <w:rFonts w:ascii="Arial" w:cs="Arial" w:eastAsia="Arial" w:hAnsi="Arial"/>
          <w:sz w:val="20"/>
          <w:szCs w:val="20"/>
          <w:color w:val="FF0000"/>
        </w:rPr>
        <w:t>(a) in the case of Loans denominated in an Agreed Currency other than euros and Pounds Sterling, the</w:t>
      </w:r>
      <w:r>
        <w:rPr>
          <w:rFonts w:ascii="Arial" w:cs="Arial" w:eastAsia="Arial" w:hAnsi="Arial"/>
          <w:sz w:val="20"/>
          <w:szCs w:val="20"/>
          <w:color w:val="auto"/>
        </w:rPr>
        <w:t xml:space="preserve"> </w:t>
      </w:r>
      <w:r>
        <w:rPr>
          <w:rFonts w:ascii="Arial" w:cs="Arial" w:eastAsia="Arial" w:hAnsi="Arial"/>
          <w:sz w:val="20"/>
          <w:szCs w:val="20"/>
          <w:color w:val="FF0000"/>
          <w:strike w:val="1"/>
        </w:rPr>
        <w:t>Adjusted LIBO Rate or (b)</w:t>
      </w:r>
      <w:r>
        <w:rPr>
          <w:rFonts w:ascii="Arial" w:cs="Arial" w:eastAsia="Arial" w:hAnsi="Arial"/>
          <w:sz w:val="20"/>
          <w:szCs w:val="20"/>
          <w:color w:val="FF0000"/>
        </w:rPr>
        <w:t xml:space="preserve"> </w:t>
      </w:r>
      <w:r>
        <w:rPr>
          <w:rFonts w:ascii="Arial" w:cs="Arial" w:eastAsia="Arial" w:hAnsi="Arial"/>
          <w:sz w:val="20"/>
          <w:szCs w:val="20"/>
          <w:color w:val="000000"/>
        </w:rPr>
        <w:t>in the case of Loans denominated in euros, the Adjusted EURIBOR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-198755</wp:posOffset>
            </wp:positionV>
            <wp:extent cx="53041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5304155" cy="8255"/>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Section 7.01.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for any period, an amount equal to the excess of:</w:t>
      </w:r>
    </w:p>
    <w:p>
      <w:pPr>
        <w:spacing w:after="0" w:line="189"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20"/>
          <w:szCs w:val="20"/>
          <w:color w:val="auto"/>
        </w:rPr>
        <w:t>the sum, without duplication, of:</w:t>
      </w:r>
    </w:p>
    <w:p>
      <w:pPr>
        <w:spacing w:after="0" w:line="175" w:lineRule="exact"/>
        <w:rPr>
          <w:rFonts w:ascii="Arial" w:cs="Arial" w:eastAsia="Arial" w:hAnsi="Arial"/>
          <w:sz w:val="18"/>
          <w:szCs w:val="18"/>
          <w:color w:val="auto"/>
        </w:rPr>
      </w:pPr>
    </w:p>
    <w:p>
      <w:pPr>
        <w:ind w:left="1940" w:hanging="636"/>
        <w:spacing w:after="0"/>
        <w:tabs>
          <w:tab w:leader="none" w:pos="1940" w:val="left"/>
        </w:tabs>
        <w:numPr>
          <w:ilvl w:val="1"/>
          <w:numId w:val="113"/>
        </w:numPr>
        <w:rPr>
          <w:rFonts w:ascii="Arial" w:cs="Arial" w:eastAsia="Arial" w:hAnsi="Arial"/>
          <w:sz w:val="18"/>
          <w:szCs w:val="18"/>
          <w:color w:val="auto"/>
        </w:rPr>
      </w:pPr>
      <w:r>
        <w:rPr>
          <w:rFonts w:ascii="Arial" w:cs="Arial" w:eastAsia="Arial" w:hAnsi="Arial"/>
          <w:sz w:val="20"/>
          <w:szCs w:val="20"/>
          <w:color w:val="auto"/>
        </w:rPr>
        <w:t>Consolidated Net Income of the Group for such period;</w:t>
      </w:r>
    </w:p>
    <w:p>
      <w:pPr>
        <w:spacing w:after="0" w:line="188" w:lineRule="exact"/>
        <w:rPr>
          <w:rFonts w:ascii="Arial" w:cs="Arial" w:eastAsia="Arial" w:hAnsi="Arial"/>
          <w:sz w:val="18"/>
          <w:szCs w:val="18"/>
          <w:color w:val="auto"/>
        </w:rPr>
      </w:pPr>
    </w:p>
    <w:p>
      <w:pPr>
        <w:jc w:val="both"/>
        <w:ind w:left="660" w:firstLine="644"/>
        <w:spacing w:after="0" w:line="252" w:lineRule="auto"/>
        <w:tabs>
          <w:tab w:leader="none" w:pos="1946" w:val="left"/>
        </w:tabs>
        <w:numPr>
          <w:ilvl w:val="1"/>
          <w:numId w:val="113"/>
        </w:numPr>
        <w:rPr>
          <w:rFonts w:ascii="Arial" w:cs="Arial" w:eastAsia="Arial" w:hAnsi="Arial"/>
          <w:sz w:val="16"/>
          <w:szCs w:val="16"/>
          <w:color w:val="auto"/>
        </w:rPr>
      </w:pPr>
      <w:r>
        <w:rPr>
          <w:rFonts w:ascii="Arial" w:cs="Arial" w:eastAsia="Arial" w:hAnsi="Arial"/>
          <w:sz w:val="18"/>
          <w:szCs w:val="18"/>
          <w:color w:val="auto"/>
        </w:rPr>
        <w:t>an amount equal to the amount of all non-cash charges (including depreciation and amortization) to the extent deducted in arriving at such Consolidated Net Income, but excluding any such non-cash charges representing an accrual or reserve for potential cash items in any future period and excluding amortization of a prepaid cash item that was paid in a prior period; and</w:t>
      </w:r>
    </w:p>
    <w:p>
      <w:pPr>
        <w:spacing w:after="0" w:line="157" w:lineRule="exact"/>
        <w:rPr>
          <w:rFonts w:ascii="Arial" w:cs="Arial" w:eastAsia="Arial" w:hAnsi="Arial"/>
          <w:sz w:val="16"/>
          <w:szCs w:val="16"/>
          <w:color w:val="auto"/>
        </w:rPr>
      </w:pPr>
    </w:p>
    <w:p>
      <w:pPr>
        <w:jc w:val="both"/>
        <w:ind w:left="660" w:firstLine="644"/>
        <w:spacing w:after="0" w:line="229" w:lineRule="auto"/>
        <w:tabs>
          <w:tab w:leader="none" w:pos="1956" w:val="left"/>
        </w:tabs>
        <w:numPr>
          <w:ilvl w:val="1"/>
          <w:numId w:val="113"/>
        </w:numPr>
        <w:rPr>
          <w:rFonts w:ascii="Arial" w:cs="Arial" w:eastAsia="Arial" w:hAnsi="Arial"/>
          <w:sz w:val="17"/>
          <w:szCs w:val="17"/>
          <w:color w:val="auto"/>
        </w:rPr>
      </w:pPr>
      <w:r>
        <w:rPr>
          <w:rFonts w:ascii="Arial" w:cs="Arial" w:eastAsia="Arial" w:hAnsi="Arial"/>
          <w:sz w:val="19"/>
          <w:szCs w:val="19"/>
          <w:color w:val="auto"/>
        </w:rPr>
        <w:t xml:space="preserve">decreases in Consolidated Working Capital for such period (measured as the decrease, if any, of Consolidated Working Capital at the beginning of such Excess Cash Flow Period compared to Consolidated Working Capital at the end of such Excess Cash Flow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decreases arising from acquisitions or dispositions by Holdings and its Restricted Subsidiaries completed during such period and the effect of reclassification during such period of current assets to long-term assets and current liabilities to long-term liabilities shall be excluded; over</w:t>
      </w:r>
    </w:p>
    <w:p>
      <w:pPr>
        <w:spacing w:after="0" w:line="159" w:lineRule="exact"/>
        <w:rPr>
          <w:rFonts w:ascii="Arial" w:cs="Arial" w:eastAsia="Arial" w:hAnsi="Arial"/>
          <w:sz w:val="17"/>
          <w:szCs w:val="17"/>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20"/>
          <w:szCs w:val="20"/>
          <w:color w:val="auto"/>
        </w:rPr>
        <w:t>the sum, without duplication, of:</w:t>
      </w:r>
    </w:p>
    <w:p>
      <w:pPr>
        <w:spacing w:after="0" w:line="188" w:lineRule="exact"/>
        <w:rPr>
          <w:rFonts w:ascii="Arial" w:cs="Arial" w:eastAsia="Arial" w:hAnsi="Arial"/>
          <w:sz w:val="18"/>
          <w:szCs w:val="18"/>
          <w:color w:val="auto"/>
        </w:rPr>
      </w:pPr>
    </w:p>
    <w:p>
      <w:pPr>
        <w:jc w:val="both"/>
        <w:ind w:left="660" w:firstLine="644"/>
        <w:spacing w:after="0" w:line="252" w:lineRule="auto"/>
        <w:tabs>
          <w:tab w:leader="none" w:pos="1950" w:val="left"/>
        </w:tabs>
        <w:numPr>
          <w:ilvl w:val="1"/>
          <w:numId w:val="113"/>
        </w:numPr>
        <w:rPr>
          <w:rFonts w:ascii="Arial" w:cs="Arial" w:eastAsia="Arial" w:hAnsi="Arial"/>
          <w:sz w:val="16"/>
          <w:szCs w:val="16"/>
          <w:color w:val="auto"/>
        </w:rPr>
      </w:pPr>
      <w:r>
        <w:rPr>
          <w:rFonts w:ascii="Arial" w:cs="Arial" w:eastAsia="Arial" w:hAnsi="Arial"/>
          <w:sz w:val="18"/>
          <w:szCs w:val="18"/>
          <w:color w:val="auto"/>
        </w:rPr>
        <w:t>an amount equal to the amount of all non-cash credits included in arriving at such Consolidated Net Income (but excluding any non-cash credit to the extent representing the reversal of an accrual or reserve described in clause (a)(ii) above) and cash charges, expenses and losses excluded by virtue of clauses (a) through (p) of the definition of “Consolidated Net Income;”</w:t>
      </w:r>
    </w:p>
    <w:p>
      <w:pPr>
        <w:spacing w:after="0" w:line="157" w:lineRule="exact"/>
        <w:rPr>
          <w:rFonts w:ascii="Arial" w:cs="Arial" w:eastAsia="Arial" w:hAnsi="Arial"/>
          <w:sz w:val="16"/>
          <w:szCs w:val="16"/>
          <w:color w:val="auto"/>
        </w:rPr>
      </w:pPr>
    </w:p>
    <w:p>
      <w:pPr>
        <w:ind w:left="660" w:right="20" w:firstLine="644"/>
        <w:spacing w:after="0" w:line="229" w:lineRule="auto"/>
        <w:tabs>
          <w:tab w:leader="none" w:pos="1946" w:val="left"/>
        </w:tabs>
        <w:numPr>
          <w:ilvl w:val="1"/>
          <w:numId w:val="113"/>
        </w:numPr>
        <w:rPr>
          <w:rFonts w:ascii="Arial" w:cs="Arial" w:eastAsia="Arial" w:hAnsi="Arial"/>
          <w:sz w:val="18"/>
          <w:szCs w:val="18"/>
          <w:color w:val="auto"/>
        </w:rPr>
      </w:pPr>
      <w:r>
        <w:rPr>
          <w:rFonts w:ascii="Arial" w:cs="Arial" w:eastAsia="Arial" w:hAnsi="Arial"/>
          <w:sz w:val="20"/>
          <w:szCs w:val="20"/>
          <w:color w:val="auto"/>
        </w:rPr>
        <w:t>without duplication of amounts deducted pursuant to this clause (ii) in prior fiscal years, the aggregate amount of all principal payments of Indebtedness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Holdings and its Restricted Subsidiaries (including (A) the principal component of payments in respect of Capital Lease Obligations and (B) the amount of any scheduled repayment of Term Loans pursuant to Section 2.10 and mandatory prepayment of Term Loans</w:t>
      </w:r>
    </w:p>
    <w:p>
      <w:pPr>
        <w:spacing w:after="0"/>
        <w:rPr>
          <w:sz w:val="20"/>
          <w:szCs w:val="20"/>
          <w:color w:val="auto"/>
        </w:rPr>
      </w:pPr>
      <w:r>
        <w:rPr>
          <w:rFonts w:ascii="Arial" w:cs="Arial" w:eastAsia="Arial" w:hAnsi="Arial"/>
          <w:sz w:val="16"/>
          <w:szCs w:val="16"/>
          <w:color w:val="auto"/>
        </w:rPr>
        <w:t>pursuant to Section 2.11 to the extent required due to a Disposition or casualty event that resulted in an increase to such Consolidated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Net Income and not in excess of the amount of such increase, but excluding (W) all other prepayments of Term Loans (other than prepayments referred to in clause (B) above)), (X) all prepayments of Revolving Loans and Swingline Loans, except to the extent</w:t>
      </w:r>
    </w:p>
    <w:p>
      <w:pPr>
        <w:spacing w:after="0" w:line="236" w:lineRule="auto"/>
        <w:rPr>
          <w:sz w:val="20"/>
          <w:szCs w:val="20"/>
          <w:color w:val="auto"/>
        </w:rPr>
      </w:pPr>
      <w:r>
        <w:rPr>
          <w:rFonts w:ascii="Arial" w:cs="Arial" w:eastAsia="Arial" w:hAnsi="Arial"/>
          <w:sz w:val="18"/>
          <w:szCs w:val="18"/>
          <w:color w:val="auto"/>
        </w:rPr>
        <w:t>there is an equivalent permanent reduction in commitments thereunder, (Y) all prepayments in respect of any other revolving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facility, except to the extent there is an equivalent permanent reduction in commitments thereunder and (Z) payments of any Subordinated Indebtedness (except to the extent permitted to be paid pursuant to Section 6.04) made during such period and, at the</w:t>
      </w:r>
    </w:p>
    <w:p>
      <w:pPr>
        <w:spacing w:after="0" w:line="236" w:lineRule="auto"/>
        <w:rPr>
          <w:sz w:val="20"/>
          <w:szCs w:val="20"/>
          <w:color w:val="auto"/>
        </w:rPr>
      </w:pPr>
      <w:r>
        <w:rPr>
          <w:rFonts w:ascii="Arial" w:cs="Arial" w:eastAsia="Arial" w:hAnsi="Arial"/>
          <w:sz w:val="18"/>
          <w:szCs w:val="18"/>
          <w:color w:val="auto"/>
        </w:rPr>
        <w:t>election of Holdings, made after such period but prior to the date of the applicable Excess Cash Flow payment, in each case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clauses (A) and (B) above, except to the extent financed with the proceeds of other long term Indebtedness of Holdings or its Restricted Subsidiaries (other than revolving Indebtedness));</w:t>
      </w:r>
    </w:p>
    <w:p>
      <w:pPr>
        <w:spacing w:after="0" w:line="170" w:lineRule="exact"/>
        <w:rPr>
          <w:sz w:val="20"/>
          <w:szCs w:val="20"/>
          <w:color w:val="auto"/>
        </w:rPr>
      </w:pPr>
    </w:p>
    <w:p>
      <w:pPr>
        <w:jc w:val="both"/>
        <w:ind w:firstLine="644"/>
        <w:spacing w:after="0" w:line="223" w:lineRule="auto"/>
        <w:tabs>
          <w:tab w:leader="none" w:pos="1296" w:val="left"/>
        </w:tabs>
        <w:numPr>
          <w:ilvl w:val="0"/>
          <w:numId w:val="114"/>
        </w:numPr>
        <w:rPr>
          <w:rFonts w:ascii="Arial" w:cs="Arial" w:eastAsia="Arial" w:hAnsi="Arial"/>
          <w:sz w:val="18"/>
          <w:szCs w:val="18"/>
          <w:color w:val="auto"/>
        </w:rPr>
      </w:pPr>
      <w:r>
        <w:rPr>
          <w:rFonts w:ascii="Arial" w:cs="Arial" w:eastAsia="Arial" w:hAnsi="Arial"/>
          <w:sz w:val="20"/>
          <w:szCs w:val="20"/>
          <w:color w:val="auto"/>
        </w:rPr>
        <w:t>an amount equal to the aggregate net non-cash gain on dispositions by Holdings and its Restricted Subsidiaries during such period (other than dispositions in the ordinary course of business) to the extent included in arriving at such Consolidated Net Income;</w:t>
      </w:r>
    </w:p>
    <w:p>
      <w:pPr>
        <w:spacing w:after="0" w:line="168" w:lineRule="exact"/>
        <w:rPr>
          <w:rFonts w:ascii="Arial" w:cs="Arial" w:eastAsia="Arial" w:hAnsi="Arial"/>
          <w:sz w:val="18"/>
          <w:szCs w:val="18"/>
          <w:color w:val="auto"/>
        </w:rPr>
      </w:pPr>
    </w:p>
    <w:p>
      <w:pPr>
        <w:jc w:val="both"/>
        <w:ind w:firstLine="644"/>
        <w:spacing w:after="0" w:line="218" w:lineRule="auto"/>
        <w:tabs>
          <w:tab w:leader="none" w:pos="1286" w:val="left"/>
        </w:tabs>
        <w:numPr>
          <w:ilvl w:val="0"/>
          <w:numId w:val="114"/>
        </w:numPr>
        <w:rPr>
          <w:rFonts w:ascii="Arial" w:cs="Arial" w:eastAsia="Arial" w:hAnsi="Arial"/>
          <w:sz w:val="18"/>
          <w:szCs w:val="18"/>
          <w:color w:val="auto"/>
        </w:rPr>
      </w:pPr>
      <w:r>
        <w:rPr>
          <w:rFonts w:ascii="Arial" w:cs="Arial" w:eastAsia="Arial" w:hAnsi="Arial"/>
          <w:sz w:val="20"/>
          <w:szCs w:val="20"/>
          <w:color w:val="auto"/>
        </w:rPr>
        <w:t xml:space="preserve">increases in Consolidated Working Capital for such period (measured as the increase, if any, of Consolidated Working Capital at the beginning of such Excess Cash Flow Period compared to Consolidated Working Capital at the end of such Excess Cash Flow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(x) any such increases arising from acquisitions or dispositions by Holdings and its Restricted Subsidiaries completed during such period and the effect of reclassification during such period of current assets to long-term assets and current liabilities to long-term liabilities shall be excluded;</w:t>
      </w:r>
    </w:p>
    <w:p>
      <w:pPr>
        <w:spacing w:after="0" w:line="157" w:lineRule="exact"/>
        <w:rPr>
          <w:rFonts w:ascii="Arial" w:cs="Arial" w:eastAsia="Arial" w:hAnsi="Arial"/>
          <w:sz w:val="18"/>
          <w:szCs w:val="18"/>
          <w:color w:val="auto"/>
        </w:rPr>
      </w:pPr>
    </w:p>
    <w:p>
      <w:pPr>
        <w:jc w:val="both"/>
        <w:ind w:firstLine="644"/>
        <w:spacing w:after="0" w:line="231" w:lineRule="auto"/>
        <w:tabs>
          <w:tab w:leader="none" w:pos="1290" w:val="left"/>
        </w:tabs>
        <w:numPr>
          <w:ilvl w:val="0"/>
          <w:numId w:val="114"/>
        </w:numPr>
        <w:rPr>
          <w:rFonts w:ascii="Arial" w:cs="Arial" w:eastAsia="Arial" w:hAnsi="Arial"/>
          <w:sz w:val="17"/>
          <w:szCs w:val="17"/>
          <w:color w:val="auto"/>
        </w:rPr>
      </w:pPr>
      <w:r>
        <w:rPr>
          <w:rFonts w:ascii="Arial" w:cs="Arial" w:eastAsia="Arial" w:hAnsi="Arial"/>
          <w:sz w:val="19"/>
          <w:szCs w:val="19"/>
          <w:color w:val="auto"/>
        </w:rPr>
        <w:t>cash payments by Holdings and its Restricted Subsidiaries during such period in respect of long-term liabilities of Holdings and its Restricted Subsidiaries (other than Indebtedness) to the extent such payments are not expensed during such period or are not deducted in calculating Consolidated Net Income, except to the extent financed with the proceeds of long-term Indebtedness of Holdings or its Restricted Subsidiaries (other than revolving Indebtedness);</w:t>
      </w:r>
    </w:p>
    <w:p>
      <w:pPr>
        <w:spacing w:after="0" w:line="171" w:lineRule="exact"/>
        <w:rPr>
          <w:rFonts w:ascii="Arial" w:cs="Arial" w:eastAsia="Arial" w:hAnsi="Arial"/>
          <w:sz w:val="17"/>
          <w:szCs w:val="17"/>
          <w:color w:val="auto"/>
        </w:rPr>
      </w:pPr>
    </w:p>
    <w:p>
      <w:pPr>
        <w:jc w:val="both"/>
        <w:ind w:firstLine="644"/>
        <w:spacing w:after="0" w:line="246" w:lineRule="auto"/>
        <w:tabs>
          <w:tab w:leader="none" w:pos="1286" w:val="left"/>
        </w:tabs>
        <w:numPr>
          <w:ilvl w:val="0"/>
          <w:numId w:val="114"/>
        </w:numPr>
        <w:rPr>
          <w:rFonts w:ascii="Arial" w:cs="Arial" w:eastAsia="Arial" w:hAnsi="Arial"/>
          <w:sz w:val="16"/>
          <w:szCs w:val="16"/>
          <w:color w:val="auto"/>
        </w:rPr>
      </w:pPr>
      <w:r>
        <w:rPr>
          <w:rFonts w:ascii="Arial" w:cs="Arial" w:eastAsia="Arial" w:hAnsi="Arial"/>
          <w:sz w:val="18"/>
          <w:szCs w:val="18"/>
          <w:color w:val="auto"/>
        </w:rPr>
        <w:t>without duplication of amounts deducted under Sections 2.11(c)(iii)(b)(3), (4) and (5), the aggregate amount of expenditures actually made by Holdings and its Restricted Subsidiaries from internally generated cash flow of Holdings and its Restricted Subsidiaries in cash during such period (including expenditures for the payment of financing fees) to the extent that such expenditures are not expensed during such period or are not deducted (or were excluded) in calculating Consolidated Net Income;</w:t>
      </w:r>
    </w:p>
    <w:p>
      <w:pPr>
        <w:spacing w:after="0" w:line="163" w:lineRule="exact"/>
        <w:rPr>
          <w:rFonts w:ascii="Arial" w:cs="Arial" w:eastAsia="Arial" w:hAnsi="Arial"/>
          <w:sz w:val="16"/>
          <w:szCs w:val="16"/>
          <w:color w:val="auto"/>
        </w:rPr>
      </w:pPr>
    </w:p>
    <w:p>
      <w:pPr>
        <w:jc w:val="both"/>
        <w:ind w:firstLine="644"/>
        <w:spacing w:after="0" w:line="235" w:lineRule="auto"/>
        <w:tabs>
          <w:tab w:leader="none" w:pos="1295" w:val="left"/>
        </w:tabs>
        <w:numPr>
          <w:ilvl w:val="0"/>
          <w:numId w:val="114"/>
        </w:numPr>
        <w:rPr>
          <w:rFonts w:ascii="Arial" w:cs="Arial" w:eastAsia="Arial" w:hAnsi="Arial"/>
          <w:sz w:val="17"/>
          <w:szCs w:val="17"/>
          <w:color w:val="auto"/>
        </w:rPr>
      </w:pPr>
      <w:r>
        <w:rPr>
          <w:rFonts w:ascii="Arial" w:cs="Arial" w:eastAsia="Arial" w:hAnsi="Arial"/>
          <w:sz w:val="19"/>
          <w:szCs w:val="19"/>
          <w:color w:val="auto"/>
        </w:rPr>
        <w:t>the aggregate amount of any premium, make-whole or penalty payments actually paid in cash by Holdings and its Restricted Subsidiaries during such period that are made in connection with any prepayment of Indebtedness to the extent such payments are not expensed during such period or are not deducted in calculating Consolidated Net Income;</w:t>
      </w:r>
    </w:p>
    <w:p>
      <w:pPr>
        <w:spacing w:after="0" w:line="154" w:lineRule="exact"/>
        <w:rPr>
          <w:rFonts w:ascii="Arial" w:cs="Arial" w:eastAsia="Arial" w:hAnsi="Arial"/>
          <w:sz w:val="17"/>
          <w:szCs w:val="17"/>
          <w:color w:val="auto"/>
        </w:rPr>
      </w:pPr>
    </w:p>
    <w:p>
      <w:pPr>
        <w:ind w:right="20" w:firstLine="644"/>
        <w:spacing w:after="0" w:line="350" w:lineRule="auto"/>
        <w:tabs>
          <w:tab w:leader="none" w:pos="1291" w:val="left"/>
        </w:tabs>
        <w:numPr>
          <w:ilvl w:val="0"/>
          <w:numId w:val="114"/>
        </w:numPr>
        <w:rPr>
          <w:rFonts w:ascii="Arial" w:cs="Arial" w:eastAsia="Arial" w:hAnsi="Arial"/>
          <w:sz w:val="15"/>
          <w:szCs w:val="15"/>
          <w:color w:val="auto"/>
        </w:rPr>
      </w:pPr>
      <w:r>
        <w:rPr>
          <w:rFonts w:ascii="Arial" w:cs="Arial" w:eastAsia="Arial" w:hAnsi="Arial"/>
          <w:sz w:val="16"/>
          <w:szCs w:val="16"/>
          <w:color w:val="auto"/>
        </w:rPr>
        <w:t>the amount of cash Taxes paid or payable in respect of the period which have been accrued at the end of the period under GAAP, together with any increase in reserves which have been set aside (without duplication) in such period, to the extent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80"/>
          </w:cols>
          <w:pgMar w:left="980" w:top="1440" w:right="339" w:bottom="1440" w:gutter="0" w:footer="0" w:header="0"/>
        </w:sectPr>
      </w:pPr>
    </w:p>
    <w:bookmarkStart w:id="200" w:name="page201"/>
    <w:bookmarkEnd w:id="200"/>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exceed the amount of tax expense deducted in determining Consolidated Net Income for such period;</w:t>
      </w:r>
    </w:p>
    <w:p>
      <w:pPr>
        <w:spacing w:after="0" w:line="175" w:lineRule="exact"/>
        <w:rPr>
          <w:sz w:val="20"/>
          <w:szCs w:val="20"/>
          <w:color w:val="auto"/>
        </w:rPr>
      </w:pPr>
    </w:p>
    <w:p>
      <w:pPr>
        <w:ind w:left="660" w:firstLine="644"/>
        <w:spacing w:after="0" w:line="236" w:lineRule="auto"/>
        <w:tabs>
          <w:tab w:leader="none" w:pos="1946" w:val="left"/>
        </w:tabs>
        <w:numPr>
          <w:ilvl w:val="0"/>
          <w:numId w:val="115"/>
        </w:numPr>
        <w:rPr>
          <w:rFonts w:ascii="Arial" w:cs="Arial" w:eastAsia="Arial" w:hAnsi="Arial"/>
          <w:sz w:val="18"/>
          <w:szCs w:val="18"/>
          <w:color w:val="auto"/>
        </w:rPr>
      </w:pPr>
      <w:r>
        <w:rPr>
          <w:rFonts w:ascii="Arial" w:cs="Arial" w:eastAsia="Arial" w:hAnsi="Arial"/>
          <w:sz w:val="20"/>
          <w:szCs w:val="20"/>
          <w:color w:val="auto"/>
        </w:rPr>
        <w:t>cash expenditures in respect of Swap Agreements during such fiscal year to the extent not deducted in arriving at such Consolidated Net Income; and</w:t>
      </w:r>
    </w:p>
    <w:p>
      <w:pPr>
        <w:spacing w:after="0" w:line="168" w:lineRule="exact"/>
        <w:rPr>
          <w:rFonts w:ascii="Arial" w:cs="Arial" w:eastAsia="Arial" w:hAnsi="Arial"/>
          <w:sz w:val="18"/>
          <w:szCs w:val="18"/>
          <w:color w:val="auto"/>
        </w:rPr>
      </w:pPr>
    </w:p>
    <w:p>
      <w:pPr>
        <w:jc w:val="both"/>
        <w:ind w:left="660" w:firstLine="644"/>
        <w:spacing w:after="0" w:line="223" w:lineRule="auto"/>
        <w:tabs>
          <w:tab w:leader="none" w:pos="1950" w:val="left"/>
        </w:tabs>
        <w:numPr>
          <w:ilvl w:val="0"/>
          <w:numId w:val="115"/>
        </w:numPr>
        <w:rPr>
          <w:rFonts w:ascii="Arial" w:cs="Arial" w:eastAsia="Arial" w:hAnsi="Arial"/>
          <w:sz w:val="18"/>
          <w:szCs w:val="18"/>
          <w:color w:val="auto"/>
        </w:rPr>
      </w:pPr>
      <w:r>
        <w:rPr>
          <w:rFonts w:ascii="Arial" w:cs="Arial" w:eastAsia="Arial" w:hAnsi="Arial"/>
          <w:sz w:val="20"/>
          <w:szCs w:val="20"/>
          <w:color w:val="auto"/>
        </w:rPr>
        <w:t>the amount of Restricted Payments pursuant to clauses (i), (iv), (v), (vi), (xiv), (xviii), (xxii) and (xxvii) of Section 6.04(b) paid in cash during such period, in each case, to the extent such Restricted Payments were financed with internally generated cash flow of Holdings and its Restricted Subsidiaries.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Notwithstanding anything to the contrary herein, for purposes of calculating “Excess Cash Flow”, Consolidated Net Income shall not be calculated on a Pro Forma Basis and for the avoidance of doubt, the Consolidated Net Income of a Person acquired in any Permitted</w:t>
      </w:r>
    </w:p>
    <w:p>
      <w:pPr>
        <w:spacing w:after="0" w:line="227" w:lineRule="auto"/>
        <w:rPr>
          <w:sz w:val="20"/>
          <w:szCs w:val="20"/>
          <w:color w:val="auto"/>
        </w:rPr>
      </w:pPr>
      <w:r>
        <w:rPr>
          <w:rFonts w:ascii="Arial" w:cs="Arial" w:eastAsia="Arial" w:hAnsi="Arial"/>
          <w:sz w:val="20"/>
          <w:szCs w:val="20"/>
          <w:color w:val="auto"/>
        </w:rPr>
        <w:t>Acquisition or other acquisition during an Excess Cash Flow Period shall be included in such calculation for such Excess Cash Flow Period only from and after the date of the consummation of such Permitted Acquisition or similar acquisition.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 Period</w:t>
      </w:r>
      <w:r>
        <w:rPr>
          <w:rFonts w:ascii="Arial" w:cs="Arial" w:eastAsia="Arial" w:hAnsi="Arial"/>
          <w:sz w:val="19"/>
          <w:szCs w:val="19"/>
          <w:color w:val="auto"/>
        </w:rPr>
        <w:t>” means each fiscal year of Holdings commencing with the fiscal year ended December 31, 2022.</w:t>
      </w:r>
    </w:p>
    <w:p>
      <w:pPr>
        <w:spacing w:after="0" w:line="173"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means, on any day, with respect to any Foreign Currency, the rate at which such Foreign Currency may be exchanged into Dollars, as set forth at approximately 11:00 a.m., Local Time, on such date on the applicable Bloomberg screen page for such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Foreign Currency. In the event that such rate does not appear on any Bloomberg screen page, the Exchange Rate with respect to such Foreign Currency shall be determined by reference to such other publicly available service for displaying exchange rates as may be reasonably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selected by the Administrative Agent or, in the event no such service is selected, such Exchange Rate shall instead be calculated on the basis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arithmetical mean of the buy and sell spot rates of exchange of the Administrative Agent for such Foreign Currency on the London market at 11:00 a.m., Local Time, on such date for the purchase of Dollars with such Foreign Currency, for delivery two (2) Business Days</w:t>
      </w:r>
    </w:p>
    <w:p>
      <w:pPr>
        <w:spacing w:after="0" w:line="236" w:lineRule="auto"/>
        <w:rPr>
          <w:sz w:val="20"/>
          <w:szCs w:val="20"/>
          <w:color w:val="auto"/>
        </w:rPr>
      </w:pPr>
      <w:r>
        <w:rPr>
          <w:rFonts w:ascii="Arial" w:cs="Arial" w:eastAsia="Arial" w:hAnsi="Arial"/>
          <w:sz w:val="18"/>
          <w:szCs w:val="18"/>
          <w:color w:val="auto"/>
        </w:rPr>
        <w:t xml:space="preserve">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the Administrative Agent, after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consultation with Holdings, may use any reasonable method it deems appropriate to determine such rate, and such determination shall be conclusive absent manifest error.</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means (i) accounts used exclusively for payroll, (ii) accounts used exclusively for payroll taxes and/or withheld income taxes, (iii) accounts used exclusively for employee wage and benefit payments, (iv) escrow accounts and trust accounts, in</w:t>
      </w:r>
    </w:p>
    <w:p>
      <w:pPr>
        <w:spacing w:after="0" w:line="235" w:lineRule="auto"/>
        <w:rPr>
          <w:sz w:val="20"/>
          <w:szCs w:val="20"/>
          <w:color w:val="auto"/>
        </w:rPr>
      </w:pPr>
      <w:r>
        <w:rPr>
          <w:rFonts w:ascii="Arial" w:cs="Arial" w:eastAsia="Arial" w:hAnsi="Arial"/>
          <w:sz w:val="18"/>
          <w:szCs w:val="18"/>
          <w:color w:val="auto"/>
        </w:rPr>
        <w:t>each case entered into in the ordinary course of business and consistent with prudent business practice conduct where the applicable Loan</w:t>
      </w:r>
    </w:p>
    <w:p>
      <w:pPr>
        <w:spacing w:after="0" w:line="255" w:lineRule="auto"/>
        <w:rPr>
          <w:sz w:val="20"/>
          <w:szCs w:val="20"/>
          <w:color w:val="auto"/>
        </w:rPr>
      </w:pPr>
      <w:r>
        <w:rPr>
          <w:rFonts w:ascii="Arial" w:cs="Arial" w:eastAsia="Arial" w:hAnsi="Arial"/>
          <w:sz w:val="16"/>
          <w:szCs w:val="16"/>
          <w:color w:val="auto"/>
        </w:rPr>
        <w:t>Party holds the funds exclusively for the benefit of one or more unaffiliated third parties, (v) accounts exclusively used to secure letters of credit, bank guarantees, obligations under Cash Management Agreements and obligations under Swap Agreements, in each case, to the extent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constituting Permitted Liens and (vi) accounts exclusively used to hold deposits from customers that are required pursuant to agreements with such customers to be held in a segregated account that, pursuant to such agreements, is not permitted to be subject to a Lien securing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Obligations.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(i) any fee-owned real property and any leasehold interests in real property (other than the Headquarters);</w:t>
      </w:r>
    </w:p>
    <w:p>
      <w:pPr>
        <w:spacing w:after="0" w:line="12" w:lineRule="exact"/>
        <w:rPr>
          <w:sz w:val="20"/>
          <w:szCs w:val="20"/>
          <w:color w:val="auto"/>
        </w:rPr>
      </w:pPr>
    </w:p>
    <w:p>
      <w:pPr>
        <w:jc w:val="both"/>
        <w:ind w:firstLine="8"/>
        <w:spacing w:after="0" w:line="216" w:lineRule="auto"/>
        <w:tabs>
          <w:tab w:leader="none" w:pos="31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assignment of which is expressly deemed effective under the Uniform Commercial Code or other applicable law notwithstanding such prohibition (iv) Margin Stock and Equity Interests in any Person other than wholly-owned Subsidiaries, to the extent a pledge of such Equity</w:t>
      </w:r>
    </w:p>
    <w:p>
      <w:pPr>
        <w:spacing w:after="0" w:line="235" w:lineRule="auto"/>
        <w:rPr>
          <w:sz w:val="20"/>
          <w:szCs w:val="20"/>
          <w:color w:val="auto"/>
        </w:rPr>
      </w:pPr>
      <w:r>
        <w:rPr>
          <w:rFonts w:ascii="Arial" w:cs="Arial" w:eastAsia="Arial" w:hAnsi="Arial"/>
          <w:sz w:val="18"/>
          <w:szCs w:val="18"/>
          <w:color w:val="auto"/>
        </w:rPr>
        <w:t>Interests is prohibited by the Organizational Documents, or agreements with other equity holders, of such equity; (v) voting Equity Interests</w:t>
      </w:r>
    </w:p>
    <w:p>
      <w:pPr>
        <w:ind w:right="20"/>
        <w:spacing w:after="0" w:line="226" w:lineRule="auto"/>
        <w:rPr>
          <w:sz w:val="20"/>
          <w:szCs w:val="20"/>
          <w:color w:val="auto"/>
        </w:rPr>
      </w:pPr>
      <w:r>
        <w:rPr>
          <w:rFonts w:ascii="Arial" w:cs="Arial" w:eastAsia="Arial" w:hAnsi="Arial"/>
          <w:sz w:val="18"/>
          <w:szCs w:val="18"/>
          <w:color w:val="auto"/>
        </w:rPr>
        <w:t>in any Restricted Subsidiary of any U.S. Corporate Subsidiary that is a CFC or FSHCO to the extent such Equity Interest exceeds 65% of the outstanding voting Equity Interests of such CFC or FSHCO; (vi) assets to the extent a security interest in such assets could reasonably result</w:t>
      </w:r>
    </w:p>
    <w:p>
      <w:pPr>
        <w:spacing w:after="0" w:line="236" w:lineRule="auto"/>
        <w:rPr>
          <w:sz w:val="20"/>
          <w:szCs w:val="20"/>
          <w:color w:val="auto"/>
        </w:rPr>
      </w:pPr>
      <w:r>
        <w:rPr>
          <w:rFonts w:ascii="Arial" w:cs="Arial" w:eastAsia="Arial" w:hAnsi="Arial"/>
          <w:sz w:val="18"/>
          <w:szCs w:val="18"/>
          <w:color w:val="auto"/>
        </w:rPr>
        <w:t>in a material adverse Tax consequence to Holdings or any of its Restricted Subsidiaries (including as a result of the operation of Section 956</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Code or any similar law or regulation in any applicable jurisdiction) as reasonably determined by the Borrowers in consultation with the Administrative Agent; (vii) any lease, license or other agreement and any property subject to a permitted purchase money security interest</w:t>
      </w:r>
    </w:p>
    <w:p>
      <w:pPr>
        <w:spacing w:after="0" w:line="236" w:lineRule="auto"/>
        <w:rPr>
          <w:sz w:val="20"/>
          <w:szCs w:val="20"/>
          <w:color w:val="auto"/>
        </w:rPr>
      </w:pPr>
      <w:r>
        <w:rPr>
          <w:rFonts w:ascii="Arial" w:cs="Arial" w:eastAsia="Arial" w:hAnsi="Arial"/>
          <w:sz w:val="18"/>
          <w:szCs w:val="18"/>
          <w:color w:val="auto"/>
        </w:rPr>
        <w:t>or similar permitted arrangement or Lien permitted by clauses (4), (5), (7) (solely in respect of Liens referenced in clauses (4), (5) and (11)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definition of “Permitted Liens”), (9) (with respect to cash collateral or deposits), (11), (16), (19), (22) (with respect to cash collateral or deposits with a value not in excess of $50,000,000), (27) and (34) of the definition of “Permitted Liens” to the extent that a grant of a security</w:t>
      </w:r>
    </w:p>
    <w:p>
      <w:pPr>
        <w:spacing w:after="0" w:line="236" w:lineRule="auto"/>
        <w:rPr>
          <w:sz w:val="20"/>
          <w:szCs w:val="20"/>
          <w:color w:val="auto"/>
        </w:rPr>
      </w:pPr>
      <w:r>
        <w:rPr>
          <w:rFonts w:ascii="Arial" w:cs="Arial" w:eastAsia="Arial" w:hAnsi="Arial"/>
          <w:sz w:val="18"/>
          <w:szCs w:val="18"/>
          <w:color w:val="auto"/>
        </w:rPr>
        <w:t>interest therein would violate or invalidate such lease, license, contract, property right or agreement or purchase money arrangement or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documents governing such Permitted Lien or create a right of termination in favor of any other party thereto (other than a Loan Party), in each case (other than with respect to property subject to such purchase money interests or similar arrangements or Lien permitted by clauses</w:t>
      </w:r>
    </w:p>
    <w:p>
      <w:pPr>
        <w:spacing w:after="0" w:line="235" w:lineRule="auto"/>
        <w:rPr>
          <w:sz w:val="20"/>
          <w:szCs w:val="20"/>
          <w:color w:val="auto"/>
        </w:rPr>
      </w:pPr>
      <w:r>
        <w:rPr>
          <w:rFonts w:ascii="Arial" w:cs="Arial" w:eastAsia="Arial" w:hAnsi="Arial"/>
          <w:sz w:val="18"/>
          <w:szCs w:val="18"/>
          <w:color w:val="auto"/>
        </w:rPr>
        <w:t>(4), (5), (7) (solely in respect of Liens referenced in clauses (4), (5) and (11) of the definition of “Permitted Liens”) or (11) of the definition of</w:t>
      </w:r>
    </w:p>
    <w:p>
      <w:pPr>
        <w:spacing w:after="0" w:line="226" w:lineRule="auto"/>
        <w:rPr>
          <w:sz w:val="20"/>
          <w:szCs w:val="20"/>
          <w:color w:val="auto"/>
        </w:rPr>
      </w:pPr>
      <w:r>
        <w:rPr>
          <w:rFonts w:ascii="Arial" w:cs="Arial" w:eastAsia="Arial" w:hAnsi="Arial"/>
          <w:sz w:val="18"/>
          <w:szCs w:val="18"/>
          <w:color w:val="auto"/>
        </w:rPr>
        <w:t>“Permitted Liens”), after giving effect to the applicable anti-assignment provisions of the Uniform Commercial Code or similar provisions under applicable law other than proceeds and receivables thereof and only so long as the applicable provision giving rise to such violation or</w:t>
      </w:r>
    </w:p>
    <w:p>
      <w:pPr>
        <w:spacing w:after="0" w:line="236" w:lineRule="auto"/>
        <w:rPr>
          <w:sz w:val="20"/>
          <w:szCs w:val="20"/>
          <w:color w:val="auto"/>
        </w:rPr>
      </w:pPr>
      <w:r>
        <w:rPr>
          <w:rFonts w:ascii="Arial" w:cs="Arial" w:eastAsia="Arial" w:hAnsi="Arial"/>
          <w:sz w:val="18"/>
          <w:szCs w:val="18"/>
          <w:color w:val="auto"/>
        </w:rPr>
        <w:t>invalidity or such right of termination was not incurred in anticipation of this Agreement; (viii) those assets as to which the Administrative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Agent and the Borrowers reasonably agree that the cost (including, without limitation, costs of notarization, taxes, stamp duties, registration or other applicable fees), consequences or burden of obtaining such a security interest or perfection thereof are excessive in relation to the</w:t>
      </w:r>
    </w:p>
    <w:p>
      <w:pPr>
        <w:spacing w:after="0" w:line="236" w:lineRule="auto"/>
        <w:rPr>
          <w:sz w:val="20"/>
          <w:szCs w:val="20"/>
          <w:color w:val="auto"/>
        </w:rPr>
      </w:pPr>
      <w:r>
        <w:rPr>
          <w:rFonts w:ascii="Arial" w:cs="Arial" w:eastAsia="Arial" w:hAnsi="Arial"/>
          <w:sz w:val="18"/>
          <w:szCs w:val="18"/>
          <w:color w:val="auto"/>
        </w:rPr>
        <w:t>benefit to the Lenders of the security to be afforded thereby; (ix) any of the capital stock of Restricted Subsidiaries not owned directly by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Party; (x) any governmental licenses or state or local franchises, charters and authorizations, to the extent security interests in such licenses, franchises, charters or authorizations are prohibited or restricted thereby after giving effect to the applicable anti-assignment</w:t>
      </w:r>
    </w:p>
    <w:p>
      <w:pPr>
        <w:spacing w:after="0" w:line="236" w:lineRule="auto"/>
        <w:rPr>
          <w:sz w:val="20"/>
          <w:szCs w:val="20"/>
          <w:color w:val="auto"/>
        </w:rPr>
      </w:pPr>
      <w:r>
        <w:rPr>
          <w:rFonts w:ascii="Arial" w:cs="Arial" w:eastAsia="Arial" w:hAnsi="Arial"/>
          <w:sz w:val="18"/>
          <w:szCs w:val="18"/>
          <w:color w:val="auto"/>
        </w:rPr>
        <w:t>provisions of the UCC or similar provisions under applicable law, and other than proceeds and receivables thereof, the assignment of which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 expressly deemed effective under the Uniform Commercial Code or other applicable law notwithstanding such prohibition (xi) any assets to the extent expressly excluded pursuant to the Agreed Guarantee and Security Principles; (xii) any “intent-to-use” applications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trademarks or service marks filed in the United States Patent and Trademark Office (“PTO”), or any successor office thereto or any successor</w:t>
      </w:r>
    </w:p>
    <w:p>
      <w:pPr>
        <w:spacing w:after="0" w:line="1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office thereto, prior to the filing and acceptance of a “Statement of Use” or “Amendment to Allege Use” with respect thereto, only to the extent, if any, that, and solely during the period, if any, in which, the grant of a security interest therein would impair the validity or</w:t>
      </w:r>
    </w:p>
    <w:p>
      <w:pPr>
        <w:spacing w:after="0" w:line="226" w:lineRule="auto"/>
        <w:rPr>
          <w:sz w:val="20"/>
          <w:szCs w:val="20"/>
          <w:color w:val="auto"/>
        </w:rPr>
      </w:pPr>
      <w:r>
        <w:rPr>
          <w:rFonts w:ascii="Arial" w:cs="Arial" w:eastAsia="Arial" w:hAnsi="Arial"/>
          <w:sz w:val="18"/>
          <w:szCs w:val="18"/>
          <w:color w:val="auto"/>
        </w:rPr>
        <w:t>enforceability of such intent-to-use application or any registration that issues from such intent-to-use application under applicable federal Law; (xiii) any Excluded Accounts; (xiv) letter-of-credit rights (except to the extent a security interest therein can be perfected by the filing</w:t>
      </w:r>
    </w:p>
    <w:p>
      <w:pPr>
        <w:spacing w:after="0" w:line="224" w:lineRule="auto"/>
        <w:rPr>
          <w:sz w:val="20"/>
          <w:szCs w:val="20"/>
          <w:color w:val="auto"/>
        </w:rPr>
      </w:pPr>
      <w:r>
        <w:rPr>
          <w:rFonts w:ascii="Arial" w:cs="Arial" w:eastAsia="Arial" w:hAnsi="Arial"/>
          <w:sz w:val="19"/>
          <w:szCs w:val="19"/>
          <w:color w:val="auto"/>
        </w:rPr>
        <w:t>of UCC financing statements or similar filings under applicable law) (it being understood that no actions shall be required to perfect a</w:t>
      </w:r>
    </w:p>
    <w:p>
      <w:pPr>
        <w:spacing w:after="0" w:line="226" w:lineRule="auto"/>
        <w:rPr>
          <w:sz w:val="20"/>
          <w:szCs w:val="20"/>
          <w:color w:val="auto"/>
        </w:rPr>
      </w:pPr>
      <w:r>
        <w:rPr>
          <w:rFonts w:ascii="Arial" w:cs="Arial" w:eastAsia="Arial" w:hAnsi="Arial"/>
          <w:sz w:val="18"/>
          <w:szCs w:val="18"/>
          <w:color w:val="auto"/>
        </w:rPr>
        <w:t>security interest in letter of credit rights, other than the filing of a Uniform Commercial Code financing statement or applicable filings under applicable law); (xv) any commercial tort claim with a value not in excess of $10,000,000; (xvi) [reserved]; (xvii) [reserved]; (xviii) Equity</w:t>
      </w:r>
    </w:p>
    <w:p>
      <w:pPr>
        <w:spacing w:after="0" w:line="236" w:lineRule="auto"/>
        <w:rPr>
          <w:sz w:val="20"/>
          <w:szCs w:val="20"/>
          <w:color w:val="auto"/>
        </w:rPr>
      </w:pPr>
      <w:r>
        <w:rPr>
          <w:rFonts w:ascii="Arial" w:cs="Arial" w:eastAsia="Arial" w:hAnsi="Arial"/>
          <w:sz w:val="18"/>
          <w:szCs w:val="18"/>
          <w:color w:val="auto"/>
        </w:rPr>
        <w:t>Interests in Unrestricted Subsidiaries; and (xiv) Equity Interests in Securitization Subsidiaries, to the extent a pledge of such Equity Interests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 prohibited by the applicable Qualified Securitization Financing and Securitization Assets sold or pledged pursuant to a Qualified Securitization Financing or a Qualified Receivables Factoring. In addition notwithstanding anything to the contrary herein or in any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 the following assets shall not be required to be subject to a fixed charge in Ireland: (a) all plant and equipment,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each case, located in Ireland and (b) customer contracts or other agreements with third parties (including, without limitation, distribution agreements, license agreements or similar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Headquarters shall be subject to a fixed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charge in Ireland.</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means (a) any Foreign Subsidiary of any U.S. Corporate Subsidiary and, in the case of any such Foreign Subsidiary that is a CFC, any Subsidiary of such CFC;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(a) shall not apply at any time after the Closing Date to any</w:t>
      </w:r>
    </w:p>
    <w:p>
      <w:pPr>
        <w:spacing w:after="0" w:line="226" w:lineRule="auto"/>
        <w:rPr>
          <w:sz w:val="20"/>
          <w:szCs w:val="20"/>
          <w:color w:val="auto"/>
        </w:rPr>
      </w:pPr>
      <w:r>
        <w:rPr>
          <w:rFonts w:ascii="Arial" w:cs="Arial" w:eastAsia="Arial" w:hAnsi="Arial"/>
          <w:sz w:val="18"/>
          <w:szCs w:val="18"/>
          <w:color w:val="auto"/>
        </w:rPr>
        <w:t>entity that is a Restricted Subsidiary of Holdings on the Closing Date unless this clause (a) applied to such entity on the Closing Date, (b) any Domestic Subsidiary of any U.S. Corporate Subsidiary that has no material assets other than equity interests and/or indebtedness of one or</w:t>
      </w:r>
    </w:p>
    <w:p>
      <w:pPr>
        <w:spacing w:after="0" w:line="236" w:lineRule="auto"/>
        <w:rPr>
          <w:sz w:val="20"/>
          <w:szCs w:val="20"/>
          <w:color w:val="auto"/>
        </w:rPr>
      </w:pPr>
      <w:r>
        <w:rPr>
          <w:rFonts w:ascii="Arial" w:cs="Arial" w:eastAsia="Arial" w:hAnsi="Arial"/>
          <w:sz w:val="18"/>
          <w:szCs w:val="18"/>
          <w:color w:val="auto"/>
        </w:rPr>
        <w:t>more (1) Foreign Subsidiaries of any U.S. Corporate Subsidiary that are excluded under clause (a) or (2) entities described in clause (b)(1)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(c) any Subsidiary that is prohibited or restricted by applicable law, rule or regulation or by any contractual obligation existing on the Closing Date or at the time of acquisition thereof after the Closing Date and not in contemplation thereof, in each case, from guaranteeing</w:t>
      </w:r>
    </w:p>
    <w:p>
      <w:pPr>
        <w:spacing w:after="0" w:line="236" w:lineRule="auto"/>
        <w:rPr>
          <w:sz w:val="20"/>
          <w:szCs w:val="20"/>
          <w:color w:val="auto"/>
        </w:rPr>
      </w:pPr>
      <w:r>
        <w:rPr>
          <w:rFonts w:ascii="Arial" w:cs="Arial" w:eastAsia="Arial" w:hAnsi="Arial"/>
          <w:sz w:val="18"/>
          <w:szCs w:val="18"/>
          <w:color w:val="auto"/>
        </w:rPr>
        <w:t>the Loans or which would require governmental (including regulatory) consent, approval, license or authorization to provide a guarantee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unless such consent, approval, license or authorization has been received or a Subsidiary a guarantee from which could reasonably result in a material adverse Tax consequence to Holdings or any of its Subsidiaries (including as a result of the operation of Section 956 of the Code or</w:t>
      </w:r>
    </w:p>
    <w:p>
      <w:pPr>
        <w:spacing w:after="0" w:line="211" w:lineRule="auto"/>
        <w:rPr>
          <w:sz w:val="20"/>
          <w:szCs w:val="20"/>
          <w:color w:val="auto"/>
        </w:rPr>
      </w:pPr>
      <w:r>
        <w:rPr>
          <w:rFonts w:ascii="Arial" w:cs="Arial" w:eastAsia="Arial" w:hAnsi="Arial"/>
          <w:sz w:val="20"/>
          <w:szCs w:val="20"/>
          <w:color w:val="auto"/>
        </w:rPr>
        <w:t>any similar law or regulation in any applicable jurisdiction) as reasonably determined by the Borrowers, in consultation with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(d) not-for-profit Subsidiaries, if any, (e) certain special purpose entities, (f) captive insurance companies, if any, (g) any Subsidiary where the Administrative Agent and the Borrowers agree the cost, consequences or burden of obtaining a guarantee by such</w:t>
      </w:r>
    </w:p>
    <w:p>
      <w:pPr>
        <w:spacing w:after="0" w:line="236" w:lineRule="auto"/>
        <w:rPr>
          <w:sz w:val="20"/>
          <w:szCs w:val="20"/>
          <w:color w:val="auto"/>
        </w:rPr>
      </w:pPr>
      <w:r>
        <w:rPr>
          <w:rFonts w:ascii="Arial" w:cs="Arial" w:eastAsia="Arial" w:hAnsi="Arial"/>
          <w:sz w:val="18"/>
          <w:szCs w:val="18"/>
          <w:color w:val="auto"/>
        </w:rPr>
        <w:t>Subsidiary would be excessive in light of the practical benefit to the Lenders afforded thereby, (h) each Subsidiary listed on Schedule 1.01D</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hereto, (i) any non-wholly-owned Subsidiaries, (j) at the option of Holdings, any Subsidiary that is not a Material Subsidiary and (k) any Securitization Subsidiary.</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(x) as it relates to all or a portion of the Guarantee of such Guarantor, any Swap Obligation if, and to the extent that, such Swap Obligation (or any Guarantee thereof) is or becomes illegal under the</w:t>
      </w:r>
    </w:p>
    <w:p>
      <w:pPr>
        <w:spacing w:after="0" w:line="222" w:lineRule="auto"/>
        <w:rPr>
          <w:sz w:val="20"/>
          <w:szCs w:val="20"/>
          <w:color w:val="auto"/>
        </w:rPr>
      </w:pPr>
      <w:r>
        <w:rPr>
          <w:rFonts w:ascii="Arial" w:cs="Arial" w:eastAsia="Arial" w:hAnsi="Arial"/>
          <w:sz w:val="19"/>
          <w:szCs w:val="19"/>
          <w:color w:val="auto"/>
        </w:rPr>
        <w:t>Commodity Exchange Act or any rule, regulation or order of the Commodity Futures Trading Commission (or the application or official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interpretation of any thereof) by virtue of such Guarantor’s failure for any reason to constitute an “eligible contract participant” as defined in the Commodity Exchange Act and the regulations thereunder at the time the Guarantee of such Guarantor becomes effective with respect to</w:t>
      </w:r>
    </w:p>
    <w:p>
      <w:pPr>
        <w:spacing w:after="0" w:line="236" w:lineRule="auto"/>
        <w:rPr>
          <w:sz w:val="20"/>
          <w:szCs w:val="20"/>
          <w:color w:val="auto"/>
        </w:rPr>
      </w:pPr>
      <w:r>
        <w:rPr>
          <w:rFonts w:ascii="Arial" w:cs="Arial" w:eastAsia="Arial" w:hAnsi="Arial"/>
          <w:sz w:val="18"/>
          <w:szCs w:val="18"/>
          <w:color w:val="auto"/>
        </w:rPr>
        <w:t>such Swap Obligation or (y) as it relates to all or a portion of the grant by such Guarantor of a security interest, any Swap Obligation if,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extent that, such Swap Obligation (or such security interest in respect thereof) is or becomes illegal under the Commodity Exchange Act or any rule, regulation or order of the Commodity Futures Trading Commission (or the application or official interpretation of any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thereof) by virtue of such Guarantor’s failure for any reason to constitute an “eligible contract participant” as defined in the Commodity Exchange Act and the regulations thereunder at the time the security interest of such Guarantor becomes effective with respect to such Swap</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any payments made to the Administrative Agent, any Lender or any other recipient of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 to be made by or on account of any obligation of any Loan Party under any Loan Document, (a) Taxes imposed on (or measured by) net income, franchise or similar Taxes, and branch profits Taxes (in each case, however denominated), in each case imposed by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jurisdiction under the laws of which such recipient is organized, or in which it carries on a trade or business or is deemed to be a resident for tax purposes, or in which its principal office is located or, in the case of any Lender, in which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applicable lending office is located or as a result of any other present or former connection between such recipient and the jurisdiction (other than a connection arising solely as a result of it having executed, delivered, become a party to, performed its obligations under, received</w:t>
      </w:r>
    </w:p>
    <w:p>
      <w:pPr>
        <w:spacing w:after="0" w:line="222" w:lineRule="auto"/>
        <w:rPr>
          <w:sz w:val="20"/>
          <w:szCs w:val="20"/>
          <w:color w:val="auto"/>
        </w:rPr>
      </w:pPr>
      <w:r>
        <w:rPr>
          <w:rFonts w:ascii="Arial" w:cs="Arial" w:eastAsia="Arial" w:hAnsi="Arial"/>
          <w:sz w:val="19"/>
          <w:szCs w:val="19"/>
          <w:color w:val="auto"/>
        </w:rPr>
        <w:t>payments under, received or perfected a security interest under, engaged in any other transaction pursuant to or enforced any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(b) in the case of a Lender, any U.S. federal withholding Tax that is imposed on amounts payable to or for the account of such Lender with respect to an applicable interest in a Loan, Letter of Credit or Commitment pursuant to a Legal Requirement in effect on the date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which (i) such Lender acquires such interest in the Loan, Letter of Credit or Commitment (other than pursuant to an assignment request by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Holdings under Section 2.19(b)) or (ii) such Lender changes its lending office, except in each case to the extent that, pursuant to Section 2.17(a), amounts with respect to such Taxes were payable either to such Lender's assignor immediately before such Lender acquired such</w:t>
      </w:r>
    </w:p>
    <w:p>
      <w:pPr>
        <w:spacing w:after="0" w:line="236" w:lineRule="auto"/>
        <w:rPr>
          <w:sz w:val="20"/>
          <w:szCs w:val="20"/>
          <w:color w:val="auto"/>
        </w:rPr>
      </w:pPr>
      <w:r>
        <w:rPr>
          <w:rFonts w:ascii="Arial" w:cs="Arial" w:eastAsia="Arial" w:hAnsi="Arial"/>
          <w:sz w:val="18"/>
          <w:szCs w:val="18"/>
          <w:color w:val="auto"/>
        </w:rPr>
        <w:t>applicable interest in the applicable Loan, Letter of Credit or Commitment or to such Lender immediately before it changed its lending office,</w:t>
      </w:r>
    </w:p>
    <w:p>
      <w:pPr>
        <w:spacing w:after="0" w:line="1" w:lineRule="exact"/>
        <w:rPr>
          <w:sz w:val="20"/>
          <w:szCs w:val="20"/>
          <w:color w:val="auto"/>
        </w:rPr>
      </w:pPr>
    </w:p>
    <w:p>
      <w:pPr>
        <w:jc w:val="both"/>
        <w:ind w:firstLine="8"/>
        <w:spacing w:after="0" w:line="229" w:lineRule="auto"/>
        <w:tabs>
          <w:tab w:leader="none" w:pos="2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Taxes attributable to such Person's failure to comply with Section 2.17(e) or (h), (d) any Tax that is imposed pursuant to FATCA, (e) in the case of a Revolving Lender, solely with respect to any Revolving Loan, Extended Revolving Loan or Incremental Revolving Loan, in each case, extended to a Revolving Borrower that is tax resident in the Republic of Ireland, any Irish Tax that would not have been imposed</w:t>
      </w:r>
    </w:p>
    <w:p>
      <w:pPr>
        <w:spacing w:after="0" w:line="1" w:lineRule="exact"/>
        <w:rPr>
          <w:rFonts w:ascii="Arial" w:cs="Arial" w:eastAsia="Arial" w:hAnsi="Arial"/>
          <w:sz w:val="18"/>
          <w:szCs w:val="18"/>
          <w:color w:val="auto"/>
        </w:rPr>
      </w:pPr>
    </w:p>
    <w:p>
      <w:pPr>
        <w:jc w:val="both"/>
        <w:ind w:firstLine="8"/>
        <w:spacing w:after="0" w:line="232" w:lineRule="auto"/>
        <w:tabs>
          <w:tab w:leader="none" w:pos="25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Revolving Lender had been an Irish Qualifying Lender but on that date the Revolving Lender is not or has ceased to be an Irish Qualifying Lender other than as a result of any change after the date it became a Revolving Lender under this Agreement in (or in the interpretation, administration or application of) any law or Treaty or any law or published practice or concession of any relevant tax authority or (ii) where the relevant Revolving Lender is an Irish Qualifying Lender solely on account of being an Irish Treaty Lender and that Lender has not complied with its obligations under Section 2.17(e), (f)(i) any Luxembourg withholding tax due under the so-called Luxembourg Relibi Law dated 23 December 2005 by the Grand-Duchy of Luxembourg and (ii) Luxembourg registration duties (</w:t>
      </w:r>
      <w:r>
        <w:rPr>
          <w:rFonts w:ascii="Arial" w:cs="Arial" w:eastAsia="Arial" w:hAnsi="Arial"/>
          <w:sz w:val="18"/>
          <w:szCs w:val="18"/>
          <w:i w:val="1"/>
          <w:iCs w:val="1"/>
          <w:color w:val="auto"/>
        </w:rPr>
        <w:t>droits d’enregistrement</w:t>
      </w:r>
      <w:r>
        <w:rPr>
          <w:rFonts w:ascii="Arial" w:cs="Arial" w:eastAsia="Arial" w:hAnsi="Arial"/>
          <w:sz w:val="18"/>
          <w:szCs w:val="18"/>
          <w:color w:val="auto"/>
        </w:rPr>
        <w:t>) payable due to a registration, submission or filing by the Administrative Agent, a Lender or an Issuing Bank of any Loan Document, except if such registration, submission or filing is required to maintain, establish, enforce or preserve the rights of the Administrative Agent, a Lender or an Issuing Bank under such Loan Document, and (g) any U.S. federal backup withholding tax imposed under Section 3406 of the Code (or any successor provision). For the avoidance of doubt, (1) for purposes of this definition of “Excluded Taxes,” the terms “Lender” and “Revolving Lender” shall include any Issuing Bank and any Swingline Lender and (2) for purposes of clause (e) of this definition of “Excluded Taxes,” the term “Revolving Loan” shall include any Letter of Credit and any Swingline Loan.</w:t>
      </w:r>
    </w:p>
    <w:p>
      <w:pPr>
        <w:spacing w:after="0" w:line="148"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 No. 13224</w:t>
      </w:r>
      <w:r>
        <w:rPr>
          <w:rFonts w:ascii="Arial" w:cs="Arial" w:eastAsia="Arial" w:hAnsi="Arial"/>
          <w:sz w:val="20"/>
          <w:szCs w:val="20"/>
          <w:color w:val="auto"/>
        </w:rPr>
        <w:t>” shall mean the Executive Order No. 13224 on Terrorist Financing, effective September 24, 2001, as the same as been, or shall hereafter be, renewed, extended, amended or replaced.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Credit Agreement</w:t>
      </w:r>
      <w:r>
        <w:rPr>
          <w:rFonts w:ascii="Arial" w:cs="Arial" w:eastAsia="Arial" w:hAnsi="Arial"/>
          <w:sz w:val="18"/>
          <w:szCs w:val="18"/>
          <w:color w:val="auto"/>
        </w:rPr>
        <w:t>” means the Multicurrency Revolving Facility Agreement, dated as of March 12, 2018, by and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among Icon Public Limited Company, Icon Investments Five Unlimited Company, Santander UK PLC, as agent, and the lenders party thereto (as amended, restated, amended and restated, supplemented or otherwise modified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Commitments</w:t>
      </w:r>
      <w:r>
        <w:rPr>
          <w:rFonts w:ascii="Arial" w:cs="Arial" w:eastAsia="Arial" w:hAnsi="Arial"/>
          <w:sz w:val="20"/>
          <w:szCs w:val="20"/>
          <w:color w:val="auto"/>
        </w:rPr>
        <w:t>” means the Extended Term Loan Commitments and the Extended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Loan</w:t>
      </w:r>
      <w:r>
        <w:rPr>
          <w:rFonts w:ascii="Arial" w:cs="Arial" w:eastAsia="Arial" w:hAnsi="Arial"/>
          <w:sz w:val="20"/>
          <w:szCs w:val="20"/>
          <w:color w:val="auto"/>
        </w:rPr>
        <w:t>” means the Extended Term Loans and the Extended Revolving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Commitment</w:t>
      </w:r>
      <w:r>
        <w:rPr>
          <w:rFonts w:ascii="Arial" w:cs="Arial" w:eastAsia="Arial" w:hAnsi="Arial"/>
          <w:sz w:val="20"/>
          <w:szCs w:val="20"/>
          <w:color w:val="auto"/>
        </w:rPr>
        <w:t>” shall have the meaning given to such term in Section 2.22(a)(iii).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3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means Revolving Loans made by one or more Lenders to the Borrowers pursuant to Section 2.22.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w:t>
      </w:r>
      <w:r>
        <w:rPr>
          <w:rFonts w:ascii="Arial" w:cs="Arial" w:eastAsia="Arial" w:hAnsi="Arial"/>
          <w:sz w:val="20"/>
          <w:szCs w:val="20"/>
          <w:color w:val="auto"/>
        </w:rPr>
        <w:t>” shall have the meaning given to such term in Section 2.22(a)(ii).</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Term Loan Commitment</w:t>
      </w:r>
      <w:r>
        <w:rPr>
          <w:rFonts w:ascii="Arial" w:cs="Arial" w:eastAsia="Arial" w:hAnsi="Arial"/>
          <w:sz w:val="20"/>
          <w:szCs w:val="20"/>
          <w:color w:val="auto"/>
        </w:rPr>
        <w:t>” means the commitment of any Lender, established pursuant to Section 2.22, to make Extended Term Loans to the Applicable Borrower.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Extending Revolving Lender</w:t>
      </w:r>
      <w:r>
        <w:rPr>
          <w:rFonts w:ascii="Arial" w:cs="Arial" w:eastAsia="Arial" w:hAnsi="Arial"/>
          <w:sz w:val="20"/>
          <w:szCs w:val="20"/>
          <w:color w:val="auto"/>
        </w:rPr>
        <w:t>” shall have the meaning given to such term in Section 2.22(a)(iii).</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shall have the meaning given to such term in Section 2.22(a).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means any amendment entered into pursuant to Section 2.22(c).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shall have the meaning given to such term in Section 2.22(a).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Office</w:t>
      </w:r>
      <w:r>
        <w:rPr>
          <w:rFonts w:ascii="Arial" w:cs="Arial" w:eastAsia="Arial" w:hAnsi="Arial"/>
          <w:sz w:val="20"/>
          <w:szCs w:val="20"/>
          <w:color w:val="auto"/>
        </w:rPr>
        <w:t>” means the office or offices through which the Lender will perform its obligations under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that is substantively comparable and not materially more onerous to comply with) and any current or future regulations or official interpretations thereof, any agreements entered into pursuant to current Section 1471(b)(1) of the Code (or any amended or successor version</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described above) and any intergovernmental agreement, treaty, convention or similar agreement among Governmental Authorities (and related legislation, official regulations or other administrative guidance) implementing any of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weighted average (rounded upwards, if necessary, to the next 1/100 of 1%)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rates on overnight Federal funds transactions with members of the Federal Reserve System arranged by Federal funds brokers, as published on the next succeeding Business Day by the Federal Reserve Bank of New York, or, if such rate is not so published for any day that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w:t>
      </w:r>
      <w:r>
        <w:rPr>
          <w:rFonts w:ascii="Arial" w:cs="Arial" w:eastAsia="Arial" w:hAnsi="Arial"/>
          <w:sz w:val="20"/>
          <w:szCs w:val="20"/>
          <w:color w:val="auto"/>
        </w:rPr>
        <w:t>” means the covenant specified in Section 6.12(a).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Cross Default</w:t>
      </w:r>
      <w:r>
        <w:rPr>
          <w:rFonts w:ascii="Arial" w:cs="Arial" w:eastAsia="Arial" w:hAnsi="Arial"/>
          <w:sz w:val="20"/>
          <w:szCs w:val="20"/>
          <w:color w:val="auto"/>
        </w:rPr>
        <w:t>” shall have the meaning given to such term in Section 7.01(d).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Event of Default</w:t>
      </w:r>
      <w:r>
        <w:rPr>
          <w:rFonts w:ascii="Arial" w:cs="Arial" w:eastAsia="Arial" w:hAnsi="Arial"/>
          <w:sz w:val="20"/>
          <w:szCs w:val="20"/>
          <w:color w:val="auto"/>
        </w:rPr>
        <w:t>” shall have the meaning given to such term in Section 7.01(d).</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Material Acquisition</w:t>
      </w:r>
      <w:r>
        <w:rPr>
          <w:rFonts w:ascii="Arial" w:cs="Arial" w:eastAsia="Arial" w:hAnsi="Arial"/>
          <w:sz w:val="18"/>
          <w:szCs w:val="18"/>
          <w:color w:val="auto"/>
        </w:rPr>
        <w:t>” shall mean an acquisition (or series of related acquisitions (being acquisitions which form part of the same overall sale and purchase transaction)) within the six month period prior to the relevant Test Period by any member of the</w:t>
      </w:r>
    </w:p>
    <w:p>
      <w:pPr>
        <w:spacing w:after="0"/>
        <w:rPr>
          <w:sz w:val="20"/>
          <w:szCs w:val="20"/>
          <w:color w:val="auto"/>
        </w:rPr>
      </w:pPr>
      <w:r>
        <w:rPr>
          <w:rFonts w:ascii="Arial" w:cs="Arial" w:eastAsia="Arial" w:hAnsi="Arial"/>
          <w:sz w:val="20"/>
          <w:szCs w:val="20"/>
          <w:color w:val="auto"/>
        </w:rPr>
        <w:t>Group where the aggregate consideration of such acquisition or related acquisitions is greater than $50.0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35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0000FF"/>
        </w:rPr>
        <w:t>First Amendment” means the First Amendment to the Credit Agreement, dated as of November 29, 2022, by and among Holdings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the Administrative Agent.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“First Amendment Effective Date” shall have</w:t>
      </w:r>
      <w:r>
        <w:rPr>
          <w:rFonts w:ascii="Arial" w:cs="Arial" w:eastAsia="Arial" w:hAnsi="Arial"/>
          <w:sz w:val="20"/>
          <w:szCs w:val="20"/>
          <w:color w:val="0000FF"/>
        </w:rPr>
        <w:t xml:space="preserve"> </w:t>
      </w:r>
      <w:r>
        <w:rPr>
          <w:rFonts w:ascii="Arial" w:cs="Arial" w:eastAsia="Arial" w:hAnsi="Arial"/>
          <w:sz w:val="20"/>
          <w:szCs w:val="20"/>
          <w:color w:val="00C000"/>
        </w:rPr>
        <w:t>the meaning assigned to such term in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1107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First Lien Intercreditor Agreement</w:t>
      </w:r>
      <w:r>
        <w:rPr>
          <w:rFonts w:ascii="Arial" w:cs="Arial" w:eastAsia="Arial" w:hAnsi="Arial"/>
          <w:sz w:val="18"/>
          <w:szCs w:val="18"/>
          <w:color w:val="000000"/>
        </w:rPr>
        <w:t>” means a “pari passu” Intercreditor Agreement, among the Collateral Agent, the Administrative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Agent and one or more Designated Representatives for holders of Indebtedness that is secured by Collateral on a basis pari passu with the Liens securing the Obligations,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or any other form approved by Holdings, the Administrative Agent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Collateral Agent.</w:t>
      </w:r>
    </w:p>
    <w:p>
      <w:pPr>
        <w:spacing w:after="0" w:line="14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Net Leverage Ratio</w:t>
      </w:r>
      <w:r>
        <w:rPr>
          <w:rFonts w:ascii="Arial" w:cs="Arial" w:eastAsia="Arial" w:hAnsi="Arial"/>
          <w:sz w:val="20"/>
          <w:szCs w:val="20"/>
          <w:color w:val="auto"/>
        </w:rPr>
        <w:t>” means, with respect to any Test Period, the ratio of (i) Consolidated Total Indebtedness secured by a Lien on the Collateral that ranks pari passu with the Liens on the Collateral securing the Obligations, net of Unrestricted Cash, as of the last day of such Test Period, to (ii) Consolidated EBITDA for such Test Period.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First-Second Lien Intercreditor Agreement</w:t>
      </w:r>
      <w:r>
        <w:rPr>
          <w:rFonts w:ascii="Arial" w:cs="Arial" w:eastAsia="Arial" w:hAnsi="Arial"/>
          <w:sz w:val="19"/>
          <w:szCs w:val="19"/>
          <w:color w:val="auto"/>
        </w:rPr>
        <w:t>” means a “junior lien” Intercreditor Agreement, among the Collateral Agent, the</w:t>
      </w:r>
    </w:p>
    <w:p>
      <w:pPr>
        <w:jc w:val="both"/>
        <w:spacing w:after="0" w:line="226" w:lineRule="auto"/>
        <w:rPr>
          <w:sz w:val="20"/>
          <w:szCs w:val="20"/>
          <w:color w:val="auto"/>
        </w:rPr>
      </w:pPr>
      <w:r>
        <w:rPr>
          <w:rFonts w:ascii="Arial" w:cs="Arial" w:eastAsia="Arial" w:hAnsi="Arial"/>
          <w:sz w:val="18"/>
          <w:szCs w:val="18"/>
          <w:color w:val="auto"/>
        </w:rPr>
        <w:t xml:space="preserve">Administrative Agent and one or more Designated Representatives for holders of Indebtedness that is secured by Liens on the Collateral that are junior to the Liens securing the Obligations,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Holdings,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Agent and the Collateral Agent.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Amounts</w:t>
      </w:r>
      <w:r>
        <w:rPr>
          <w:rFonts w:ascii="Arial" w:cs="Arial" w:eastAsia="Arial" w:hAnsi="Arial"/>
          <w:sz w:val="20"/>
          <w:szCs w:val="20"/>
          <w:color w:val="auto"/>
        </w:rPr>
        <w:t>” shall have the meaning assigned to such term in Section 1.07(g).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means, for any Test Period, the ratio of Consolidated EBITDA of the Group to Fixed Charges of the</w:t>
      </w:r>
    </w:p>
    <w:p>
      <w:pPr>
        <w:spacing w:after="0"/>
        <w:rPr>
          <w:sz w:val="20"/>
          <w:szCs w:val="20"/>
          <w:color w:val="auto"/>
        </w:rPr>
      </w:pPr>
      <w:r>
        <w:rPr>
          <w:rFonts w:ascii="Arial" w:cs="Arial" w:eastAsia="Arial" w:hAnsi="Arial"/>
          <w:sz w:val="20"/>
          <w:szCs w:val="20"/>
          <w:color w:val="auto"/>
        </w:rPr>
        <w:t>Group.</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with respect to any Person for any Test Period, the sum, without duplication, of: (a) Consolidated Interest Expense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amount of all dividend payments on any series of Preferred Equity or Disqualified Equity Interests of</w:t>
      </w:r>
    </w:p>
    <w:p>
      <w:pPr>
        <w:jc w:val="both"/>
        <w:spacing w:after="0" w:line="266" w:lineRule="auto"/>
        <w:rPr>
          <w:sz w:val="20"/>
          <w:szCs w:val="20"/>
          <w:color w:val="auto"/>
        </w:rPr>
      </w:pPr>
      <w:r>
        <w:rPr>
          <w:rFonts w:ascii="Arial" w:cs="Arial" w:eastAsia="Arial" w:hAnsi="Arial"/>
          <w:sz w:val="18"/>
          <w:szCs w:val="18"/>
          <w:color w:val="auto"/>
        </w:rPr>
        <w:t>Holdings or any Restricted Subsidiary (other than dividends paid or accrued in Equity Interests of Holdings (other than Disqualified Equity Interests) or dividends paid or accrued to Holdings or any Restricted Subsidiary) paid in cash during such period (without duplication).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Incremental Amount</w:t>
      </w:r>
      <w:r>
        <w:rPr>
          <w:rFonts w:ascii="Arial" w:cs="Arial" w:eastAsia="Arial" w:hAnsi="Arial"/>
          <w:sz w:val="20"/>
          <w:szCs w:val="20"/>
          <w:color w:val="auto"/>
        </w:rPr>
        <w:t>” shall have the meaning given to such term in Section 2.20(d).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Currencies</w:t>
      </w:r>
      <w:r>
        <w:rPr>
          <w:rFonts w:ascii="Arial" w:cs="Arial" w:eastAsia="Arial" w:hAnsi="Arial"/>
          <w:sz w:val="20"/>
          <w:szCs w:val="20"/>
          <w:color w:val="auto"/>
        </w:rPr>
        <w:t>” means Agreed Currencies other than Dollars.</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LC Exposure</w:t>
      </w:r>
      <w:r>
        <w:rPr>
          <w:rFonts w:ascii="Arial" w:cs="Arial" w:eastAsia="Arial" w:hAnsi="Arial"/>
          <w:sz w:val="20"/>
          <w:szCs w:val="20"/>
          <w:color w:val="auto"/>
        </w:rPr>
        <w:t xml:space="preserve">” means, at any time, the sum of (a) the Dollar Amount of the aggregate undrawn and unexpired amount of all outstanding Foreign Currency Letters of Credit at such time </w:t>
      </w:r>
      <w:r>
        <w:rPr>
          <w:rFonts w:ascii="Arial" w:cs="Arial" w:eastAsia="Arial" w:hAnsi="Arial"/>
          <w:sz w:val="20"/>
          <w:szCs w:val="20"/>
          <w:i w:val="1"/>
          <w:iCs w:val="1"/>
          <w:color w:val="auto"/>
        </w:rPr>
        <w:t>plus</w:t>
      </w:r>
      <w:r>
        <w:rPr>
          <w:rFonts w:ascii="Arial" w:cs="Arial" w:eastAsia="Arial" w:hAnsi="Arial"/>
          <w:sz w:val="20"/>
          <w:szCs w:val="20"/>
          <w:color w:val="auto"/>
        </w:rPr>
        <w:t xml:space="preserve"> (b) the aggregate Dollar Amount of all LC Disbursements in respect of Foreign Currency Letters of Credit that have not yet been reimbursed at such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Letter of Credit</w:t>
      </w:r>
      <w:r>
        <w:rPr>
          <w:rFonts w:ascii="Arial" w:cs="Arial" w:eastAsia="Arial" w:hAnsi="Arial"/>
          <w:sz w:val="20"/>
          <w:szCs w:val="20"/>
          <w:color w:val="auto"/>
        </w:rPr>
        <w:t>” means a Letter of Credit denominated in a Foreign Currency.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not a United States person within the meaning of Section 7701(a)(30) of the Code.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Loan Parties</w:t>
      </w:r>
      <w:r>
        <w:rPr>
          <w:rFonts w:ascii="Arial" w:cs="Arial" w:eastAsia="Arial" w:hAnsi="Arial"/>
          <w:sz w:val="18"/>
          <w:szCs w:val="18"/>
          <w:color w:val="auto"/>
        </w:rPr>
        <w:t>” means Holdings, Lux Borrower and each Foreign Subsidiary that is a Borrower or a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Security Documents</w:t>
      </w:r>
      <w:r>
        <w:rPr>
          <w:rFonts w:ascii="Arial" w:cs="Arial" w:eastAsia="Arial" w:hAnsi="Arial"/>
          <w:sz w:val="20"/>
          <w:szCs w:val="20"/>
          <w:color w:val="auto"/>
        </w:rPr>
        <w:t xml:space="preserve">” means each security document set forth on </w:t>
      </w:r>
      <w:r>
        <w:rPr>
          <w:rFonts w:ascii="Arial" w:cs="Arial" w:eastAsia="Arial" w:hAnsi="Arial"/>
          <w:sz w:val="20"/>
          <w:szCs w:val="20"/>
          <w:u w:val="single" w:color="auto"/>
          <w:color w:val="auto"/>
        </w:rPr>
        <w:t>Schedule 1.01E</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which is not a Domestic Subsidiary.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 Guarantor</w:t>
      </w:r>
      <w:r>
        <w:rPr>
          <w:rFonts w:ascii="Arial" w:cs="Arial" w:eastAsia="Arial" w:hAnsi="Arial"/>
          <w:sz w:val="20"/>
          <w:szCs w:val="20"/>
          <w:color w:val="auto"/>
        </w:rPr>
        <w:t>” means any Subsidiary Guarantor which is a Foreign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FSHCO</w:t>
      </w:r>
      <w:r>
        <w:rPr>
          <w:rFonts w:ascii="Arial" w:cs="Arial" w:eastAsia="Arial" w:hAnsi="Arial"/>
          <w:sz w:val="20"/>
          <w:szCs w:val="20"/>
          <w:color w:val="auto"/>
        </w:rPr>
        <w:t>” has the meaning assigned to such term in the definition of “Excluded Subsidiary”.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w:t>
      </w:r>
    </w:p>
    <w:p>
      <w:pPr>
        <w:spacing w:after="0" w:line="220" w:lineRule="auto"/>
        <w:rPr>
          <w:sz w:val="20"/>
          <w:szCs w:val="20"/>
          <w:color w:val="auto"/>
        </w:rPr>
      </w:pPr>
      <w:r>
        <w:rPr>
          <w:rFonts w:ascii="Arial" w:cs="Arial" w:eastAsia="Arial" w:hAnsi="Arial"/>
          <w:sz w:val="20"/>
          <w:szCs w:val="20"/>
          <w:color w:val="auto"/>
        </w:rPr>
        <w:t>executive, legislative, judicial, taxing, regulatory or administrative powers or functions of or pertaining to government (including any supra-national bodies such as the European Union or the European Central Bank).</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w:t>
      </w:r>
      <w:r>
        <w:rPr>
          <w:rFonts w:ascii="Arial" w:cs="Arial" w:eastAsia="Arial" w:hAnsi="Arial"/>
          <w:sz w:val="20"/>
          <w:szCs w:val="20"/>
          <w:color w:val="auto"/>
        </w:rPr>
        <w:t>” means Holdings and its Restricted Subsidiaries.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 direct or indirect, (a) to purchase or pay (or advance or supply</w:t>
      </w:r>
    </w:p>
    <w:p>
      <w:pPr>
        <w:spacing w:after="0" w:line="236" w:lineRule="auto"/>
        <w:rPr>
          <w:sz w:val="20"/>
          <w:szCs w:val="20"/>
          <w:color w:val="auto"/>
        </w:rPr>
      </w:pPr>
      <w:r>
        <w:rPr>
          <w:rFonts w:ascii="Arial" w:cs="Arial" w:eastAsia="Arial" w:hAnsi="Arial"/>
          <w:sz w:val="18"/>
          <w:szCs w:val="18"/>
          <w:color w:val="auto"/>
        </w:rPr>
        <w:t>funds for the purchase or payment of) such Indebtedness or other obligation or to purchase (or to advance or supply funds for the purchase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any security for the payment thereof, (b) to purchase or lease property, securities or services for the purpose of assuring the owner of such Indebtedness or other obligation of the payment thereof, (c) to maintain working capital, equity capital or any other financial statement</w:t>
      </w:r>
    </w:p>
    <w:p>
      <w:pPr>
        <w:spacing w:after="0" w:line="236" w:lineRule="auto"/>
        <w:rPr>
          <w:sz w:val="20"/>
          <w:szCs w:val="20"/>
          <w:color w:val="auto"/>
        </w:rPr>
      </w:pPr>
      <w:r>
        <w:rPr>
          <w:rFonts w:ascii="Arial" w:cs="Arial" w:eastAsia="Arial" w:hAnsi="Arial"/>
          <w:sz w:val="18"/>
          <w:szCs w:val="18"/>
          <w:color w:val="auto"/>
        </w:rPr>
        <w:t>condition or liquidity of the primary obligor so as to enable the primary obligor to pay such Indebtedness or other obligation or (d) as 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or customary and reasonable indemnity</w:t>
      </w:r>
    </w:p>
    <w:p>
      <w:pPr>
        <w:spacing w:after="0" w:line="236" w:lineRule="auto"/>
        <w:rPr>
          <w:sz w:val="20"/>
          <w:szCs w:val="20"/>
          <w:color w:val="auto"/>
        </w:rPr>
      </w:pPr>
      <w:r>
        <w:rPr>
          <w:rFonts w:ascii="Arial" w:cs="Arial" w:eastAsia="Arial" w:hAnsi="Arial"/>
          <w:sz w:val="18"/>
          <w:szCs w:val="18"/>
          <w:color w:val="auto"/>
        </w:rPr>
        <w:t>obligations in effect on the Closing Date or entered into in connection with any acquisition or Disposition of assets permitted under this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Agreement (other than such obligations with respect to Indebtedness). The amount of any Guarantee shall be deemed to be an amount equal to the lesser of (a) the stated or determinable amount of the primary payment obligation in respect of which such Guarantee is made and (b)</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maximum amount for which the guaranteeing Person may be liable pursuant to the terms of the instrument embodying such Guarantee (or as set forth in Section 10.08 hereto, as applicable), unless such primary payment obligation and the maximum amount for which such</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guaranteeing Person may be liable are not stated or determinable, in which case the amount of the Guarantee shall be such guaranteeing Person’s maximum reasonably possible liability in respect thereof as reasonably determined by Holdings in good faith.</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means each Borrower (with respect to the primary obligations of each other Loan Party), Holdings and the other Subsidiary Guarantors.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Coverage Test</w:t>
      </w:r>
      <w:r>
        <w:rPr>
          <w:rFonts w:ascii="Arial" w:cs="Arial" w:eastAsia="Arial" w:hAnsi="Arial"/>
          <w:sz w:val="18"/>
          <w:szCs w:val="18"/>
          <w:color w:val="auto"/>
        </w:rPr>
        <w:t>” means confirmation that (by reference to the latest annual audited financial statements delivered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pursuant to Section 5.01(a)): (1) the Consolidated EBITDA of the Borrowers and Guarantors equals or exceeds 80.0% of Consolidated EBITDA (in each case, calculated prior to making pro forma adjustments (including clause (vii) of the definition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“Consolidated EBITDA”), except that pro forma effect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given to the Acquisition (other than any pro forma adjustments with respect thereto pursuant to clause (vii) of the definition of “Consolidated EBITDA”) of the Group or (2) if the test set out in clause (1) cannot be satisfied on the first Guarantor Coverage Test Date after the Closing</w:t>
      </w:r>
    </w:p>
    <w:p>
      <w:pPr>
        <w:spacing w:after="0" w:line="227" w:lineRule="auto"/>
        <w:rPr>
          <w:sz w:val="20"/>
          <w:szCs w:val="20"/>
          <w:color w:val="auto"/>
        </w:rPr>
      </w:pPr>
      <w:r>
        <w:rPr>
          <w:rFonts w:ascii="Arial" w:cs="Arial" w:eastAsia="Arial" w:hAnsi="Arial"/>
          <w:sz w:val="20"/>
          <w:szCs w:val="20"/>
          <w:color w:val="auto"/>
        </w:rPr>
        <w:t xml:space="preserve">Date, the aggregate assets of Borrowers and Guarantors equals or exceeds 80.0% of the Total Assets of the Group,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solely for purposes of calculating the Guarantor Coverage test:</w:t>
      </w:r>
    </w:p>
    <w:p>
      <w:pPr>
        <w:spacing w:after="0" w:line="143" w:lineRule="exact"/>
        <w:rPr>
          <w:sz w:val="20"/>
          <w:szCs w:val="20"/>
          <w:color w:val="auto"/>
        </w:rPr>
      </w:pPr>
    </w:p>
    <w:p>
      <w:pPr>
        <w:ind w:left="660" w:right="20" w:firstLine="644"/>
        <w:spacing w:after="0" w:line="236" w:lineRule="auto"/>
        <w:tabs>
          <w:tab w:leader="none" w:pos="194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the extent any Borrower or Guarantor generates negative EBITDA, such Borrower or Guarantor shall be deemed to have zero (0) EBITDA, for the purpose of calculating the numerator of the Guarantor Coverage Test, and</w:t>
      </w:r>
    </w:p>
    <w:p>
      <w:pPr>
        <w:spacing w:after="0" w:line="155" w:lineRule="exact"/>
        <w:rPr>
          <w:rFonts w:ascii="Arial" w:cs="Arial" w:eastAsia="Arial" w:hAnsi="Arial"/>
          <w:sz w:val="20"/>
          <w:szCs w:val="20"/>
          <w:color w:val="auto"/>
        </w:rPr>
      </w:pPr>
    </w:p>
    <w:p>
      <w:pPr>
        <w:jc w:val="both"/>
        <w:ind w:left="660" w:firstLine="644"/>
        <w:spacing w:after="0" w:line="217" w:lineRule="auto"/>
        <w:tabs>
          <w:tab w:leader="none" w:pos="194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unless otherwise elected by Holdings, to the extent that any Subsidiary of Holdings (w) is an Unrestricted Subsidiary, (x) is incorporated or organized under the laws of Russia, Ukraine, China, India or France, (y) is otherwise not required to (or is unable to) become a Guarantor under clause (c), (d), (e), (f), (h) or (i) of “Excluded Subsidiaries” above or under the Agreed Guarantee and Security Principles or (z) the Consolidated EBITDA of such Subsidiary is less than 1.0% of Consolidated EBITDA of the Group, such Subsidiaries shall be deemed to have zero (0) EBITDA and zero (0) assets for the purpose of calculating the denominator of the Guarantor Coverage Test.</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 Coverage Test Date</w:t>
      </w:r>
      <w:r>
        <w:rPr>
          <w:rFonts w:ascii="Arial" w:cs="Arial" w:eastAsia="Arial" w:hAnsi="Arial"/>
          <w:sz w:val="19"/>
          <w:szCs w:val="19"/>
          <w:color w:val="auto"/>
        </w:rPr>
        <w:t>” shall mean the date of delivery of each Compliance Certificate with respect to annual financial statements required to be delivered pursuant to Section 5.01(a) in respect of each fiscal year ending after the Closing Date.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means the Guarantee set forth in Article X.</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infectious or medical wastes and all other substances or wastes of similar nature regulated pursuant to any, or which may give rise to liability under, Environmental Law.</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Headquarters</w:t>
      </w:r>
      <w:r>
        <w:rPr>
          <w:rFonts w:ascii="Arial" w:cs="Arial" w:eastAsia="Arial" w:hAnsi="Arial"/>
          <w:sz w:val="20"/>
          <w:szCs w:val="20"/>
          <w:color w:val="auto"/>
        </w:rPr>
        <w:t>” means the corporate headquarters of Holdings as of the Closing Date, located in Dublin, Ireland.</w:t>
      </w:r>
    </w:p>
    <w:p>
      <w:pPr>
        <w:spacing w:after="0" w:line="18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Bank</w:t>
      </w:r>
      <w:r>
        <w:rPr>
          <w:rFonts w:ascii="Arial" w:cs="Arial" w:eastAsia="Arial" w:hAnsi="Arial"/>
          <w:sz w:val="16"/>
          <w:szCs w:val="16"/>
          <w:color w:val="auto"/>
        </w:rPr>
        <w:t>” means each counterparty to a Swap Agreement that is (A) a Lender, an Agent or a Lead Arranger (or an Affiliate of a Lender, an Agent or a Lead Arranger) and each other Person if, at the date of entering into such Swap Agreement, such Person was a Lender,</w:t>
      </w:r>
    </w:p>
    <w:p>
      <w:pPr>
        <w:spacing w:after="0" w:line="236" w:lineRule="auto"/>
        <w:rPr>
          <w:sz w:val="20"/>
          <w:szCs w:val="20"/>
          <w:color w:val="auto"/>
        </w:rPr>
      </w:pPr>
      <w:r>
        <w:rPr>
          <w:rFonts w:ascii="Arial" w:cs="Arial" w:eastAsia="Arial" w:hAnsi="Arial"/>
          <w:sz w:val="18"/>
          <w:szCs w:val="18"/>
          <w:color w:val="auto"/>
        </w:rPr>
        <w:t xml:space="preserve">an Agent or a Lead Arranger (or an Affiliate of a Lender, an Agent or a Lead Arranger);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 is not a Lender, an</w:t>
      </w:r>
    </w:p>
    <w:p>
      <w:pPr>
        <w:ind w:right="20"/>
        <w:spacing w:after="0" w:line="226" w:lineRule="auto"/>
        <w:rPr>
          <w:sz w:val="20"/>
          <w:szCs w:val="20"/>
          <w:color w:val="auto"/>
        </w:rPr>
      </w:pPr>
      <w:r>
        <w:rPr>
          <w:rFonts w:ascii="Arial" w:cs="Arial" w:eastAsia="Arial" w:hAnsi="Arial"/>
          <w:sz w:val="18"/>
          <w:szCs w:val="18"/>
          <w:color w:val="auto"/>
        </w:rPr>
        <w:t>Agent or a Lead Arranger (other than any such Person that is an Affiliate of Citibank, N.A.), such Person delivers to the Administrative Agent a letter agreement pursuant to which such Person (i) appoints the Collateral Agent as its agent under the applicable Loan Documents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(ii) agrees to be bound by the provisions of Article VIII, Sections 9.03 and 9.09 and Section 10 of the U.S. Security Agreement as if it were a Lender or (B) that is designated in writing by Holdings to the Administrative Agent as a “Hedge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Person</w:t>
      </w:r>
    </w:p>
    <w:p>
      <w:pPr>
        <w:spacing w:after="0" w:line="236" w:lineRule="auto"/>
        <w:rPr>
          <w:sz w:val="20"/>
          <w:szCs w:val="20"/>
          <w:color w:val="auto"/>
        </w:rPr>
      </w:pPr>
      <w:r>
        <w:rPr>
          <w:rFonts w:ascii="Arial" w:cs="Arial" w:eastAsia="Arial" w:hAnsi="Arial"/>
          <w:sz w:val="18"/>
          <w:szCs w:val="18"/>
          <w:color w:val="auto"/>
        </w:rPr>
        <w:t>is not a Lender, Agent or Lead Arranger, such Person executes and delivers to the Administrative Agent and Holdings a letter agreement in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form and substance reasonably acceptable to the Administrative agent and Holdings pursuant to which such Person (i) appoints the Collateral Agent as its agent under the applicable Loan Documents and (ii) agrees to be bound by the provisions of Article VIII, Sections 9.03 and 9.09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hereof and Section 10 of the U.S. Security Agreement as if it were a Lender.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has the meaning assigned to such term in the preamble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has the meaning assigned to such term in Section 1.04(a).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IGPHS</w:t>
      </w:r>
      <w:r>
        <w:rPr>
          <w:rFonts w:ascii="Arial" w:cs="Arial" w:eastAsia="Arial" w:hAnsi="Arial"/>
          <w:sz w:val="20"/>
          <w:szCs w:val="20"/>
          <w:color w:val="auto"/>
        </w:rPr>
        <w:t>” means ICON Government and Public Health Solutions, Inc.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child, stepchild, grandchild or more remote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descendant, parent, stepparent, grandparent, spouse, former spouse, qualified domestic partner, sibling, mother-in-law, father-in-law, son-in-law and daughter-in-law (including adoptive relationships) and any trust, partnership or other bona fide estate-planning vehicle the only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beneficiaries of which are any of the foregoing individuals or any private foundation or fund that is controlled by any of the foregoing individuals or any donor-advised fund of which any such individual is the donor.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means an Incremental Amendment among the Applicable Borrower, any Additional Borrower, the</w:t>
      </w:r>
    </w:p>
    <w:p>
      <w:pPr>
        <w:ind w:right="20"/>
        <w:spacing w:after="0" w:line="220" w:lineRule="auto"/>
        <w:rPr>
          <w:sz w:val="20"/>
          <w:szCs w:val="20"/>
          <w:color w:val="auto"/>
        </w:rPr>
      </w:pPr>
      <w:r>
        <w:rPr>
          <w:rFonts w:ascii="Arial" w:cs="Arial" w:eastAsia="Arial" w:hAnsi="Arial"/>
          <w:sz w:val="20"/>
          <w:szCs w:val="20"/>
          <w:color w:val="auto"/>
        </w:rPr>
        <w:t>Administrative Agent and one or more Incremental Term Lenders, Incremental Term Lenders and/or Incremental Revolving Lenders, as applicable, entered into pursuant to Section 2.20.</w:t>
      </w:r>
    </w:p>
    <w:p>
      <w:pPr>
        <w:spacing w:after="0" w:line="156"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Commitments</w:t>
      </w:r>
      <w:r>
        <w:rPr>
          <w:rFonts w:ascii="Arial" w:cs="Arial" w:eastAsia="Arial" w:hAnsi="Arial"/>
          <w:sz w:val="20"/>
          <w:szCs w:val="20"/>
          <w:color w:val="auto"/>
        </w:rPr>
        <w:t>” means the Incremental Term Loan Commitments and the Incremental Revolving Commitments, collectively.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means an Incremental Term Lender or an Incremental Revolving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Loans</w:t>
      </w:r>
      <w:r>
        <w:rPr>
          <w:rFonts w:ascii="Arial" w:cs="Arial" w:eastAsia="Arial" w:hAnsi="Arial"/>
          <w:sz w:val="20"/>
          <w:szCs w:val="20"/>
          <w:color w:val="auto"/>
        </w:rPr>
        <w:t>” means the Incremental Term Loans and the Incremental Revolving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Commitment</w:t>
      </w:r>
      <w:r>
        <w:rPr>
          <w:rFonts w:ascii="Arial" w:cs="Arial" w:eastAsia="Arial" w:hAnsi="Arial"/>
          <w:sz w:val="20"/>
          <w:szCs w:val="20"/>
          <w:color w:val="auto"/>
        </w:rPr>
        <w:t>” has the meaning assigned to such term in Section 2.20(a).</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Lender</w:t>
      </w:r>
      <w:r>
        <w:rPr>
          <w:rFonts w:ascii="Arial" w:cs="Arial" w:eastAsia="Arial" w:hAnsi="Arial"/>
          <w:sz w:val="20"/>
          <w:szCs w:val="20"/>
          <w:color w:val="auto"/>
        </w:rPr>
        <w:t>” means a Lender with an Incremental Revolving Commitment or an outstanding Incremental Revolving Loan.</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Loans</w:t>
      </w:r>
      <w:r>
        <w:rPr>
          <w:rFonts w:ascii="Arial" w:cs="Arial" w:eastAsia="Arial" w:hAnsi="Arial"/>
          <w:sz w:val="20"/>
          <w:szCs w:val="20"/>
          <w:color w:val="auto"/>
        </w:rPr>
        <w:t>” means revolving loans made by one or more lenders to one or more Borrowers pursuant to such lenders’ Incremental Revolving Commitments.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means a Lender with an Incremental Term Loan Commitment or an outstanding Incremental Term Loan.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has the meaning assigned to such term in Section 2.20(a).</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means Term Loans made by one or more Term Lenders to any Borrower pursuant to such Term Lenders’ Incremental Term Loan Commitments.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Incurrence-Based Amounts</w:t>
      </w:r>
      <w:r>
        <w:rPr>
          <w:rFonts w:ascii="Arial" w:cs="Arial" w:eastAsia="Arial" w:hAnsi="Arial"/>
          <w:sz w:val="20"/>
          <w:szCs w:val="20"/>
          <w:color w:val="auto"/>
        </w:rPr>
        <w:t>” shall have the meaning given to such term in Section 1.07(g).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Incurrence-Based Incremental Amount</w:t>
      </w:r>
      <w:r>
        <w:rPr>
          <w:rFonts w:ascii="Arial" w:cs="Arial" w:eastAsia="Arial" w:hAnsi="Arial"/>
          <w:sz w:val="20"/>
          <w:szCs w:val="20"/>
          <w:color w:val="auto"/>
        </w:rPr>
        <w:t>” has the meaning assigned to such term in Section 2.20(d).</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the principal component of all obligations of such Person for borrowed money, (b) the principal component of all obligations of such Person evidenced by bonds, debentures, notes or similar instruments, (c) all</w:t>
      </w:r>
    </w:p>
    <w:p>
      <w:pPr>
        <w:spacing w:after="0" w:line="235" w:lineRule="auto"/>
        <w:rPr>
          <w:sz w:val="20"/>
          <w:szCs w:val="20"/>
          <w:color w:val="auto"/>
        </w:rPr>
      </w:pPr>
      <w:r>
        <w:rPr>
          <w:rFonts w:ascii="Arial" w:cs="Arial" w:eastAsia="Arial" w:hAnsi="Arial"/>
          <w:sz w:val="18"/>
          <w:szCs w:val="18"/>
          <w:color w:val="auto"/>
        </w:rPr>
        <w:t>obligations of such Person under conditional sale or other title retention agreements relating to property acquired by such Person (excluding</w:t>
      </w:r>
    </w:p>
    <w:p>
      <w:pPr>
        <w:spacing w:after="0" w:line="232" w:lineRule="auto"/>
        <w:rPr>
          <w:sz w:val="20"/>
          <w:szCs w:val="20"/>
          <w:color w:val="auto"/>
        </w:rPr>
      </w:pPr>
      <w:r>
        <w:rPr>
          <w:rFonts w:ascii="Arial" w:cs="Arial" w:eastAsia="Arial" w:hAnsi="Arial"/>
          <w:sz w:val="19"/>
          <w:szCs w:val="19"/>
          <w:color w:val="auto"/>
        </w:rPr>
        <w:t>trade accounts payable and accrued expenses arising in the ordinary course of business and licenses entered into in the ordinary course of business), (d) the principal component of all obligations of such Person in respect of the deferred purchase price of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3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or services if and to the extent such obligation would appear as a liability upon the balance sheet of the specified Person in accordance with GAAP (including payments or other arrangements representing acquisition consideration, in each case entered into in connection with an</w:t>
      </w:r>
    </w:p>
    <w:p>
      <w:pPr>
        <w:spacing w:after="0" w:line="222" w:lineRule="auto"/>
        <w:rPr>
          <w:sz w:val="20"/>
          <w:szCs w:val="20"/>
          <w:color w:val="auto"/>
        </w:rPr>
      </w:pPr>
      <w:r>
        <w:rPr>
          <w:rFonts w:ascii="Arial" w:cs="Arial" w:eastAsia="Arial" w:hAnsi="Arial"/>
          <w:sz w:val="19"/>
          <w:szCs w:val="19"/>
          <w:color w:val="auto"/>
        </w:rPr>
        <w:t>acquisition, but excluding (i) accounts payable, accrued interest or other liability to trade creditors incurred in the ordinary course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business, (ii) deferred revenue, deferred compensation and severance, pension, health and welfare retirement and equivalent benefits to current or former employees, directors or managers of such Person and its Subsidiaries, and (iii) any Deferred Acquisition Consideration), (e)</w:t>
      </w:r>
    </w:p>
    <w:p>
      <w:pPr>
        <w:spacing w:after="0" w:line="236" w:lineRule="auto"/>
        <w:rPr>
          <w:sz w:val="20"/>
          <w:szCs w:val="20"/>
          <w:color w:val="auto"/>
        </w:rPr>
      </w:pPr>
      <w:r>
        <w:rPr>
          <w:rFonts w:ascii="Arial" w:cs="Arial" w:eastAsia="Arial" w:hAnsi="Arial"/>
          <w:sz w:val="18"/>
          <w:szCs w:val="18"/>
          <w:color w:val="auto"/>
        </w:rPr>
        <w:t>all Capital Lease Obligations of such Person, (f) all obligations, contingent or otherwise, of such Person as an account party in respect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letters of credit and letters of guaranty, (g) all obligations, contingent or otherwise, of such Person in respect of bankers’ acceptances, (h) all Indebtedness of others secured by (or for which the holder of such Indebtedness has an existing right, contingent or otherwise, to be secured</w:t>
      </w:r>
    </w:p>
    <w:p>
      <w:pPr>
        <w:spacing w:after="0" w:line="236" w:lineRule="auto"/>
        <w:rPr>
          <w:sz w:val="20"/>
          <w:szCs w:val="20"/>
          <w:color w:val="auto"/>
        </w:rPr>
      </w:pPr>
      <w:r>
        <w:rPr>
          <w:rFonts w:ascii="Arial" w:cs="Arial" w:eastAsia="Arial" w:hAnsi="Arial"/>
          <w:sz w:val="18"/>
          <w:szCs w:val="18"/>
          <w:color w:val="auto"/>
        </w:rPr>
        <w:t xml:space="preserve">by) any Lien on property owned or acquired by such Person, whether or not the Indebtedness secured thereby has been assumed; </w:t>
      </w:r>
      <w:r>
        <w:rPr>
          <w:rFonts w:ascii="Arial" w:cs="Arial" w:eastAsia="Arial" w:hAnsi="Arial"/>
          <w:sz w:val="18"/>
          <w:szCs w:val="18"/>
          <w:u w:val="single" w:color="auto"/>
          <w:color w:val="auto"/>
        </w:rPr>
        <w:t>provided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that, if such Person has not assumed or otherwise become liable in respect of such Indebtedness, such obligations shall be deemed to be in an amount equal to the lesser of (i) the amount of such Indebtedness and (ii) fair market value of such property at the time of determination (in</w:t>
      </w:r>
    </w:p>
    <w:p>
      <w:pPr>
        <w:spacing w:after="0" w:line="235" w:lineRule="auto"/>
        <w:rPr>
          <w:sz w:val="20"/>
          <w:szCs w:val="20"/>
          <w:color w:val="auto"/>
        </w:rPr>
      </w:pPr>
      <w:r>
        <w:rPr>
          <w:rFonts w:ascii="Arial" w:cs="Arial" w:eastAsia="Arial" w:hAnsi="Arial"/>
          <w:sz w:val="18"/>
          <w:szCs w:val="18"/>
          <w:color w:val="auto"/>
        </w:rPr>
        <w:t>the Borrowers’ good faith estimate), (i) all Guarantees by such Person of Indebtedness of others and (j) all Disqualified Equity Interests</w:t>
      </w:r>
    </w:p>
    <w:p>
      <w:pPr>
        <w:spacing w:after="0" w:line="255" w:lineRule="auto"/>
        <w:rPr>
          <w:sz w:val="20"/>
          <w:szCs w:val="20"/>
          <w:color w:val="auto"/>
        </w:rPr>
      </w:pPr>
      <w:r>
        <w:rPr>
          <w:rFonts w:ascii="Arial" w:cs="Arial" w:eastAsia="Arial" w:hAnsi="Arial"/>
          <w:sz w:val="16"/>
          <w:szCs w:val="16"/>
          <w:color w:val="auto"/>
        </w:rPr>
        <w:t>(excluding any accrued dividends), in each case of clause (a) through (g), to the extent such Indebtedness would appear as a liability upon the balance sheet (excluding the footnotes thereto) of such Person prepared in accordance with GAAP. The Indebtedness of any Person shall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 the Indebtedness of any other entity (including any partnership in which such Person is a general partner) to the extent such Person is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liable therefor as a result of such Person’s ownership interest in or other relationship with such entity, except to the extent the terms of such Indebtedness provide that such Person is not liable therefor. For the avoidance of doubt, deferred revenue and advances and deposits received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from customers shall not constitute Indebtedness.</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imposed on or with respect to any payments made by or on account of any obligation of any Loan Party under any Loan Document other than (i) Excluded Taxes and (ii) Other Taxes.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Lien</w:t>
      </w:r>
      <w:r>
        <w:rPr>
          <w:rFonts w:ascii="Arial" w:cs="Arial" w:eastAsia="Arial" w:hAnsi="Arial"/>
          <w:sz w:val="20"/>
          <w:szCs w:val="20"/>
          <w:color w:val="auto"/>
        </w:rPr>
        <w:t>” has the meaning assigned to such term in section 6.02.</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Commitment</w:t>
      </w:r>
      <w:r>
        <w:rPr>
          <w:rFonts w:ascii="Arial" w:cs="Arial" w:eastAsia="Arial" w:hAnsi="Arial"/>
          <w:sz w:val="18"/>
          <w:szCs w:val="18"/>
          <w:color w:val="auto"/>
        </w:rPr>
        <w:t>” means, with respect to each Revolving Lender, its Revolving Commitment as of the Closing Date, as may be increased or decreased from time to time in accordance with this Agreement. The amount of each Revolving Lender’s Initial</w:t>
      </w:r>
    </w:p>
    <w:p>
      <w:pPr>
        <w:spacing w:after="0" w:line="227" w:lineRule="auto"/>
        <w:rPr>
          <w:sz w:val="20"/>
          <w:szCs w:val="20"/>
          <w:color w:val="auto"/>
        </w:rPr>
      </w:pPr>
      <w:r>
        <w:rPr>
          <w:rFonts w:ascii="Arial" w:cs="Arial" w:eastAsia="Arial" w:hAnsi="Arial"/>
          <w:sz w:val="20"/>
          <w:szCs w:val="20"/>
          <w:color w:val="auto"/>
        </w:rPr>
        <w:t xml:space="preserve">Revolving Commitment as of the Closing Date is set forth on </w:t>
      </w:r>
      <w:r>
        <w:rPr>
          <w:rFonts w:ascii="Arial" w:cs="Arial" w:eastAsia="Arial" w:hAnsi="Arial"/>
          <w:sz w:val="20"/>
          <w:szCs w:val="20"/>
          <w:u w:val="single" w:color="auto"/>
          <w:color w:val="auto"/>
        </w:rPr>
        <w:t>Schedule 2.01</w:t>
      </w:r>
      <w:r>
        <w:rPr>
          <w:rFonts w:ascii="Arial" w:cs="Arial" w:eastAsia="Arial" w:hAnsi="Arial"/>
          <w:sz w:val="20"/>
          <w:szCs w:val="20"/>
          <w:color w:val="auto"/>
        </w:rPr>
        <w:t>. The aggregate principal Dollar Amount of the Initial Revolving Commitments on the Closing Date is $300,000,000.</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Loans</w:t>
      </w:r>
      <w:r>
        <w:rPr>
          <w:rFonts w:ascii="Arial" w:cs="Arial" w:eastAsia="Arial" w:hAnsi="Arial"/>
          <w:sz w:val="18"/>
          <w:szCs w:val="18"/>
          <w:color w:val="auto"/>
        </w:rPr>
        <w:t>” means the Loans made by Revolving Lenders pursuant to Section 2.01(c). Each Initial Revolving Loan shall be a Eurocurrency Loan denominated in an Agreed Currency (other than Pounds Sterling</w:t>
      </w:r>
      <w:r>
        <w:rPr>
          <w:rFonts w:ascii="Arial" w:cs="Arial" w:eastAsia="Arial" w:hAnsi="Arial"/>
          <w:sz w:val="18"/>
          <w:szCs w:val="18"/>
          <w:color w:val="FF0000"/>
          <w:strike w:val="1"/>
        </w:rPr>
        <w:t>), an</w:t>
      </w:r>
      <w:r>
        <w:rPr>
          <w:rFonts w:ascii="Arial" w:cs="Arial" w:eastAsia="Arial" w:hAnsi="Arial"/>
          <w:sz w:val="18"/>
          <w:szCs w:val="18"/>
          <w:color w:val="auto"/>
        </w:rPr>
        <w:t xml:space="preserve"> </w:t>
      </w:r>
      <w:r>
        <w:rPr>
          <w:rFonts w:ascii="Arial" w:cs="Arial" w:eastAsia="Arial" w:hAnsi="Arial"/>
          <w:sz w:val="18"/>
          <w:szCs w:val="18"/>
          <w:color w:val="0000FF"/>
        </w:rPr>
        <w:t>or Dollars), a USD Term SOFR Loan,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-6985</wp:posOffset>
            </wp:positionV>
            <wp:extent cx="20802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20802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RFR Loan denominated in Pounds Sterling or an ABR Loan denominated in Dollars.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Term Loans</w:t>
      </w:r>
      <w:r>
        <w:rPr>
          <w:rFonts w:ascii="Arial" w:cs="Arial" w:eastAsia="Arial" w:hAnsi="Arial"/>
          <w:sz w:val="20"/>
          <w:szCs w:val="20"/>
          <w:color w:val="auto"/>
        </w:rPr>
        <w:t>” means, collectively, the Lux Term Loans and the U.S. Term Loans.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or Liquidation Proceeding</w:t>
      </w:r>
      <w:r>
        <w:rPr>
          <w:rFonts w:ascii="Arial" w:cs="Arial" w:eastAsia="Arial" w:hAnsi="Arial"/>
          <w:sz w:val="18"/>
          <w:szCs w:val="18"/>
          <w:color w:val="auto"/>
        </w:rPr>
        <w:t>” means, with respect to any Person, (a) any voluntary or involuntary case or proceeding under any Debtor Relief Law with respect to any such Person, (b) any other voluntary or involuntary insolvency, reorganization or bankruptcy case</w:t>
      </w:r>
    </w:p>
    <w:p>
      <w:pPr>
        <w:spacing w:after="0" w:line="235" w:lineRule="auto"/>
        <w:rPr>
          <w:sz w:val="20"/>
          <w:szCs w:val="20"/>
          <w:color w:val="auto"/>
        </w:rPr>
      </w:pPr>
      <w:r>
        <w:rPr>
          <w:rFonts w:ascii="Arial" w:cs="Arial" w:eastAsia="Arial" w:hAnsi="Arial"/>
          <w:sz w:val="18"/>
          <w:szCs w:val="18"/>
          <w:color w:val="auto"/>
        </w:rPr>
        <w:t>or proceeding, or any receivership, liquidation, reorganization, examinership, administration or other similar event, case, process, action or</w:t>
      </w:r>
    </w:p>
    <w:p>
      <w:pPr>
        <w:spacing w:after="0" w:line="226" w:lineRule="auto"/>
        <w:rPr>
          <w:sz w:val="20"/>
          <w:szCs w:val="20"/>
          <w:color w:val="auto"/>
        </w:rPr>
      </w:pPr>
      <w:r>
        <w:rPr>
          <w:rFonts w:ascii="Arial" w:cs="Arial" w:eastAsia="Arial" w:hAnsi="Arial"/>
          <w:sz w:val="18"/>
          <w:szCs w:val="18"/>
          <w:color w:val="auto"/>
        </w:rPr>
        <w:t>proceeding or private or judicial foreclosure with respect to any such Person or with respect to all or any material portion of its assets, (c) any liquidation, dissolution, examinership, reorganization or winding up of any such Person whether voluntary or involuntary or otherwise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whether or not involving insolvency or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357" w:lineRule="exact"/>
        <w:rPr>
          <w:sz w:val="20"/>
          <w:szCs w:val="20"/>
          <w:color w:val="auto"/>
        </w:rPr>
      </w:pPr>
    </w:p>
    <w:p>
      <w:pPr>
        <w:jc w:val="both"/>
        <w:ind w:firstLine="8"/>
        <w:spacing w:after="0" w:line="223" w:lineRule="auto"/>
        <w:tabs>
          <w:tab w:leader="none" w:pos="29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any assignment for the benefit of creditors or any other marshalling of all or any material part of the assets and liabilities of any such Person. In addition, in respect of any Luxembourg Loan Party, “Insolvency or Liquidation Proceeding” shall also mean a Luxembourg Insolvency Event.</w:t>
      </w:r>
    </w:p>
    <w:p>
      <w:pPr>
        <w:spacing w:after="0" w:line="142"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means that certain intercompany subordination agreement entered into on the Closing Date by Holdings and certain of its Restricted Subsidiaries (as amended, restated, amended and restated, supplemented or otherwise modified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modification that is materially adverse to the Senior Creditors (as defined therein) shall only be permitted if such modification is reasonably acceptable to the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it is understood and agreed that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joinder of Obligors (as defined therein) or Subordinated Creditors (as defined therein) to the Intercompany Subordination Agreement is not materially adverse to the Senior Creditors and shall not require the consent of the Administrative Agent).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First Lien Intercreditor Agreement or a First-Second Lien Intercreditor Agreement, as applicable.</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applicable Borrower to convert or continue a Borrowing in accordance with Section 2.08.</w:t>
      </w:r>
    </w:p>
    <w:p>
      <w:pPr>
        <w:spacing w:after="0" w:line="14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last Business Day of each March, June, September and December and the applicable Maturity Date, (b) with respect to any Eurocurrency Loan</w:t>
      </w:r>
      <w:r>
        <w:rPr>
          <w:rFonts w:ascii="Arial" w:cs="Arial" w:eastAsia="Arial" w:hAnsi="Arial"/>
          <w:sz w:val="18"/>
          <w:szCs w:val="18"/>
          <w:u w:val="single" w:color="auto"/>
          <w:color w:val="0000FF"/>
        </w:rPr>
        <w:t>, USD Term SOFR Loan</w:t>
      </w:r>
    </w:p>
    <w:p>
      <w:pPr>
        <w:spacing w:after="0" w:line="226" w:lineRule="auto"/>
        <w:rPr>
          <w:sz w:val="20"/>
          <w:szCs w:val="20"/>
          <w:color w:val="auto"/>
        </w:rPr>
      </w:pPr>
      <w:r>
        <w:rPr>
          <w:rFonts w:ascii="Arial" w:cs="Arial" w:eastAsia="Arial" w:hAnsi="Arial"/>
          <w:sz w:val="18"/>
          <w:szCs w:val="18"/>
          <w:color w:val="auto"/>
        </w:rPr>
        <w:t xml:space="preserve">or RFR Loan, the last day of the Interest Period applicable to the Borrowing of which such Loan is a part and, in the case of a Eurocurrency Borrowing </w:t>
      </w:r>
      <w:r>
        <w:rPr>
          <w:rFonts w:ascii="Arial" w:cs="Arial" w:eastAsia="Arial" w:hAnsi="Arial"/>
          <w:sz w:val="18"/>
          <w:szCs w:val="18"/>
          <w:u w:val="single" w:color="auto"/>
          <w:color w:val="0000FF"/>
        </w:rPr>
        <w:t>or USD Term SOFR Borrowing</w:t>
      </w:r>
      <w:r>
        <w:rPr>
          <w:rFonts w:ascii="Arial" w:cs="Arial" w:eastAsia="Arial" w:hAnsi="Arial"/>
          <w:sz w:val="18"/>
          <w:szCs w:val="18"/>
          <w:color w:val="auto"/>
        </w:rPr>
        <w:t xml:space="preserve"> with an Interest Period of more than three months’ duration, each day prior to the last day of such</w:t>
      </w:r>
    </w:p>
    <w:p>
      <w:pPr>
        <w:spacing w:after="0" w:line="236" w:lineRule="auto"/>
        <w:rPr>
          <w:sz w:val="20"/>
          <w:szCs w:val="20"/>
          <w:color w:val="auto"/>
        </w:rPr>
      </w:pPr>
      <w:r>
        <w:rPr>
          <w:rFonts w:ascii="Arial" w:cs="Arial" w:eastAsia="Arial" w:hAnsi="Arial"/>
          <w:sz w:val="18"/>
          <w:szCs w:val="18"/>
          <w:color w:val="auto"/>
        </w:rPr>
        <w:t>Interest Period that occurs at intervals of three months’ duration after the first day of such Interest Period and the applicable Maturity Date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(c) with respect to any Swingline Loan, the day that such Loan is required to be repaid and the latest Maturity Date with respect to any Revolving Commitments.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 with respect to any Eurocurrency Borrowing </w:t>
      </w:r>
      <w:r>
        <w:rPr>
          <w:rFonts w:ascii="Arial" w:cs="Arial" w:eastAsia="Arial" w:hAnsi="Arial"/>
          <w:sz w:val="18"/>
          <w:szCs w:val="18"/>
          <w:color w:val="0000FF"/>
        </w:rPr>
        <w:t>or USD Term SOFR Borrowing</w:t>
      </w:r>
      <w:r>
        <w:rPr>
          <w:rFonts w:ascii="Arial" w:cs="Arial" w:eastAsia="Arial" w:hAnsi="Arial"/>
          <w:sz w:val="18"/>
          <w:szCs w:val="18"/>
          <w:color w:val="auto"/>
        </w:rPr>
        <w:t>, the period commencing on the date of such Borrowing and ending on the numerically corresponding day in the calendar month that is one, three or six 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-127000</wp:posOffset>
            </wp:positionV>
            <wp:extent cx="16433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9"/>
          <w:szCs w:val="19"/>
          <w:color w:val="auto"/>
        </w:rPr>
        <w:t>(or, if acceptable to each participating Lender therein, twelve months thereafter or less than one month thereafter), as the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Borrower may elect and (b) with respect to any RFR Borrowing, the period commencing on the date of such Borrowing and ending on the numerically corresponding day in the calendar month that is one or three months thereafter, as the Applicable Borrower may elect; </w:t>
      </w:r>
      <w:r>
        <w:rPr>
          <w:rFonts w:ascii="Arial" w:cs="Arial" w:eastAsia="Arial" w:hAnsi="Arial"/>
          <w:sz w:val="18"/>
          <w:szCs w:val="18"/>
          <w:u w:val="single" w:color="auto"/>
          <w:color w:val="auto"/>
        </w:rPr>
        <w:t>provided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 if any Interest Period would end on a day other than a Business Day, such Interest Period shall be extended to the next succeeding Business Day unless, in the case of a Eurocurrency Borrowing</w:t>
      </w:r>
      <w:r>
        <w:rPr>
          <w:rFonts w:ascii="Arial" w:cs="Arial" w:eastAsia="Arial" w:hAnsi="Arial"/>
          <w:sz w:val="18"/>
          <w:szCs w:val="18"/>
          <w:u w:val="single" w:color="auto"/>
          <w:color w:val="0000FF"/>
        </w:rPr>
        <w:t>, USD Term SOFR Borrowing</w:t>
      </w:r>
      <w:r>
        <w:rPr>
          <w:rFonts w:ascii="Arial" w:cs="Arial" w:eastAsia="Arial" w:hAnsi="Arial"/>
          <w:sz w:val="18"/>
          <w:szCs w:val="18"/>
          <w:color w:val="auto"/>
        </w:rPr>
        <w:t xml:space="preserve"> or RFR Borrowing only, such next succeeding</w:t>
      </w:r>
    </w:p>
    <w:p>
      <w:pPr>
        <w:spacing w:after="0" w:line="236" w:lineRule="auto"/>
        <w:rPr>
          <w:sz w:val="20"/>
          <w:szCs w:val="20"/>
          <w:color w:val="auto"/>
        </w:rPr>
      </w:pPr>
      <w:r>
        <w:rPr>
          <w:rFonts w:ascii="Arial" w:cs="Arial" w:eastAsia="Arial" w:hAnsi="Arial"/>
          <w:sz w:val="18"/>
          <w:szCs w:val="18"/>
          <w:color w:val="auto"/>
        </w:rPr>
        <w:t>Business Day would fall in the next calendar month, in which case such Interest Period shall end on the next preceding Business Day and (ii)</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Interest Period pertaining to a Eurocurrency Borrowing</w:t>
      </w:r>
      <w:r>
        <w:rPr>
          <w:rFonts w:ascii="Arial" w:cs="Arial" w:eastAsia="Arial" w:hAnsi="Arial"/>
          <w:sz w:val="18"/>
          <w:szCs w:val="18"/>
          <w:u w:val="single" w:color="auto"/>
          <w:color w:val="0000FF"/>
        </w:rPr>
        <w:t>, USD Term SOFR Borrowing</w:t>
      </w:r>
      <w:r>
        <w:rPr>
          <w:rFonts w:ascii="Arial" w:cs="Arial" w:eastAsia="Arial" w:hAnsi="Arial"/>
          <w:sz w:val="18"/>
          <w:szCs w:val="18"/>
          <w:color w:val="auto"/>
        </w:rPr>
        <w:t xml:space="preserve"> or RFR Borrowing that commences on the last Business Day of a calendar month (or on a day for which there is no numerically corresponding day in the last calendar month of such</w:t>
      </w:r>
    </w:p>
    <w:p>
      <w:pPr>
        <w:spacing w:after="0" w:line="236" w:lineRule="auto"/>
        <w:rPr>
          <w:sz w:val="20"/>
          <w:szCs w:val="20"/>
          <w:color w:val="auto"/>
        </w:rPr>
      </w:pPr>
      <w:r>
        <w:rPr>
          <w:rFonts w:ascii="Arial" w:cs="Arial" w:eastAsia="Arial" w:hAnsi="Arial"/>
          <w:sz w:val="18"/>
          <w:szCs w:val="18"/>
          <w:color w:val="auto"/>
        </w:rPr>
        <w:t>Interest Period) shall end on the last Business Day of the last calendar month of such Interest Period. For purposes hereof, the date of a</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Borrowing initially shall be the date on which such Borrowing is made and thereafter shall be the effective date of the most recent conversion or continuation of such Borrowing.</w:t>
      </w:r>
    </w:p>
    <w:p>
      <w:pPr>
        <w:spacing w:after="0" w:line="156"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Screen Rate</w:t>
      </w:r>
      <w:r>
        <w:rPr>
          <w:rFonts w:ascii="Arial" w:cs="Arial" w:eastAsia="Arial" w:hAnsi="Arial"/>
          <w:sz w:val="16"/>
          <w:szCs w:val="16"/>
          <w:color w:val="auto"/>
        </w:rPr>
        <w:t xml:space="preserve">” means, with respect to any Eurocurrency Loan denominated in any currency for any Interest Period, a rate per annum which results from interpolating on a linear basis between (a) the </w:t>
      </w:r>
      <w:r>
        <w:rPr>
          <w:rFonts w:ascii="Arial" w:cs="Arial" w:eastAsia="Arial" w:hAnsi="Arial"/>
          <w:sz w:val="16"/>
          <w:szCs w:val="16"/>
          <w:color w:val="FF0000"/>
          <w:strike w:val="1"/>
        </w:rPr>
        <w:t>applicable</w:t>
      </w:r>
      <w:r>
        <w:rPr>
          <w:rFonts w:ascii="Arial" w:cs="Arial" w:eastAsia="Arial" w:hAnsi="Arial"/>
          <w:sz w:val="16"/>
          <w:szCs w:val="16"/>
          <w:u w:val="single" w:color="auto"/>
          <w:color w:val="0000FF"/>
        </w:rPr>
        <w:t>EURIBOR</w:t>
      </w:r>
      <w:r>
        <w:rPr>
          <w:rFonts w:ascii="Arial" w:cs="Arial" w:eastAsia="Arial" w:hAnsi="Arial"/>
          <w:sz w:val="16"/>
          <w:szCs w:val="16"/>
          <w:color w:val="auto"/>
        </w:rPr>
        <w:t xml:space="preserve"> Screen Rate for the longest maturity for</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which a </w:t>
      </w:r>
      <w:r>
        <w:rPr>
          <w:rFonts w:ascii="Arial" w:cs="Arial" w:eastAsia="Arial" w:hAnsi="Arial"/>
          <w:sz w:val="20"/>
          <w:szCs w:val="20"/>
          <w:u w:val="single" w:color="auto"/>
          <w:color w:val="0000FF"/>
        </w:rPr>
        <w:t>EURIBOR</w:t>
      </w:r>
      <w:r>
        <w:rPr>
          <w:rFonts w:ascii="Arial" w:cs="Arial" w:eastAsia="Arial" w:hAnsi="Arial"/>
          <w:sz w:val="20"/>
          <w:szCs w:val="20"/>
          <w:color w:val="auto"/>
        </w:rPr>
        <w:t xml:space="preserve"> Screen Rate is available that is shorter than such Interest Period and (b) the </w:t>
      </w:r>
      <w:r>
        <w:rPr>
          <w:rFonts w:ascii="Arial" w:cs="Arial" w:eastAsia="Arial" w:hAnsi="Arial"/>
          <w:sz w:val="20"/>
          <w:szCs w:val="20"/>
          <w:color w:val="FF0000"/>
          <w:strike w:val="1"/>
        </w:rPr>
        <w:t>applicable</w:t>
      </w:r>
      <w:r>
        <w:rPr>
          <w:rFonts w:ascii="Arial" w:cs="Arial" w:eastAsia="Arial" w:hAnsi="Arial"/>
          <w:sz w:val="20"/>
          <w:szCs w:val="20"/>
          <w:u w:val="single" w:color="auto"/>
          <w:color w:val="0000FF"/>
        </w:rPr>
        <w:t>EURIBOR</w:t>
      </w:r>
      <w:r>
        <w:rPr>
          <w:rFonts w:ascii="Arial" w:cs="Arial" w:eastAsia="Arial" w:hAnsi="Arial"/>
          <w:sz w:val="20"/>
          <w:szCs w:val="20"/>
          <w:color w:val="auto"/>
        </w:rPr>
        <w:t xml:space="preserve"> Screen Rate for the shortest maturity for which a </w:t>
      </w:r>
      <w:r>
        <w:rPr>
          <w:rFonts w:ascii="Arial" w:cs="Arial" w:eastAsia="Arial" w:hAnsi="Arial"/>
          <w:sz w:val="20"/>
          <w:szCs w:val="20"/>
          <w:u w:val="single" w:color="auto"/>
          <w:color w:val="0000FF"/>
        </w:rPr>
        <w:t>EURIBOR</w:t>
      </w:r>
      <w:r>
        <w:rPr>
          <w:rFonts w:ascii="Arial" w:cs="Arial" w:eastAsia="Arial" w:hAnsi="Arial"/>
          <w:sz w:val="20"/>
          <w:szCs w:val="20"/>
          <w:color w:val="auto"/>
        </w:rPr>
        <w:t xml:space="preserve"> Screen Rate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available that is longer than such Interest Period, in each case as of approximately 11:00 a.m. (London time) on the Quotation Day.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Investments</w:t>
      </w:r>
      <w:r>
        <w:rPr>
          <w:rFonts w:ascii="Arial" w:cs="Arial" w:eastAsia="Arial" w:hAnsi="Arial"/>
          <w:sz w:val="19"/>
          <w:szCs w:val="19"/>
          <w:color w:val="auto"/>
        </w:rPr>
        <w:t>” means, with respect to any Person, all direct or indirect investments by such Person in other Persons (including</w:t>
      </w:r>
    </w:p>
    <w:p>
      <w:pPr>
        <w:spacing w:after="0" w:line="226" w:lineRule="auto"/>
        <w:rPr>
          <w:sz w:val="20"/>
          <w:szCs w:val="20"/>
          <w:color w:val="auto"/>
        </w:rPr>
      </w:pPr>
      <w:r>
        <w:rPr>
          <w:rFonts w:ascii="Arial" w:cs="Arial" w:eastAsia="Arial" w:hAnsi="Arial"/>
          <w:sz w:val="18"/>
          <w:szCs w:val="18"/>
          <w:color w:val="auto"/>
        </w:rPr>
        <w:t>Affiliates) in the forms of loans (including Guarantees or other obligations), advances or capital contributions (excluding accounts receivable, credit card and debit card receivables, trade credit, advances to customers, commission, travel and similar advances to officers and</w:t>
      </w:r>
    </w:p>
    <w:p>
      <w:pPr>
        <w:spacing w:after="0" w:line="224" w:lineRule="auto"/>
        <w:rPr>
          <w:sz w:val="20"/>
          <w:szCs w:val="20"/>
          <w:color w:val="auto"/>
        </w:rPr>
      </w:pPr>
      <w:r>
        <w:rPr>
          <w:rFonts w:ascii="Arial" w:cs="Arial" w:eastAsia="Arial" w:hAnsi="Arial"/>
          <w:sz w:val="19"/>
          <w:szCs w:val="19"/>
          <w:color w:val="auto"/>
        </w:rPr>
        <w:t>employees, in each case, created or made in the ordinary course of business), purchases or other acquisitions for consideration of</w:t>
      </w:r>
    </w:p>
    <w:p>
      <w:pPr>
        <w:spacing w:after="0" w:line="226" w:lineRule="auto"/>
        <w:rPr>
          <w:sz w:val="20"/>
          <w:szCs w:val="20"/>
          <w:color w:val="auto"/>
        </w:rPr>
      </w:pPr>
      <w:r>
        <w:rPr>
          <w:rFonts w:ascii="Arial" w:cs="Arial" w:eastAsia="Arial" w:hAnsi="Arial"/>
          <w:sz w:val="18"/>
          <w:szCs w:val="18"/>
          <w:color w:val="auto"/>
        </w:rPr>
        <w:t>Indebtedness, Equity Interests or other securities, together with all items that are or would be classified as investments on a balance sheet prepared in accordance with GAAP. If Holdings or any Restricted Subsidiary sells or otherwise disposes of any Equity Interests of any direct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or indirect Restricted Subsidiary such that, after giving effect to any such sale or disposition, such Person is no longer a Restricted Subsidiary,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Holdings will be deemed to have made an Investment on the date of any such sale or disposition equal to the fair market value of Holdings’ Investments in such Subsidiary that were not sold or disposed of in an amount determined as provided in the penultimate paragraph of</w:t>
      </w:r>
    </w:p>
    <w:p>
      <w:pPr>
        <w:spacing w:after="0" w:line="236" w:lineRule="auto"/>
        <w:rPr>
          <w:sz w:val="20"/>
          <w:szCs w:val="20"/>
          <w:color w:val="auto"/>
        </w:rPr>
      </w:pPr>
      <w:r>
        <w:rPr>
          <w:rFonts w:ascii="Arial" w:cs="Arial" w:eastAsia="Arial" w:hAnsi="Arial"/>
          <w:sz w:val="18"/>
          <w:szCs w:val="18"/>
          <w:color w:val="auto"/>
        </w:rPr>
        <w:t>Section 6.04. The acquisition by Holdings or any Restricted Subsidiary of a Person that holds an Investment in a third Person will be deemed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be an Investment by Holdings or such Restricted Subsidiary in such third Person in an amount equal to the fair market value of the Investments held by the acquired Person in such third Person in an amount determined as provided in the penultimate paragraph of Section</w:t>
      </w:r>
    </w:p>
    <w:p>
      <w:pPr>
        <w:spacing w:after="0" w:line="236" w:lineRule="auto"/>
        <w:rPr>
          <w:sz w:val="20"/>
          <w:szCs w:val="20"/>
          <w:color w:val="auto"/>
        </w:rPr>
      </w:pPr>
      <w:r>
        <w:rPr>
          <w:rFonts w:ascii="Arial" w:cs="Arial" w:eastAsia="Arial" w:hAnsi="Arial"/>
          <w:sz w:val="18"/>
          <w:szCs w:val="18"/>
          <w:color w:val="auto"/>
        </w:rPr>
        <w:t>6.04. Except as otherwise provided in this Agreement, the amount of an Investment will be determined at the time the Investment is made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without giving effect to subsequent changes in value, less any amounts paid, repaid, refinanced, distributed or otherwise received in cash in respect of such Investment. For the avoidance of doubt, Permitted Equity Derivatives and acquisitions of or licenses for intellectual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property or tangible assets used or useful in a Permitted Business do not constitute Investments.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Ireland</w:t>
      </w:r>
      <w:r>
        <w:rPr>
          <w:rFonts w:ascii="Arial" w:cs="Arial" w:eastAsia="Arial" w:hAnsi="Arial"/>
          <w:sz w:val="20"/>
          <w:szCs w:val="20"/>
          <w:color w:val="auto"/>
        </w:rPr>
        <w:t>” means the Republic of Ireland.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Pension Scheme</w:t>
      </w:r>
      <w:r>
        <w:rPr>
          <w:rFonts w:ascii="Arial" w:cs="Arial" w:eastAsia="Arial" w:hAnsi="Arial"/>
          <w:sz w:val="20"/>
          <w:szCs w:val="20"/>
          <w:color w:val="auto"/>
        </w:rPr>
        <w:t>” has the meaning assigned to such term in the definition of “ERISA Event”.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Qualifying Lender</w:t>
      </w:r>
      <w:r>
        <w:rPr>
          <w:rFonts w:ascii="Arial" w:cs="Arial" w:eastAsia="Arial" w:hAnsi="Arial"/>
          <w:sz w:val="18"/>
          <w:szCs w:val="18"/>
          <w:color w:val="auto"/>
        </w:rPr>
        <w:t>” means a Lender or Participant, as the case may be, that is beneficially entitled to interest in respect of a</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Loan advanced to a Borrower that is tax resident in Ireland under this Agreement and is:</w:t>
      </w:r>
    </w:p>
    <w:p>
      <w:pPr>
        <w:spacing w:after="0" w:line="146" w:lineRule="exact"/>
        <w:rPr>
          <w:sz w:val="20"/>
          <w:szCs w:val="20"/>
          <w:color w:val="auto"/>
        </w:rPr>
      </w:pPr>
    </w:p>
    <w:p>
      <w:pPr>
        <w:ind w:left="660" w:firstLine="644"/>
        <w:spacing w:after="0" w:line="236"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bank within the meaning of Section 246 of the TCA whose Facility Office is located in Ireland and is carrying on a bona fide banking business in Ireland for the purposes of Section 246(3)(a) of the TCA; or</w:t>
      </w:r>
    </w:p>
    <w:p>
      <w:pPr>
        <w:spacing w:after="0" w:line="155" w:lineRule="exact"/>
        <w:rPr>
          <w:rFonts w:ascii="Arial" w:cs="Arial" w:eastAsia="Arial" w:hAnsi="Arial"/>
          <w:sz w:val="20"/>
          <w:szCs w:val="20"/>
          <w:color w:val="auto"/>
        </w:rPr>
      </w:pPr>
    </w:p>
    <w:p>
      <w:pPr>
        <w:jc w:val="both"/>
        <w:ind w:left="660" w:firstLine="644"/>
        <w:spacing w:after="0" w:line="220"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a company (within the meaning of Section 246 of the TCA) that is resident for the purposes of tax (residence for these purposes to be determined in accordance with the laws of the territory of which the Lender or Participant, as the case may be, claims to be resident) in a member state of the European Communities (other than Ireland) or in a territory with which Ireland has concluded a Treaty where:</w:t>
      </w:r>
    </w:p>
    <w:p>
      <w:pPr>
        <w:spacing w:after="0" w:line="169" w:lineRule="exact"/>
        <w:rPr>
          <w:sz w:val="20"/>
          <w:szCs w:val="20"/>
          <w:color w:val="auto"/>
        </w:rPr>
      </w:pPr>
    </w:p>
    <w:p>
      <w:pPr>
        <w:ind w:left="1960" w:hanging="656"/>
        <w:spacing w:after="0" w:line="229" w:lineRule="auto"/>
        <w:tabs>
          <w:tab w:leader="none" w:pos="178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that member state or territory imposes a tax that generally applies to interest receivable in that member state or territory by companies from sources outside that member state or territory; or</w:t>
      </w:r>
    </w:p>
    <w:p>
      <w:pPr>
        <w:spacing w:after="0" w:line="168" w:lineRule="exact"/>
        <w:rPr>
          <w:rFonts w:ascii="Arial" w:cs="Arial" w:eastAsia="Arial" w:hAnsi="Arial"/>
          <w:sz w:val="20"/>
          <w:szCs w:val="20"/>
          <w:color w:val="auto"/>
        </w:rPr>
      </w:pPr>
    </w:p>
    <w:p>
      <w:pPr>
        <w:ind w:left="1960" w:hanging="656"/>
        <w:spacing w:after="0" w:line="236" w:lineRule="auto"/>
        <w:tabs>
          <w:tab w:leader="none" w:pos="183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where that member state or territory imposes a tax that generally applies to interest received in that member state or territory from sources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3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that member state or territory and the interest is payable into an account located in that member state or territory; or</w:t>
      </w:r>
    </w:p>
    <w:p>
      <w:pPr>
        <w:spacing w:after="0" w:line="198" w:lineRule="exact"/>
        <w:rPr>
          <w:sz w:val="20"/>
          <w:szCs w:val="20"/>
          <w:color w:val="auto"/>
        </w:rPr>
      </w:pPr>
    </w:p>
    <w:p>
      <w:pPr>
        <w:ind w:left="1940" w:hanging="648"/>
        <w:spacing w:after="0"/>
        <w:tabs>
          <w:tab w:leader="none" w:pos="19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company (within the meaning of Section 246 of the TCA) where interest payable in respect of an advance:</w:t>
      </w:r>
    </w:p>
    <w:p>
      <w:pPr>
        <w:spacing w:after="0" w:line="211" w:lineRule="exact"/>
        <w:rPr>
          <w:rFonts w:ascii="Arial" w:cs="Arial" w:eastAsia="Arial" w:hAnsi="Arial"/>
          <w:sz w:val="18"/>
          <w:szCs w:val="18"/>
          <w:color w:val="auto"/>
        </w:rPr>
      </w:pPr>
    </w:p>
    <w:p>
      <w:pPr>
        <w:ind w:left="1300" w:right="20" w:hanging="656"/>
        <w:spacing w:after="0" w:line="236" w:lineRule="auto"/>
        <w:tabs>
          <w:tab w:leader="none" w:pos="1133"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is exempted from the charge to income tax under a Treaty that is in effect by virtue of the procedures set out in Section 826(1) of the TCA; or</w:t>
      </w:r>
    </w:p>
    <w:p>
      <w:pPr>
        <w:spacing w:after="0" w:line="155" w:lineRule="exact"/>
        <w:rPr>
          <w:rFonts w:ascii="Arial" w:cs="Arial" w:eastAsia="Arial" w:hAnsi="Arial"/>
          <w:sz w:val="20"/>
          <w:szCs w:val="20"/>
          <w:color w:val="auto"/>
        </w:rPr>
      </w:pPr>
    </w:p>
    <w:p>
      <w:pPr>
        <w:ind w:left="1300" w:hanging="656"/>
        <w:spacing w:after="0" w:line="257" w:lineRule="auto"/>
        <w:tabs>
          <w:tab w:leader="none" w:pos="124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would be exempted from the charge to income tax under a Treaty if such Treaty was in effect by virtue of the procedures set out in Section 826(1) of the TCA but such Treaty is not in effect at the date the interest is paid;</w:t>
      </w:r>
    </w:p>
    <w:p>
      <w:pPr>
        <w:spacing w:after="0" w:line="153" w:lineRule="exact"/>
        <w:rPr>
          <w:rFonts w:ascii="Arial" w:cs="Arial" w:eastAsia="Arial" w:hAnsi="Arial"/>
          <w:sz w:val="19"/>
          <w:szCs w:val="19"/>
          <w:color w:val="auto"/>
        </w:rPr>
      </w:pPr>
    </w:p>
    <w:p>
      <w:pPr>
        <w:ind w:left="640" w:firstLine="652"/>
        <w:spacing w:after="0" w:line="229" w:lineRule="auto"/>
        <w:tabs>
          <w:tab w:leader="none" w:pos="192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 corporation established in the United States of America and subject to U.S. federal income tax on its worldwide income; or</w:t>
      </w:r>
    </w:p>
    <w:p>
      <w:pPr>
        <w:spacing w:after="0" w:line="168" w:lineRule="exact"/>
        <w:rPr>
          <w:rFonts w:ascii="Arial" w:cs="Arial" w:eastAsia="Arial" w:hAnsi="Arial"/>
          <w:sz w:val="20"/>
          <w:szCs w:val="20"/>
          <w:color w:val="auto"/>
        </w:rPr>
      </w:pPr>
    </w:p>
    <w:p>
      <w:pPr>
        <w:jc w:val="both"/>
        <w:ind w:left="640" w:firstLine="652"/>
        <w:spacing w:after="0" w:line="220" w:lineRule="auto"/>
        <w:tabs>
          <w:tab w:leader="none" w:pos="1924"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 limited liability company (“</w:t>
      </w:r>
      <w:r>
        <w:rPr>
          <w:rFonts w:ascii="Arial" w:cs="Arial" w:eastAsia="Arial" w:hAnsi="Arial"/>
          <w:sz w:val="20"/>
          <w:szCs w:val="20"/>
          <w:u w:val="single" w:color="auto"/>
          <w:color w:val="auto"/>
        </w:rPr>
        <w:t>LLC</w:t>
      </w:r>
      <w:r>
        <w:rPr>
          <w:rFonts w:ascii="Arial" w:cs="Arial" w:eastAsia="Arial" w:hAnsi="Arial"/>
          <w:sz w:val="20"/>
          <w:szCs w:val="20"/>
          <w:color w:val="auto"/>
        </w:rPr>
        <w:t>”) established in the United States of America, provided that the ultimate recipients of the interest for Irish tax purposes would, if they were themselves Lenders, be Irish Qualifying Lenders within the meaning of paragraph (2)(a) or (2)(b) or (2)(c) of this definition and the business conducted through the LLC is so structured for market reasons and not for tax avoidance purposes;</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provided that in each case at (a), (b), (c) or (d) the Lender or Participant, as the case may be, is not carrying on a trade or business in Ireland through an agency or branch with which the interest payment is connected; or</w:t>
      </w:r>
    </w:p>
    <w:p>
      <w:pPr>
        <w:spacing w:after="0" w:line="155" w:lineRule="exact"/>
        <w:rPr>
          <w:sz w:val="20"/>
          <w:szCs w:val="20"/>
          <w:color w:val="auto"/>
        </w:rPr>
      </w:pPr>
    </w:p>
    <w:p>
      <w:pPr>
        <w:ind w:left="3220" w:hanging="632"/>
        <w:spacing w:after="0"/>
        <w:tabs>
          <w:tab w:leader="none" w:pos="32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an Irish Treaty Lender; or</w:t>
      </w:r>
    </w:p>
    <w:p>
      <w:pPr>
        <w:spacing w:after="0" w:line="175" w:lineRule="exact"/>
        <w:rPr>
          <w:rFonts w:ascii="Arial" w:cs="Arial" w:eastAsia="Arial" w:hAnsi="Arial"/>
          <w:sz w:val="20"/>
          <w:szCs w:val="20"/>
          <w:color w:val="auto"/>
        </w:rPr>
      </w:pPr>
    </w:p>
    <w:p>
      <w:pPr>
        <w:ind w:left="3220" w:hanging="632"/>
        <w:spacing w:after="0"/>
        <w:tabs>
          <w:tab w:leader="none" w:pos="32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a company (within the meaning of Section 4 of the TCA):</w:t>
      </w:r>
    </w:p>
    <w:p>
      <w:pPr>
        <w:spacing w:after="0" w:line="188" w:lineRule="exact"/>
        <w:rPr>
          <w:rFonts w:ascii="Arial" w:cs="Arial" w:eastAsia="Arial" w:hAnsi="Arial"/>
          <w:sz w:val="20"/>
          <w:szCs w:val="20"/>
          <w:color w:val="auto"/>
        </w:rPr>
      </w:pPr>
    </w:p>
    <w:p>
      <w:pPr>
        <w:ind w:left="1940" w:hanging="648"/>
        <w:spacing w:after="0"/>
        <w:tabs>
          <w:tab w:leader="none" w:pos="19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which advances money in the ordinary course of a trade which includes the lending of money; and</w:t>
      </w:r>
    </w:p>
    <w:p>
      <w:pPr>
        <w:spacing w:after="0" w:line="200" w:lineRule="exact"/>
        <w:rPr>
          <w:rFonts w:ascii="Arial" w:cs="Arial" w:eastAsia="Arial" w:hAnsi="Arial"/>
          <w:sz w:val="19"/>
          <w:szCs w:val="19"/>
          <w:color w:val="auto"/>
        </w:rPr>
      </w:pPr>
    </w:p>
    <w:p>
      <w:pPr>
        <w:ind w:left="640" w:right="20" w:firstLine="652"/>
        <w:spacing w:after="0" w:line="229" w:lineRule="auto"/>
        <w:tabs>
          <w:tab w:leader="none" w:pos="192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whose hands any interest payable in respect of money so advanced is taken into account in computing the trading income of the company for Irish corporation tax purposes; and</w:t>
      </w:r>
    </w:p>
    <w:p>
      <w:pPr>
        <w:spacing w:after="0" w:line="168" w:lineRule="exact"/>
        <w:rPr>
          <w:rFonts w:ascii="Arial" w:cs="Arial" w:eastAsia="Arial" w:hAnsi="Arial"/>
          <w:sz w:val="20"/>
          <w:szCs w:val="20"/>
          <w:color w:val="auto"/>
        </w:rPr>
      </w:pPr>
    </w:p>
    <w:p>
      <w:pPr>
        <w:ind w:left="640" w:firstLine="652"/>
        <w:spacing w:after="0" w:line="236" w:lineRule="auto"/>
        <w:tabs>
          <w:tab w:leader="none" w:pos="192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which has complied with all of the provisions of Section 246(5)(a) of the TCA including making the appropriate notifications thereunder to the Borrowers and the Revenue Commissioners; and</w:t>
      </w:r>
    </w:p>
    <w:p>
      <w:pPr>
        <w:spacing w:after="0" w:line="155" w:lineRule="exact"/>
        <w:rPr>
          <w:rFonts w:ascii="Arial" w:cs="Arial" w:eastAsia="Arial" w:hAnsi="Arial"/>
          <w:sz w:val="20"/>
          <w:szCs w:val="20"/>
          <w:color w:val="auto"/>
        </w:rPr>
      </w:pPr>
    </w:p>
    <w:p>
      <w:pPr>
        <w:ind w:left="1920" w:hanging="628"/>
        <w:spacing w:after="0"/>
        <w:tabs>
          <w:tab w:leader="none" w:pos="19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whose Facility Office is located in Ireland; or</w:t>
      </w:r>
    </w:p>
    <w:p>
      <w:pPr>
        <w:spacing w:after="0" w:line="188" w:lineRule="exact"/>
        <w:rPr>
          <w:rFonts w:ascii="Arial" w:cs="Arial" w:eastAsia="Arial" w:hAnsi="Arial"/>
          <w:sz w:val="20"/>
          <w:szCs w:val="20"/>
          <w:color w:val="auto"/>
        </w:rPr>
      </w:pPr>
    </w:p>
    <w:p>
      <w:pPr>
        <w:ind w:left="1300" w:right="20" w:firstLine="1288"/>
        <w:spacing w:after="0" w:line="236" w:lineRule="auto"/>
        <w:tabs>
          <w:tab w:leader="none" w:pos="323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 qualifying company within the meaning of Section 110 of the TCA and whose Facility Office is located in Ireland; or</w:t>
      </w:r>
    </w:p>
    <w:p>
      <w:pPr>
        <w:spacing w:after="0" w:line="155" w:lineRule="exact"/>
        <w:rPr>
          <w:rFonts w:ascii="Arial" w:cs="Arial" w:eastAsia="Arial" w:hAnsi="Arial"/>
          <w:sz w:val="20"/>
          <w:szCs w:val="20"/>
          <w:color w:val="auto"/>
        </w:rPr>
      </w:pPr>
    </w:p>
    <w:p>
      <w:pPr>
        <w:ind w:left="1300" w:firstLine="1288"/>
        <w:spacing w:after="0" w:line="236" w:lineRule="auto"/>
        <w:tabs>
          <w:tab w:leader="none" w:pos="323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an investment undertaking within the meaning of Section 739B of the TCA and whose Facility Office is located in Ireland.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Qualifying Lender Confirmation</w:t>
      </w:r>
      <w:r>
        <w:rPr>
          <w:rFonts w:ascii="Arial" w:cs="Arial" w:eastAsia="Arial" w:hAnsi="Arial"/>
          <w:sz w:val="20"/>
          <w:szCs w:val="20"/>
          <w:color w:val="auto"/>
        </w:rPr>
        <w:t>” has the meaning set forth in Section 2.17(h).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80"/>
          </w:cols>
          <w:pgMar w:left="980" w:top="1440" w:right="339" w:bottom="1440" w:gutter="0" w:footer="0" w:header="0"/>
        </w:sectPr>
      </w:pPr>
    </w:p>
    <w:bookmarkStart w:id="213" w:name="page214"/>
    <w:bookmarkEnd w:id="213"/>
    <w:p>
      <w:pPr>
        <w:spacing w:after="0" w:line="3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Treaty Lender</w:t>
      </w:r>
      <w:r>
        <w:rPr>
          <w:rFonts w:ascii="Arial" w:cs="Arial" w:eastAsia="Arial" w:hAnsi="Arial"/>
          <w:sz w:val="18"/>
          <w:szCs w:val="18"/>
          <w:color w:val="auto"/>
        </w:rPr>
        <w:t>” means, a Lender or Participant, as the case may be, that is a resident of an Irish Treaty State for the purposes of a Treaty and that does not carry on a business in Ireland through a permanent establishment with which a Loan under this Agreement is</w:t>
      </w:r>
    </w:p>
    <w:p>
      <w:pPr>
        <w:jc w:val="both"/>
        <w:spacing w:after="0" w:line="227" w:lineRule="auto"/>
        <w:rPr>
          <w:sz w:val="20"/>
          <w:szCs w:val="20"/>
          <w:color w:val="auto"/>
        </w:rPr>
      </w:pPr>
      <w:r>
        <w:rPr>
          <w:rFonts w:ascii="Arial" w:cs="Arial" w:eastAsia="Arial" w:hAnsi="Arial"/>
          <w:sz w:val="20"/>
          <w:szCs w:val="20"/>
          <w:color w:val="auto"/>
        </w:rPr>
        <w:t>effectively connected and subject to completion of any procedural formalities, is entitled under the Treaty to receive payments of interest in respect of this Agreement without deduction of Irish tax.</w:t>
      </w:r>
    </w:p>
    <w:p>
      <w:pPr>
        <w:spacing w:after="0" w:line="143"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Irish Treaty State</w:t>
      </w:r>
      <w:r>
        <w:rPr>
          <w:rFonts w:ascii="Arial" w:cs="Arial" w:eastAsia="Arial" w:hAnsi="Arial"/>
          <w:sz w:val="20"/>
          <w:szCs w:val="20"/>
          <w:color w:val="auto"/>
        </w:rPr>
        <w:t>” means a jurisdiction that has a double taxation agreement with Ireland (a “</w:t>
      </w:r>
      <w:r>
        <w:rPr>
          <w:rFonts w:ascii="Arial" w:cs="Arial" w:eastAsia="Arial" w:hAnsi="Arial"/>
          <w:sz w:val="20"/>
          <w:szCs w:val="20"/>
          <w:u w:val="single" w:color="auto"/>
          <w:color w:val="auto"/>
        </w:rPr>
        <w:t>Treaty</w:t>
      </w:r>
      <w:r>
        <w:rPr>
          <w:rFonts w:ascii="Arial" w:cs="Arial" w:eastAsia="Arial" w:hAnsi="Arial"/>
          <w:sz w:val="20"/>
          <w:szCs w:val="20"/>
          <w:color w:val="auto"/>
        </w:rPr>
        <w:t>”) that is in effect and makes provision for full exemption from withholding tax imposed by Ireland on interest.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Citibank, N.A. and any other Lender designated by the Revolving Borrowers as an “Issuing Bank” hereunder</w:t>
      </w:r>
    </w:p>
    <w:p>
      <w:pPr>
        <w:spacing w:after="0" w:line="1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that has agreed to such designation (and is reasonably acceptable to the Administrative Agent), each in its capacity as the issuer of one or more Letters of Credit hereunder, and its successors in such capacity as provided in Section 2.06(i), in each case so long as such Person shall</w:t>
      </w:r>
    </w:p>
    <w:p>
      <w:pPr>
        <w:spacing w:after="0" w:line="235" w:lineRule="auto"/>
        <w:rPr>
          <w:sz w:val="20"/>
          <w:szCs w:val="20"/>
          <w:color w:val="auto"/>
        </w:rPr>
      </w:pPr>
      <w:r>
        <w:rPr>
          <w:rFonts w:ascii="Arial" w:cs="Arial" w:eastAsia="Arial" w:hAnsi="Arial"/>
          <w:sz w:val="18"/>
          <w:szCs w:val="18"/>
          <w:color w:val="auto"/>
        </w:rPr>
        <w:t>remain an Issuing Bank hereunder. All references contained in this Agreement and the other Loan Documents to the “Issuing Bank” shall be</w:t>
      </w:r>
    </w:p>
    <w:p>
      <w:pPr>
        <w:jc w:val="both"/>
        <w:spacing w:after="0" w:line="226" w:lineRule="auto"/>
        <w:rPr>
          <w:sz w:val="20"/>
          <w:szCs w:val="20"/>
          <w:color w:val="auto"/>
        </w:rPr>
      </w:pPr>
      <w:r>
        <w:rPr>
          <w:rFonts w:ascii="Arial" w:cs="Arial" w:eastAsia="Arial" w:hAnsi="Arial"/>
          <w:sz w:val="18"/>
          <w:szCs w:val="18"/>
          <w:color w:val="auto"/>
        </w:rPr>
        <w:t>deemed to apply equally to each of the institutions referred to in the foregoing sentence of this definition in their respective capacities as issuers of any and all Letters of Credit issued by each such institution. Each Issuing Bank may, in its discretion, arrange for one or more</w:t>
      </w:r>
    </w:p>
    <w:p>
      <w:pPr>
        <w:spacing w:after="0" w:line="236" w:lineRule="auto"/>
        <w:rPr>
          <w:sz w:val="20"/>
          <w:szCs w:val="20"/>
          <w:color w:val="auto"/>
        </w:rPr>
      </w:pPr>
      <w:r>
        <w:rPr>
          <w:rFonts w:ascii="Arial" w:cs="Arial" w:eastAsia="Arial" w:hAnsi="Arial"/>
          <w:sz w:val="18"/>
          <w:szCs w:val="18"/>
          <w:color w:val="auto"/>
        </w:rPr>
        <w:t>Letters of Credit to be issued by branches or Affiliates of such Issuing Bank, in which case the term “Issuing Bank” shall include any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branch or Affiliate with respect to Letters of Credit issued by such branch or Affiliate. Each Issuing Bank may cause Letters of Credit to be issued by unaffiliated financial institutions and such Letters of Credit shall be treated as issued by such Issuing Bank for all purposes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Loan Documents. Notwithstanding anything to the contrary herein, Citibank, N.A. shall not be obligated to issue trade letters of credit.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has the meaning assigned to such term in Section 5.09(f).</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Date applicable to any Loan or Commitment hereunder at such time, including the latest maturity date of any Other Refinancing Loan, any Other Refinancing Commitment, any Other</w:t>
      </w:r>
    </w:p>
    <w:p>
      <w:pPr>
        <w:jc w:val="both"/>
        <w:spacing w:after="0" w:line="227" w:lineRule="auto"/>
        <w:rPr>
          <w:sz w:val="20"/>
          <w:szCs w:val="20"/>
          <w:color w:val="auto"/>
        </w:rPr>
      </w:pPr>
      <w:r>
        <w:rPr>
          <w:rFonts w:ascii="Arial" w:cs="Arial" w:eastAsia="Arial" w:hAnsi="Arial"/>
          <w:sz w:val="20"/>
          <w:szCs w:val="20"/>
          <w:color w:val="auto"/>
        </w:rPr>
        <w:t>Term Loan, any Extended Loan, any Extended Loan Commitment, any Incremental Loan or any Incremental Commitment in each case as extended in accordance with this Agreement from time to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2.06(j).</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an Issuing Bank pursuant to a Letter of Credit.</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xml:space="preserve">” means, at any time, the sum of (a) the aggregate undrawn Dollar Amount of all outstanding Letters of Credit at such time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Dollar Amount of all LC Disbursements that have not yet been reimbursed at such time. The LC Exposure of any Revolving Lender at any time shall be its Revolving Percentage of the total LC Exposure at such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has the meaning assigned to such term in Section 2.06(b).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has the meaning assigned to such term in Section 1.07(f).</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Arrangers</w:t>
      </w:r>
      <w:r>
        <w:rPr>
          <w:rFonts w:ascii="Arial" w:cs="Arial" w:eastAsia="Arial" w:hAnsi="Arial"/>
          <w:sz w:val="20"/>
          <w:szCs w:val="20"/>
          <w:color w:val="auto"/>
        </w:rPr>
        <w:t>” means Citigroup Global Markets Inc., Banco Santander S.A., HSBC Continental Europe SA, J.P. Morgan Securities Plc and Morgan Stanley Bank International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357"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means, as to any Person, the Organizational Documents of such person, and any treaty, law (including the common law), statute, ordinance, code, rule, regulation, guidelines, license, permit requirement, judgment, decree, verdict, order, consent</w:t>
      </w:r>
    </w:p>
    <w:p>
      <w:pPr>
        <w:spacing w:after="0" w:line="235" w:lineRule="auto"/>
        <w:rPr>
          <w:sz w:val="20"/>
          <w:szCs w:val="20"/>
          <w:color w:val="auto"/>
        </w:rPr>
      </w:pPr>
      <w:r>
        <w:rPr>
          <w:rFonts w:ascii="Arial" w:cs="Arial" w:eastAsia="Arial" w:hAnsi="Arial"/>
          <w:sz w:val="18"/>
          <w:szCs w:val="18"/>
          <w:color w:val="auto"/>
        </w:rPr>
        <w:t>order, consent decree, writ, declaration or injunction or determination of an arbitrator or a court or other Governmental Authority, and the</w:t>
      </w:r>
    </w:p>
    <w:p>
      <w:pPr>
        <w:jc w:val="both"/>
        <w:spacing w:after="0" w:line="220" w:lineRule="auto"/>
        <w:rPr>
          <w:sz w:val="20"/>
          <w:szCs w:val="20"/>
          <w:color w:val="auto"/>
        </w:rPr>
      </w:pPr>
      <w:r>
        <w:rPr>
          <w:rFonts w:ascii="Arial" w:cs="Arial" w:eastAsia="Arial" w:hAnsi="Arial"/>
          <w:sz w:val="20"/>
          <w:szCs w:val="20"/>
          <w:color w:val="auto"/>
        </w:rPr>
        <w:t>interpretation or administration thereof, in each case applicable to or binding upon such Person or any of its property or to which such Person or any of its property is subject, in each case whether or not having the force of law.</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(a) the principle that equitable remedies are remedies which may be granted or refused at the discretion of the court, the limitation of enforcement by laws relating to bankruptcy, insolvency, court protection, liquidation, reorganization, court</w:t>
      </w:r>
    </w:p>
    <w:p>
      <w:pPr>
        <w:spacing w:after="0" w:line="235" w:lineRule="auto"/>
        <w:rPr>
          <w:sz w:val="20"/>
          <w:szCs w:val="20"/>
          <w:color w:val="auto"/>
        </w:rPr>
      </w:pPr>
      <w:r>
        <w:rPr>
          <w:rFonts w:ascii="Arial" w:cs="Arial" w:eastAsia="Arial" w:hAnsi="Arial"/>
          <w:sz w:val="18"/>
          <w:szCs w:val="18"/>
          <w:color w:val="auto"/>
        </w:rPr>
        <w:t>schemes, moratoria, examinership, administration and other laws generally affecting the rights of creditors, the time barring of claims, the</w:t>
      </w:r>
    </w:p>
    <w:p>
      <w:pPr>
        <w:jc w:val="both"/>
        <w:spacing w:after="0" w:line="226" w:lineRule="auto"/>
        <w:rPr>
          <w:sz w:val="20"/>
          <w:szCs w:val="20"/>
          <w:color w:val="auto"/>
        </w:rPr>
      </w:pPr>
      <w:r>
        <w:rPr>
          <w:rFonts w:ascii="Arial" w:cs="Arial" w:eastAsia="Arial" w:hAnsi="Arial"/>
          <w:sz w:val="18"/>
          <w:szCs w:val="18"/>
          <w:color w:val="auto"/>
        </w:rPr>
        <w:t>possibility that an undertaking to assume liability for or to indemnify a person against non-payment of stamp duty may be void, defenses of set-off or counterclaim, (b) any payment made in compensation for a breach of the Loan Documents may be a penalty and may not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enforceable in whole or in part and (c) similar principles, rights and defenses under the laws of any relevant jurisdiction.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2.20, Section 2.24 or pursuant to an Assignment and Assumption, other than any such Person that ceases to be a party hereto pursuant to an Assignment and Assumption. Unless the context otherwise requires, the term “Lenders” includes the Swingline Lender.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or trade letter of credit issued under the Revolving Commitments pursuant to this Agreement.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 Rate</w:t>
      </w:r>
      <w:r>
        <w:rPr>
          <w:rFonts w:ascii="Arial" w:cs="Arial" w:eastAsia="Arial" w:hAnsi="Arial"/>
          <w:sz w:val="18"/>
          <w:szCs w:val="18"/>
          <w:color w:val="FF0000"/>
          <w:strike w:val="1"/>
        </w:rPr>
        <w:t>” means, for any Interest Period when used in reference to any Loan or Borrowing denominated in any Agreed Currency other than euros, the greater of (i) (x) in the case of Revolving Loans, 0% per annum and (y) in the case of Initial Term Loans, 0.50% per</w:t>
      </w:r>
    </w:p>
    <w:p>
      <w:pPr>
        <w:jc w:val="both"/>
        <w:spacing w:after="0" w:line="226" w:lineRule="auto"/>
        <w:rPr>
          <w:sz w:val="20"/>
          <w:szCs w:val="20"/>
          <w:color w:val="auto"/>
        </w:rPr>
      </w:pPr>
      <w:r>
        <w:rPr>
          <w:rFonts w:ascii="Arial" w:cs="Arial" w:eastAsia="Arial" w:hAnsi="Arial"/>
          <w:sz w:val="18"/>
          <w:szCs w:val="18"/>
          <w:color w:val="FF0000"/>
          <w:strike w:val="1"/>
        </w:rPr>
        <w:t>annum and (ii) rate per annum determined by the Administrative Agent at approximately 11:00 a.m. (London time) on the date that is two (2) Business Days prior to the commencement of such Interest Period by reference to the ICE Benchmark Administration Interest Settlement</w:t>
      </w:r>
    </w:p>
    <w:p>
      <w:pPr>
        <w:spacing w:after="0" w:line="224" w:lineRule="auto"/>
        <w:rPr>
          <w:sz w:val="20"/>
          <w:szCs w:val="20"/>
          <w:color w:val="auto"/>
        </w:rPr>
      </w:pPr>
      <w:r>
        <w:rPr>
          <w:rFonts w:ascii="Arial" w:cs="Arial" w:eastAsia="Arial" w:hAnsi="Arial"/>
          <w:sz w:val="19"/>
          <w:szCs w:val="19"/>
          <w:color w:val="FF0000"/>
          <w:strike w:val="1"/>
        </w:rPr>
        <w:t>Rates (or by reference to the rates provided by any Person that takes over the administration of such rate if the ICE Benchmark</w:t>
      </w:r>
    </w:p>
    <w:p>
      <w:pPr>
        <w:jc w:val="both"/>
        <w:spacing w:after="0" w:line="226" w:lineRule="auto"/>
        <w:rPr>
          <w:sz w:val="20"/>
          <w:szCs w:val="20"/>
          <w:color w:val="auto"/>
        </w:rPr>
      </w:pPr>
      <w:r>
        <w:rPr>
          <w:rFonts w:ascii="Arial" w:cs="Arial" w:eastAsia="Arial" w:hAnsi="Arial"/>
          <w:sz w:val="18"/>
          <w:szCs w:val="18"/>
          <w:color w:val="FF0000"/>
          <w:strike w:val="1"/>
        </w:rPr>
        <w:t>Administration is no longer making a “LIBO Rate” rate available) for deposits in the relevant Agreed Currency (as set forth by the Bloomberg Information Service or any successor thereto or any other service selected by the Administrative Agent that has been nominated</w:t>
      </w:r>
    </w:p>
    <w:p>
      <w:pPr>
        <w:spacing w:after="0" w:line="236" w:lineRule="auto"/>
        <w:rPr>
          <w:sz w:val="20"/>
          <w:szCs w:val="20"/>
          <w:color w:val="auto"/>
        </w:rPr>
      </w:pPr>
      <w:r>
        <w:rPr>
          <w:rFonts w:ascii="Arial" w:cs="Arial" w:eastAsia="Arial" w:hAnsi="Arial"/>
          <w:sz w:val="18"/>
          <w:szCs w:val="18"/>
          <w:color w:val="FF0000"/>
          <w:strike w:val="1"/>
        </w:rPr>
        <w:t>by the ICE Benchmark Administration (or any successor thereto) as an authorized information vendor for the purpose of displaying such</w:t>
      </w:r>
    </w:p>
    <w:p>
      <w:pPr>
        <w:spacing w:after="0" w:line="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FF0000"/>
          <w:strike w:val="1"/>
        </w:rPr>
        <w:t>rates) for a period equal to such Interest Period (the “</w:t>
      </w:r>
      <w:r>
        <w:rPr>
          <w:rFonts w:ascii="Arial" w:cs="Arial" w:eastAsia="Arial" w:hAnsi="Arial"/>
          <w:sz w:val="16"/>
          <w:szCs w:val="16"/>
          <w:u w:val="single" w:color="auto"/>
          <w:color w:val="FF0000"/>
          <w:strike w:val="1"/>
        </w:rPr>
        <w:t>LIBO Screen Rate</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strike w:val="1"/>
        </w:rPr>
        <w:t xml:space="preserve"> that, to the extent that an interest rate is not ascertainable pursuant to the foregoing provisions of this definition, “LIBO Rate” shall be the interest rate per annum equal to the Interpolated Screen Rate.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 Screen Rate</w:t>
      </w:r>
      <w:r>
        <w:rPr>
          <w:rFonts w:ascii="Arial" w:cs="Arial" w:eastAsia="Arial" w:hAnsi="Arial"/>
          <w:sz w:val="20"/>
          <w:szCs w:val="20"/>
          <w:color w:val="FF0000"/>
          <w:strike w:val="1"/>
        </w:rPr>
        <w:t>” has</w:t>
      </w:r>
      <w:r>
        <w:rPr>
          <w:rFonts w:ascii="Arial" w:cs="Arial" w:eastAsia="Arial" w:hAnsi="Arial"/>
          <w:sz w:val="20"/>
          <w:szCs w:val="20"/>
          <w:color w:val="FF0000"/>
        </w:rPr>
        <w:t xml:space="preserve"> </w:t>
      </w:r>
      <w:r>
        <w:rPr>
          <w:rFonts w:ascii="Arial" w:cs="Arial" w:eastAsia="Arial" w:hAnsi="Arial"/>
          <w:sz w:val="20"/>
          <w:szCs w:val="20"/>
          <w:color w:val="00C000"/>
        </w:rPr>
        <w:t>the meaning assigned to such term in the</w:t>
      </w:r>
      <w:r>
        <w:rPr>
          <w:rFonts w:ascii="Arial" w:cs="Arial" w:eastAsia="Arial" w:hAnsi="Arial"/>
          <w:sz w:val="20"/>
          <w:szCs w:val="20"/>
          <w:color w:val="FF0000"/>
        </w:rPr>
        <w:t xml:space="preserve"> </w:t>
      </w:r>
      <w:r>
        <w:rPr>
          <w:rFonts w:ascii="Arial" w:cs="Arial" w:eastAsia="Arial" w:hAnsi="Arial"/>
          <w:sz w:val="20"/>
          <w:szCs w:val="20"/>
          <w:color w:val="FF0000"/>
          <w:strike w:val="1"/>
        </w:rPr>
        <w:t>definition of “LIBO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1654810</wp:posOffset>
            </wp:positionH>
            <wp:positionV relativeFrom="paragraph">
              <wp:posOffset>-66040</wp:posOffset>
            </wp:positionV>
            <wp:extent cx="21107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license, pledge, hypothecation, encumbrance,</w:t>
      </w:r>
    </w:p>
    <w:p>
      <w:pPr>
        <w:jc w:val="both"/>
        <w:spacing w:after="0" w:line="226" w:lineRule="auto"/>
        <w:rPr>
          <w:sz w:val="20"/>
          <w:szCs w:val="20"/>
          <w:color w:val="auto"/>
        </w:rPr>
      </w:pPr>
      <w:r>
        <w:rPr>
          <w:rFonts w:ascii="Arial" w:cs="Arial" w:eastAsia="Arial" w:hAnsi="Arial"/>
          <w:sz w:val="18"/>
          <w:szCs w:val="18"/>
          <w:color w:val="auto"/>
        </w:rPr>
        <w:t>assignment, charge or security interest in, on or of such asset, (b) the interest of a vendor or a lessor under any conditional sale agreement, capital lease or title retention agreement (or any financing lease having substantially the same economic effect as any of the foregoing)</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relating to such asset and (c) in the case of securities, any purchase option, call or similar right of a third party with respect to such securities; provided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357"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precautionary UCC financing statements or similar filings (including any filing of a UCC financing statement or other filing with a Governmental Authority in respect of an operating lease or a consignment) and any filings with any Governmental Authority in respect of</w:t>
      </w:r>
    </w:p>
    <w:p>
      <w:pPr>
        <w:spacing w:after="0" w:line="235" w:lineRule="auto"/>
        <w:rPr>
          <w:sz w:val="20"/>
          <w:szCs w:val="20"/>
          <w:color w:val="auto"/>
        </w:rPr>
      </w:pPr>
      <w:r>
        <w:rPr>
          <w:rFonts w:ascii="Arial" w:cs="Arial" w:eastAsia="Arial" w:hAnsi="Arial"/>
          <w:sz w:val="18"/>
          <w:szCs w:val="18"/>
          <w:color w:val="auto"/>
        </w:rPr>
        <w:t>any license shall not constitute Liens to the extent that such operating lease, consignment or license to which the filings relate are otherwise</w:t>
      </w:r>
    </w:p>
    <w:p>
      <w:pPr>
        <w:jc w:val="both"/>
        <w:spacing w:after="0" w:line="220" w:lineRule="auto"/>
        <w:rPr>
          <w:sz w:val="20"/>
          <w:szCs w:val="20"/>
          <w:color w:val="auto"/>
        </w:rPr>
      </w:pPr>
      <w:r>
        <w:rPr>
          <w:rFonts w:ascii="Arial" w:cs="Arial" w:eastAsia="Arial" w:hAnsi="Arial"/>
          <w:sz w:val="20"/>
          <w:szCs w:val="20"/>
          <w:color w:val="auto"/>
        </w:rPr>
        <w:t xml:space="preserve">Permitted Liens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any operating lease or any non-exclusive license, sub-license or cross-license to intellectual property be deemed to constitute a Lien.</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 any Permitted Acquisition or Investment which Holdings or any of its Restricted Subsidiaries is contractually committed to consummate, which commitment is not conditioned on the availability of, or on obtaining, third</w:t>
      </w:r>
    </w:p>
    <w:p>
      <w:pPr>
        <w:jc w:val="both"/>
        <w:spacing w:after="0" w:line="227" w:lineRule="auto"/>
        <w:rPr>
          <w:sz w:val="20"/>
          <w:szCs w:val="20"/>
          <w:color w:val="auto"/>
        </w:rPr>
      </w:pPr>
      <w:r>
        <w:rPr>
          <w:rFonts w:ascii="Arial" w:cs="Arial" w:eastAsia="Arial" w:hAnsi="Arial"/>
          <w:sz w:val="20"/>
          <w:szCs w:val="20"/>
          <w:color w:val="auto"/>
        </w:rPr>
        <w:t>party financing, or (b) redemption or repayment of Indebtedness requiring irrevocable advance notice or any irrevocable offer to purchase Indebtedness that is not subject to obtaining financing.</w:t>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Originator Recourse</w:t>
      </w:r>
      <w:r>
        <w:rPr>
          <w:rFonts w:ascii="Arial" w:cs="Arial" w:eastAsia="Arial" w:hAnsi="Arial"/>
          <w:sz w:val="20"/>
          <w:szCs w:val="20"/>
          <w:color w:val="auto"/>
        </w:rPr>
        <w:t>” means a letter of credit, cash collateral account or other such credit enhancement issued in connection with the incurrence of Indebtedness by a Securitization Subsidiary under a Qualified Securitization Financing.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any promissory notes issued pursuant to Section 2.10(e) of this Agreement, any Letter of</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Credit applications, the Collateral Documents, any Intercreditor Agreement, any Joinder Agreement, any Incremental Amendment, Extension Amendment or Refinancing Amendment, and any intercreditor agreements and subordination agreements. Any reference in the Agreement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any other Loan Document to a Loan Document shall include all appendices, exhibits or schedules thereto, and all amendments, restatements,</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supplements or other modifications thereto, and shall refer to the Agreement or such Loan Document as the same may be in effect at any and all times such reference becomes operative.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Holdings, the Borrowers and the Subsidiary Guarantors.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made by the Lenders to the Borrowers pursuant to this Agreement.</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Local Time</w:t>
      </w:r>
      <w:r>
        <w:rPr>
          <w:rFonts w:ascii="Arial" w:cs="Arial" w:eastAsia="Arial" w:hAnsi="Arial"/>
          <w:sz w:val="20"/>
          <w:szCs w:val="20"/>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4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 Borrower</w:t>
      </w:r>
      <w:r>
        <w:rPr>
          <w:rFonts w:ascii="Arial" w:cs="Arial" w:eastAsia="Arial" w:hAnsi="Arial"/>
          <w:sz w:val="20"/>
          <w:szCs w:val="20"/>
          <w:color w:val="auto"/>
        </w:rPr>
        <w:t>” has the meaning assigned to such term in the preamble hereto or any Additional Borrower organized under the laws of Luxembourg.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 U.S. Subsidiary Borrower</w:t>
      </w:r>
      <w:r>
        <w:rPr>
          <w:rFonts w:ascii="Arial" w:cs="Arial" w:eastAsia="Arial" w:hAnsi="Arial"/>
          <w:sz w:val="20"/>
          <w:szCs w:val="20"/>
          <w:color w:val="auto"/>
        </w:rPr>
        <w:t>” has the meaning assigned to such term in the preamble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w:t>
      </w:r>
      <w:r>
        <w:rPr>
          <w:rFonts w:ascii="Arial" w:cs="Arial" w:eastAsia="Arial" w:hAnsi="Arial"/>
          <w:sz w:val="20"/>
          <w:szCs w:val="20"/>
          <w:color w:val="auto"/>
        </w:rPr>
        <w:t>” means the Grand Duchy of Luxembourg.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Luxembourg Companies Register</w:t>
      </w:r>
      <w:r>
        <w:rPr>
          <w:rFonts w:ascii="Arial" w:cs="Arial" w:eastAsia="Arial" w:hAnsi="Arial"/>
          <w:sz w:val="19"/>
          <w:szCs w:val="19"/>
          <w:color w:val="auto"/>
        </w:rPr>
        <w:t>” means the Luxembourg Register of Commerce and Companies (</w:t>
      </w:r>
      <w:r>
        <w:rPr>
          <w:rFonts w:ascii="Arial" w:cs="Arial" w:eastAsia="Arial" w:hAnsi="Arial"/>
          <w:sz w:val="19"/>
          <w:szCs w:val="19"/>
          <w:i w:val="1"/>
          <w:iCs w:val="1"/>
          <w:color w:val="auto"/>
        </w:rPr>
        <w:t>R.C.S. Luxembourg</w:t>
      </w:r>
      <w:r>
        <w:rPr>
          <w:rFonts w:ascii="Arial" w:cs="Arial" w:eastAsia="Arial" w:hAnsi="Arial"/>
          <w:sz w:val="19"/>
          <w:szCs w:val="19"/>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Guarantor</w:t>
      </w:r>
      <w:r>
        <w:rPr>
          <w:rFonts w:ascii="Arial" w:cs="Arial" w:eastAsia="Arial" w:hAnsi="Arial"/>
          <w:sz w:val="20"/>
          <w:szCs w:val="20"/>
          <w:color w:val="auto"/>
        </w:rPr>
        <w:t>” has the meaning assigned to such term in Section 10.08.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Luxembourg Insolvency Event</w:t>
      </w:r>
      <w:r>
        <w:rPr>
          <w:rFonts w:ascii="Arial" w:cs="Arial" w:eastAsia="Arial" w:hAnsi="Arial"/>
          <w:sz w:val="18"/>
          <w:szCs w:val="18"/>
          <w:color w:val="auto"/>
        </w:rPr>
        <w:t>” means, in relation to any entity incorporated or existing under the laws of Luxembourg or any of</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their assets, any corporate action, legal proceedings or other procedure or step in relation to bankruptcy (</w:t>
      </w:r>
      <w:r>
        <w:rPr>
          <w:rFonts w:ascii="Arial" w:cs="Arial" w:eastAsia="Arial" w:hAnsi="Arial"/>
          <w:sz w:val="20"/>
          <w:szCs w:val="20"/>
          <w:i w:val="1"/>
          <w:iCs w:val="1"/>
          <w:color w:val="auto"/>
        </w:rPr>
        <w:t>faillite</w:t>
      </w:r>
      <w:r>
        <w:rPr>
          <w:rFonts w:ascii="Arial" w:cs="Arial" w:eastAsia="Arial" w:hAnsi="Arial"/>
          <w:sz w:val="20"/>
          <w:szCs w:val="20"/>
          <w:color w:val="auto"/>
        </w:rPr>
        <w:t>), insolvency, judicial or voluntary liquidation (</w:t>
      </w:r>
      <w:r>
        <w:rPr>
          <w:rFonts w:ascii="Arial" w:cs="Arial" w:eastAsia="Arial" w:hAnsi="Arial"/>
          <w:sz w:val="20"/>
          <w:szCs w:val="20"/>
          <w:i w:val="1"/>
          <w:iCs w:val="1"/>
          <w:color w:val="auto"/>
        </w:rPr>
        <w:t>liquidation judiciaire ou volontaire</w:t>
      </w:r>
      <w:r>
        <w:rPr>
          <w:rFonts w:ascii="Arial" w:cs="Arial" w:eastAsia="Arial" w:hAnsi="Arial"/>
          <w:sz w:val="20"/>
          <w:szCs w:val="20"/>
          <w:color w:val="auto"/>
        </w:rPr>
        <w:t>), composition with creditors (</w:t>
      </w:r>
      <w:r>
        <w:rPr>
          <w:rFonts w:ascii="Arial" w:cs="Arial" w:eastAsia="Arial" w:hAnsi="Arial"/>
          <w:sz w:val="20"/>
          <w:szCs w:val="20"/>
          <w:i w:val="1"/>
          <w:iCs w:val="1"/>
          <w:color w:val="auto"/>
        </w:rPr>
        <w:t>concordat préventif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de la faillite</w:t>
      </w:r>
      <w:r>
        <w:rPr>
          <w:rFonts w:ascii="Arial" w:cs="Arial" w:eastAsia="Arial" w:hAnsi="Arial"/>
          <w:sz w:val="16"/>
          <w:szCs w:val="16"/>
          <w:color w:val="auto"/>
        </w:rPr>
        <w:t>), moratorium or reprieve from payment (</w:t>
      </w:r>
      <w:r>
        <w:rPr>
          <w:rFonts w:ascii="Arial" w:cs="Arial" w:eastAsia="Arial" w:hAnsi="Arial"/>
          <w:sz w:val="16"/>
          <w:szCs w:val="16"/>
          <w:i w:val="1"/>
          <w:iCs w:val="1"/>
          <w:color w:val="auto"/>
        </w:rPr>
        <w:t>sursis de paiement</w:t>
      </w:r>
      <w:r>
        <w:rPr>
          <w:rFonts w:ascii="Arial" w:cs="Arial" w:eastAsia="Arial" w:hAnsi="Arial"/>
          <w:sz w:val="16"/>
          <w:szCs w:val="16"/>
          <w:color w:val="auto"/>
        </w:rPr>
        <w:t>), controlled management (</w:t>
      </w:r>
      <w:r>
        <w:rPr>
          <w:rFonts w:ascii="Arial" w:cs="Arial" w:eastAsia="Arial" w:hAnsi="Arial"/>
          <w:sz w:val="16"/>
          <w:szCs w:val="16"/>
          <w:i w:val="1"/>
          <w:iCs w:val="1"/>
          <w:color w:val="auto"/>
        </w:rPr>
        <w:t>gestion contrôlée</w:t>
      </w:r>
      <w:r>
        <w:rPr>
          <w:rFonts w:ascii="Arial" w:cs="Arial" w:eastAsia="Arial" w:hAnsi="Arial"/>
          <w:sz w:val="16"/>
          <w:szCs w:val="16"/>
          <w:color w:val="auto"/>
        </w:rPr>
        <w:t>), fraudulent conveyance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action paulienne</w:t>
      </w:r>
      <w:r>
        <w:rPr>
          <w:rFonts w:ascii="Arial" w:cs="Arial" w:eastAsia="Arial" w:hAnsi="Arial"/>
          <w:sz w:val="16"/>
          <w:szCs w:val="16"/>
          <w:color w:val="auto"/>
        </w:rPr>
        <w:t xml:space="preserve">), general settlement with creditors, the appointment of a </w:t>
      </w:r>
      <w:r>
        <w:rPr>
          <w:rFonts w:ascii="Arial" w:cs="Arial" w:eastAsia="Arial" w:hAnsi="Arial"/>
          <w:sz w:val="16"/>
          <w:szCs w:val="16"/>
          <w:i w:val="1"/>
          <w:iCs w:val="1"/>
          <w:color w:val="auto"/>
        </w:rPr>
        <w:t>juge délégué</w:t>
      </w:r>
      <w:r>
        <w:rPr>
          <w:rFonts w:ascii="Arial" w:cs="Arial" w:eastAsia="Arial" w:hAnsi="Arial"/>
          <w:sz w:val="16"/>
          <w:szCs w:val="16"/>
          <w:color w:val="auto"/>
        </w:rPr>
        <w:t xml:space="preserve">, a </w:t>
      </w:r>
      <w:r>
        <w:rPr>
          <w:rFonts w:ascii="Arial" w:cs="Arial" w:eastAsia="Arial" w:hAnsi="Arial"/>
          <w:sz w:val="16"/>
          <w:szCs w:val="16"/>
          <w:i w:val="1"/>
          <w:iCs w:val="1"/>
          <w:color w:val="auto"/>
        </w:rPr>
        <w:t>commissaire</w:t>
      </w:r>
      <w:r>
        <w:rPr>
          <w:rFonts w:ascii="Arial" w:cs="Arial" w:eastAsia="Arial" w:hAnsi="Arial"/>
          <w:sz w:val="16"/>
          <w:szCs w:val="16"/>
          <w:color w:val="auto"/>
        </w:rPr>
        <w:t xml:space="preserve">, a </w:t>
      </w:r>
      <w:r>
        <w:rPr>
          <w:rFonts w:ascii="Arial" w:cs="Arial" w:eastAsia="Arial" w:hAnsi="Arial"/>
          <w:sz w:val="16"/>
          <w:szCs w:val="16"/>
          <w:i w:val="1"/>
          <w:iCs w:val="1"/>
          <w:color w:val="auto"/>
        </w:rPr>
        <w:t>juge-commissaire</w:t>
      </w:r>
      <w:r>
        <w:rPr>
          <w:rFonts w:ascii="Arial" w:cs="Arial" w:eastAsia="Arial" w:hAnsi="Arial"/>
          <w:sz w:val="16"/>
          <w:szCs w:val="16"/>
          <w:color w:val="auto"/>
        </w:rPr>
        <w:t xml:space="preserve">, a </w:t>
      </w:r>
      <w:r>
        <w:rPr>
          <w:rFonts w:ascii="Arial" w:cs="Arial" w:eastAsia="Arial" w:hAnsi="Arial"/>
          <w:sz w:val="16"/>
          <w:szCs w:val="16"/>
          <w:i w:val="1"/>
          <w:iCs w:val="1"/>
          <w:color w:val="auto"/>
        </w:rPr>
        <w:t>mandataire ad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hoc</w:t>
      </w:r>
      <w:r>
        <w:rPr>
          <w:rFonts w:ascii="Arial" w:cs="Arial" w:eastAsia="Arial" w:hAnsi="Arial"/>
          <w:sz w:val="19"/>
          <w:szCs w:val="19"/>
          <w:color w:val="auto"/>
        </w:rPr>
        <w:t>, an</w:t>
      </w:r>
      <w:r>
        <w:rPr>
          <w:rFonts w:ascii="Arial" w:cs="Arial" w:eastAsia="Arial" w:hAnsi="Arial"/>
          <w:sz w:val="19"/>
          <w:szCs w:val="19"/>
          <w:i w:val="1"/>
          <w:iCs w:val="1"/>
          <w:color w:val="auto"/>
        </w:rPr>
        <w:t xml:space="preserve"> administrateur provisoire</w:t>
      </w:r>
      <w:r>
        <w:rPr>
          <w:rFonts w:ascii="Arial" w:cs="Arial" w:eastAsia="Arial" w:hAnsi="Arial"/>
          <w:sz w:val="19"/>
          <w:szCs w:val="19"/>
          <w:color w:val="auto"/>
        </w:rPr>
        <w:t>, a</w:t>
      </w:r>
      <w:r>
        <w:rPr>
          <w:rFonts w:ascii="Arial" w:cs="Arial" w:eastAsia="Arial" w:hAnsi="Arial"/>
          <w:sz w:val="19"/>
          <w:szCs w:val="19"/>
          <w:i w:val="1"/>
          <w:iCs w:val="1"/>
          <w:color w:val="auto"/>
        </w:rPr>
        <w:t xml:space="preserve"> liquidateur </w:t>
      </w:r>
      <w:r>
        <w:rPr>
          <w:rFonts w:ascii="Arial" w:cs="Arial" w:eastAsia="Arial" w:hAnsi="Arial"/>
          <w:sz w:val="19"/>
          <w:szCs w:val="19"/>
          <w:color w:val="auto"/>
        </w:rPr>
        <w:t>or a</w:t>
      </w:r>
      <w:r>
        <w:rPr>
          <w:rFonts w:ascii="Arial" w:cs="Arial" w:eastAsia="Arial" w:hAnsi="Arial"/>
          <w:sz w:val="19"/>
          <w:szCs w:val="19"/>
          <w:i w:val="1"/>
          <w:iCs w:val="1"/>
          <w:color w:val="auto"/>
        </w:rPr>
        <w:t xml:space="preserve"> curateur </w:t>
      </w:r>
      <w:r>
        <w:rPr>
          <w:rFonts w:ascii="Arial" w:cs="Arial" w:eastAsia="Arial" w:hAnsi="Arial"/>
          <w:sz w:val="19"/>
          <w:szCs w:val="19"/>
          <w:color w:val="auto"/>
        </w:rPr>
        <w:t>reorganization or similar laws affecting the rights of creditors generally.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Luxembourg Loan Party</w:t>
      </w:r>
      <w:r>
        <w:rPr>
          <w:rFonts w:ascii="Arial" w:cs="Arial" w:eastAsia="Arial" w:hAnsi="Arial"/>
          <w:sz w:val="20"/>
          <w:szCs w:val="20"/>
          <w:color w:val="auto"/>
        </w:rPr>
        <w:t>” means any Lux Borrower or any Luxembourg Guarantor.</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Lux Term Loan Commitments</w:t>
      </w:r>
      <w:r>
        <w:rPr>
          <w:rFonts w:ascii="Arial" w:cs="Arial" w:eastAsia="Arial" w:hAnsi="Arial"/>
          <w:sz w:val="18"/>
          <w:szCs w:val="18"/>
          <w:color w:val="auto"/>
        </w:rPr>
        <w:t>” means with respect to each Term Lender, the commitment, if any, of such Term Lender to make Lux Term Loans hereunder, as such commitment may be (a) reduced or terminated from time to time pursuant to Section 2.09 and (b) reduced or</w:t>
      </w:r>
    </w:p>
    <w:p>
      <w:pPr>
        <w:spacing w:after="0"/>
        <w:rPr>
          <w:sz w:val="20"/>
          <w:szCs w:val="20"/>
          <w:color w:val="auto"/>
        </w:rPr>
      </w:pPr>
      <w:r>
        <w:rPr>
          <w:rFonts w:ascii="Arial" w:cs="Arial" w:eastAsia="Arial" w:hAnsi="Arial"/>
          <w:sz w:val="16"/>
          <w:szCs w:val="16"/>
          <w:color w:val="auto"/>
        </w:rPr>
        <w:t>increased from time to time pursuant to assignments by or to such Term Lender pursuant to Section 9.04. The amount of each Term Lender’s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Lux Term Loan Commitment as of the Closing Date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in the Assignment and Assumption (or other documentation contemplated by this Agreement) pursuant to which such Term Lender shall have assumed its Lux Term Loan Commitment,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as applicable, and any other Refinancing Commitments and any Incremental Term Loan Commitments of Lux Term Loan Commitments. The aggregate principal amount of the Lux Term Loan Commitments on the Closing Date is $4,415,000,000.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 Term Loan Repayment Date</w:t>
      </w:r>
      <w:r>
        <w:rPr>
          <w:rFonts w:ascii="Arial" w:cs="Arial" w:eastAsia="Arial" w:hAnsi="Arial"/>
          <w:sz w:val="20"/>
          <w:szCs w:val="20"/>
          <w:color w:val="auto"/>
        </w:rPr>
        <w:t>” has the meaning assigned to such term in Section 2.10(a)(i).</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Lux Term Loans</w:t>
      </w:r>
      <w:r>
        <w:rPr>
          <w:rFonts w:ascii="Arial" w:cs="Arial" w:eastAsia="Arial" w:hAnsi="Arial"/>
          <w:sz w:val="20"/>
          <w:szCs w:val="20"/>
          <w:color w:val="auto"/>
        </w:rPr>
        <w:t xml:space="preserve"> ” means the term loans made by the Term Lenders to the Lux Borrower and the Lux U.S. Subsidiary Borrower on the Closing Date pursuant to Section 2.01. Each Lux Term Loan shall be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rPr>
        <w:t>USD Term SOFR</w:t>
      </w:r>
      <w:r>
        <w:rPr>
          <w:rFonts w:ascii="Arial" w:cs="Arial" w:eastAsia="Arial" w:hAnsi="Arial"/>
          <w:sz w:val="20"/>
          <w:szCs w:val="20"/>
          <w:color w:val="auto"/>
        </w:rPr>
        <w:t xml:space="preserve"> Loan denominated in Dollars or an ABR Loan denominated in Dollars.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means, at any time, (i) in the case of the Revolving Lenders, Lenders having Revolving Credit Exposures and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unused aggregate Revolving Commitments representing more than 50% of the sum of the aggregate Revolving Credit Exposures and the unused Revolving Commitments at such time and (ii) in the case of the Term Lenders, Lenders holding outstanding Loans representing more</w:t>
      </w:r>
    </w:p>
    <w:p>
      <w:pPr>
        <w:spacing w:after="0" w:line="236" w:lineRule="auto"/>
        <w:rPr>
          <w:sz w:val="20"/>
          <w:szCs w:val="20"/>
          <w:color w:val="auto"/>
        </w:rPr>
      </w:pPr>
      <w:r>
        <w:rPr>
          <w:rFonts w:ascii="Arial" w:cs="Arial" w:eastAsia="Arial" w:hAnsi="Arial"/>
          <w:sz w:val="18"/>
          <w:szCs w:val="18"/>
          <w:color w:val="auto"/>
        </w:rPr>
        <w:t>than 50% of all Term Loans outstanding at such time. In making the above calculations, the Dollar Amounts (as determined in good faith by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Administrative Agent) of all amounts denominated in currencies other than Dollars shall be utilized. If the context indicates that the “Majority in Interest” is to be determined for a relevant Class or Tranche, then only the respective Class or Tranche shall be included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otherwise provided above in determining the applicable Majority in Interest.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 of the Board.</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Capitalization</w:t>
      </w:r>
      <w:r>
        <w:rPr>
          <w:rFonts w:ascii="Arial" w:cs="Arial" w:eastAsia="Arial" w:hAnsi="Arial"/>
          <w:sz w:val="18"/>
          <w:szCs w:val="18"/>
          <w:color w:val="auto"/>
        </w:rPr>
        <w:t>” means an amount equal to (i) the total number of issued and outstanding shares of common Equity Interests of Holdings or any one of the Borrowers’ other parent entities that are traded on a securities exchange on the date of the declaration of a</w:t>
      </w:r>
    </w:p>
    <w:p>
      <w:pPr>
        <w:jc w:val="both"/>
        <w:spacing w:after="0" w:line="255" w:lineRule="auto"/>
        <w:rPr>
          <w:sz w:val="20"/>
          <w:szCs w:val="20"/>
          <w:color w:val="auto"/>
        </w:rPr>
      </w:pPr>
      <w:r>
        <w:rPr>
          <w:rFonts w:ascii="Arial" w:cs="Arial" w:eastAsia="Arial" w:hAnsi="Arial"/>
          <w:sz w:val="16"/>
          <w:szCs w:val="16"/>
          <w:color w:val="auto"/>
        </w:rPr>
        <w:t>Restricted Payment, multiplied by (ii) the arithmetic mean of the closing prices per share of such common Equity Interests on the principal securities exchange on which such common Equity Interests are traded for the 30 consecutive trading days immediately preceding the date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declaration of such Restricted Payment.</w:t>
      </w:r>
    </w:p>
    <w:p>
      <w:pPr>
        <w:spacing w:after="0" w:line="14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w:t>
      </w:r>
      <w:r>
        <w:rPr>
          <w:rFonts w:ascii="Arial" w:cs="Arial" w:eastAsia="Arial" w:hAnsi="Arial"/>
          <w:sz w:val="20"/>
          <w:szCs w:val="20"/>
          <w:color w:val="auto"/>
        </w:rPr>
        <w:t>” means any Permitted Acquisition that involves the payment of acquisition consideration by Holdings and its Restricted Subsidiaries in excess of $50,000,000.</w:t>
      </w:r>
    </w:p>
    <w:p>
      <w:pPr>
        <w:spacing w:after="0" w:line="142"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effect on (a) the business, assets, property or financial condition of Holdings and its Restricted Subsidiaries taken as a whole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the rights or remedies of the Administrative Agent and the Lenders hereunder and under the other Loan Documents.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Disposition</w:t>
      </w:r>
      <w:r>
        <w:rPr>
          <w:rFonts w:ascii="Arial" w:cs="Arial" w:eastAsia="Arial" w:hAnsi="Arial"/>
          <w:sz w:val="20"/>
          <w:szCs w:val="20"/>
          <w:color w:val="auto"/>
        </w:rPr>
        <w:t>” means any Asset Sale that involves payment of Disposition Consideration to Holdings or any of its Restricted Subsidiaries in excess of $50,000,000.</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(i) the Loans and Letters of Credit or (ii) any intercompany Indebtedness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between or among members of the Group) of any one or more of Holdings and its Restricted Subsidiaries in an aggregate principal amount exceeding the greater of $175,000,000 and 15% of Consolidated EBITDA for the Test Period most recently ended on or prior to the date of</w:t>
      </w:r>
    </w:p>
    <w:p>
      <w:pPr>
        <w:spacing w:after="0" w:line="224" w:lineRule="auto"/>
        <w:rPr>
          <w:sz w:val="20"/>
          <w:szCs w:val="20"/>
          <w:color w:val="auto"/>
        </w:rPr>
      </w:pPr>
      <w:r>
        <w:rPr>
          <w:rFonts w:ascii="Arial" w:cs="Arial" w:eastAsia="Arial" w:hAnsi="Arial"/>
          <w:sz w:val="19"/>
          <w:szCs w:val="19"/>
          <w:color w:val="auto"/>
        </w:rPr>
        <w:t>such determination. For purposes of determining Material Indebtedness, the “principal amount” of the obligations of Holdings or any</w:t>
      </w:r>
    </w:p>
    <w:p>
      <w:pPr>
        <w:spacing w:after="0" w:line="250" w:lineRule="auto"/>
        <w:rPr>
          <w:sz w:val="20"/>
          <w:szCs w:val="20"/>
          <w:color w:val="auto"/>
        </w:rPr>
      </w:pPr>
      <w:r>
        <w:rPr>
          <w:rFonts w:ascii="Arial" w:cs="Arial" w:eastAsia="Arial" w:hAnsi="Arial"/>
          <w:sz w:val="18"/>
          <w:szCs w:val="18"/>
          <w:color w:val="auto"/>
        </w:rPr>
        <w:t>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4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Intellectual Property</w:t>
      </w:r>
      <w:r>
        <w:rPr>
          <w:rFonts w:ascii="Arial" w:cs="Arial" w:eastAsia="Arial" w:hAnsi="Arial"/>
          <w:sz w:val="20"/>
          <w:szCs w:val="20"/>
          <w:color w:val="auto"/>
        </w:rPr>
        <w:t>” shall mean intellectual property that is material to the business of Holdings and its Subsidiaries, taken as a whole, as determined by Holdings in good faith.</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Restricted Subsidiary (i) which, as of the most recent fiscal quarter of Holdings, for the period of four consecutive fiscal quarters then ended, for which financial statements have been delivered pursuant to Section 5.01, contributed greater</w:t>
      </w:r>
    </w:p>
    <w:p>
      <w:pPr>
        <w:spacing w:after="0" w:line="227" w:lineRule="auto"/>
        <w:rPr>
          <w:sz w:val="20"/>
          <w:szCs w:val="20"/>
          <w:color w:val="auto"/>
        </w:rPr>
      </w:pPr>
      <w:r>
        <w:rPr>
          <w:rFonts w:ascii="Arial" w:cs="Arial" w:eastAsia="Arial" w:hAnsi="Arial"/>
          <w:sz w:val="20"/>
          <w:szCs w:val="20"/>
          <w:color w:val="auto"/>
        </w:rPr>
        <w:t>than five percent (5%) of Consolidated EBITDA of the Group for such period or (ii) which contributed greater than five percent (5%) of Total Assets of the Group as of such date.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(i) with respect to the Term Loans that have not been extended pursuant to Section 2.22, the date occurring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seven years after the Closing Date, (ii) with respect to the Initial Revolving Loans and Initial Revolving Commitments of the Revolving Lenders that have not been extended pursuant to Section 2.22, the date occurring five years after the Closing Date and (iii) with respect to</w:t>
      </w:r>
    </w:p>
    <w:p>
      <w:pPr>
        <w:spacing w:after="0" w:line="236" w:lineRule="auto"/>
        <w:rPr>
          <w:sz w:val="20"/>
          <w:szCs w:val="20"/>
          <w:color w:val="auto"/>
        </w:rPr>
      </w:pPr>
      <w:r>
        <w:rPr>
          <w:rFonts w:ascii="Arial" w:cs="Arial" w:eastAsia="Arial" w:hAnsi="Arial"/>
          <w:sz w:val="18"/>
          <w:szCs w:val="18"/>
          <w:color w:val="auto"/>
        </w:rPr>
        <w:t>any other tranche of Loans (including any Incremental Loans, Extended Loans, and Other Refinancing Loans), the maturity dates specified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therefor in the applicable Incremental Amendment, Extension Amendment or Refinancing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such day is not a Business Day, the Maturity Date shall be the Business Day immediately succeeding such day.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Merger Sub</w:t>
      </w:r>
      <w:r>
        <w:rPr>
          <w:rFonts w:ascii="Arial" w:cs="Arial" w:eastAsia="Arial" w:hAnsi="Arial"/>
          <w:sz w:val="20"/>
          <w:szCs w:val="20"/>
          <w:color w:val="auto"/>
        </w:rPr>
        <w:t>” has the meaning assigned to such term in the preamble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shall have the meaning given to such term in Section 2.22(b).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Tranche Amount</w:t>
      </w:r>
      <w:r>
        <w:rPr>
          <w:rFonts w:ascii="Arial" w:cs="Arial" w:eastAsia="Arial" w:hAnsi="Arial"/>
          <w:sz w:val="20"/>
          <w:szCs w:val="20"/>
          <w:color w:val="auto"/>
        </w:rPr>
        <w:t>” shall have the meaning given to such term in Section 2.22(b).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to its rating agency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event, (a) the cash proceeds received in respect of such event including (i) any cash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received in respect of any non-cash proceeds (including any cash payments received by way of deferred payment of principal pursuant to a note or installment receivable or purchase price adjustment receivable or otherwise, but excluding any interest and royalty payments), but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only as and when received, (ii) in the case of a casualty,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insurance proceeds and (iii) in the case of a condemnation or similar event, condemnation awards and similar payments, net of (b) the sum of</w:t>
      </w:r>
    </w:p>
    <w:p>
      <w:pPr>
        <w:spacing w:after="0" w:line="21" w:lineRule="exact"/>
        <w:rPr>
          <w:sz w:val="20"/>
          <w:szCs w:val="20"/>
          <w:color w:val="auto"/>
        </w:rPr>
      </w:pPr>
    </w:p>
    <w:p>
      <w:pPr>
        <w:jc w:val="both"/>
        <w:ind w:firstLine="8"/>
        <w:spacing w:after="0" w:line="223" w:lineRule="auto"/>
        <w:tabs>
          <w:tab w:leader="none" w:pos="2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and limited to such Indebtedness’ proportionate share of such prepayment)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that are directly attributable to such event (as determined reasonably and in good faith by a Financial Officer);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date on which such reserve is no longer required to be maintained, the remaining amount of such reserve shall then be deemed to be Net Proceeds.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Loan Party</w:t>
      </w:r>
      <w:r>
        <w:rPr>
          <w:rFonts w:ascii="Arial" w:cs="Arial" w:eastAsia="Arial" w:hAnsi="Arial"/>
          <w:sz w:val="20"/>
          <w:szCs w:val="20"/>
          <w:color w:val="auto"/>
        </w:rPr>
        <w:t>” has the meaning assigned to such term in Section 5.09(a).</w:t>
      </w:r>
    </w:p>
    <w:p>
      <w:pPr>
        <w:spacing w:after="0" w:line="17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Note Documents</w:t>
      </w:r>
      <w:r>
        <w:rPr>
          <w:rFonts w:ascii="Arial" w:cs="Arial" w:eastAsia="Arial" w:hAnsi="Arial"/>
          <w:sz w:val="20"/>
          <w:szCs w:val="20"/>
          <w:color w:val="auto"/>
        </w:rPr>
        <w:t>” means the New Notes Indenture and the New Notes, as each such document may be amended, restated, supplemented or otherwise modified from time to time.</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Notes</w:t>
      </w:r>
      <w:r>
        <w:rPr>
          <w:rFonts w:ascii="Arial" w:cs="Arial" w:eastAsia="Arial" w:hAnsi="Arial"/>
          <w:sz w:val="20"/>
          <w:szCs w:val="20"/>
          <w:color w:val="auto"/>
        </w:rPr>
        <w:t>” means the $500 million aggregate principal amount of 2.875% Senior Secured Notes due 2026 issued on July 1, 2021 by Merger Sub.</w:t>
      </w:r>
    </w:p>
    <w:p>
      <w:pPr>
        <w:spacing w:after="0" w:line="15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Notes Indenture</w:t>
      </w:r>
      <w:r>
        <w:rPr>
          <w:rFonts w:ascii="Arial" w:cs="Arial" w:eastAsia="Arial" w:hAnsi="Arial"/>
          <w:sz w:val="20"/>
          <w:szCs w:val="20"/>
          <w:color w:val="auto"/>
        </w:rPr>
        <w:t>” means that certain indenture, dated as of July 1, 2021, between Merger Sub and Citibank, N.A., London Branch, as trustee and collateral agent, relating to the New Notes.</w:t>
      </w:r>
    </w:p>
    <w:p>
      <w:pPr>
        <w:spacing w:after="0" w:line="155" w:lineRule="exact"/>
        <w:rPr>
          <w:sz w:val="20"/>
          <w:szCs w:val="20"/>
          <w:color w:val="auto"/>
        </w:rPr>
      </w:pPr>
    </w:p>
    <w:p>
      <w:pPr>
        <w:ind w:right="20" w:firstLine="648"/>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means any plan, fund or other similar program established, contributed to (regardless of whether through direct contributions or through employee withholding) or maintained outside the United States of America by Holdings or any one or more of its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Subsidiaries primarily for the benefit of employees of Holdings or such Subsidiaries residing outside the United States of America </w:t>
      </w:r>
      <w:r>
        <w:rPr>
          <w:rFonts w:ascii="Arial" w:cs="Arial" w:eastAsia="Arial" w:hAnsi="Arial"/>
          <w:sz w:val="19"/>
          <w:szCs w:val="19"/>
          <w:color w:val="auto"/>
        </w:rPr>
        <w:t>(</w:t>
      </w:r>
      <w:r>
        <w:rPr>
          <w:rFonts w:ascii="Arial" w:cs="Arial" w:eastAsia="Arial" w:hAnsi="Arial"/>
          <w:sz w:val="18"/>
          <w:szCs w:val="18"/>
          <w:color w:val="auto"/>
        </w:rPr>
        <w:t>other than an Irish Pension Scheme or any plans, funds or other similar programs that are maintained exclusively by a Governmental Authority),</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which plan, fund or other similar program provides, or results in, retirement income or a deferral of income in contemplation of retirement, and which plan is not subject to ERISA or the Code.</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unpaid principal of and accrued and unpaid interest on the Loans (including any Loans (plus any accrued and unpaid interest) held by the Administrative Agent as a result of an Erroneous Payment Deficiency Assignment in accordance with</w:t>
      </w:r>
    </w:p>
    <w:p>
      <w:pPr>
        <w:spacing w:after="0" w:line="226" w:lineRule="auto"/>
        <w:rPr>
          <w:sz w:val="20"/>
          <w:szCs w:val="20"/>
          <w:color w:val="auto"/>
        </w:rPr>
      </w:pPr>
      <w:r>
        <w:rPr>
          <w:rFonts w:ascii="Arial" w:cs="Arial" w:eastAsia="Arial" w:hAnsi="Arial"/>
          <w:sz w:val="18"/>
          <w:szCs w:val="18"/>
          <w:color w:val="auto"/>
        </w:rPr>
        <w:t>Section 8.02(d) with respect to which it has Erroneous Payment Subrogation Rights), all LC Exposure, all accrued and unpaid fees and all expenses, reimbursements, indemnities and other obligations and indebtedness (including interest accruing during the pendency of any</w:t>
      </w:r>
    </w:p>
    <w:p>
      <w:pPr>
        <w:spacing w:after="0" w:line="224" w:lineRule="auto"/>
        <w:rPr>
          <w:sz w:val="20"/>
          <w:szCs w:val="20"/>
          <w:color w:val="auto"/>
        </w:rPr>
      </w:pPr>
      <w:r>
        <w:rPr>
          <w:rFonts w:ascii="Arial" w:cs="Arial" w:eastAsia="Arial" w:hAnsi="Arial"/>
          <w:sz w:val="19"/>
          <w:szCs w:val="19"/>
          <w:color w:val="auto"/>
        </w:rPr>
        <w:t>bankruptcy, insolvency, receivership, examinership or other similar proceeding, regardless of whether allowed or allowable in such</w:t>
      </w:r>
    </w:p>
    <w:p>
      <w:pPr>
        <w:spacing w:after="0" w:line="226" w:lineRule="auto"/>
        <w:rPr>
          <w:sz w:val="20"/>
          <w:szCs w:val="20"/>
          <w:color w:val="auto"/>
        </w:rPr>
      </w:pPr>
      <w:r>
        <w:rPr>
          <w:rFonts w:ascii="Arial" w:cs="Arial" w:eastAsia="Arial" w:hAnsi="Arial"/>
          <w:sz w:val="18"/>
          <w:szCs w:val="18"/>
          <w:color w:val="auto"/>
        </w:rPr>
        <w:t>proceeding), obligations and liabilities of any of Holdings, the Borrowers and the other Loan Parties to any of the Lenders, the Administrative Agent, the Collateral Agent, any Issuing Bank or any indemnified party, individually or collectively, existing on the Closing</w:t>
      </w:r>
    </w:p>
    <w:p>
      <w:pPr>
        <w:spacing w:after="0" w:line="224" w:lineRule="auto"/>
        <w:rPr>
          <w:sz w:val="20"/>
          <w:szCs w:val="20"/>
          <w:color w:val="auto"/>
        </w:rPr>
      </w:pPr>
      <w:r>
        <w:rPr>
          <w:rFonts w:ascii="Arial" w:cs="Arial" w:eastAsia="Arial" w:hAnsi="Arial"/>
          <w:sz w:val="19"/>
          <w:szCs w:val="19"/>
          <w:color w:val="auto"/>
        </w:rPr>
        <w:t>Date or arising thereafter, direct or indirect, joint or several, absolute or contingent, matured or unmatured, liquidated or unliquidated,</w:t>
      </w:r>
    </w:p>
    <w:p>
      <w:pPr>
        <w:spacing w:after="0" w:line="226" w:lineRule="auto"/>
        <w:rPr>
          <w:sz w:val="20"/>
          <w:szCs w:val="20"/>
          <w:color w:val="auto"/>
        </w:rPr>
      </w:pPr>
      <w:r>
        <w:rPr>
          <w:rFonts w:ascii="Arial" w:cs="Arial" w:eastAsia="Arial" w:hAnsi="Arial"/>
          <w:sz w:val="18"/>
          <w:szCs w:val="18"/>
          <w:color w:val="auto"/>
        </w:rPr>
        <w:t>secured or unsecured, arising by contract, operation of law or otherwise, arising or incurred under this Agreement or any of the other Loan Documents or in respect of any of the Loans made or reimbursement or other obligations incurred or any of the Letters of Credit or other</w:t>
      </w:r>
    </w:p>
    <w:p>
      <w:pPr>
        <w:spacing w:after="0" w:line="236" w:lineRule="auto"/>
        <w:rPr>
          <w:sz w:val="20"/>
          <w:szCs w:val="20"/>
          <w:color w:val="auto"/>
        </w:rPr>
      </w:pPr>
      <w:r>
        <w:rPr>
          <w:rFonts w:ascii="Arial" w:cs="Arial" w:eastAsia="Arial" w:hAnsi="Arial"/>
          <w:sz w:val="18"/>
          <w:szCs w:val="18"/>
          <w:color w:val="auto"/>
        </w:rPr>
        <w:t>instruments at any time evidencing any thereof and (b) the payment of all obligations of Holdings and its Restricted Subsidiaries under each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Cash Management Agreement and Swap Agreement entered into with any counterparty that is a Secured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the Obligations shall exclude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Office of Foreign Assets Control of the United States Department of the Treasury.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OID</w:t>
      </w:r>
      <w:r>
        <w:rPr>
          <w:rFonts w:ascii="Arial" w:cs="Arial" w:eastAsia="Arial" w:hAnsi="Arial"/>
          <w:sz w:val="20"/>
          <w:szCs w:val="20"/>
          <w:color w:val="auto"/>
        </w:rPr>
        <w:t>” has the meaning assigned to such term in the definition of “Credit Agreement Refinancing Indebtedness”.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(i) in the case of any corporation, the certificate of incorporation, articles of incorporation, constitution or deed of incorporation and by-laws (or similar documents) of such Person, (ii) in the case of any</w:t>
      </w:r>
    </w:p>
    <w:p>
      <w:pPr>
        <w:spacing w:after="0" w:line="226" w:lineRule="auto"/>
        <w:rPr>
          <w:sz w:val="20"/>
          <w:szCs w:val="20"/>
          <w:color w:val="auto"/>
        </w:rPr>
      </w:pPr>
      <w:r>
        <w:rPr>
          <w:rFonts w:ascii="Arial" w:cs="Arial" w:eastAsia="Arial" w:hAnsi="Arial"/>
          <w:sz w:val="18"/>
          <w:szCs w:val="18"/>
          <w:color w:val="auto"/>
        </w:rPr>
        <w:t>limited liability company, the constitution, certificate or articles of formation or organization or deed of incorporation and operating agreement or memorandum and articles of association or constitution (or similar constituent documents) of such Person, (iii) in the case of</w:t>
      </w:r>
    </w:p>
    <w:p>
      <w:pPr>
        <w:spacing w:after="0" w:line="236" w:lineRule="auto"/>
        <w:rPr>
          <w:sz w:val="20"/>
          <w:szCs w:val="20"/>
          <w:color w:val="auto"/>
        </w:rPr>
      </w:pPr>
      <w:r>
        <w:rPr>
          <w:rFonts w:ascii="Arial" w:cs="Arial" w:eastAsia="Arial" w:hAnsi="Arial"/>
          <w:sz w:val="18"/>
          <w:szCs w:val="18"/>
          <w:color w:val="auto"/>
        </w:rPr>
        <w:t>any limited partnership, the certificate of formation and limited partnership agreement (or similar constituent documents) of such Person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(and, where applicable, the equityholders or shareholders registry of such Person), (iv) in the case of any general partnership, the partnership agreement (or similar constituent document) of such Person, (v) in any other case, the functional equivalent of the foregoing, and (vi)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shareholder, voting trust or similar agreement between or among any holders of Equity Interests of such Person.</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Refinancing Commitments</w:t>
      </w:r>
      <w:r>
        <w:rPr>
          <w:rFonts w:ascii="Arial" w:cs="Arial" w:eastAsia="Arial" w:hAnsi="Arial"/>
          <w:sz w:val="20"/>
          <w:szCs w:val="20"/>
          <w:color w:val="auto"/>
        </w:rPr>
        <w:t>” means the Other Refinancing Term Commitments and the Other Refinancing Revolving Commitments.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Refinancing Loans</w:t>
      </w:r>
      <w:r>
        <w:rPr>
          <w:rFonts w:ascii="Arial" w:cs="Arial" w:eastAsia="Arial" w:hAnsi="Arial"/>
          <w:sz w:val="20"/>
          <w:szCs w:val="20"/>
          <w:color w:val="auto"/>
        </w:rPr>
        <w:t>” means the Other Refinancing Term Loans and the Other Refinancing Revolving Loans.</w:t>
      </w:r>
    </w:p>
    <w:p>
      <w:pPr>
        <w:spacing w:after="0" w:line="17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Refinancing Revolving Commitments</w:t>
      </w:r>
      <w:r>
        <w:rPr>
          <w:rFonts w:ascii="Arial" w:cs="Arial" w:eastAsia="Arial" w:hAnsi="Arial"/>
          <w:sz w:val="20"/>
          <w:szCs w:val="20"/>
          <w:color w:val="auto"/>
        </w:rPr>
        <w:t>” means one or more Classes of Revolving Commitments hereunder that result from a Refinancing Amendment.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Refinancing Revolving Loans</w:t>
      </w:r>
      <w:r>
        <w:rPr>
          <w:rFonts w:ascii="Arial" w:cs="Arial" w:eastAsia="Arial" w:hAnsi="Arial"/>
          <w:sz w:val="18"/>
          <w:szCs w:val="18"/>
          <w:color w:val="auto"/>
        </w:rPr>
        <w:t>” means the revolving loans made pursuant to any Other Refinancing Revolving Commitment.</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Refinancing Term Commitments</w:t>
      </w:r>
      <w:r>
        <w:rPr>
          <w:rFonts w:ascii="Arial" w:cs="Arial" w:eastAsia="Arial" w:hAnsi="Arial"/>
          <w:sz w:val="20"/>
          <w:szCs w:val="20"/>
          <w:color w:val="auto"/>
        </w:rPr>
        <w:t>” means one or more Classes of Term Loan Commitments hereunder that result from a Refinancing Amendment.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Refinancing Term Loans</w:t>
      </w:r>
      <w:r>
        <w:rPr>
          <w:rFonts w:ascii="Arial" w:cs="Arial" w:eastAsia="Arial" w:hAnsi="Arial"/>
          <w:sz w:val="19"/>
          <w:szCs w:val="19"/>
          <w:color w:val="auto"/>
        </w:rPr>
        <w:t>” means one or more Classes of Term Loans that result from a Refinancing Amendment.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Loan Commitments</w:t>
      </w:r>
      <w:r>
        <w:rPr>
          <w:rFonts w:ascii="Arial" w:cs="Arial" w:eastAsia="Arial" w:hAnsi="Arial"/>
          <w:sz w:val="20"/>
          <w:szCs w:val="20"/>
          <w:color w:val="auto"/>
        </w:rPr>
        <w:t>” has the meaning set forth in Section 2.20(a).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Revolving Loans</w:t>
      </w:r>
      <w:r>
        <w:rPr>
          <w:rFonts w:ascii="Arial" w:cs="Arial" w:eastAsia="Arial" w:hAnsi="Arial"/>
          <w:sz w:val="20"/>
          <w:szCs w:val="20"/>
          <w:color w:val="auto"/>
        </w:rPr>
        <w:t>” means Incremental Revolving Loans made pursuant to Other Revolving Loan Commitments.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filing, intangible, recording or documentary Taxes or any other similar Taxes arising from any payment made under any Loan Document or from the execution, delivery, performance, registration or enforcement of, from</w:t>
      </w:r>
    </w:p>
    <w:p>
      <w:pPr>
        <w:spacing w:after="0" w:line="235" w:lineRule="auto"/>
        <w:rPr>
          <w:sz w:val="20"/>
          <w:szCs w:val="20"/>
          <w:color w:val="auto"/>
        </w:rPr>
      </w:pPr>
      <w:r>
        <w:rPr>
          <w:rFonts w:ascii="Arial" w:cs="Arial" w:eastAsia="Arial" w:hAnsi="Arial"/>
          <w:sz w:val="18"/>
          <w:szCs w:val="18"/>
          <w:color w:val="auto"/>
        </w:rPr>
        <w:t>the receipt or perfection of a security interest under, or otherwise with respect to, this Agreement or any other Loan Document, other than (1)</w:t>
      </w:r>
    </w:p>
    <w:p>
      <w:pPr>
        <w:jc w:val="both"/>
        <w:spacing w:after="0" w:line="226" w:lineRule="auto"/>
        <w:rPr>
          <w:sz w:val="20"/>
          <w:szCs w:val="20"/>
          <w:color w:val="auto"/>
        </w:rPr>
      </w:pPr>
      <w:r>
        <w:rPr>
          <w:rFonts w:ascii="Arial" w:cs="Arial" w:eastAsia="Arial" w:hAnsi="Arial"/>
          <w:sz w:val="18"/>
          <w:szCs w:val="18"/>
          <w:color w:val="auto"/>
        </w:rPr>
        <w:t>Luxembourg registration duties (</w:t>
      </w:r>
      <w:r>
        <w:rPr>
          <w:rFonts w:ascii="Arial" w:cs="Arial" w:eastAsia="Arial" w:hAnsi="Arial"/>
          <w:sz w:val="18"/>
          <w:szCs w:val="18"/>
          <w:i w:val="1"/>
          <w:iCs w:val="1"/>
          <w:color w:val="auto"/>
        </w:rPr>
        <w:t>droits d’enregistrement</w:t>
      </w:r>
      <w:r>
        <w:rPr>
          <w:rFonts w:ascii="Arial" w:cs="Arial" w:eastAsia="Arial" w:hAnsi="Arial"/>
          <w:sz w:val="18"/>
          <w:szCs w:val="18"/>
          <w:color w:val="auto"/>
        </w:rPr>
        <w:t>) payable due to a registration, submission or filing by the Administrative Agent, the Collateral Agent a Lender or an Issuing Bank of any Loan Document, except if such registration, submission or filing is required to maintain,</w:t>
      </w:r>
    </w:p>
    <w:p>
      <w:pPr>
        <w:spacing w:after="0" w:line="236" w:lineRule="auto"/>
        <w:rPr>
          <w:sz w:val="20"/>
          <w:szCs w:val="20"/>
          <w:color w:val="auto"/>
        </w:rPr>
      </w:pPr>
      <w:r>
        <w:rPr>
          <w:rFonts w:ascii="Arial" w:cs="Arial" w:eastAsia="Arial" w:hAnsi="Arial"/>
          <w:sz w:val="18"/>
          <w:szCs w:val="18"/>
          <w:color w:val="auto"/>
        </w:rPr>
        <w:t>establish, enforce or preserve the rights of the Administrative Agent, the Collateral Agent, a Lender or an Issuing Bank under such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or (2) such Taxes that are imposed with respect to an assignment or change in lending office (other than an assignment made pursuant to Section 2.19(b)) as a result of a present or former connection between the assignor, assignee or Lender and the jurisdiction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imposing such Taxes (other than a connection arising solely as a result of it having executed, delivered,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35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 Commitments</w:t>
      </w:r>
      <w:r>
        <w:rPr>
          <w:rFonts w:ascii="Arial" w:cs="Arial" w:eastAsia="Arial" w:hAnsi="Arial"/>
          <w:sz w:val="20"/>
          <w:szCs w:val="20"/>
          <w:color w:val="auto"/>
        </w:rPr>
        <w:t>” has the meaning set forth in Section 2.20(a).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Term Loans</w:t>
      </w:r>
      <w:r>
        <w:rPr>
          <w:rFonts w:ascii="Arial" w:cs="Arial" w:eastAsia="Arial" w:hAnsi="Arial"/>
          <w:sz w:val="20"/>
          <w:szCs w:val="20"/>
          <w:color w:val="auto"/>
        </w:rPr>
        <w:t>” means Incremental Term Loans made pursuant to Other Term Loan Commitments.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Foreign Currency Rate</w:t>
      </w:r>
      <w:r>
        <w:rPr>
          <w:rFonts w:ascii="Arial" w:cs="Arial" w:eastAsia="Arial" w:hAnsi="Arial"/>
          <w:sz w:val="18"/>
          <w:szCs w:val="18"/>
          <w:color w:val="auto"/>
        </w:rPr>
        <w:t>” means, for any amount payable in a Foreign Currency, the rate of interest per annum as determined by the Administrative Agent at which overnight or weekend deposits in the relevant currency (or if such amount due remains</w:t>
      </w:r>
    </w:p>
    <w:p>
      <w:pPr>
        <w:spacing w:after="0" w:line="226" w:lineRule="auto"/>
        <w:rPr>
          <w:sz w:val="20"/>
          <w:szCs w:val="20"/>
          <w:color w:val="auto"/>
        </w:rPr>
      </w:pPr>
      <w:r>
        <w:rPr>
          <w:rFonts w:ascii="Arial" w:cs="Arial" w:eastAsia="Arial" w:hAnsi="Arial"/>
          <w:sz w:val="18"/>
          <w:szCs w:val="18"/>
          <w:color w:val="auto"/>
        </w:rPr>
        <w:t>unpaid for more than three (3) Business Days, then for such other period of time as the Administrative Agent may elect) for delivery in immediately available and freely transferable funds would be offered by the Administrative Agent to major banks in the interbank market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upon request of such major banks for the relevant currency as determined above and in an amount comparable to the unpaid principal amount</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 xml:space="preserve">of the related Credit Event,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taxes, levies, imposts, duties, deductions, charges or withholdings imposed upon, or charged to, the Administrative Agent by any relevant correspondent bank in respect of such amount in such relevant currency.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set forth in Section 9.04(c)(i).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set forth in Section 9.04(c)(ii).</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 that has the euro as its lawful currency in accordance with the legislation of the EU and relating to the Economic and Monetary Union.</w:t>
      </w:r>
    </w:p>
    <w:p>
      <w:pPr>
        <w:spacing w:after="0" w:line="142"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 Supplement</w:t>
      </w:r>
      <w:r>
        <w:rPr>
          <w:rFonts w:ascii="Arial" w:cs="Arial" w:eastAsia="Arial" w:hAnsi="Arial"/>
          <w:sz w:val="20"/>
          <w:szCs w:val="20"/>
          <w:color w:val="auto"/>
        </w:rPr>
        <w:t xml:space="preserve">” shall mean the Perfection Certificate with respect to Loan Parties in the form attached hereto as </w:t>
      </w:r>
      <w:r>
        <w:rPr>
          <w:rFonts w:ascii="Arial" w:cs="Arial" w:eastAsia="Arial" w:hAnsi="Arial"/>
          <w:sz w:val="20"/>
          <w:szCs w:val="20"/>
          <w:u w:val="single" w:color="auto"/>
          <w:color w:val="auto"/>
        </w:rPr>
        <w:t>Exhibit J</w:t>
      </w:r>
      <w:r>
        <w:rPr>
          <w:rFonts w:ascii="Arial" w:cs="Arial" w:eastAsia="Arial" w:hAnsi="Arial"/>
          <w:sz w:val="20"/>
          <w:szCs w:val="20"/>
          <w:color w:val="auto"/>
        </w:rPr>
        <w:t>, or such other form as is reasonably satisfactory to Holdings and the Administrative Agent.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means the making or procuring of appropriate registrations, filings, endorsements, notarizations, acknowledgement, stampings and/or notifications of any Loan Document (and/or any Liens created under it) customary or necessary for the</w:t>
      </w:r>
    </w:p>
    <w:p>
      <w:pPr>
        <w:spacing w:after="0"/>
        <w:rPr>
          <w:sz w:val="20"/>
          <w:szCs w:val="20"/>
          <w:color w:val="auto"/>
        </w:rPr>
      </w:pPr>
      <w:r>
        <w:rPr>
          <w:rFonts w:ascii="Arial" w:cs="Arial" w:eastAsia="Arial" w:hAnsi="Arial"/>
          <w:sz w:val="20"/>
          <w:szCs w:val="20"/>
          <w:color w:val="auto"/>
        </w:rPr>
        <w:t>enforceability, fixing of priority, or production in evidence of the relevant Loan Document and/or Lien.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Investment permitted under clause (4) of the definition of “Permitted Investments” and any other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Investment permitted under this Agreement that constitutes the purchase or other acquisition, in one transaction or a series of transactions, by Holdings or any Restricted Subsidiary of all or substantially all the assets constituting a business unit, division, product line (including rights</w:t>
      </w:r>
    </w:p>
    <w:p>
      <w:pPr>
        <w:spacing w:after="0" w:line="235" w:lineRule="auto"/>
        <w:rPr>
          <w:sz w:val="20"/>
          <w:szCs w:val="20"/>
          <w:color w:val="auto"/>
        </w:rPr>
      </w:pPr>
      <w:r>
        <w:rPr>
          <w:rFonts w:ascii="Arial" w:cs="Arial" w:eastAsia="Arial" w:hAnsi="Arial"/>
          <w:sz w:val="18"/>
          <w:szCs w:val="18"/>
          <w:color w:val="auto"/>
        </w:rPr>
        <w:t>in respect of any drug or other pharmaceutical product) or line of business of, another Person, in a single transaction or a series of related</w:t>
      </w:r>
    </w:p>
    <w:p>
      <w:pPr>
        <w:spacing w:after="0" w:line="220" w:lineRule="auto"/>
        <w:rPr>
          <w:sz w:val="20"/>
          <w:szCs w:val="20"/>
          <w:color w:val="auto"/>
        </w:rPr>
      </w:pPr>
      <w:r>
        <w:rPr>
          <w:rFonts w:ascii="Arial" w:cs="Arial" w:eastAsia="Arial" w:hAnsi="Arial"/>
          <w:sz w:val="20"/>
          <w:szCs w:val="20"/>
          <w:color w:val="auto"/>
        </w:rPr>
        <w:t>transactions, such Person will be a Restricted Subsidiary and in any event, only to the extent that such assets or such Person will be owned and/or licensed by Holdings or a Restricted Subsidiary.</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Business</w:t>
      </w:r>
      <w:r>
        <w:rPr>
          <w:rFonts w:ascii="Arial" w:cs="Arial" w:eastAsia="Arial" w:hAnsi="Arial"/>
          <w:sz w:val="18"/>
          <w:szCs w:val="18"/>
          <w:color w:val="auto"/>
        </w:rPr>
        <w:t>” means the business and any services, activities or businesses incidental, or reasonably related or complementary or similar to, any line of business engaged in by Holdings and its Subsidiaries as of the Closing Date or any business activity</w:t>
      </w:r>
    </w:p>
    <w:p>
      <w:pPr>
        <w:spacing w:after="0"/>
        <w:rPr>
          <w:sz w:val="20"/>
          <w:szCs w:val="20"/>
          <w:color w:val="auto"/>
        </w:rPr>
      </w:pPr>
      <w:r>
        <w:rPr>
          <w:rFonts w:ascii="Arial" w:cs="Arial" w:eastAsia="Arial" w:hAnsi="Arial"/>
          <w:sz w:val="20"/>
          <w:szCs w:val="20"/>
          <w:color w:val="auto"/>
        </w:rPr>
        <w:t>that is a reasonable extension, development or expansion thereof or ancillary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Conversion Provisions</w:t>
      </w:r>
      <w:r>
        <w:rPr>
          <w:rFonts w:ascii="Arial" w:cs="Arial" w:eastAsia="Arial" w:hAnsi="Arial"/>
          <w:sz w:val="18"/>
          <w:szCs w:val="18"/>
          <w:color w:val="auto"/>
        </w:rPr>
        <w:t>” means provisions permitting holders to convert or exchange Indebtedness into or for Equity Interests of Holdings (and cash in lieu of fractional shares) or at the option of Holdings or the issuer of such Indebtedness, Equity Interests of</w:t>
      </w:r>
    </w:p>
    <w:p>
      <w:pPr>
        <w:spacing w:after="0" w:line="227" w:lineRule="auto"/>
        <w:rPr>
          <w:sz w:val="20"/>
          <w:szCs w:val="20"/>
          <w:color w:val="auto"/>
        </w:rPr>
      </w:pPr>
      <w:r>
        <w:rPr>
          <w:rFonts w:ascii="Arial" w:cs="Arial" w:eastAsia="Arial" w:hAnsi="Arial"/>
          <w:sz w:val="20"/>
          <w:szCs w:val="20"/>
          <w:color w:val="auto"/>
        </w:rPr>
        <w:t>Holdings, cash or any combination of the foregoing (provided that any payment of any such cash shall be subject to compliance with the provisions set forth in this agreement, including those set forth in Article VI).</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Debt</w:t>
      </w:r>
      <w:r>
        <w:rPr>
          <w:rFonts w:ascii="Arial" w:cs="Arial" w:eastAsia="Arial" w:hAnsi="Arial"/>
          <w:sz w:val="20"/>
          <w:szCs w:val="20"/>
          <w:color w:val="auto"/>
        </w:rPr>
        <w:t>” has the meaning set forth in Section 6.01(b).</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Derivatives</w:t>
      </w:r>
      <w:r>
        <w:rPr>
          <w:rFonts w:ascii="Arial" w:cs="Arial" w:eastAsia="Arial" w:hAnsi="Arial"/>
          <w:sz w:val="18"/>
          <w:szCs w:val="18"/>
          <w:color w:val="auto"/>
        </w:rPr>
        <w:t>” means any forward purchase, accelerated share purchase, call option, warrant transaction or other equity derivative transactions relating to the Equity Interests of Holdings entered into by Holdings or any Restricted Subsidiary provided that</w:t>
      </w:r>
    </w:p>
    <w:p>
      <w:pPr>
        <w:spacing w:after="0" w:line="220" w:lineRule="auto"/>
        <w:rPr>
          <w:sz w:val="20"/>
          <w:szCs w:val="20"/>
          <w:color w:val="auto"/>
        </w:rPr>
      </w:pPr>
      <w:r>
        <w:rPr>
          <w:rFonts w:ascii="Arial" w:cs="Arial" w:eastAsia="Arial" w:hAnsi="Arial"/>
          <w:sz w:val="20"/>
          <w:szCs w:val="20"/>
          <w:color w:val="auto"/>
        </w:rPr>
        <w:t>any Restricted Payment made in connection with such transaction is permitted pursuant to Section 6.04, including any Swap Agreements executed in connection therewith (or deemed executed therewith).</w:t>
      </w:r>
    </w:p>
    <w:p>
      <w:pPr>
        <w:spacing w:after="0" w:line="156"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Hedging Obligations</w:t>
      </w:r>
      <w:r>
        <w:rPr>
          <w:rFonts w:ascii="Arial" w:cs="Arial" w:eastAsia="Arial" w:hAnsi="Arial"/>
          <w:sz w:val="16"/>
          <w:szCs w:val="16"/>
          <w:color w:val="auto"/>
        </w:rPr>
        <w:t>” means obligations of Holdings or any Restricted Subsidiary in respect of non-speculative Swap Agreements entered into (i) to hedge or mitigate risks to which Holdings or any Restricted Subsidiary has actual exposure (other than those in</w:t>
      </w:r>
    </w:p>
    <w:p>
      <w:pPr>
        <w:spacing w:after="0" w:line="223" w:lineRule="auto"/>
        <w:rPr>
          <w:sz w:val="20"/>
          <w:szCs w:val="20"/>
          <w:color w:val="auto"/>
        </w:rPr>
      </w:pPr>
      <w:r>
        <w:rPr>
          <w:rFonts w:ascii="Arial" w:cs="Arial" w:eastAsia="Arial" w:hAnsi="Arial"/>
          <w:sz w:val="19"/>
          <w:szCs w:val="19"/>
          <w:color w:val="auto"/>
        </w:rPr>
        <w:t>respect of Equity Interests of Holdings or any of its Restricted Subsidiaries but excluding Convertible Debt Securities) or (ii) in order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effectively cap, collar or exchange interest rates (from fixed to floating rates, from one floating rate to another floating rate or otherwise) with respect to any interest-bearing liability or investment of Holdings or any Restricted Subsidiary.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162" w:lineRule="exact"/>
        <w:rPr>
          <w:sz w:val="20"/>
          <w:szCs w:val="20"/>
          <w:color w:val="auto"/>
        </w:rPr>
      </w:pPr>
    </w:p>
    <w:p>
      <w:pPr>
        <w:ind w:left="1940" w:hanging="636"/>
        <w:spacing w:after="0"/>
        <w:tabs>
          <w:tab w:leader="none" w:pos="19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Transactions;</w:t>
      </w:r>
    </w:p>
    <w:p>
      <w:pPr>
        <w:spacing w:after="0" w:line="188" w:lineRule="exact"/>
        <w:rPr>
          <w:rFonts w:ascii="Arial" w:cs="Arial" w:eastAsia="Arial" w:hAnsi="Arial"/>
          <w:sz w:val="20"/>
          <w:szCs w:val="20"/>
          <w:color w:val="auto"/>
        </w:rPr>
      </w:pPr>
    </w:p>
    <w:p>
      <w:pPr>
        <w:jc w:val="both"/>
        <w:ind w:left="1960" w:hanging="656"/>
        <w:spacing w:after="0" w:line="223" w:lineRule="auto"/>
        <w:tabs>
          <w:tab w:leader="none" w:pos="194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Investment in Holdings by a Restricted Subsidiary or any Investment by Holdings or a Restricted Subsidiary in a Restricted Subsidiary (including, for the avoidance of doubt, the purchase of Equity Interests of non-wholly owned Restricted Subsidiaries);</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Investment in cash and Cash Equivalents;</w:t>
      </w:r>
    </w:p>
    <w:p>
      <w:pPr>
        <w:spacing w:after="0" w:line="175" w:lineRule="exact"/>
        <w:rPr>
          <w:rFonts w:ascii="Arial" w:cs="Arial" w:eastAsia="Arial" w:hAnsi="Arial"/>
          <w:sz w:val="20"/>
          <w:szCs w:val="20"/>
          <w:color w:val="auto"/>
        </w:rPr>
      </w:pPr>
    </w:p>
    <w:p>
      <w:pPr>
        <w:jc w:val="both"/>
        <w:ind w:left="1960" w:hanging="656"/>
        <w:spacing w:after="0" w:line="259" w:lineRule="auto"/>
        <w:tabs>
          <w:tab w:leader="none" w:pos="19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Investment by Holdings or any Restricted Subsidiary in a Person, if as a result of such Investment: (a) such Person becomes a Restricted Subsidiary; or (b) such Person is merged, consolidated or amalgamated with or into, or transfers or conveys substantially all of its assets to, or is liquidated into, Holdings or a Restricted Subsidiary;</w:t>
      </w:r>
    </w:p>
    <w:p>
      <w:pPr>
        <w:spacing w:after="0" w:line="139" w:lineRule="exact"/>
        <w:rPr>
          <w:rFonts w:ascii="Arial" w:cs="Arial" w:eastAsia="Arial" w:hAnsi="Arial"/>
          <w:sz w:val="18"/>
          <w:szCs w:val="18"/>
          <w:color w:val="auto"/>
        </w:rPr>
      </w:pPr>
    </w:p>
    <w:p>
      <w:pPr>
        <w:ind w:left="1960" w:hanging="656"/>
        <w:spacing w:after="0" w:line="285" w:lineRule="auto"/>
        <w:tabs>
          <w:tab w:leader="none" w:pos="19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an Asset Sale that was made pursuant to and in compliance with Section 6.03 or (ii) a Disposition of assets not constituting an Asset Sale;</w:t>
      </w:r>
    </w:p>
    <w:p>
      <w:pPr>
        <w:spacing w:after="0" w:line="115" w:lineRule="exact"/>
        <w:rPr>
          <w:rFonts w:ascii="Arial" w:cs="Arial" w:eastAsia="Arial" w:hAnsi="Arial"/>
          <w:sz w:val="18"/>
          <w:szCs w:val="18"/>
          <w:color w:val="auto"/>
        </w:rPr>
      </w:pPr>
    </w:p>
    <w:p>
      <w:pPr>
        <w:ind w:left="1960" w:hanging="656"/>
        <w:spacing w:after="0" w:line="236" w:lineRule="auto"/>
        <w:tabs>
          <w:tab w:leader="none" w:pos="194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Investments to the extent made in exchange for the issuance of Equity Interests (other than Disqualified Equity Interests) of Holdings or any of its direct or indirect parent companies;</w:t>
      </w:r>
    </w:p>
    <w:p>
      <w:pPr>
        <w:spacing w:after="0" w:line="168" w:lineRule="exact"/>
        <w:rPr>
          <w:rFonts w:ascii="Arial" w:cs="Arial" w:eastAsia="Arial" w:hAnsi="Arial"/>
          <w:sz w:val="20"/>
          <w:szCs w:val="20"/>
          <w:color w:val="auto"/>
        </w:rPr>
      </w:pPr>
    </w:p>
    <w:p>
      <w:pPr>
        <w:jc w:val="both"/>
        <w:ind w:left="1960" w:hanging="656"/>
        <w:spacing w:after="0" w:line="220" w:lineRule="auto"/>
        <w:tabs>
          <w:tab w:leader="none" w:pos="194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Investments received in settlement, satisfaction, compromise or resolution of (A) obligations of trade creditors or customers or other debts that were incurred in the ordinary course of business of Holdings or any of its Restricted Subsidiaries, including pursuant to any plan of reorganization or similar arrangement upon the bankruptcy or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35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of any trade creditor or customer; or (B) judgments, litigation, arbitration or other disputes;</w:t>
      </w:r>
    </w:p>
    <w:p>
      <w:pPr>
        <w:spacing w:after="0" w:line="175" w:lineRule="exact"/>
        <w:rPr>
          <w:sz w:val="20"/>
          <w:szCs w:val="20"/>
          <w:color w:val="auto"/>
        </w:rPr>
      </w:pPr>
    </w:p>
    <w:p>
      <w:pPr>
        <w:ind w:left="820" w:hanging="636"/>
        <w:spacing w:after="0"/>
        <w:tabs>
          <w:tab w:leader="none" w:pos="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Investments represented by Swap Obligations, Permitted Hedging Obligations and Permitted Equity Derivatives;</w:t>
      </w:r>
    </w:p>
    <w:p>
      <w:pPr>
        <w:spacing w:after="0" w:line="211" w:lineRule="exact"/>
        <w:rPr>
          <w:rFonts w:ascii="Arial" w:cs="Arial" w:eastAsia="Arial" w:hAnsi="Arial"/>
          <w:sz w:val="18"/>
          <w:szCs w:val="18"/>
          <w:color w:val="auto"/>
        </w:rPr>
      </w:pPr>
    </w:p>
    <w:p>
      <w:pPr>
        <w:jc w:val="both"/>
        <w:ind w:left="840" w:hanging="656"/>
        <w:spacing w:after="0" w:line="272" w:lineRule="auto"/>
        <w:tabs>
          <w:tab w:leader="none" w:pos="8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loans and advances to, or guarantees of Indebtedness of officers, directors, employees, consultants and members of management not in excess of $25,000,000 outstanding at any one time, in the aggregate and (b) other loans and advances to employees, directors, officers, members of management and consultants for business-related travel expenses, moving expenses and other similar expenses or payroll advances, in each case incurred in the ordinary course of business or consistent with past practices or to future, present and former employees, directors, officers, members of management and consultants (and their Controlled Affiliates and Immediate Family Members) to fund such Person’s purchase of Equity Interests of Holdings or any direct or indirect parent company thereof;</w:t>
      </w:r>
    </w:p>
    <w:p>
      <w:pPr>
        <w:spacing w:after="0" w:line="146" w:lineRule="exact"/>
        <w:rPr>
          <w:rFonts w:ascii="Arial" w:cs="Arial" w:eastAsia="Arial" w:hAnsi="Arial"/>
          <w:sz w:val="16"/>
          <w:szCs w:val="16"/>
          <w:color w:val="auto"/>
        </w:rPr>
      </w:pPr>
    </w:p>
    <w:p>
      <w:pPr>
        <w:ind w:left="820" w:hanging="636"/>
        <w:spacing w:after="0"/>
        <w:tabs>
          <w:tab w:leader="none" w:pos="8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840" w:right="20" w:hanging="656"/>
        <w:spacing w:after="0" w:line="236" w:lineRule="auto"/>
        <w:tabs>
          <w:tab w:leader="none" w:pos="82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guarantee of Indebtedness permitted to be incurred by Section 6.01 and performance guarantees provided in the ordinary course of business;</w:t>
      </w:r>
    </w:p>
    <w:p>
      <w:pPr>
        <w:spacing w:after="0" w:line="168" w:lineRule="exact"/>
        <w:rPr>
          <w:rFonts w:ascii="Arial" w:cs="Arial" w:eastAsia="Arial" w:hAnsi="Arial"/>
          <w:sz w:val="20"/>
          <w:szCs w:val="20"/>
          <w:color w:val="auto"/>
        </w:rPr>
      </w:pPr>
    </w:p>
    <w:p>
      <w:pPr>
        <w:jc w:val="both"/>
        <w:ind w:left="840" w:hanging="656"/>
        <w:spacing w:after="0" w:line="226" w:lineRule="auto"/>
        <w:tabs>
          <w:tab w:leader="none" w:pos="83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any Investment existing on, or made pursuant to binding commitments existing on, the date hereof and any Investment consisting of an extension, modification or renewal of any Investment existing on, or made pursuant to a binding commitment existing on, the date hereof, which, in the case of Investments with a fair market value (as determined by Holdings in good faith) in excess of $5,000,000, is set forth on Schedule 1.01B; </w:t>
      </w:r>
      <w:r>
        <w:rPr>
          <w:rFonts w:ascii="Arial" w:cs="Arial" w:eastAsia="Arial" w:hAnsi="Arial"/>
          <w:sz w:val="19"/>
          <w:szCs w:val="19"/>
          <w:u w:val="single" w:color="auto"/>
          <w:color w:val="auto"/>
        </w:rPr>
        <w:t>provided</w:t>
      </w:r>
      <w:r>
        <w:rPr>
          <w:rFonts w:ascii="Arial" w:cs="Arial" w:eastAsia="Arial" w:hAnsi="Arial"/>
          <w:sz w:val="19"/>
          <w:szCs w:val="19"/>
          <w:color w:val="auto"/>
        </w:rPr>
        <w:t>, that the amount of any such Investment may be increased (a) as required by the terms of such Investment as in existence on the date hereof or (b) as otherwise permitted under this Agreement;</w:t>
      </w:r>
    </w:p>
    <w:p>
      <w:pPr>
        <w:spacing w:after="0" w:line="169" w:lineRule="exact"/>
        <w:rPr>
          <w:rFonts w:ascii="Arial" w:cs="Arial" w:eastAsia="Arial" w:hAnsi="Arial"/>
          <w:sz w:val="19"/>
          <w:szCs w:val="19"/>
          <w:color w:val="auto"/>
        </w:rPr>
      </w:pPr>
    </w:p>
    <w:p>
      <w:pPr>
        <w:jc w:val="both"/>
        <w:ind w:left="840" w:hanging="656"/>
        <w:spacing w:after="0" w:line="214" w:lineRule="auto"/>
        <w:tabs>
          <w:tab w:leader="none" w:pos="83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Investments of any Person in existence at the time such Person becomes a Restricted Subsidiary, or is merged, consolidated or amalgamated with or into, or transfers or conveys substantially all of its assets to, or is liquidated into, Holdings or a Restricted Subsidiary; provided such Investment was not made in connection with or in anticipation of such Person becoming a Restricted Subsidiary and, to the extent in an amount not greater than such Investment as existing on the date such Person became a Restricted Subsidiary, any modification, replacement, renewal or extension thereof;</w:t>
      </w:r>
    </w:p>
    <w:p>
      <w:pPr>
        <w:spacing w:after="0" w:line="173" w:lineRule="exact"/>
        <w:rPr>
          <w:rFonts w:ascii="Arial" w:cs="Arial" w:eastAsia="Arial" w:hAnsi="Arial"/>
          <w:sz w:val="20"/>
          <w:szCs w:val="20"/>
          <w:color w:val="auto"/>
        </w:rPr>
      </w:pPr>
    </w:p>
    <w:p>
      <w:pPr>
        <w:ind w:left="840" w:hanging="656"/>
        <w:spacing w:after="0" w:line="242" w:lineRule="auto"/>
        <w:tabs>
          <w:tab w:leader="none" w:pos="83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66" w:lineRule="exact"/>
        <w:rPr>
          <w:rFonts w:ascii="Arial" w:cs="Arial" w:eastAsia="Arial" w:hAnsi="Arial"/>
          <w:sz w:val="19"/>
          <w:szCs w:val="19"/>
          <w:color w:val="auto"/>
        </w:rPr>
      </w:pPr>
    </w:p>
    <w:p>
      <w:pPr>
        <w:ind w:left="840" w:hanging="656"/>
        <w:spacing w:after="0" w:line="257" w:lineRule="auto"/>
        <w:tabs>
          <w:tab w:leader="none" w:pos="83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receivables owing to Holdings or any Restricted Subsidiary if created or acquired in the ordinary course of business and payable or dischargeable in accordance with customary trade terms;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20"/>
          </w:cols>
          <w:pgMar w:left="1440" w:top="1440" w:right="339" w:bottom="1440" w:gutter="0" w:footer="0" w:header="0"/>
        </w:sectPr>
      </w:pPr>
    </w:p>
    <w:bookmarkStart w:id="223" w:name="page224"/>
    <w:bookmarkEnd w:id="223"/>
    <w:p>
      <w:pPr>
        <w:spacing w:after="0" w:line="357" w:lineRule="exact"/>
        <w:rPr>
          <w:sz w:val="20"/>
          <w:szCs w:val="20"/>
          <w:color w:val="auto"/>
        </w:rPr>
      </w:pPr>
    </w:p>
    <w:p>
      <w:pPr>
        <w:ind w:left="840" w:right="20"/>
        <w:spacing w:after="0" w:line="229" w:lineRule="auto"/>
        <w:rPr>
          <w:sz w:val="20"/>
          <w:szCs w:val="20"/>
          <w:color w:val="auto"/>
        </w:rPr>
      </w:pPr>
      <w:r>
        <w:rPr>
          <w:rFonts w:ascii="Arial" w:cs="Arial" w:eastAsia="Arial" w:hAnsi="Arial"/>
          <w:sz w:val="20"/>
          <w:szCs w:val="20"/>
          <w:color w:val="auto"/>
        </w:rPr>
        <w:t>terms may include such concessionary trade terms as Holdings or any such Restricted Subsidiary deems reasonable under the circumstances;</w:t>
      </w:r>
    </w:p>
    <w:p>
      <w:pPr>
        <w:spacing w:after="0" w:line="169" w:lineRule="exact"/>
        <w:rPr>
          <w:sz w:val="20"/>
          <w:szCs w:val="20"/>
          <w:color w:val="auto"/>
        </w:rPr>
      </w:pPr>
    </w:p>
    <w:p>
      <w:pPr>
        <w:jc w:val="both"/>
        <w:ind w:left="840" w:hanging="656"/>
        <w:spacing w:after="0" w:line="223" w:lineRule="auto"/>
        <w:tabs>
          <w:tab w:leader="none" w:pos="83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advances, loans or extensions of trade or other credit (including to officers, directors, consultants and employees of Holdings, its Subsidiaries or its direct and indirect parent companies) in the ordinary course of business by Holdings or any of its Restricted Subsidiaries;</w:t>
      </w:r>
    </w:p>
    <w:p>
      <w:pPr>
        <w:spacing w:after="0" w:line="168" w:lineRule="exact"/>
        <w:rPr>
          <w:rFonts w:ascii="Arial" w:cs="Arial" w:eastAsia="Arial" w:hAnsi="Arial"/>
          <w:sz w:val="20"/>
          <w:szCs w:val="20"/>
          <w:color w:val="auto"/>
        </w:rPr>
      </w:pPr>
    </w:p>
    <w:p>
      <w:pPr>
        <w:ind w:left="820" w:hanging="636"/>
        <w:spacing w:after="0"/>
        <w:tabs>
          <w:tab w:leader="none" w:pos="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lease, utility and similar deposits in the ordinary course of business and other deposits constituting Permitted Liens;</w:t>
      </w:r>
    </w:p>
    <w:p>
      <w:pPr>
        <w:spacing w:after="0" w:line="211" w:lineRule="exact"/>
        <w:rPr>
          <w:rFonts w:ascii="Arial" w:cs="Arial" w:eastAsia="Arial" w:hAnsi="Arial"/>
          <w:sz w:val="18"/>
          <w:szCs w:val="18"/>
          <w:color w:val="auto"/>
        </w:rPr>
      </w:pPr>
    </w:p>
    <w:p>
      <w:pPr>
        <w:ind w:left="820" w:hanging="636"/>
        <w:spacing w:after="0"/>
        <w:tabs>
          <w:tab w:leader="none" w:pos="82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endorsements for collection or deposit;</w:t>
      </w:r>
    </w:p>
    <w:p>
      <w:pPr>
        <w:spacing w:after="0" w:line="175" w:lineRule="exact"/>
        <w:rPr>
          <w:rFonts w:ascii="Arial" w:cs="Arial" w:eastAsia="Arial" w:hAnsi="Arial"/>
          <w:sz w:val="20"/>
          <w:szCs w:val="20"/>
          <w:color w:val="auto"/>
        </w:rPr>
      </w:pPr>
    </w:p>
    <w:p>
      <w:pPr>
        <w:jc w:val="both"/>
        <w:ind w:left="840" w:hanging="656"/>
        <w:spacing w:after="0" w:line="227" w:lineRule="auto"/>
        <w:tabs>
          <w:tab w:leader="none" w:pos="83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Investments among Holdings and its Subsidiaries in the ordinary course of business for purposes of funding the working capital and maintenance capital expenditure requirements and research and development activities of Holdings and its Subsidiaries;</w:t>
      </w:r>
    </w:p>
    <w:p>
      <w:pPr>
        <w:spacing w:after="0" w:line="157" w:lineRule="exact"/>
        <w:rPr>
          <w:rFonts w:ascii="Arial" w:cs="Arial" w:eastAsia="Arial" w:hAnsi="Arial"/>
          <w:sz w:val="20"/>
          <w:szCs w:val="20"/>
          <w:color w:val="auto"/>
        </w:rPr>
      </w:pPr>
    </w:p>
    <w:p>
      <w:pPr>
        <w:ind w:left="840" w:hanging="656"/>
        <w:spacing w:after="0" w:line="285" w:lineRule="auto"/>
        <w:tabs>
          <w:tab w:leader="none" w:pos="8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29" w:lineRule="exact"/>
        <w:rPr>
          <w:rFonts w:ascii="Arial" w:cs="Arial" w:eastAsia="Arial" w:hAnsi="Arial"/>
          <w:sz w:val="18"/>
          <w:szCs w:val="18"/>
          <w:color w:val="auto"/>
        </w:rPr>
      </w:pPr>
    </w:p>
    <w:p>
      <w:pPr>
        <w:ind w:left="840" w:hanging="656"/>
        <w:spacing w:after="0" w:line="229" w:lineRule="auto"/>
        <w:tabs>
          <w:tab w:leader="none" w:pos="83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customary upfront, milestone, marketing or other funding payment in the ordinary course of business to another Person in connection with obtaining a right to receive royalty or other payments in the future;</w:t>
      </w:r>
    </w:p>
    <w:p>
      <w:pPr>
        <w:spacing w:after="0" w:line="168" w:lineRule="exact"/>
        <w:rPr>
          <w:rFonts w:ascii="Arial" w:cs="Arial" w:eastAsia="Arial" w:hAnsi="Arial"/>
          <w:sz w:val="20"/>
          <w:szCs w:val="20"/>
          <w:color w:val="auto"/>
        </w:rPr>
      </w:pPr>
    </w:p>
    <w:p>
      <w:pPr>
        <w:jc w:val="both"/>
        <w:ind w:left="840" w:hanging="656"/>
        <w:spacing w:after="0" w:line="223" w:lineRule="auto"/>
        <w:tabs>
          <w:tab w:leader="none" w:pos="83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Investments in any joint ventures in an amount outstanding at any one time not to exceed the greater of $175,000,000 and 15% of Consolidated EBITDA for the Test Period most recently ended on or prior to the date of such determination (with the fair market value as determined in good faith by Holdings of each Investment (other than any Investment consisting of a guarantee) being measured at the time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(22)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(22) for so long as such Person continues to be a Restricted Subsidiary;</w:t>
      </w:r>
    </w:p>
    <w:p>
      <w:pPr>
        <w:spacing w:after="0" w:line="170" w:lineRule="exact"/>
        <w:rPr>
          <w:rFonts w:ascii="Arial" w:cs="Arial" w:eastAsia="Arial" w:hAnsi="Arial"/>
          <w:sz w:val="19"/>
          <w:szCs w:val="19"/>
          <w:color w:val="auto"/>
        </w:rPr>
      </w:pPr>
    </w:p>
    <w:p>
      <w:pPr>
        <w:jc w:val="both"/>
        <w:ind w:left="840" w:hanging="656"/>
        <w:spacing w:after="0" w:line="214" w:lineRule="auto"/>
        <w:tabs>
          <w:tab w:leader="none" w:pos="83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Investments in a Permitted Business in an aggregate amount, taken together with all other Investments made pursuant to this clause (23) that are at that time outstanding, not to exceed the greater of $290,000,000 and 25% of Consolidated EBITDA for the Test Period most recently ended on or prior to the date of such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120"/>
          </w:cols>
          <w:pgMar w:left="1440" w:top="1440" w:right="339" w:bottom="1440" w:gutter="0" w:footer="0" w:header="0"/>
        </w:sectPr>
      </w:pPr>
    </w:p>
    <w:bookmarkStart w:id="224" w:name="page225"/>
    <w:bookmarkEnd w:id="224"/>
    <w:p>
      <w:pPr>
        <w:spacing w:after="0" w:line="35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to this clause (23) for so long as such Person continues to be a Restricted Subsidiary;</w:t>
      </w:r>
    </w:p>
    <w:p>
      <w:pPr>
        <w:spacing w:after="0" w:line="175" w:lineRule="exact"/>
        <w:rPr>
          <w:sz w:val="20"/>
          <w:szCs w:val="20"/>
          <w:color w:val="auto"/>
        </w:rPr>
      </w:pPr>
    </w:p>
    <w:p>
      <w:pPr>
        <w:jc w:val="both"/>
        <w:ind w:left="840" w:hanging="656"/>
        <w:spacing w:after="0" w:line="259" w:lineRule="auto"/>
        <w:tabs>
          <w:tab w:leader="none" w:pos="8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Investments consisting of co-development agreements or consisting of the licensing or contribution of intellectual property, new drug applications or similar assets pursuant to development, marketing or manufacturing agreements, alliances or arrangements or similar agreements or arrangements with other Persons;</w:t>
      </w:r>
    </w:p>
    <w:p>
      <w:pPr>
        <w:spacing w:after="0" w:line="139" w:lineRule="exact"/>
        <w:rPr>
          <w:rFonts w:ascii="Arial" w:cs="Arial" w:eastAsia="Arial" w:hAnsi="Arial"/>
          <w:sz w:val="18"/>
          <w:szCs w:val="18"/>
          <w:color w:val="auto"/>
        </w:rPr>
      </w:pPr>
    </w:p>
    <w:p>
      <w:pPr>
        <w:jc w:val="both"/>
        <w:ind w:left="840" w:hanging="656"/>
        <w:spacing w:after="0" w:line="271" w:lineRule="auto"/>
        <w:tabs>
          <w:tab w:leader="none" w:pos="8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(25) that are at the time outstanding, not to exceed the greater of $290,000,000 and 25% of Consolidated EBITDA for the Test Period most recently ended on or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Investment pursuant to this clause (25)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(25) for so long as such Person continues to be a Restricted Subsidiary;</w:t>
      </w:r>
    </w:p>
    <w:p>
      <w:pPr>
        <w:spacing w:after="0" w:line="146" w:lineRule="exact"/>
        <w:rPr>
          <w:rFonts w:ascii="Arial" w:cs="Arial" w:eastAsia="Arial" w:hAnsi="Arial"/>
          <w:sz w:val="16"/>
          <w:szCs w:val="16"/>
          <w:color w:val="auto"/>
        </w:rPr>
      </w:pPr>
    </w:p>
    <w:p>
      <w:pPr>
        <w:jc w:val="both"/>
        <w:ind w:left="840" w:hanging="656"/>
        <w:spacing w:after="0" w:line="223" w:lineRule="auto"/>
        <w:tabs>
          <w:tab w:leader="none" w:pos="83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Investments in or relating to a Securitization Subsidiary that, in the good faith determination of Holdings, are necessary or advisable to effect or maintain any Qualified Securitization Financing or any repurchase obligation in connection therewith;</w:t>
      </w:r>
    </w:p>
    <w:p>
      <w:pPr>
        <w:spacing w:after="0" w:line="168" w:lineRule="exact"/>
        <w:rPr>
          <w:rFonts w:ascii="Arial" w:cs="Arial" w:eastAsia="Arial" w:hAnsi="Arial"/>
          <w:sz w:val="20"/>
          <w:szCs w:val="20"/>
          <w:color w:val="auto"/>
        </w:rPr>
      </w:pPr>
    </w:p>
    <w:p>
      <w:pPr>
        <w:ind w:left="820" w:hanging="636"/>
        <w:spacing w:after="0"/>
        <w:tabs>
          <w:tab w:leader="none" w:pos="8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Investments in IGPHS to fund its cash management and working capital requirements;</w:t>
      </w:r>
    </w:p>
    <w:p>
      <w:pPr>
        <w:spacing w:after="0" w:line="175" w:lineRule="exact"/>
        <w:rPr>
          <w:rFonts w:ascii="Arial" w:cs="Arial" w:eastAsia="Arial" w:hAnsi="Arial"/>
          <w:sz w:val="20"/>
          <w:szCs w:val="20"/>
          <w:color w:val="auto"/>
        </w:rPr>
      </w:pPr>
    </w:p>
    <w:p>
      <w:pPr>
        <w:jc w:val="both"/>
        <w:ind w:left="840" w:hanging="656"/>
        <w:spacing w:after="0" w:line="243" w:lineRule="auto"/>
        <w:tabs>
          <w:tab w:leader="none" w:pos="8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(x) Investments in Drug Development Funds, (y) Investments in Oncacare Limited to fund its cash management and working capital requirements and (z) loans made to Oncacare Limited pursuant to the shareholders agreement thereof, in an aggregate amount, taken together with all other Investments made pursuant to this clause (28) that are at that time outstanding, not to exceed the greater of $580,000,000 and 50% of Consolidated EBITDA for the Test Period most recently ended on or prior to the date of such determination;</w:t>
      </w:r>
    </w:p>
    <w:p>
      <w:pPr>
        <w:spacing w:after="0" w:line="167" w:lineRule="exact"/>
        <w:rPr>
          <w:rFonts w:ascii="Arial" w:cs="Arial" w:eastAsia="Arial" w:hAnsi="Arial"/>
          <w:sz w:val="18"/>
          <w:szCs w:val="18"/>
          <w:color w:val="auto"/>
        </w:rPr>
      </w:pPr>
    </w:p>
    <w:p>
      <w:pPr>
        <w:ind w:left="820" w:hanging="636"/>
        <w:spacing w:after="0"/>
        <w:tabs>
          <w:tab w:leader="none" w:pos="8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Investments consisting of purchases and acquisitions of assets or services in the ordinary course of business;</w:t>
      </w:r>
    </w:p>
    <w:p>
      <w:pPr>
        <w:spacing w:after="0" w:line="186" w:lineRule="exact"/>
        <w:rPr>
          <w:rFonts w:ascii="Arial" w:cs="Arial" w:eastAsia="Arial" w:hAnsi="Arial"/>
          <w:sz w:val="19"/>
          <w:szCs w:val="19"/>
          <w:color w:val="auto"/>
        </w:rPr>
      </w:pPr>
    </w:p>
    <w:p>
      <w:pPr>
        <w:ind w:left="840" w:right="20" w:hanging="656"/>
        <w:spacing w:after="0" w:line="236" w:lineRule="auto"/>
        <w:tabs>
          <w:tab w:leader="none" w:pos="83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168" w:lineRule="exact"/>
        <w:rPr>
          <w:rFonts w:ascii="Arial" w:cs="Arial" w:eastAsia="Arial" w:hAnsi="Arial"/>
          <w:sz w:val="20"/>
          <w:szCs w:val="20"/>
          <w:color w:val="auto"/>
        </w:rPr>
      </w:pPr>
    </w:p>
    <w:p>
      <w:pPr>
        <w:jc w:val="both"/>
        <w:ind w:left="840" w:hanging="656"/>
        <w:spacing w:after="0" w:line="223" w:lineRule="auto"/>
        <w:tabs>
          <w:tab w:leader="none" w:pos="83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Guarantees by Holdings or any of its Restricted Subsidiaries of leases (other than capitalized leases) or of other obligations that do not constitute Indebtedness, in each case entered into in the ordinary course of business and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357" w:lineRule="exact"/>
        <w:rPr>
          <w:sz w:val="20"/>
          <w:szCs w:val="20"/>
          <w:color w:val="auto"/>
        </w:rPr>
      </w:pPr>
    </w:p>
    <w:p>
      <w:pPr>
        <w:ind w:left="1960" w:hanging="656"/>
        <w:spacing w:after="0" w:line="242" w:lineRule="auto"/>
        <w:tabs>
          <w:tab w:leader="none" w:pos="195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Investment in any Subsidiary or any joint venture in connection with intercompany cash management arrangements or related activities arising in the ordinary course of business and consistent with past practice;</w:t>
      </w:r>
    </w:p>
    <w:p>
      <w:pPr>
        <w:spacing w:after="0" w:line="166" w:lineRule="exact"/>
        <w:rPr>
          <w:rFonts w:ascii="Arial" w:cs="Arial" w:eastAsia="Arial" w:hAnsi="Arial"/>
          <w:sz w:val="19"/>
          <w:szCs w:val="19"/>
          <w:color w:val="auto"/>
        </w:rPr>
      </w:pPr>
    </w:p>
    <w:p>
      <w:pPr>
        <w:ind w:left="1940" w:hanging="636"/>
        <w:spacing w:after="0"/>
        <w:tabs>
          <w:tab w:leader="none" w:pos="19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88" w:lineRule="exact"/>
        <w:rPr>
          <w:rFonts w:ascii="Arial" w:cs="Arial" w:eastAsia="Arial" w:hAnsi="Arial"/>
          <w:sz w:val="20"/>
          <w:szCs w:val="20"/>
          <w:color w:val="auto"/>
        </w:rPr>
      </w:pPr>
    </w:p>
    <w:p>
      <w:pPr>
        <w:ind w:left="1960" w:hanging="656"/>
        <w:spacing w:after="0" w:line="229" w:lineRule="auto"/>
        <w:tabs>
          <w:tab w:leader="none" w:pos="195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Investment by Holdings or any of its Restricted Subsidiaries so long as the Total Net Leverage Ratio on a Pro Forma Basis is less than or equal to 4.25:1.00.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Secured Refinancing Debt</w:t>
      </w:r>
      <w:r>
        <w:rPr>
          <w:rFonts w:ascii="Arial" w:cs="Arial" w:eastAsia="Arial" w:hAnsi="Arial"/>
          <w:sz w:val="18"/>
          <w:szCs w:val="18"/>
          <w:color w:val="auto"/>
        </w:rPr>
        <w:t>” means any secured Indebtedness incurred after the Closing Date by any Loan Party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may in any case be co-borrowed or co-issued by any other Loan Party on a joint and several basis) in the form of one or more series of second-lien secured notes or second-lien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all or a portion of the Collateral on</w:t>
      </w:r>
    </w:p>
    <w:p>
      <w:pPr>
        <w:spacing w:after="0" w:line="224" w:lineRule="auto"/>
        <w:rPr>
          <w:sz w:val="20"/>
          <w:szCs w:val="20"/>
          <w:color w:val="auto"/>
        </w:rPr>
      </w:pPr>
      <w:r>
        <w:rPr>
          <w:rFonts w:ascii="Arial" w:cs="Arial" w:eastAsia="Arial" w:hAnsi="Arial"/>
          <w:sz w:val="19"/>
          <w:szCs w:val="19"/>
          <w:color w:val="auto"/>
        </w:rPr>
        <w:t>a junior-priority basis with the Obligations and is not secured by any property or assets of Holdings or any Subsidiary other than the</w:t>
      </w:r>
    </w:p>
    <w:p>
      <w:pPr>
        <w:spacing w:after="0" w:line="226" w:lineRule="auto"/>
        <w:rPr>
          <w:sz w:val="20"/>
          <w:szCs w:val="20"/>
          <w:color w:val="auto"/>
        </w:rPr>
      </w:pPr>
      <w:r>
        <w:rPr>
          <w:rFonts w:ascii="Arial" w:cs="Arial" w:eastAsia="Arial" w:hAnsi="Arial"/>
          <w:sz w:val="18"/>
          <w:szCs w:val="18"/>
          <w:color w:val="auto"/>
        </w:rPr>
        <w:t>Collateral, (ii) such Indebtedness constitutes Credit Agreement Refinancing Indebtedness, (iii) such Indebtedness does not mature or have scheduled amortization or scheduled payments of principal prior to the maturity date of the Credit Agreement Refinancing Indebtedness at</w:t>
      </w:r>
    </w:p>
    <w:p>
      <w:pPr>
        <w:spacing w:after="0" w:line="236" w:lineRule="auto"/>
        <w:rPr>
          <w:sz w:val="20"/>
          <w:szCs w:val="20"/>
          <w:color w:val="auto"/>
        </w:rPr>
      </w:pPr>
      <w:r>
        <w:rPr>
          <w:rFonts w:ascii="Arial" w:cs="Arial" w:eastAsia="Arial" w:hAnsi="Arial"/>
          <w:sz w:val="18"/>
          <w:szCs w:val="18"/>
          <w:color w:val="auto"/>
        </w:rPr>
        <w:t xml:space="preserve">the time such Indebtedness is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(iii) shall not apply to customary “bridge loan” facilities with a tenor of no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longer than one year (provided that such facilities automatically convert or exchange into long-term debt otherwise meeting the requirements of this clause (iii)), (iv) such Indebtedness is not guaranteed by any of Holdings’ Subsidiaries other than the Loan Parties and (v) a</w:t>
      </w:r>
    </w:p>
    <w:p>
      <w:pPr>
        <w:spacing w:after="0" w:line="236" w:lineRule="auto"/>
        <w:rPr>
          <w:sz w:val="20"/>
          <w:szCs w:val="20"/>
          <w:color w:val="auto"/>
        </w:rPr>
      </w:pPr>
      <w:r>
        <w:rPr>
          <w:rFonts w:ascii="Arial" w:cs="Arial" w:eastAsia="Arial" w:hAnsi="Arial"/>
          <w:sz w:val="18"/>
          <w:szCs w:val="18"/>
          <w:color w:val="auto"/>
        </w:rPr>
        <w:t>Designated Representative acting on behalf of the holders of such Indebtedness shall have become party to or otherwise subject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provisions of a First-Second Lien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the initial Permitted Junior Secured Refinancing Debt incurred after the Closing Date, then Holdings, the Borrowers, the Subsidiary Guarantors, the Administrative Agent, the</w:t>
      </w:r>
    </w:p>
    <w:p>
      <w:pPr>
        <w:spacing w:after="0" w:line="224" w:lineRule="auto"/>
        <w:rPr>
          <w:sz w:val="20"/>
          <w:szCs w:val="20"/>
          <w:color w:val="auto"/>
        </w:rPr>
      </w:pPr>
      <w:r>
        <w:rPr>
          <w:rFonts w:ascii="Arial" w:cs="Arial" w:eastAsia="Arial" w:hAnsi="Arial"/>
          <w:sz w:val="19"/>
          <w:szCs w:val="19"/>
          <w:color w:val="auto"/>
        </w:rPr>
        <w:t>Collateral Agent and the Designated Representative for such Indebtedness shall have executed and delivered a First-Second Lien</w:t>
      </w:r>
    </w:p>
    <w:p>
      <w:pPr>
        <w:spacing w:after="0" w:line="220" w:lineRule="auto"/>
        <w:rPr>
          <w:sz w:val="20"/>
          <w:szCs w:val="20"/>
          <w:color w:val="auto"/>
        </w:rPr>
      </w:pPr>
      <w:r>
        <w:rPr>
          <w:rFonts w:ascii="Arial" w:cs="Arial" w:eastAsia="Arial" w:hAnsi="Arial"/>
          <w:sz w:val="20"/>
          <w:szCs w:val="20"/>
          <w:color w:val="auto"/>
        </w:rPr>
        <w:t>Intercreditor Agreement. Permitted Junior Secured Refinancing Debt will include any Registered Equivalent Notes issued in exchange therefor.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162" w:lineRule="exact"/>
        <w:rPr>
          <w:sz w:val="20"/>
          <w:szCs w:val="20"/>
          <w:color w:val="auto"/>
        </w:rPr>
      </w:pPr>
    </w:p>
    <w:p>
      <w:pPr>
        <w:ind w:left="1940" w:hanging="636"/>
        <w:spacing w:after="0"/>
        <w:tabs>
          <w:tab w:leader="none" w:pos="19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to secure the Secured Obligations (including any Incremental Loans);</w:t>
      </w:r>
    </w:p>
    <w:p>
      <w:pPr>
        <w:spacing w:after="0" w:line="188" w:lineRule="exact"/>
        <w:rPr>
          <w:rFonts w:ascii="Arial" w:cs="Arial" w:eastAsia="Arial" w:hAnsi="Arial"/>
          <w:sz w:val="20"/>
          <w:szCs w:val="20"/>
          <w:color w:val="auto"/>
        </w:rPr>
      </w:pPr>
    </w:p>
    <w:p>
      <w:pPr>
        <w:jc w:val="both"/>
        <w:ind w:left="660" w:firstLine="644"/>
        <w:spacing w:after="0" w:line="223" w:lineRule="auto"/>
        <w:tabs>
          <w:tab w:leader="none" w:pos="194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on assets of Foreign Subsidiaries or non-Guarantor Subsidiaries securing Indebtedness (and other related obligations) of such Foreign Subsidiary or non-Guarantor Subsidiary that was incurred pursuant to Section 6.01(b)(xi) and Liens securing Indebtedness (and other related obligations) incurred pursuant to Section 6.01(b)(xvi);</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Liens in favor of Holdings or any Restricted Subsidiary;</w:t>
      </w:r>
    </w:p>
    <w:p>
      <w:pPr>
        <w:spacing w:after="0" w:line="175" w:lineRule="exact"/>
        <w:rPr>
          <w:rFonts w:ascii="Arial" w:cs="Arial" w:eastAsia="Arial" w:hAnsi="Arial"/>
          <w:sz w:val="20"/>
          <w:szCs w:val="20"/>
          <w:color w:val="auto"/>
        </w:rPr>
      </w:pPr>
    </w:p>
    <w:p>
      <w:pPr>
        <w:jc w:val="both"/>
        <w:ind w:left="660" w:firstLine="644"/>
        <w:spacing w:after="0" w:line="214" w:lineRule="auto"/>
        <w:tabs>
          <w:tab w:leader="none" w:pos="194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Liens on property or Equity Interests of another Person existing at the time such other Person becomes a Subsidiary of Holdings or is merged with or into or consolidated with Holdings or any Subsidiary of Holdings;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such Liens (a) are not incurred in contemplation thereof and (b) do not extend to any other property owned by Holdings or any of its Restricted Subsidiaries (other than after acquired property of such Person (to the extent required to become subject to such Liens under the terms of the applicable agreements as in effect at the time such Person becomes a Subsidiary of Holdings) and assets and property affixed or appurtenant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357" w:lineRule="exact"/>
        <w:rPr>
          <w:sz w:val="20"/>
          <w:szCs w:val="20"/>
          <w:color w:val="auto"/>
        </w:rPr>
      </w:pPr>
    </w:p>
    <w:p>
      <w:pPr>
        <w:jc w:val="both"/>
        <w:ind w:left="-460" w:firstLine="644"/>
        <w:spacing w:after="0" w:line="223" w:lineRule="auto"/>
        <w:tabs>
          <w:tab w:leader="none" w:pos="82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Liens on property (including Equity Interests) existing at the time of acquisition of the property by Holdings or any Subsidiary of Holdings;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that such Liens were in existence prior to such acquisition and not incurred in contemplation of, such acquisition;</w:t>
      </w:r>
    </w:p>
    <w:p>
      <w:pPr>
        <w:spacing w:after="0" w:line="168" w:lineRule="exact"/>
        <w:rPr>
          <w:rFonts w:ascii="Arial" w:cs="Arial" w:eastAsia="Arial" w:hAnsi="Arial"/>
          <w:sz w:val="20"/>
          <w:szCs w:val="20"/>
          <w:color w:val="auto"/>
        </w:rPr>
      </w:pPr>
    </w:p>
    <w:p>
      <w:pPr>
        <w:jc w:val="both"/>
        <w:ind w:left="-460" w:firstLine="644"/>
        <w:spacing w:after="0" w:line="223" w:lineRule="auto"/>
        <w:tabs>
          <w:tab w:leader="none" w:pos="82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Lien on any property or asset of Holdings or any Restricted Subsidiary existing on the date hereof which, in the case of Liens securing Indebtedness with an outstanding principal amount in excess of $5,000,000, shall be set forth on Schedule 1.01C;</w:t>
      </w:r>
    </w:p>
    <w:p>
      <w:pPr>
        <w:spacing w:after="0" w:line="168" w:lineRule="exact"/>
        <w:rPr>
          <w:rFonts w:ascii="Arial" w:cs="Arial" w:eastAsia="Arial" w:hAnsi="Arial"/>
          <w:sz w:val="20"/>
          <w:szCs w:val="20"/>
          <w:color w:val="auto"/>
        </w:rPr>
      </w:pPr>
    </w:p>
    <w:p>
      <w:pPr>
        <w:jc w:val="both"/>
        <w:ind w:left="-460" w:firstLine="644"/>
        <w:spacing w:after="0" w:line="215" w:lineRule="auto"/>
        <w:tabs>
          <w:tab w:leader="none" w:pos="82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Liens granted in replacement of or substitute for, or to secure any refinancing (or successive refinancings), as a whole or in part, of any Indebtedness or other obligation secured by, a Lien referred to in clause (4), (5), (6), (11), (33), (37) or (38) 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the new Lien is limited to all or part of the same property and assets that secured or, under the written agreements pursuant to which the original Lien arose, could secure the refinanced Indebtedness (plus improvements and accessions to, such property or proceeds or distributions thereof);</w:t>
      </w:r>
    </w:p>
    <w:p>
      <w:pPr>
        <w:spacing w:after="0" w:line="171" w:lineRule="exact"/>
        <w:rPr>
          <w:rFonts w:ascii="Arial" w:cs="Arial" w:eastAsia="Arial" w:hAnsi="Arial"/>
          <w:sz w:val="20"/>
          <w:szCs w:val="20"/>
          <w:color w:val="auto"/>
        </w:rPr>
      </w:pPr>
    </w:p>
    <w:p>
      <w:pPr>
        <w:ind w:left="820" w:hanging="636"/>
        <w:spacing w:after="0"/>
        <w:tabs>
          <w:tab w:leader="none" w:pos="8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Liens on the Equity Interests of Unrestricted Subsidiaries;</w:t>
      </w:r>
    </w:p>
    <w:p>
      <w:pPr>
        <w:spacing w:after="0" w:line="188" w:lineRule="exact"/>
        <w:rPr>
          <w:rFonts w:ascii="Arial" w:cs="Arial" w:eastAsia="Arial" w:hAnsi="Arial"/>
          <w:sz w:val="20"/>
          <w:szCs w:val="20"/>
          <w:color w:val="auto"/>
        </w:rPr>
      </w:pPr>
    </w:p>
    <w:p>
      <w:pPr>
        <w:jc w:val="both"/>
        <w:ind w:left="-460" w:firstLine="644"/>
        <w:spacing w:after="0" w:line="223" w:lineRule="auto"/>
        <w:tabs>
          <w:tab w:leader="none" w:pos="82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issued to assure payment or performance of such obligations), (b) in respect of letters of credit, bank guarantees or similar instruments issued for the account of Holdings or any Subsidiary supporting obligations of the type set forth in clause (a) above and (c) Liens on cash and Cash Equivalents securing letters of credit issued in the ordinary course of business;</w:t>
      </w:r>
    </w:p>
    <w:p>
      <w:pPr>
        <w:spacing w:after="0" w:line="171" w:lineRule="exact"/>
        <w:rPr>
          <w:rFonts w:ascii="Arial" w:cs="Arial" w:eastAsia="Arial" w:hAnsi="Arial"/>
          <w:sz w:val="19"/>
          <w:szCs w:val="19"/>
          <w:color w:val="auto"/>
        </w:rPr>
      </w:pPr>
    </w:p>
    <w:p>
      <w:pPr>
        <w:ind w:left="820" w:hanging="636"/>
        <w:spacing w:after="0"/>
        <w:tabs>
          <w:tab w:leader="none" w:pos="8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Liens on securities that are the subject of repurchase agreements permitted hereunder;</w:t>
      </w:r>
    </w:p>
    <w:p>
      <w:pPr>
        <w:spacing w:after="0" w:line="188" w:lineRule="exact"/>
        <w:rPr>
          <w:rFonts w:ascii="Arial" w:cs="Arial" w:eastAsia="Arial" w:hAnsi="Arial"/>
          <w:sz w:val="20"/>
          <w:szCs w:val="20"/>
          <w:color w:val="auto"/>
        </w:rPr>
      </w:pPr>
    </w:p>
    <w:p>
      <w:pPr>
        <w:ind w:left="-460" w:right="20" w:firstLine="644"/>
        <w:spacing w:after="0" w:line="229" w:lineRule="auto"/>
        <w:tabs>
          <w:tab w:leader="none" w:pos="82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Liens to secure Indebtedness (and related obligations) permitted by Section 6.01(b)(x) covering only the assets acquired with, improved, constructed, leased or financed by such Indebtedness and the proceeds thereof;</w:t>
      </w:r>
    </w:p>
    <w:p>
      <w:pPr>
        <w:spacing w:after="0" w:line="168" w:lineRule="exact"/>
        <w:rPr>
          <w:rFonts w:ascii="Arial" w:cs="Arial" w:eastAsia="Arial" w:hAnsi="Arial"/>
          <w:sz w:val="20"/>
          <w:szCs w:val="20"/>
          <w:color w:val="auto"/>
        </w:rPr>
      </w:pPr>
    </w:p>
    <w:p>
      <w:pPr>
        <w:jc w:val="both"/>
        <w:ind w:left="-460" w:firstLine="644"/>
        <w:spacing w:after="0" w:line="223" w:lineRule="auto"/>
        <w:tabs>
          <w:tab w:leader="none" w:pos="82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Liens for taxes, assessments or other governmental charges or claims that are (i) not yet delinquent or (ii) being contested in good faith by appropriate proceedings and with respect to which adequate reserves have been established in accordance with, and to the extent required by, applicable accounting standards;</w:t>
      </w:r>
    </w:p>
    <w:p>
      <w:pPr>
        <w:spacing w:after="0" w:line="168" w:lineRule="exact"/>
        <w:rPr>
          <w:rFonts w:ascii="Arial" w:cs="Arial" w:eastAsia="Arial" w:hAnsi="Arial"/>
          <w:sz w:val="20"/>
          <w:szCs w:val="20"/>
          <w:color w:val="auto"/>
        </w:rPr>
      </w:pPr>
    </w:p>
    <w:p>
      <w:pPr>
        <w:ind w:left="-460" w:firstLine="644"/>
        <w:spacing w:after="0" w:line="285" w:lineRule="auto"/>
        <w:tabs>
          <w:tab w:leader="none" w:pos="8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and mechanics’ Liens, in each case, either (i) incurred in the ordinary course of business or (ii) for sums not yet due or being contested in good faith by appropriate proceedings;</w:t>
      </w:r>
    </w:p>
    <w:p>
      <w:pPr>
        <w:spacing w:after="0" w:line="115" w:lineRule="exact"/>
        <w:rPr>
          <w:rFonts w:ascii="Arial" w:cs="Arial" w:eastAsia="Arial" w:hAnsi="Arial"/>
          <w:sz w:val="18"/>
          <w:szCs w:val="18"/>
          <w:color w:val="auto"/>
        </w:rPr>
      </w:pPr>
    </w:p>
    <w:p>
      <w:pPr>
        <w:jc w:val="both"/>
        <w:ind w:left="-460" w:firstLine="644"/>
        <w:spacing w:after="0" w:line="220" w:lineRule="auto"/>
        <w:tabs>
          <w:tab w:leader="none" w:pos="82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120"/>
          </w:cols>
          <w:pgMar w:left="1440" w:top="1440" w:right="339" w:bottom="1440" w:gutter="0" w:footer="0" w:header="0"/>
        </w:sectPr>
      </w:pPr>
    </w:p>
    <w:bookmarkStart w:id="227" w:name="page228"/>
    <w:bookmarkEnd w:id="227"/>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aggregate materially adversely affect the value of said properties or materially impair their use in the operation of the business of such Person;</w:t>
      </w:r>
    </w:p>
    <w:p>
      <w:pPr>
        <w:spacing w:after="0" w:line="169" w:lineRule="exact"/>
        <w:rPr>
          <w:sz w:val="20"/>
          <w:szCs w:val="20"/>
          <w:color w:val="auto"/>
        </w:rPr>
      </w:pPr>
    </w:p>
    <w:p>
      <w:pPr>
        <w:jc w:val="both"/>
        <w:ind w:firstLine="644"/>
        <w:spacing w:after="0" w:line="220"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Liens to secure any Ratio Debt, Alternative Incremental Facility Indebtedness, Permitted Pari Passu Secured Refinancing Debt and any Permitted Junior Secured Refinancing Debt and any Permitted Refinancing Indebtedness in respect thereof, in each case contemplated to be secured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(15) shall be subject to the applicable Intercreditor Agreement;</w:t>
      </w:r>
    </w:p>
    <w:p>
      <w:pPr>
        <w:spacing w:after="0" w:line="169" w:lineRule="exact"/>
        <w:rPr>
          <w:rFonts w:ascii="Arial" w:cs="Arial" w:eastAsia="Arial" w:hAnsi="Arial"/>
          <w:sz w:val="20"/>
          <w:szCs w:val="20"/>
          <w:color w:val="auto"/>
        </w:rPr>
      </w:pPr>
    </w:p>
    <w:p>
      <w:pPr>
        <w:ind w:firstLine="644"/>
        <w:spacing w:after="0" w:line="229"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on insurance policies, premiums and proceeds thereof, or other deposits, to secure insurance premium financings and other liabilities to insurance carriers;</w:t>
      </w:r>
    </w:p>
    <w:p>
      <w:pPr>
        <w:spacing w:after="0" w:line="168" w:lineRule="exact"/>
        <w:rPr>
          <w:rFonts w:ascii="Arial" w:cs="Arial" w:eastAsia="Arial" w:hAnsi="Arial"/>
          <w:sz w:val="20"/>
          <w:szCs w:val="20"/>
          <w:color w:val="auto"/>
        </w:rPr>
      </w:pPr>
    </w:p>
    <w:p>
      <w:pPr>
        <w:jc w:val="both"/>
        <w:ind w:firstLine="644"/>
        <w:spacing w:after="0" w:line="252" w:lineRule="auto"/>
        <w:tabs>
          <w:tab w:leader="none" w:pos="128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Liens securing or arising out of judgments, decrees, orders, awards or notices of lis pendens and associated rights related to litigation with respect to which Holdings or any Subsidiary shall then be proceeding with an appeal or other proceedings for review, or in respect of which the period within which such appeal or proceedings may be initiated shall not have expired;</w:t>
      </w:r>
    </w:p>
    <w:p>
      <w:pPr>
        <w:spacing w:after="0" w:line="158" w:lineRule="exact"/>
        <w:rPr>
          <w:rFonts w:ascii="Arial" w:cs="Arial" w:eastAsia="Arial" w:hAnsi="Arial"/>
          <w:sz w:val="18"/>
          <w:szCs w:val="18"/>
          <w:color w:val="auto"/>
        </w:rPr>
      </w:pPr>
    </w:p>
    <w:p>
      <w:pPr>
        <w:jc w:val="both"/>
        <w:ind w:firstLine="644"/>
        <w:spacing w:after="0" w:line="235" w:lineRule="auto"/>
        <w:tabs>
          <w:tab w:leader="none" w:pos="128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68" w:lineRule="exact"/>
        <w:rPr>
          <w:rFonts w:ascii="Arial" w:cs="Arial" w:eastAsia="Arial" w:hAnsi="Arial"/>
          <w:sz w:val="19"/>
          <w:szCs w:val="19"/>
          <w:color w:val="auto"/>
        </w:rPr>
      </w:pPr>
    </w:p>
    <w:p>
      <w:pPr>
        <w:ind w:firstLine="644"/>
        <w:spacing w:after="0" w:line="236"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on cash, Cash Equivalents or other property arising in connection with the defeasance, discharge or redemption of Indebtedness;</w:t>
      </w:r>
    </w:p>
    <w:p>
      <w:pPr>
        <w:spacing w:after="0" w:line="155" w:lineRule="exact"/>
        <w:rPr>
          <w:rFonts w:ascii="Arial" w:cs="Arial" w:eastAsia="Arial" w:hAnsi="Arial"/>
          <w:sz w:val="20"/>
          <w:szCs w:val="20"/>
          <w:color w:val="auto"/>
        </w:rPr>
      </w:pPr>
    </w:p>
    <w:p>
      <w:pPr>
        <w:jc w:val="both"/>
        <w:ind w:firstLine="644"/>
        <w:spacing w:after="0" w:line="227"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the proceeds thereof) of Holdings or any Restricted Subsidiary securing such Person’s obligations in respect of bankers’ acceptances issued or created for the account of such Person to facilitate the purchase, shipment or storage of such inventory or other goods;</w:t>
      </w:r>
    </w:p>
    <w:p>
      <w:pPr>
        <w:spacing w:after="0" w:line="157" w:lineRule="exact"/>
        <w:rPr>
          <w:rFonts w:ascii="Arial" w:cs="Arial" w:eastAsia="Arial" w:hAnsi="Arial"/>
          <w:sz w:val="20"/>
          <w:szCs w:val="20"/>
          <w:color w:val="auto"/>
        </w:rPr>
      </w:pPr>
    </w:p>
    <w:p>
      <w:pPr>
        <w:ind w:right="20" w:firstLine="644"/>
        <w:spacing w:after="0" w:line="236"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in the ordinary course of business;</w:t>
      </w:r>
    </w:p>
    <w:p>
      <w:pPr>
        <w:spacing w:after="0" w:line="168" w:lineRule="exact"/>
        <w:rPr>
          <w:rFonts w:ascii="Arial" w:cs="Arial" w:eastAsia="Arial" w:hAnsi="Arial"/>
          <w:sz w:val="20"/>
          <w:szCs w:val="20"/>
          <w:color w:val="auto"/>
        </w:rPr>
      </w:pPr>
    </w:p>
    <w:p>
      <w:pPr>
        <w:ind w:firstLine="644"/>
        <w:spacing w:after="0" w:line="229"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securing obligations in an aggregate amount not to exceed $50,000,000 in respect of obligations under or in respect of Swap Agreements (including Permitted Hedging Obligations);</w:t>
      </w:r>
    </w:p>
    <w:p>
      <w:pPr>
        <w:spacing w:after="0" w:line="168" w:lineRule="exact"/>
        <w:rPr>
          <w:rFonts w:ascii="Arial" w:cs="Arial" w:eastAsia="Arial" w:hAnsi="Arial"/>
          <w:sz w:val="20"/>
          <w:szCs w:val="20"/>
          <w:color w:val="auto"/>
        </w:rPr>
      </w:pPr>
    </w:p>
    <w:p>
      <w:pPr>
        <w:ind w:firstLine="644"/>
        <w:spacing w:after="0" w:line="236"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in the ordinary course of business;</w:t>
      </w:r>
    </w:p>
    <w:p>
      <w:pPr>
        <w:spacing w:after="0" w:line="155" w:lineRule="exact"/>
        <w:rPr>
          <w:rFonts w:ascii="Arial" w:cs="Arial" w:eastAsia="Arial" w:hAnsi="Arial"/>
          <w:sz w:val="20"/>
          <w:szCs w:val="20"/>
          <w:color w:val="auto"/>
        </w:rPr>
      </w:pPr>
    </w:p>
    <w:p>
      <w:pPr>
        <w:ind w:firstLine="644"/>
        <w:spacing w:after="0" w:line="236" w:lineRule="auto"/>
        <w:tabs>
          <w:tab w:leader="none" w:pos="128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Liens on equipment or inventory of Holdings or any Restricted Subsidiary granted in the ordinary course of business to Holdings’ or such Restricted Subsidiary’s supplier at which such equipment or inventory is located;</w:t>
      </w:r>
    </w:p>
    <w:p>
      <w:pPr>
        <w:spacing w:after="0" w:line="168" w:lineRule="exact"/>
        <w:rPr>
          <w:rFonts w:ascii="Arial" w:cs="Arial" w:eastAsia="Arial" w:hAnsi="Arial"/>
          <w:sz w:val="20"/>
          <w:szCs w:val="20"/>
          <w:color w:val="auto"/>
        </w:rPr>
      </w:pPr>
    </w:p>
    <w:p>
      <w:pPr>
        <w:jc w:val="both"/>
        <w:ind w:firstLine="644"/>
        <w:spacing w:after="0" w:line="252" w:lineRule="auto"/>
        <w:tabs>
          <w:tab w:leader="none" w:pos="128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Loan Parties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580"/>
          </w:cols>
          <w:pgMar w:left="980" w:top="1440" w:right="339" w:bottom="1440" w:gutter="0" w:footer="0" w:header="0"/>
        </w:sectPr>
      </w:pPr>
    </w:p>
    <w:bookmarkStart w:id="228" w:name="page229"/>
    <w:bookmarkEnd w:id="228"/>
    <w:p>
      <w:pPr>
        <w:spacing w:after="0" w:line="357" w:lineRule="exact"/>
        <w:rPr>
          <w:sz w:val="20"/>
          <w:szCs w:val="20"/>
          <w:color w:val="auto"/>
        </w:rPr>
      </w:pPr>
    </w:p>
    <w:p>
      <w:pPr>
        <w:jc w:val="both"/>
        <w:ind w:left="-460" w:firstLine="644"/>
        <w:spacing w:after="0" w:line="269" w:lineRule="auto"/>
        <w:tabs>
          <w:tab w:leader="none" w:pos="8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minority investment or similar arrangement pursuant to any joint venture, shareholders, investor rights or similar agreement;</w:t>
      </w:r>
    </w:p>
    <w:p>
      <w:pPr>
        <w:spacing w:after="0" w:line="143" w:lineRule="exact"/>
        <w:rPr>
          <w:rFonts w:ascii="Arial" w:cs="Arial" w:eastAsia="Arial" w:hAnsi="Arial"/>
          <w:sz w:val="18"/>
          <w:szCs w:val="18"/>
          <w:color w:val="auto"/>
        </w:rPr>
      </w:pPr>
    </w:p>
    <w:p>
      <w:pPr>
        <w:jc w:val="both"/>
        <w:ind w:left="-460" w:firstLine="644"/>
        <w:spacing w:after="0" w:line="252" w:lineRule="auto"/>
        <w:tabs>
          <w:tab w:leader="none" w:pos="8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Liens (i) consisting of deposits or advances made by Holdings or any of its Restricted Subsidiaries in connection with any letter of intent or purchase agreement in respect of any Permitted Acquisition or Investment permitted under this Agreement or (ii) consisting of an option or agreement to Dispose of any property permitted to be sold pursuant to Section 6.03;</w:t>
      </w:r>
    </w:p>
    <w:p>
      <w:pPr>
        <w:spacing w:after="0" w:line="158" w:lineRule="exact"/>
        <w:rPr>
          <w:rFonts w:ascii="Arial" w:cs="Arial" w:eastAsia="Arial" w:hAnsi="Arial"/>
          <w:sz w:val="18"/>
          <w:szCs w:val="18"/>
          <w:color w:val="auto"/>
        </w:rPr>
      </w:pPr>
    </w:p>
    <w:p>
      <w:pPr>
        <w:jc w:val="both"/>
        <w:ind w:left="-460" w:firstLine="644"/>
        <w:spacing w:after="0" w:line="235" w:lineRule="auto"/>
        <w:tabs>
          <w:tab w:leader="none" w:pos="82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leases, subleases, non-exclusive licenses or non-exclusive sublicenses granted to third parties (a) entered into in the ordinary course of business which do not materially interfere with the conduct of the business of Holdings and its Restricted Subsidiaries and which do not secure any Indebtedness, or (b) that are not otherwise prohibited by Section 6.03;</w:t>
      </w:r>
    </w:p>
    <w:p>
      <w:pPr>
        <w:spacing w:after="0" w:line="168" w:lineRule="exact"/>
        <w:rPr>
          <w:rFonts w:ascii="Arial" w:cs="Arial" w:eastAsia="Arial" w:hAnsi="Arial"/>
          <w:sz w:val="19"/>
          <w:szCs w:val="19"/>
          <w:color w:val="auto"/>
        </w:rPr>
      </w:pPr>
    </w:p>
    <w:p>
      <w:pPr>
        <w:jc w:val="both"/>
        <w:ind w:left="-460" w:firstLine="644"/>
        <w:spacing w:after="0" w:line="235" w:lineRule="auto"/>
        <w:tabs>
          <w:tab w:leader="none" w:pos="82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68" w:lineRule="exact"/>
        <w:rPr>
          <w:rFonts w:ascii="Arial" w:cs="Arial" w:eastAsia="Arial" w:hAnsi="Arial"/>
          <w:sz w:val="19"/>
          <w:szCs w:val="19"/>
          <w:color w:val="auto"/>
        </w:rPr>
      </w:pPr>
    </w:p>
    <w:p>
      <w:pPr>
        <w:jc w:val="both"/>
        <w:ind w:left="-460" w:firstLine="644"/>
        <w:spacing w:after="0" w:line="223" w:lineRule="auto"/>
        <w:tabs>
          <w:tab w:leader="none" w:pos="82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owned or leased by Holdings or any of its Subsidiaries are located and other Liens affecting the interest of any landlord (and any underlying landlord) of any real property leased by Holdings or any Subsidiary;</w:t>
      </w:r>
    </w:p>
    <w:p>
      <w:pPr>
        <w:spacing w:after="0" w:line="168" w:lineRule="exact"/>
        <w:rPr>
          <w:rFonts w:ascii="Arial" w:cs="Arial" w:eastAsia="Arial" w:hAnsi="Arial"/>
          <w:sz w:val="20"/>
          <w:szCs w:val="20"/>
          <w:color w:val="auto"/>
        </w:rPr>
      </w:pPr>
    </w:p>
    <w:p>
      <w:pPr>
        <w:jc w:val="both"/>
        <w:ind w:left="-460" w:firstLine="644"/>
        <w:spacing w:after="0" w:line="223" w:lineRule="auto"/>
        <w:tabs>
          <w:tab w:leader="none" w:pos="82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any interest or title of a lessor or licensor under any lease, sublease, license or sublicense entered into by Holdings or any Restricted Subsidiary (A) existing on the date hereof (but not created in contemplation hereof), (B) entered into in the ordinary course of its business or (C) entered into in connection with a Permitted Acquisition;</w:t>
      </w:r>
    </w:p>
    <w:p>
      <w:pPr>
        <w:spacing w:after="0" w:line="168" w:lineRule="exact"/>
        <w:rPr>
          <w:rFonts w:ascii="Arial" w:cs="Arial" w:eastAsia="Arial" w:hAnsi="Arial"/>
          <w:sz w:val="20"/>
          <w:szCs w:val="20"/>
          <w:color w:val="auto"/>
        </w:rPr>
      </w:pPr>
    </w:p>
    <w:p>
      <w:pPr>
        <w:ind w:left="-460" w:firstLine="644"/>
        <w:spacing w:after="0" w:line="236" w:lineRule="auto"/>
        <w:tabs>
          <w:tab w:leader="none" w:pos="82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Liens to secure contractual payments (contingent or otherwise) payable by Holdings or its Subsidiaries to a seller after the consummation of an acquisition of a product, business, license or other assets;</w:t>
      </w:r>
    </w:p>
    <w:p>
      <w:pPr>
        <w:spacing w:after="0" w:line="155" w:lineRule="exact"/>
        <w:rPr>
          <w:rFonts w:ascii="Arial" w:cs="Arial" w:eastAsia="Arial" w:hAnsi="Arial"/>
          <w:sz w:val="20"/>
          <w:szCs w:val="20"/>
          <w:color w:val="auto"/>
        </w:rPr>
      </w:pPr>
    </w:p>
    <w:p>
      <w:pPr>
        <w:jc w:val="both"/>
        <w:ind w:left="-460" w:firstLine="644"/>
        <w:spacing w:after="0" w:line="214" w:lineRule="auto"/>
        <w:tabs>
          <w:tab w:leader="none" w:pos="82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other Liens securing Indebtedness to the extent such Indebtedness, when taken together with all other Indebtedness secured by Liens incurred pursuant to this clause (33) that are at that time outstanding and the Indebtedness secured by Liens pursuant to clause (7) above with respect to the refinancing indebtedness originally secured by Liens pursuant to this clause (33), does not exceed the greater of $405,000,000 and 35% of Consolidated EBITDA for the Test Period most recently ended on or prior to the date of such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Liens on the Collateral incurred pursuant to this clause (33) securing Capital Markets Indebtedness shall be junior to the Liens securing the Obligations and subject to the First-Second Lien Intercreditor Agreement.</w:t>
      </w:r>
    </w:p>
    <w:p>
      <w:pPr>
        <w:spacing w:after="0" w:line="171" w:lineRule="exact"/>
        <w:rPr>
          <w:rFonts w:ascii="Arial" w:cs="Arial" w:eastAsia="Arial" w:hAnsi="Arial"/>
          <w:sz w:val="20"/>
          <w:szCs w:val="20"/>
          <w:color w:val="auto"/>
        </w:rPr>
      </w:pPr>
    </w:p>
    <w:p>
      <w:pPr>
        <w:jc w:val="both"/>
        <w:ind w:left="-460" w:firstLine="644"/>
        <w:spacing w:after="0" w:line="235" w:lineRule="auto"/>
        <w:tabs>
          <w:tab w:leader="none" w:pos="82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Liens on any assets held by a trustee (i) under any indenture or other debt instrument where the proceeds thereof of the securities issued thereunder are held in escrow pursuant to customary escrow arrangements pending the release thereof, and (ii) under any indenture pursuant to customary discharge, redemption or defeasance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120"/>
          </w:cols>
          <w:pgMar w:left="1440" w:top="1440" w:right="339" w:bottom="1440" w:gutter="0" w:footer="0" w:header="0"/>
        </w:sectPr>
      </w:pPr>
    </w:p>
    <w:bookmarkStart w:id="229" w:name="page230"/>
    <w:bookmarkEnd w:id="229"/>
    <w:p>
      <w:pPr>
        <w:spacing w:after="0" w:line="357" w:lineRule="exact"/>
        <w:rPr>
          <w:sz w:val="20"/>
          <w:szCs w:val="20"/>
          <w:color w:val="auto"/>
        </w:rPr>
      </w:pPr>
    </w:p>
    <w:p>
      <w:pPr>
        <w:jc w:val="both"/>
        <w:ind w:left="660" w:firstLine="644"/>
        <w:spacing w:after="0" w:line="223" w:lineRule="auto"/>
        <w:tabs>
          <w:tab w:leader="none" w:pos="194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4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Liens on deposits or other amounts held in escrow to secure payments (contingent or otherwise) payable by Holdings or any of its Restricted Subsidiaries with respect to the settlement, satisfaction, compromise or resolution or judgments, litigation, arbitration or other disputes;</w:t>
      </w:r>
    </w:p>
    <w:p>
      <w:pPr>
        <w:spacing w:after="0" w:line="168" w:lineRule="exact"/>
        <w:rPr>
          <w:rFonts w:ascii="Arial" w:cs="Arial" w:eastAsia="Arial" w:hAnsi="Arial"/>
          <w:sz w:val="20"/>
          <w:szCs w:val="20"/>
          <w:color w:val="auto"/>
        </w:rPr>
      </w:pPr>
    </w:p>
    <w:p>
      <w:pPr>
        <w:ind w:left="660" w:firstLine="644"/>
        <w:spacing w:after="0" w:line="229" w:lineRule="auto"/>
        <w:tabs>
          <w:tab w:leader="none" w:pos="194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Liens securing the Obligations under the New Notes Indenture and Permitted Refinancing Indebtedness thereof, subject to a First Lien Intercreditor Agreement;</w:t>
      </w:r>
    </w:p>
    <w:p>
      <w:pPr>
        <w:spacing w:after="0" w:line="168" w:lineRule="exact"/>
        <w:rPr>
          <w:rFonts w:ascii="Arial" w:cs="Arial" w:eastAsia="Arial" w:hAnsi="Arial"/>
          <w:sz w:val="20"/>
          <w:szCs w:val="20"/>
          <w:color w:val="auto"/>
        </w:rPr>
      </w:pPr>
    </w:p>
    <w:p>
      <w:pPr>
        <w:ind w:left="660" w:right="20" w:firstLine="644"/>
        <w:spacing w:after="0" w:line="236" w:lineRule="auto"/>
        <w:tabs>
          <w:tab w:leader="none" w:pos="194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purchase options, calls and similar rights of, and restrictions for the benefit of, a third party with respect to Equity Interests held by Holdings or any Restricted Subsidiary in joint ventures;</w:t>
      </w:r>
    </w:p>
    <w:p>
      <w:pPr>
        <w:spacing w:after="0" w:line="155" w:lineRule="exact"/>
        <w:rPr>
          <w:rFonts w:ascii="Arial" w:cs="Arial" w:eastAsia="Arial" w:hAnsi="Arial"/>
          <w:sz w:val="20"/>
          <w:szCs w:val="20"/>
          <w:color w:val="auto"/>
        </w:rPr>
      </w:pPr>
    </w:p>
    <w:p>
      <w:pPr>
        <w:jc w:val="both"/>
        <w:ind w:left="660" w:firstLine="644"/>
        <w:spacing w:after="0" w:line="243" w:lineRule="auto"/>
        <w:tabs>
          <w:tab w:leader="none" w:pos="194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6.01(b)(iv) and Permitted Refinancing Indebtedness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secured solely by Liens existing at the time such Restricted Subsidiary is acquired by Holdings or a Restricted Subsidiary of Holdings and shall not extend to any other property owned by Holdings or any of its other Restricted Subsidiaries (other than after acquired property of such Person (to the extent required to become subject to such Liens under the terms of the applicable agreements as in effect at the time such Person becomes a Subsidiary of Holdings)); and</w:t>
      </w:r>
    </w:p>
    <w:p>
      <w:pPr>
        <w:spacing w:after="0" w:line="167" w:lineRule="exact"/>
        <w:rPr>
          <w:rFonts w:ascii="Arial" w:cs="Arial" w:eastAsia="Arial" w:hAnsi="Arial"/>
          <w:sz w:val="18"/>
          <w:szCs w:val="18"/>
          <w:color w:val="auto"/>
        </w:rPr>
      </w:pPr>
    </w:p>
    <w:p>
      <w:pPr>
        <w:ind w:left="1380" w:hanging="526"/>
        <w:spacing w:after="0"/>
        <w:tabs>
          <w:tab w:leader="none" w:pos="13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securing the Headquarters arising as a result of a Sale and Leaseback Transaction thereof.</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Lien (or any portion thereof) meets the criteria of one or more of the categories of Permitted Liens described above, Holdings may, in its sole discretion, classify or reclassify such item of Permitted Liens (or any portion thereof) in any manner that complies with this definition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Holdings may divide and classify a Lien in more than one of the types of Permitted Liens in one of the above clauses.</w:t>
      </w:r>
    </w:p>
    <w:p>
      <w:pPr>
        <w:spacing w:after="0" w:line="146"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Pari Passu Secured Refinancing Debt</w:t>
      </w:r>
      <w:r>
        <w:rPr>
          <w:rFonts w:ascii="Arial" w:cs="Arial" w:eastAsia="Arial" w:hAnsi="Arial"/>
          <w:sz w:val="16"/>
          <w:szCs w:val="16"/>
          <w:color w:val="auto"/>
        </w:rPr>
        <w:t>” means any secured Indebtedness incurred after the Closing Date by any Loan Party (and may in any case be co-borrowed or co-issued by any other Loan Party on a joint and several basis) in the form of one or more series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senior secured notes or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all or a portion of the Collateral on a pari passu basis with the Obligations and is not secured by any property or assets of Holdings or any Subsidiary other than the Collateral, (ii) such Indebtedness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constitutes Credit Agreement Refinancing Indebtedness, (iii) such Indebtedness does not mature or have scheduled amortization or scheduled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payments of principal prior to the maturity date of the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(iii) shall not apply to (x) Term A Facilities and (y) customary “bridge loan” facilities with a tenor of no longer than one year (provided that such facilities automatically convert or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exchange into long-term debt otherwise meeting the requirements of this clause (iii)), (iv) such Indebtedness is not guaranteed by any of Holdings’ Subsidiaries other than the Loan Parties and (v) a Designated Representative acting on behalf of the holders of such Indebtedness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shall have become party to or otherwise subject to the provisions of a First Lien Intercreditor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Indebtedness is the initial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Pari Passu Secured Refinancing Debt incurred after the Closing Date, then Holdings, the Borrowers, the Subsidiary Guarantors, the Administrative Agent, the Collateral Agent and the Designated Representative for such Indebtedness shall have executed and delivered a</w:t>
      </w:r>
    </w:p>
    <w:p>
      <w:pPr>
        <w:spacing w:after="0" w:line="227" w:lineRule="auto"/>
        <w:rPr>
          <w:sz w:val="20"/>
          <w:szCs w:val="20"/>
          <w:color w:val="auto"/>
        </w:rPr>
      </w:pPr>
      <w:r>
        <w:rPr>
          <w:rFonts w:ascii="Arial" w:cs="Arial" w:eastAsia="Arial" w:hAnsi="Arial"/>
          <w:sz w:val="20"/>
          <w:szCs w:val="20"/>
          <w:color w:val="auto"/>
        </w:rPr>
        <w:t>First Lien Intercreditor Agreement. Permitted Pari Passu Secured Refinancing Debt will include any Registered Equivalent Notes issued in exchange therefor.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any Indebtedness issued in exchange for, or the net proceeds of which are used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Permitted Refinancing Indebtedness does not exceed the principal amount (or accreted value, if</w:t>
      </w:r>
    </w:p>
    <w:p>
      <w:pPr>
        <w:spacing w:after="0" w:line="236" w:lineRule="auto"/>
        <w:rPr>
          <w:sz w:val="20"/>
          <w:szCs w:val="20"/>
          <w:color w:val="auto"/>
        </w:rPr>
      </w:pPr>
      <w:r>
        <w:rPr>
          <w:rFonts w:ascii="Arial" w:cs="Arial" w:eastAsia="Arial" w:hAnsi="Arial"/>
          <w:sz w:val="18"/>
          <w:szCs w:val="18"/>
          <w:color w:val="auto"/>
        </w:rPr>
        <w:t>applicable) of the Indebtedness so refinanced (plus unpaid accrued interest and premium (including tender premium) thereon, any committed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undrawn amounts associated with, OID or upfront fees on, and underwriting discounts, fees, commissions and expenses incurred in connection with, such Permitted Refinancing Indebtedness), (b) the final maturity date of such Permitted Refinancing Indebtedness is no</w:t>
      </w:r>
    </w:p>
    <w:p>
      <w:pPr>
        <w:spacing w:after="0" w:line="236" w:lineRule="auto"/>
        <w:rPr>
          <w:sz w:val="20"/>
          <w:szCs w:val="20"/>
          <w:color w:val="auto"/>
        </w:rPr>
      </w:pPr>
      <w:r>
        <w:rPr>
          <w:rFonts w:ascii="Arial" w:cs="Arial" w:eastAsia="Arial" w:hAnsi="Arial"/>
          <w:sz w:val="18"/>
          <w:szCs w:val="18"/>
          <w:color w:val="auto"/>
        </w:rPr>
        <w:t>earlier than the maturity date for the Indebtedness being refinanced (it being understood that, in each case, any mandatory prepayment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provision or provision requiring an offer to purchase such Indebtedness as a result of a change of control, fundamental change, delisting, asset sale or similar provision or any Permitted Conversion Provisions shall not violate the foregoing restriction), (c) if the Indebtedness</w:t>
      </w:r>
    </w:p>
    <w:p>
      <w:pPr>
        <w:spacing w:after="0" w:line="224" w:lineRule="auto"/>
        <w:rPr>
          <w:sz w:val="20"/>
          <w:szCs w:val="20"/>
          <w:color w:val="auto"/>
        </w:rPr>
      </w:pPr>
      <w:r>
        <w:rPr>
          <w:rFonts w:ascii="Arial" w:cs="Arial" w:eastAsia="Arial" w:hAnsi="Arial"/>
          <w:sz w:val="19"/>
          <w:szCs w:val="19"/>
          <w:color w:val="auto"/>
        </w:rPr>
        <w:t>(including any Guarantee thereof) being refinanced is by its terms subordinated in right of payment to the Secured Obligations, such</w:t>
      </w:r>
    </w:p>
    <w:p>
      <w:pPr>
        <w:spacing w:after="0" w:line="255" w:lineRule="auto"/>
        <w:rPr>
          <w:sz w:val="20"/>
          <w:szCs w:val="20"/>
          <w:color w:val="auto"/>
        </w:rPr>
      </w:pPr>
      <w:r>
        <w:rPr>
          <w:rFonts w:ascii="Arial" w:cs="Arial" w:eastAsia="Arial" w:hAnsi="Arial"/>
          <w:sz w:val="16"/>
          <w:szCs w:val="16"/>
          <w:color w:val="auto"/>
        </w:rPr>
        <w:t>Permitted Refinancing Indebtedness (including any Guarantee thereof) shall be subordinated in right of payment to the Secured Obligations on terms at least as favorable to the Lenders as those contained in the documentation governing the Indebtedness being refinanced, taken as a</w:t>
      </w:r>
    </w:p>
    <w:p>
      <w:pPr>
        <w:spacing w:after="0" w:line="235" w:lineRule="auto"/>
        <w:rPr>
          <w:sz w:val="20"/>
          <w:szCs w:val="20"/>
          <w:color w:val="auto"/>
        </w:rPr>
      </w:pPr>
      <w:r>
        <w:rPr>
          <w:rFonts w:ascii="Arial" w:cs="Arial" w:eastAsia="Arial" w:hAnsi="Arial"/>
          <w:sz w:val="18"/>
          <w:szCs w:val="18"/>
          <w:color w:val="auto"/>
        </w:rPr>
        <w:t>whole (as determined in good faith by the Board of Directors of Holdings), (d) such Permitted Refinancing Indebtedness contains mandatory</w:t>
      </w:r>
    </w:p>
    <w:p>
      <w:pPr>
        <w:spacing w:after="0" w:line="226" w:lineRule="auto"/>
        <w:rPr>
          <w:sz w:val="20"/>
          <w:szCs w:val="20"/>
          <w:color w:val="auto"/>
        </w:rPr>
      </w:pPr>
      <w:r>
        <w:rPr>
          <w:rFonts w:ascii="Arial" w:cs="Arial" w:eastAsia="Arial" w:hAnsi="Arial"/>
          <w:sz w:val="18"/>
          <w:szCs w:val="18"/>
          <w:color w:val="auto"/>
        </w:rPr>
        <w:t>prepayment or redemption (or similar provisions), if any, covenants, if any, and events of default, if any, and is benefited by guarantees, if any, which are customary for Indebtedness of such type (reasonably determined in good faith by the Board of Directors of Holdings), (e) no</w:t>
      </w:r>
    </w:p>
    <w:p>
      <w:pPr>
        <w:spacing w:after="0" w:line="236" w:lineRule="auto"/>
        <w:rPr>
          <w:sz w:val="20"/>
          <w:szCs w:val="20"/>
          <w:color w:val="auto"/>
        </w:rPr>
      </w:pPr>
      <w:r>
        <w:rPr>
          <w:rFonts w:ascii="Arial" w:cs="Arial" w:eastAsia="Arial" w:hAnsi="Arial"/>
          <w:sz w:val="18"/>
          <w:szCs w:val="18"/>
          <w:color w:val="auto"/>
        </w:rPr>
        <w:t>Permitted Refinancing Indebtedness shall have direct obligors or contingent obligors that were not the direct obligors or contingent obligors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 that would not have been required to become direct obligors or contingent obligors) in respect of the Indebtedness being refinanced, (f) if the Indebtedness being refinanced is secured, such Permitted Refinancing Indebtedness may be secured on terms no less favorable, taken as a</w:t>
      </w:r>
    </w:p>
    <w:p>
      <w:pPr>
        <w:spacing w:after="0" w:line="235" w:lineRule="auto"/>
        <w:rPr>
          <w:sz w:val="20"/>
          <w:szCs w:val="20"/>
          <w:color w:val="auto"/>
        </w:rPr>
      </w:pPr>
      <w:r>
        <w:rPr>
          <w:rFonts w:ascii="Arial" w:cs="Arial" w:eastAsia="Arial" w:hAnsi="Arial"/>
          <w:sz w:val="18"/>
          <w:szCs w:val="18"/>
          <w:color w:val="auto"/>
        </w:rPr>
        <w:t>whole, to the Secured Parties than those contained in the documentation (including any intercreditor agreement) governing the Indebtedness</w:t>
      </w:r>
    </w:p>
    <w:p>
      <w:pPr>
        <w:spacing w:after="0" w:line="226" w:lineRule="auto"/>
        <w:rPr>
          <w:sz w:val="20"/>
          <w:szCs w:val="20"/>
          <w:color w:val="auto"/>
        </w:rPr>
      </w:pPr>
      <w:r>
        <w:rPr>
          <w:rFonts w:ascii="Arial" w:cs="Arial" w:eastAsia="Arial" w:hAnsi="Arial"/>
          <w:sz w:val="18"/>
          <w:szCs w:val="18"/>
          <w:color w:val="auto"/>
        </w:rPr>
        <w:t>being refinanced (as determined in good faith by the Board of Directors of Holdings) and (g) if the Indebtedness being refinanced was subject to an Intercreditor Agreement, and if the respective Permitted Refinancing Indebtedness is to be secured by the Collateral, the Permitted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Refinancing Indebtedness shall likewise be subject to an appropriate Intercreditor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Refinancing Debt</w:t>
      </w:r>
      <w:r>
        <w:rPr>
          <w:rFonts w:ascii="Arial" w:cs="Arial" w:eastAsia="Arial" w:hAnsi="Arial"/>
          <w:sz w:val="16"/>
          <w:szCs w:val="16"/>
          <w:color w:val="auto"/>
        </w:rPr>
        <w:t>” means any unsecured Indebtedness incurred after the Closing Date by any Loan Party (and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may in any case be co-borrowed or co-issued by any other Loan Party on a joint and several basis) in the form of one or more series of unsecured notes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not secured by any property or assets of Holdings or any Subsidiary, (ii)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Indebtedness constitutes Credit Agreement Refinancing Indebtedness, (iii) such Indebtedness does not mature or have scheduled amortization</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scheduled payments of principal prior to the maturity date of the Refinanced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(iii) shall not apply to customary “bridge loan” facilities with a tenor of no longer than one year (provided that such facilities automatically convert or exchange</w:t>
      </w:r>
    </w:p>
    <w:p>
      <w:pPr>
        <w:spacing w:after="0" w:line="236" w:lineRule="auto"/>
        <w:rPr>
          <w:sz w:val="20"/>
          <w:szCs w:val="20"/>
          <w:color w:val="auto"/>
        </w:rPr>
      </w:pPr>
      <w:r>
        <w:rPr>
          <w:rFonts w:ascii="Arial" w:cs="Arial" w:eastAsia="Arial" w:hAnsi="Arial"/>
          <w:sz w:val="18"/>
          <w:szCs w:val="18"/>
          <w:color w:val="auto"/>
        </w:rPr>
        <w:t>into long-term debt otherwise meeting the requirements of this clause (iii)), and (iv) such Indebtedness is not guaranteed by any of Holdings’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Subsidiaries other than the Loan Parties. Permitted Unsecured Refinancing Debt will include any Registered Equivalent Notes issued in exchange therefor.</w:t>
      </w:r>
    </w:p>
    <w:p>
      <w:pPr>
        <w:spacing w:after="0" w:line="156"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Sections 412 or 430 of the Code or Sections 302 or 303 of ERISA, and in respect of which Holdings or any ERISA Affiliate is (or, if such</w:t>
      </w:r>
    </w:p>
    <w:p>
      <w:pPr>
        <w:spacing w:after="0"/>
        <w:rPr>
          <w:sz w:val="20"/>
          <w:szCs w:val="20"/>
          <w:color w:val="auto"/>
        </w:rPr>
      </w:pPr>
      <w:r>
        <w:rPr>
          <w:rFonts w:ascii="Arial" w:cs="Arial" w:eastAsia="Arial" w:hAnsi="Arial"/>
          <w:sz w:val="19"/>
          <w:szCs w:val="19"/>
          <w:color w:val="auto"/>
        </w:rPr>
        <w:t>plan were terminated, would under Section 4069 of ERISA be deemed to be) an “employer” as defined in Section 3(5) of ERISA.</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has the meaning assigned to such term in the final paragraph of Section 5.01.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Pounds Sterling</w:t>
      </w:r>
      <w:r>
        <w:rPr>
          <w:rFonts w:ascii="Arial" w:cs="Arial" w:eastAsia="Arial" w:hAnsi="Arial"/>
          <w:sz w:val="20"/>
          <w:szCs w:val="20"/>
          <w:color w:val="auto"/>
        </w:rPr>
        <w:t>” means the lawful currency of the United Kingdom.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Equity</w:t>
      </w:r>
      <w:r>
        <w:rPr>
          <w:rFonts w:ascii="Arial" w:cs="Arial" w:eastAsia="Arial" w:hAnsi="Arial"/>
          <w:sz w:val="19"/>
          <w:szCs w:val="19"/>
          <w:color w:val="auto"/>
        </w:rPr>
        <w:t>” means, with respect to the Equity Interests of any Person, Equity Interests of any class of classes (however</w:t>
      </w:r>
    </w:p>
    <w:p>
      <w:pPr>
        <w:spacing w:after="0" w:line="232" w:lineRule="auto"/>
        <w:rPr>
          <w:sz w:val="20"/>
          <w:szCs w:val="20"/>
          <w:color w:val="auto"/>
        </w:rPr>
      </w:pPr>
      <w:r>
        <w:rPr>
          <w:rFonts w:ascii="Arial" w:cs="Arial" w:eastAsia="Arial" w:hAnsi="Arial"/>
          <w:sz w:val="19"/>
          <w:szCs w:val="19"/>
          <w:color w:val="auto"/>
        </w:rPr>
        <w:t>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Event</w:t>
      </w:r>
      <w:r>
        <w:rPr>
          <w:rFonts w:ascii="Arial" w:cs="Arial" w:eastAsia="Arial" w:hAnsi="Arial"/>
          <w:sz w:val="20"/>
          <w:szCs w:val="20"/>
          <w:color w:val="auto"/>
        </w:rPr>
        <w:t>” means:</w:t>
      </w:r>
    </w:p>
    <w:p>
      <w:pPr>
        <w:spacing w:after="0" w:line="162" w:lineRule="exact"/>
        <w:rPr>
          <w:sz w:val="20"/>
          <w:szCs w:val="20"/>
          <w:color w:val="auto"/>
        </w:rPr>
      </w:pPr>
    </w:p>
    <w:p>
      <w:pPr>
        <w:jc w:val="both"/>
        <w:ind w:firstLine="656"/>
        <w:spacing w:after="0" w:line="220" w:lineRule="auto"/>
        <w:tabs>
          <w:tab w:leader="none" w:pos="94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any Asset Sale (other than </w:t>
      </w:r>
      <w:r>
        <w:rPr>
          <w:rFonts w:ascii="Arial" w:cs="Arial" w:eastAsia="Arial" w:hAnsi="Arial"/>
          <w:sz w:val="20"/>
          <w:szCs w:val="20"/>
          <w:color w:val="FF0000"/>
          <w:strike w:val="1"/>
        </w:rPr>
        <w:t>(x) Asset Sales resulting in</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Net Proceeds </w:t>
      </w:r>
      <w:r>
        <w:rPr>
          <w:rFonts w:ascii="Arial" w:cs="Arial" w:eastAsia="Arial" w:hAnsi="Arial"/>
          <w:sz w:val="20"/>
          <w:szCs w:val="20"/>
          <w:color w:val="FF0000"/>
          <w:strike w:val="1"/>
        </w:rPr>
        <w:t>that,</w:t>
      </w:r>
      <w:r>
        <w:rPr>
          <w:rFonts w:ascii="Arial" w:cs="Arial" w:eastAsia="Arial" w:hAnsi="Arial"/>
          <w:sz w:val="20"/>
          <w:szCs w:val="20"/>
          <w:u w:val="single" w:color="auto"/>
          <w:color w:val="0000FF"/>
        </w:rPr>
        <w:t>which</w:t>
      </w:r>
      <w:r>
        <w:rPr>
          <w:rFonts w:ascii="Arial" w:cs="Arial" w:eastAsia="Arial" w:hAnsi="Arial"/>
          <w:sz w:val="20"/>
          <w:szCs w:val="20"/>
          <w:color w:val="auto"/>
        </w:rPr>
        <w:t xml:space="preserve"> together with the aggregate amount of Net Proceeds received from all </w:t>
      </w:r>
      <w:r>
        <w:rPr>
          <w:rFonts w:ascii="Arial" w:cs="Arial" w:eastAsia="Arial" w:hAnsi="Arial"/>
          <w:sz w:val="20"/>
          <w:szCs w:val="20"/>
          <w:u w:val="single" w:color="auto"/>
          <w:color w:val="0000FF"/>
        </w:rPr>
        <w:t>such sales, transfers or</w:t>
      </w:r>
      <w:r>
        <w:rPr>
          <w:rFonts w:ascii="Arial" w:cs="Arial" w:eastAsia="Arial" w:hAnsi="Arial"/>
          <w:sz w:val="20"/>
          <w:szCs w:val="20"/>
          <w:color w:val="auto"/>
        </w:rPr>
        <w:t xml:space="preserve"> other </w:t>
      </w:r>
      <w:r>
        <w:rPr>
          <w:rFonts w:ascii="Arial" w:cs="Arial" w:eastAsia="Arial" w:hAnsi="Arial"/>
          <w:sz w:val="20"/>
          <w:szCs w:val="20"/>
          <w:color w:val="FF0000"/>
          <w:strike w:val="1"/>
        </w:rPr>
        <w:t>Asset Sales</w:t>
      </w:r>
      <w:r>
        <w:rPr>
          <w:rFonts w:ascii="Arial" w:cs="Arial" w:eastAsia="Arial" w:hAnsi="Arial"/>
          <w:sz w:val="20"/>
          <w:szCs w:val="20"/>
          <w:u w:val="single" w:color="auto"/>
          <w:color w:val="0000FF"/>
        </w:rPr>
        <w:t>dispositions (x)</w:t>
      </w:r>
      <w:r>
        <w:rPr>
          <w:rFonts w:ascii="Arial" w:cs="Arial" w:eastAsia="Arial" w:hAnsi="Arial"/>
          <w:sz w:val="20"/>
          <w:szCs w:val="20"/>
          <w:color w:val="auto"/>
        </w:rPr>
        <w:t xml:space="preserve"> occurring in the same fiscal year of Holdings, do not exceed $100,000,000 or (y) </w:t>
      </w:r>
      <w:r>
        <w:rPr>
          <w:rFonts w:ascii="Arial" w:cs="Arial" w:eastAsia="Arial" w:hAnsi="Arial"/>
          <w:sz w:val="20"/>
          <w:szCs w:val="20"/>
          <w:u w:val="single" w:color="auto"/>
          <w:color w:val="0000FF"/>
        </w:rPr>
        <w:t>with respect to</w:t>
      </w:r>
      <w:r>
        <w:rPr>
          <w:rFonts w:ascii="Arial" w:cs="Arial" w:eastAsia="Arial" w:hAnsi="Arial"/>
          <w:sz w:val="20"/>
          <w:szCs w:val="20"/>
          <w:color w:val="auto"/>
        </w:rPr>
        <w:t xml:space="preserve"> any individual </w:t>
      </w:r>
      <w:r>
        <w:rPr>
          <w:rFonts w:ascii="Arial" w:cs="Arial" w:eastAsia="Arial" w:hAnsi="Arial"/>
          <w:sz w:val="20"/>
          <w:szCs w:val="20"/>
          <w:color w:val="FF0000"/>
          <w:strike w:val="1"/>
        </w:rPr>
        <w:t>Asset Sale resulting in Net Proceeds that</w:t>
      </w:r>
      <w:r>
        <w:rPr>
          <w:rFonts w:ascii="Arial" w:cs="Arial" w:eastAsia="Arial" w:hAnsi="Arial"/>
          <w:sz w:val="20"/>
          <w:szCs w:val="20"/>
          <w:u w:val="single" w:color="auto"/>
          <w:color w:val="0000FF"/>
        </w:rPr>
        <w:t>transaction,</w:t>
      </w:r>
      <w:r>
        <w:rPr>
          <w:rFonts w:ascii="Arial" w:cs="Arial" w:eastAsia="Arial" w:hAnsi="Arial"/>
          <w:sz w:val="20"/>
          <w:szCs w:val="20"/>
          <w:color w:val="auto"/>
        </w:rPr>
        <w:t xml:space="preserve"> do not exceed $25,000,000) or;</w:t>
      </w:r>
    </w:p>
    <w:p>
      <w:pPr>
        <w:spacing w:after="0" w:line="142" w:lineRule="exact"/>
        <w:rPr>
          <w:rFonts w:ascii="Arial" w:cs="Arial" w:eastAsia="Arial" w:hAnsi="Arial"/>
          <w:sz w:val="20"/>
          <w:szCs w:val="20"/>
          <w:color w:val="auto"/>
        </w:rPr>
      </w:pPr>
    </w:p>
    <w:p>
      <w:pPr>
        <w:jc w:val="both"/>
        <w:ind w:firstLine="656"/>
        <w:spacing w:after="0" w:line="239" w:lineRule="auto"/>
        <w:tabs>
          <w:tab w:leader="none" w:pos="93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any casualty or other insured damage to, or any taking under power of eminent domain or by condemnation or similar proceeding of, any property or asset of Holdings or any Restricted Subsidiary with a fair market value immediately prior to such event greater than (x) $100,000,000 in any fiscal year of Holdings or (y) $25,000,000 with respect to any individual event; or</w:t>
      </w:r>
    </w:p>
    <w:p>
      <w:pPr>
        <w:spacing w:after="0" w:line="143" w:lineRule="exact"/>
        <w:rPr>
          <w:rFonts w:ascii="Arial" w:cs="Arial" w:eastAsia="Arial" w:hAnsi="Arial"/>
          <w:sz w:val="19"/>
          <w:szCs w:val="19"/>
          <w:color w:val="auto"/>
        </w:rPr>
      </w:pPr>
    </w:p>
    <w:p>
      <w:pPr>
        <w:ind w:firstLine="656"/>
        <w:spacing w:after="0" w:line="236" w:lineRule="auto"/>
        <w:tabs>
          <w:tab w:leader="none" w:pos="94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the incurrence by Holdings or any Restricted Subsidiary of any Indebtedness, other than Indebtedness permitted under Section 6.01 or permitted by the Required Lenders pursuant to Section 9.02.</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per annum publicly announced from time to time by Citibank, N.A. as its prime rate in effect</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at its principal office in New York City; each change in the Prime Rate shall be effective from and including the date such change is publicly announced as being effective.</w:t>
      </w:r>
    </w:p>
    <w:p>
      <w:pPr>
        <w:spacing w:after="0" w:line="14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and “</w:t>
      </w:r>
      <w:r>
        <w:rPr>
          <w:rFonts w:ascii="Arial" w:cs="Arial" w:eastAsia="Arial" w:hAnsi="Arial"/>
          <w:sz w:val="20"/>
          <w:szCs w:val="20"/>
          <w:u w:val="single" w:color="auto"/>
          <w:color w:val="auto"/>
        </w:rPr>
        <w:t>Pro Forma Effect</w:t>
      </w:r>
      <w:r>
        <w:rPr>
          <w:rFonts w:ascii="Arial" w:cs="Arial" w:eastAsia="Arial" w:hAnsi="Arial"/>
          <w:sz w:val="20"/>
          <w:szCs w:val="20"/>
          <w:color w:val="auto"/>
        </w:rPr>
        <w:t>” mean, with respect to compliance with any test or covenant or calculation of any ratio hereunder, the determination or calculation of such test, covenant or ratio (including in connection with Specified Transactions) in accordance with Section 1.07.</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Synergies</w:t>
      </w:r>
      <w:r>
        <w:rPr>
          <w:rFonts w:ascii="Arial" w:cs="Arial" w:eastAsia="Arial" w:hAnsi="Arial"/>
          <w:sz w:val="20"/>
          <w:szCs w:val="20"/>
          <w:color w:val="auto"/>
        </w:rPr>
        <w:t>” has the meaning assigned to such term in the definition of “Consolidated EBITDA”.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Process Agent</w:t>
      </w:r>
      <w:r>
        <w:rPr>
          <w:rFonts w:ascii="Arial" w:cs="Arial" w:eastAsia="Arial" w:hAnsi="Arial"/>
          <w:sz w:val="20"/>
          <w:szCs w:val="20"/>
          <w:color w:val="auto"/>
        </w:rPr>
        <w:t>” has the meaning assigned to such term in Section 9.09(e).</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has the meaning assigned to such term in the final paragraph of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Offer</w:t>
      </w:r>
      <w:r>
        <w:rPr>
          <w:rFonts w:ascii="Arial" w:cs="Arial" w:eastAsia="Arial" w:hAnsi="Arial"/>
          <w:sz w:val="20"/>
          <w:szCs w:val="20"/>
          <w:color w:val="auto"/>
        </w:rPr>
        <w:t>” has the meaning assigned to such term in Section 2.23(a).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Purchasing Borrower Party</w:t>
      </w:r>
      <w:r>
        <w:rPr>
          <w:rFonts w:ascii="Arial" w:cs="Arial" w:eastAsia="Arial" w:hAnsi="Arial"/>
          <w:sz w:val="20"/>
          <w:szCs w:val="20"/>
          <w:color w:val="auto"/>
        </w:rPr>
        <w:t>” means any Borrower that desires to effect a Purchase Offer pursuant to Section 2.23.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has the meaning assigned to such term in Section 9.20.</w:t>
      </w:r>
    </w:p>
    <w:p>
      <w:pPr>
        <w:spacing w:after="0" w:line="17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Guarantor that has total assets exceeding $10,000,000 at the time the relevant Guarantee or grant of the relevant security interest becomes effective with respect to such Swap Obligation or such other</w:t>
      </w:r>
    </w:p>
    <w:p>
      <w:pPr>
        <w:spacing w:after="0" w:line="236" w:lineRule="auto"/>
        <w:rPr>
          <w:sz w:val="20"/>
          <w:szCs w:val="20"/>
          <w:color w:val="auto"/>
        </w:rPr>
      </w:pPr>
      <w:r>
        <w:rPr>
          <w:rFonts w:ascii="Arial" w:cs="Arial" w:eastAsia="Arial" w:hAnsi="Arial"/>
          <w:sz w:val="18"/>
          <w:szCs w:val="18"/>
          <w:color w:val="auto"/>
        </w:rPr>
        <w:t>person as constitutes an “eligible contract participant” under the Commodity Exchange Act or any regulations promulgated thereunder and</w:t>
      </w:r>
    </w:p>
    <w:p>
      <w:pPr>
        <w:ind w:right="20"/>
        <w:spacing w:after="0" w:line="220" w:lineRule="auto"/>
        <w:rPr>
          <w:sz w:val="20"/>
          <w:szCs w:val="20"/>
          <w:color w:val="auto"/>
        </w:rPr>
      </w:pPr>
      <w:r>
        <w:rPr>
          <w:rFonts w:ascii="Arial" w:cs="Arial" w:eastAsia="Arial" w:hAnsi="Arial"/>
          <w:sz w:val="20"/>
          <w:szCs w:val="20"/>
          <w:color w:val="auto"/>
        </w:rPr>
        <w:t>can cause another person to qualify as an “eligible contract participant” at such time by entering into a keepwell under Section 1a(18)(A)(v) (II) of the Commodity Exchange Act.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any Equity Interest that are not Disqualified Equity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Receivables Factoring</w:t>
      </w:r>
      <w:r>
        <w:rPr>
          <w:rFonts w:ascii="Arial" w:cs="Arial" w:eastAsia="Arial" w:hAnsi="Arial"/>
          <w:sz w:val="19"/>
          <w:szCs w:val="19"/>
          <w:color w:val="auto"/>
        </w:rPr>
        <w:t>” means any transaction or series of transactions that may be entered into by Holdings or any</w:t>
      </w:r>
    </w:p>
    <w:p>
      <w:pPr>
        <w:spacing w:after="0" w:line="226" w:lineRule="auto"/>
        <w:rPr>
          <w:sz w:val="20"/>
          <w:szCs w:val="20"/>
          <w:color w:val="auto"/>
        </w:rPr>
      </w:pPr>
      <w:r>
        <w:rPr>
          <w:rFonts w:ascii="Arial" w:cs="Arial" w:eastAsia="Arial" w:hAnsi="Arial"/>
          <w:sz w:val="18"/>
          <w:szCs w:val="18"/>
          <w:color w:val="auto"/>
        </w:rPr>
        <w:t>Restricted Subsidiary pursuant to which Holdings or such Subsidiary may sell, convey, assign or otherwise transfer Securitization Assets (which may include a backup or precautionary grant of security interest in such Securitization Assets so sold, conveyed, assigned or</w:t>
      </w:r>
    </w:p>
    <w:p>
      <w:pPr>
        <w:spacing w:after="0" w:line="236" w:lineRule="auto"/>
        <w:rPr>
          <w:sz w:val="20"/>
          <w:szCs w:val="20"/>
          <w:color w:val="auto"/>
        </w:rPr>
      </w:pPr>
      <w:r>
        <w:rPr>
          <w:rFonts w:ascii="Arial" w:cs="Arial" w:eastAsia="Arial" w:hAnsi="Arial"/>
          <w:sz w:val="18"/>
          <w:szCs w:val="18"/>
          <w:color w:val="auto"/>
        </w:rPr>
        <w:t>otherwise transferred or purported to be so sold, conveyed, assigned or otherwise transferred) to any Person other than a Securitization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Subsidiary, which may include Standard Securitization Undertakings. The grant of a security interest in any accounts receivable of Holdings or any of its Restricted Subsidiaries to secure the Obligations shall not be deemed to be a Qualified Receivables Factoring.</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Securitization Financing</w:t>
      </w:r>
      <w:r>
        <w:rPr>
          <w:rFonts w:ascii="Arial" w:cs="Arial" w:eastAsia="Arial" w:hAnsi="Arial"/>
          <w:sz w:val="18"/>
          <w:szCs w:val="18"/>
          <w:color w:val="auto"/>
        </w:rPr>
        <w:t>” means any Securitization Financing of a Securitization Subsidiary that meets the following conditions: (a) such Qualified Securitization Financing (including financing terms, covenants, termination events and other provisions) is in</w:t>
      </w:r>
    </w:p>
    <w:p>
      <w:pPr>
        <w:spacing w:after="0"/>
        <w:rPr>
          <w:sz w:val="20"/>
          <w:szCs w:val="20"/>
          <w:color w:val="auto"/>
        </w:rPr>
      </w:pPr>
      <w:r>
        <w:rPr>
          <w:rFonts w:ascii="Arial" w:cs="Arial" w:eastAsia="Arial" w:hAnsi="Arial"/>
          <w:sz w:val="16"/>
          <w:szCs w:val="16"/>
          <w:color w:val="auto"/>
        </w:rPr>
        <w:t>the aggregate economically fair and reasonable to Holdings and the Securitization Subsidiary as determined by Holdings in good faith and (b)</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sales and/or contributions of Securitization Assets and related assets to the Securitization Subsidiary are made at fair market value as determined by Holdings in good faith. The grant of a security interest in any Securitization Assets of Holdings or any of the Restricted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Subsidiaries (other than a Securitization Subsidiary) to secure Indebtedness under this Agreement prior to engaging in any Securitization Financing shall not be deemed a Qualified Securitization Financing.</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with respect to any Eurocurrency Borrowing and any Interest Period, the Business Day on which it is market practice in the London interbank market for the Administrative Agent to give quotations for deposits in the Agreed Currency of such</w:t>
      </w:r>
    </w:p>
    <w:p>
      <w:pPr>
        <w:spacing w:after="0"/>
        <w:rPr>
          <w:sz w:val="20"/>
          <w:szCs w:val="20"/>
          <w:color w:val="auto"/>
        </w:rPr>
      </w:pPr>
      <w:r>
        <w:rPr>
          <w:rFonts w:ascii="Arial" w:cs="Arial" w:eastAsia="Arial" w:hAnsi="Arial"/>
          <w:sz w:val="20"/>
          <w:szCs w:val="20"/>
          <w:color w:val="auto"/>
        </w:rPr>
        <w:t>Eurocurrency Borrowing for delivery on the first day of such Interest Period.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Ratio Debt</w:t>
      </w:r>
      <w:r>
        <w:rPr>
          <w:rFonts w:ascii="Arial" w:cs="Arial" w:eastAsia="Arial" w:hAnsi="Arial"/>
          <w:sz w:val="20"/>
          <w:szCs w:val="20"/>
          <w:color w:val="auto"/>
        </w:rPr>
        <w:t>” means Indebtedness incurred pursuant to Section 6.01(a).</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Repurchase Obligation</w:t>
      </w:r>
      <w:r>
        <w:rPr>
          <w:rFonts w:ascii="Arial" w:cs="Arial" w:eastAsia="Arial" w:hAnsi="Arial"/>
          <w:sz w:val="18"/>
          <w:szCs w:val="18"/>
          <w:color w:val="auto"/>
        </w:rPr>
        <w:t>” means any obligation of a seller of receivables in a Qualified Receivables Factoring or Qualified Securitization Financing to repurchase receivables arising as a result of a breach of a representation, warranty or covenant or</w:t>
      </w:r>
    </w:p>
    <w:p>
      <w:pPr>
        <w:spacing w:after="0"/>
        <w:rPr>
          <w:sz w:val="20"/>
          <w:szCs w:val="20"/>
          <w:color w:val="auto"/>
        </w:rPr>
      </w:pPr>
      <w:r>
        <w:rPr>
          <w:rFonts w:ascii="Arial" w:cs="Arial" w:eastAsia="Arial" w:hAnsi="Arial"/>
          <w:sz w:val="16"/>
          <w:szCs w:val="16"/>
          <w:color w:val="auto"/>
        </w:rPr>
        <w:t>otherwise, including as a result of a receivable or portion thereof becoming subject to any asserted defense, dispute, off-set or counterclaim of</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any kind as a result of any action taken by, any failure to take action by or any other event relating to the seller, in each case, that are customary (as determined in good faith by Holdings) for non-recourse receivables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3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Refinanced Debt</w:t>
      </w:r>
      <w:r>
        <w:rPr>
          <w:rFonts w:ascii="Arial" w:cs="Arial" w:eastAsia="Arial" w:hAnsi="Arial"/>
          <w:sz w:val="19"/>
          <w:szCs w:val="19"/>
          <w:color w:val="auto"/>
        </w:rPr>
        <w:t>” has the meaning assigned to such term in the definition of “Credit Agreement Refinancing Indebtedness”.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the repayment in full of, and the termination of any commitment to make extensions of credit, all indebtedness (other than contingent obligations not then due and that by their terms expressly survive the termination of the foregoing) outstanding under</w:t>
      </w:r>
    </w:p>
    <w:p>
      <w:pPr>
        <w:ind w:right="20" w:firstLine="8"/>
        <w:spacing w:after="0" w:line="227" w:lineRule="auto"/>
        <w:tabs>
          <w:tab w:leader="none" w:pos="30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Existing Revolving Credit Agreement, (w) the Target Credit Agreement, (x) the Target Receivables Financing Agreement, (y) the Series A Notes and (z) the Series B Notes.</w:t>
      </w:r>
    </w:p>
    <w:p>
      <w:pPr>
        <w:spacing w:after="0" w:line="1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or an amendment and restatement of this Agreement in form and substance reasonably satisfactory to the Administrative Agent and the Borrowers executed by each of (a) Holdings, the Borrowers and the Subsidiary</w:t>
      </w:r>
    </w:p>
    <w:p>
      <w:pPr>
        <w:jc w:val="both"/>
        <w:spacing w:after="0" w:line="226" w:lineRule="auto"/>
        <w:rPr>
          <w:sz w:val="20"/>
          <w:szCs w:val="20"/>
          <w:color w:val="auto"/>
        </w:rPr>
      </w:pPr>
      <w:r>
        <w:rPr>
          <w:rFonts w:ascii="Arial" w:cs="Arial" w:eastAsia="Arial" w:hAnsi="Arial"/>
          <w:sz w:val="18"/>
          <w:szCs w:val="18"/>
          <w:color w:val="auto"/>
        </w:rPr>
        <w:t>Guarantors, (b) the Administrative Agent, (c) the Issuing Banks and the Swingline Lender (in the case of Other Refinancing Revolving Commitments or Other Refinancing Revolving Loans), and (d) each Refinancing Lender and Lender that agrees to provide any portion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Refinancing Indebtedness being incurred pursuant thereto, in accordance with Section 2.24.</w:t>
      </w:r>
    </w:p>
    <w:p>
      <w:pPr>
        <w:spacing w:after="0" w:line="1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Lender</w:t>
      </w:r>
      <w:r>
        <w:rPr>
          <w:rFonts w:ascii="Arial" w:cs="Arial" w:eastAsia="Arial" w:hAnsi="Arial"/>
          <w:sz w:val="18"/>
          <w:szCs w:val="18"/>
          <w:color w:val="auto"/>
        </w:rPr>
        <w:t>” means, at any time, any bank, insurance company, financial institution or institutional lender or Approved Fund (with respect to the foregoing) that, in any case, is not an existing Lender (and that is not Holdings or any of its Subsidiaries or</w:t>
      </w:r>
    </w:p>
    <w:p>
      <w:pPr>
        <w:jc w:val="both"/>
        <w:spacing w:after="0" w:line="226" w:lineRule="auto"/>
        <w:rPr>
          <w:sz w:val="20"/>
          <w:szCs w:val="20"/>
          <w:color w:val="auto"/>
        </w:rPr>
      </w:pPr>
      <w:r>
        <w:rPr>
          <w:rFonts w:ascii="Arial" w:cs="Arial" w:eastAsia="Arial" w:hAnsi="Arial"/>
          <w:sz w:val="18"/>
          <w:szCs w:val="18"/>
          <w:color w:val="auto"/>
        </w:rPr>
        <w:t xml:space="preserve">Affiliates) and that agrees to provide any portion of any Credit Agreement Refinancing Indebtedness pursuant to a Refinancing Amendment in accordance with Section 2.24;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Refinancing Lender (other than any Person that is a Lender, an Affiliate of a Lender or</w:t>
      </w:r>
    </w:p>
    <w:p>
      <w:pPr>
        <w:spacing w:after="0" w:line="236" w:lineRule="auto"/>
        <w:rPr>
          <w:sz w:val="20"/>
          <w:szCs w:val="20"/>
          <w:color w:val="auto"/>
        </w:rPr>
      </w:pPr>
      <w:r>
        <w:rPr>
          <w:rFonts w:ascii="Arial" w:cs="Arial" w:eastAsia="Arial" w:hAnsi="Arial"/>
          <w:sz w:val="18"/>
          <w:szCs w:val="18"/>
          <w:color w:val="auto"/>
        </w:rPr>
        <w:t>an Approved Fund of a Lender at such time) shall be subject to the approval of the Administrative Agent and the Issuing Banks and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Swingline Lender (in the case of Other Refinancing Revolving Commitments or Other Refinancing Revolving Loans) (such approval not to be unreasonably withheld or delayed), in each case to the extent any such consent would be required from the Administrative Agent and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Issuing Banks and the Swingline Lender (in the case of Other Refinancing Revolving Commitments or Other Refinancing Revolving Loans) under Section 9.04(b)(i) for an assignment of Loans or Commitments to such Refinancing Lender.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set forth in Section 9.04(b)(iv).</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Equivalent Notes</w:t>
      </w:r>
      <w:r>
        <w:rPr>
          <w:rFonts w:ascii="Arial" w:cs="Arial" w:eastAsia="Arial" w:hAnsi="Arial"/>
          <w:sz w:val="20"/>
          <w:szCs w:val="20"/>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44"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leaking, pumping, injection, deposit, disposal, dispersal, leaching or migration of Hazardous Materials into or through the environment (including, without limitation, ambient air, surface water, groundwater and</w:t>
      </w:r>
    </w:p>
    <w:p>
      <w:pPr>
        <w:spacing w:after="0"/>
        <w:rPr>
          <w:sz w:val="20"/>
          <w:szCs w:val="20"/>
          <w:color w:val="auto"/>
        </w:rPr>
      </w:pPr>
      <w:r>
        <w:rPr>
          <w:rFonts w:ascii="Arial" w:cs="Arial" w:eastAsia="Arial" w:hAnsi="Arial"/>
          <w:sz w:val="20"/>
          <w:szCs w:val="20"/>
          <w:color w:val="auto"/>
        </w:rPr>
        <w:t>surface or subsurface strata).</w:t>
      </w:r>
    </w:p>
    <w:p>
      <w:pPr>
        <w:spacing w:after="0" w:line="146"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(a) with respect to a USD Benchmark Replacement in respect of Dollars, the Board of Governors of the Federal Reserve System or the Federal Reserve Bank of New York, or a committee officially endorsed or convened by the</w:t>
      </w:r>
    </w:p>
    <w:p>
      <w:pPr>
        <w:jc w:val="both"/>
        <w:spacing w:after="0" w:line="226" w:lineRule="auto"/>
        <w:rPr>
          <w:sz w:val="20"/>
          <w:szCs w:val="20"/>
          <w:color w:val="auto"/>
        </w:rPr>
      </w:pPr>
      <w:r>
        <w:rPr>
          <w:rFonts w:ascii="Arial" w:cs="Arial" w:eastAsia="Arial" w:hAnsi="Arial"/>
          <w:sz w:val="18"/>
          <w:szCs w:val="18"/>
          <w:color w:val="auto"/>
        </w:rPr>
        <w:t>Board of Governors of the Federal Reserve System or the Federal Reserve Bank of New York, or any successor thereto. and (b) with respect to an Alternate Currency Benchmark Replacement in respect of any Alternate Currency, (1) the central bank for the currency in which such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amounts are denominated hereunder or any central bank or other supervisor which is responsible for supervising either (A) such </w:t>
      </w:r>
      <w:r>
        <w:rPr>
          <w:rFonts w:ascii="Arial" w:cs="Arial" w:eastAsia="Arial" w:hAnsi="Arial"/>
          <w:sz w:val="20"/>
          <w:szCs w:val="20"/>
          <w:color w:val="FF0000"/>
        </w:rPr>
        <w:t>USD</w:t>
      </w:r>
      <w:r>
        <w:rPr>
          <w:rFonts w:ascii="Arial" w:cs="Arial" w:eastAsia="Arial" w:hAnsi="Arial"/>
          <w:sz w:val="20"/>
          <w:szCs w:val="20"/>
          <w:color w:val="auto"/>
        </w:rPr>
        <w:t xml:space="preserve"> </w:t>
      </w:r>
      <w:r>
        <w:rPr>
          <w:rFonts w:ascii="Arial" w:cs="Arial" w:eastAsia="Arial" w:hAnsi="Arial"/>
          <w:sz w:val="20"/>
          <w:szCs w:val="20"/>
          <w:color w:val="FF0000"/>
          <w:strike w:val="1"/>
        </w:rPr>
        <w:t>Benchmark Replacement or</w:t>
      </w:r>
      <w:r>
        <w:rPr>
          <w:rFonts w:ascii="Arial" w:cs="Arial" w:eastAsia="Arial" w:hAnsi="Arial"/>
          <w:sz w:val="20"/>
          <w:szCs w:val="20"/>
          <w:color w:val="FF0000"/>
        </w:rPr>
        <w:t xml:space="preserve"> </w:t>
      </w:r>
      <w:r>
        <w:rPr>
          <w:rFonts w:ascii="Arial" w:cs="Arial" w:eastAsia="Arial" w:hAnsi="Arial"/>
          <w:sz w:val="20"/>
          <w:szCs w:val="20"/>
          <w:color w:val="000000"/>
        </w:rPr>
        <w:t>Alternate Currency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6824345</wp:posOffset>
            </wp:positionH>
            <wp:positionV relativeFrom="paragraph">
              <wp:posOffset>-206375</wp:posOffset>
            </wp:positionV>
            <wp:extent cx="3086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Replacement</w:t>
      </w:r>
      <w:r>
        <w:rPr>
          <w:rFonts w:ascii="Arial" w:cs="Arial" w:eastAsia="Arial" w:hAnsi="Arial"/>
          <w:sz w:val="18"/>
          <w:szCs w:val="18"/>
          <w:color w:val="FF0000"/>
          <w:strike w:val="1"/>
        </w:rPr>
        <w:t>, as applicable</w:t>
      </w:r>
      <w:r>
        <w:rPr>
          <w:rFonts w:ascii="Arial" w:cs="Arial" w:eastAsia="Arial" w:hAnsi="Arial"/>
          <w:sz w:val="18"/>
          <w:szCs w:val="18"/>
          <w:color w:val="auto"/>
        </w:rPr>
        <w:t xml:space="preserve"> or (B) the administrator of such </w:t>
      </w:r>
      <w:r>
        <w:rPr>
          <w:rFonts w:ascii="Arial" w:cs="Arial" w:eastAsia="Arial" w:hAnsi="Arial"/>
          <w:sz w:val="18"/>
          <w:szCs w:val="18"/>
          <w:color w:val="FF0000"/>
          <w:strike w:val="1"/>
        </w:rPr>
        <w:t>USD Benchmark Replacement or</w:t>
      </w:r>
      <w:r>
        <w:rPr>
          <w:rFonts w:ascii="Arial" w:cs="Arial" w:eastAsia="Arial" w:hAnsi="Arial"/>
          <w:sz w:val="18"/>
          <w:szCs w:val="18"/>
          <w:color w:val="auto"/>
        </w:rPr>
        <w:t xml:space="preserve"> Alternate Currency Benchmark Replacement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color w:val="FF0000"/>
          <w:strike w:val="1"/>
        </w:rPr>
        <w:t>as applicable</w:t>
      </w:r>
      <w:r>
        <w:rPr>
          <w:rFonts w:ascii="Arial" w:cs="Arial" w:eastAsia="Arial" w:hAnsi="Arial"/>
          <w:sz w:val="18"/>
          <w:szCs w:val="18"/>
          <w:color w:val="FF0000"/>
        </w:rPr>
        <w:t xml:space="preserve"> </w:t>
      </w:r>
      <w:r>
        <w:rPr>
          <w:rFonts w:ascii="Arial" w:cs="Arial" w:eastAsia="Arial" w:hAnsi="Arial"/>
          <w:sz w:val="18"/>
          <w:szCs w:val="18"/>
          <w:color w:val="000000"/>
        </w:rPr>
        <w:t>or (2) any working group or committee officially endorsed or convened by (A) the central bank for the currency in which such</w:t>
      </w:r>
    </w:p>
    <w:p>
      <w:pPr>
        <w:spacing w:after="0" w:line="222" w:lineRule="auto"/>
        <w:rPr>
          <w:sz w:val="20"/>
          <w:szCs w:val="20"/>
          <w:color w:val="auto"/>
        </w:rPr>
      </w:pPr>
      <w:r>
        <w:rPr>
          <w:rFonts w:ascii="Arial" w:cs="Arial" w:eastAsia="Arial" w:hAnsi="Arial"/>
          <w:sz w:val="19"/>
          <w:szCs w:val="19"/>
          <w:color w:val="auto"/>
        </w:rPr>
        <w:t xml:space="preserve">amounts are denominated, (B) any central bank or other supervisor that is responsible for supervising either (i) such </w:t>
      </w:r>
      <w:r>
        <w:rPr>
          <w:rFonts w:ascii="Arial" w:cs="Arial" w:eastAsia="Arial" w:hAnsi="Arial"/>
          <w:sz w:val="19"/>
          <w:szCs w:val="19"/>
          <w:color w:val="FF0000"/>
          <w:strike w:val="1"/>
        </w:rPr>
        <w:t>USD Benchmark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Replacement or</w:t>
      </w:r>
      <w:r>
        <w:rPr>
          <w:rFonts w:ascii="Arial" w:cs="Arial" w:eastAsia="Arial" w:hAnsi="Arial"/>
          <w:sz w:val="18"/>
          <w:szCs w:val="18"/>
          <w:color w:val="FF0000"/>
        </w:rPr>
        <w:t xml:space="preserve"> </w:t>
      </w:r>
      <w:r>
        <w:rPr>
          <w:rFonts w:ascii="Arial" w:cs="Arial" w:eastAsia="Arial" w:hAnsi="Arial"/>
          <w:sz w:val="18"/>
          <w:szCs w:val="18"/>
          <w:color w:val="000000"/>
        </w:rPr>
        <w:t>Alternate Currency Benchmark Replacement</w:t>
      </w:r>
      <w:r>
        <w:rPr>
          <w:rFonts w:ascii="Arial" w:cs="Arial" w:eastAsia="Arial" w:hAnsi="Arial"/>
          <w:sz w:val="18"/>
          <w:szCs w:val="18"/>
          <w:color w:val="FF0000"/>
          <w:strike w:val="1"/>
        </w:rPr>
        <w:t>, as applicable</w:t>
      </w:r>
      <w:r>
        <w:rPr>
          <w:rFonts w:ascii="Arial" w:cs="Arial" w:eastAsia="Arial" w:hAnsi="Arial"/>
          <w:sz w:val="18"/>
          <w:szCs w:val="18"/>
          <w:color w:val="FF0000"/>
        </w:rPr>
        <w:t xml:space="preserve"> </w:t>
      </w:r>
      <w:r>
        <w:rPr>
          <w:rFonts w:ascii="Arial" w:cs="Arial" w:eastAsia="Arial" w:hAnsi="Arial"/>
          <w:sz w:val="18"/>
          <w:szCs w:val="18"/>
          <w:color w:val="000000"/>
        </w:rPr>
        <w:t>or (ii) the administrator of such</w:t>
      </w:r>
      <w:r>
        <w:rPr>
          <w:rFonts w:ascii="Arial" w:cs="Arial" w:eastAsia="Arial" w:hAnsi="Arial"/>
          <w:sz w:val="18"/>
          <w:szCs w:val="18"/>
          <w:color w:val="FF0000"/>
        </w:rPr>
        <w:t xml:space="preserve"> </w:t>
      </w:r>
      <w:r>
        <w:rPr>
          <w:rFonts w:ascii="Arial" w:cs="Arial" w:eastAsia="Arial" w:hAnsi="Arial"/>
          <w:sz w:val="18"/>
          <w:szCs w:val="18"/>
          <w:color w:val="FF0000"/>
          <w:strike w:val="1"/>
        </w:rPr>
        <w:t>USD Benchmark Replacement or</w:t>
      </w:r>
      <w:r>
        <w:rPr>
          <w:rFonts w:ascii="Arial" w:cs="Arial" w:eastAsia="Arial" w:hAnsi="Arial"/>
          <w:sz w:val="18"/>
          <w:szCs w:val="18"/>
          <w:color w:val="FF0000"/>
        </w:rPr>
        <w:t xml:space="preserve"> </w:t>
      </w:r>
      <w:r>
        <w:rPr>
          <w:rFonts w:ascii="Arial" w:cs="Arial" w:eastAsia="Arial" w:hAnsi="Arial"/>
          <w:sz w:val="18"/>
          <w:szCs w:val="18"/>
          <w:color w:val="000000"/>
        </w:rPr>
        <w:t>Alternate Currency Benchmark Replacement</w:t>
      </w:r>
      <w:r>
        <w:rPr>
          <w:rFonts w:ascii="Arial" w:cs="Arial" w:eastAsia="Arial" w:hAnsi="Arial"/>
          <w:sz w:val="18"/>
          <w:szCs w:val="18"/>
          <w:color w:val="FF0000"/>
          <w:strike w:val="1"/>
        </w:rPr>
        <w:t>, as applicable</w:t>
      </w:r>
      <w:r>
        <w:rPr>
          <w:rFonts w:ascii="Arial" w:cs="Arial" w:eastAsia="Arial" w:hAnsi="Arial"/>
          <w:sz w:val="18"/>
          <w:szCs w:val="18"/>
          <w:color w:val="000000"/>
        </w:rPr>
        <w:t>, (C) a group of those central banks or other supervisors or (D) the Financial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Stability Board or any part thereof.</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Event</w:t>
      </w:r>
      <w:r>
        <w:rPr>
          <w:rFonts w:ascii="Arial" w:cs="Arial" w:eastAsia="Arial" w:hAnsi="Arial"/>
          <w:sz w:val="18"/>
          <w:szCs w:val="18"/>
          <w:color w:val="auto"/>
        </w:rPr>
        <w:t>” means (a) the incurrence by any Loan Party of any new or replacement bank indebtedness comprised of term loans that are secured pari passu with the Initial Term Loans (including, without limitation, any new or additional term loans under this</w:t>
      </w:r>
    </w:p>
    <w:p>
      <w:pPr>
        <w:spacing w:after="0" w:line="226" w:lineRule="auto"/>
        <w:rPr>
          <w:sz w:val="20"/>
          <w:szCs w:val="20"/>
          <w:color w:val="auto"/>
        </w:rPr>
      </w:pPr>
      <w:r>
        <w:rPr>
          <w:rFonts w:ascii="Arial" w:cs="Arial" w:eastAsia="Arial" w:hAnsi="Arial"/>
          <w:sz w:val="18"/>
          <w:szCs w:val="18"/>
          <w:color w:val="auto"/>
        </w:rPr>
        <w:t>Agreement, whether incurred directly or by way of the conversion of Initial Term Loans into a new tranche of replacement term loans under this Agreement), (i) the primary purpose of which is to have an Effective Yield that is less than the applicable Effective Yield for Initial Term</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Loans and (ii) the proceeds of which are used to prepay (or, in the case of a conversion, deemed to prepay or replace), in whole or in part,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outstanding principal of the Initial Term Loans or (b) any amendment or waiver, the primary purpose of which is to reduce the Effective Yield of any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prepayment or repayment of Initial Term Loans in connection with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Change of Control, Transformative Acquisition or Transformative Disposition constitute a Repricing Event.</w:t>
      </w:r>
    </w:p>
    <w:p>
      <w:pPr>
        <w:spacing w:after="0" w:line="14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Credit Exposures and unused Commitments representing more than 50% of the sum of the total Credit Exposures and unused Commitments at such time. The total Credit Exposure and Commitments of any Defaulting</w:t>
      </w:r>
    </w:p>
    <w:p>
      <w:pPr>
        <w:spacing w:after="0" w:line="255" w:lineRule="auto"/>
        <w:rPr>
          <w:sz w:val="20"/>
          <w:szCs w:val="20"/>
          <w:color w:val="auto"/>
        </w:rPr>
      </w:pPr>
      <w:r>
        <w:rPr>
          <w:rFonts w:ascii="Arial" w:cs="Arial" w:eastAsia="Arial" w:hAnsi="Arial"/>
          <w:sz w:val="16"/>
          <w:szCs w:val="16"/>
          <w:color w:val="auto"/>
        </w:rPr>
        <w:t>Lender shall be disregarded in determining Required Lenders at any time. For all purposes of determining the Required Lenders hereunder, if any relevant Credit Exposures or unused Commitments are denominated in currencies other than Dollars, the respective Dollar Amounts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determined in good faith by the Administrative Agent) thereof shall be utilized.</w:t>
      </w:r>
    </w:p>
    <w:p>
      <w:pPr>
        <w:spacing w:after="0" w:line="14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Net Proceeds Percentage</w:t>
      </w:r>
      <w:r>
        <w:rPr>
          <w:rFonts w:ascii="Arial" w:cs="Arial" w:eastAsia="Arial" w:hAnsi="Arial"/>
          <w:sz w:val="18"/>
          <w:szCs w:val="18"/>
          <w:color w:val="auto"/>
        </w:rPr>
        <w:t>” means, as of any date of determination, (i) in the case of any Prepayment Event described in clause (1) or clause (2) of the definition thereof, (a) 100% if the First Lien Net Leverage Ratio is greater than 4.50:1.00, (b) 50% if the First</w:t>
      </w:r>
    </w:p>
    <w:p>
      <w:pPr>
        <w:spacing w:after="0" w:line="232" w:lineRule="auto"/>
        <w:rPr>
          <w:sz w:val="20"/>
          <w:szCs w:val="20"/>
          <w:color w:val="auto"/>
        </w:rPr>
      </w:pPr>
      <w:r>
        <w:rPr>
          <w:rFonts w:ascii="Arial" w:cs="Arial" w:eastAsia="Arial" w:hAnsi="Arial"/>
          <w:sz w:val="19"/>
          <w:szCs w:val="19"/>
          <w:color w:val="auto"/>
        </w:rPr>
        <w:t>Lien Net Leverage Ratio is less than or equal to 4.50:1.00 and greater than 4.00:1.00 and (c) 0% if the First Lien Net Leverage Ratio is less than or equal to 4.00:1.00 and (ii) in the case of any Prepayment Event described in clause (3) of the definition thereof, 100%.</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Lenders having Revolving Credit Exposures and unused Revolving Commitments representing more than 50% of the sum of the total Revolving Credit Exposures and unused Revolving Commitments at such</w:t>
      </w:r>
    </w:p>
    <w:p>
      <w:pPr>
        <w:spacing w:after="0" w:line="215" w:lineRule="auto"/>
        <w:rPr>
          <w:sz w:val="20"/>
          <w:szCs w:val="20"/>
          <w:color w:val="auto"/>
        </w:rPr>
      </w:pPr>
      <w:r>
        <w:rPr>
          <w:rFonts w:ascii="Arial" w:cs="Arial" w:eastAsia="Arial" w:hAnsi="Arial"/>
          <w:sz w:val="19"/>
          <w:szCs w:val="19"/>
          <w:color w:val="auto"/>
        </w:rPr>
        <w:t>time. The total Revolving Credit Exposure and Revolving Commitments of any Defaulting Lender shall be disregarded in determining Required Revolving Lenders at any time. For all purposes of determining the Required Revolving Lenders hereunder, if any relevant</w:t>
      </w:r>
    </w:p>
    <w:p>
      <w:pPr>
        <w:spacing w:after="0" w:line="227" w:lineRule="auto"/>
        <w:rPr>
          <w:sz w:val="20"/>
          <w:szCs w:val="20"/>
          <w:color w:val="auto"/>
        </w:rPr>
      </w:pPr>
      <w:r>
        <w:rPr>
          <w:rFonts w:ascii="Arial" w:cs="Arial" w:eastAsia="Arial" w:hAnsi="Arial"/>
          <w:sz w:val="20"/>
          <w:szCs w:val="20"/>
          <w:color w:val="auto"/>
        </w:rPr>
        <w:t>Revolving Credit Exposures or unused Revolving Commitments are denominated in currencies other than Dollars, the respective Dollar Amounts (as determined in good faith by the Administrative Agent) thereof shall be utilized.</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chief executive officer, president, authorized signatory, an executive vice president or senior vice president or a Financial Officer of Holdings.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Investment</w:t>
      </w:r>
      <w:r>
        <w:rPr>
          <w:rFonts w:ascii="Arial" w:cs="Arial" w:eastAsia="Arial" w:hAnsi="Arial"/>
          <w:sz w:val="20"/>
          <w:szCs w:val="20"/>
          <w:color w:val="auto"/>
        </w:rPr>
        <w:t>” means an Investment that is not a Permitted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(i) any dividend or any other payment or distribution on account of Holdings’ or any of its Restricted Subsidiaries’ Equity Interests (including, without limitation, any payment in connection with any merger or consolidation involving Holdings</w:t>
      </w:r>
    </w:p>
    <w:p>
      <w:pPr>
        <w:spacing w:after="0" w:line="235" w:lineRule="auto"/>
        <w:rPr>
          <w:sz w:val="20"/>
          <w:szCs w:val="20"/>
          <w:color w:val="auto"/>
        </w:rPr>
      </w:pPr>
      <w:r>
        <w:rPr>
          <w:rFonts w:ascii="Arial" w:cs="Arial" w:eastAsia="Arial" w:hAnsi="Arial"/>
          <w:sz w:val="18"/>
          <w:szCs w:val="18"/>
          <w:color w:val="auto"/>
        </w:rPr>
        <w:t>or any of its Restricted Subsidiaries, other than any such merger or consolidation constituting a Permitted Investment) or to the direct or</w:t>
      </w:r>
    </w:p>
    <w:p>
      <w:pPr>
        <w:spacing w:after="0" w:line="215" w:lineRule="auto"/>
        <w:rPr>
          <w:sz w:val="20"/>
          <w:szCs w:val="20"/>
          <w:color w:val="auto"/>
        </w:rPr>
      </w:pPr>
      <w:r>
        <w:rPr>
          <w:rFonts w:ascii="Arial" w:cs="Arial" w:eastAsia="Arial" w:hAnsi="Arial"/>
          <w:sz w:val="19"/>
          <w:szCs w:val="19"/>
          <w:color w:val="auto"/>
        </w:rPr>
        <w:t>indirect holders of Holdings’ or any of its Restricted Subsidiaries’ Equity Interests in their capacity as such (other than (A) dividends or distributions payable in Equity Interests (other than Disqualified Equity Interests) of Holdings, (B) dividends or other payments and</w:t>
      </w:r>
    </w:p>
    <w:p>
      <w:pPr>
        <w:spacing w:after="0" w:line="234" w:lineRule="auto"/>
        <w:rPr>
          <w:sz w:val="20"/>
          <w:szCs w:val="20"/>
          <w:color w:val="auto"/>
        </w:rPr>
      </w:pPr>
      <w:r>
        <w:rPr>
          <w:rFonts w:ascii="Arial" w:cs="Arial" w:eastAsia="Arial" w:hAnsi="Arial"/>
          <w:sz w:val="18"/>
          <w:szCs w:val="18"/>
          <w:color w:val="auto"/>
        </w:rPr>
        <w:t>distributions payable to Holdings or a Restricted Subsidiary, (C) dividends or distributions payable to other holders of Equity Interests of 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Restricted Subsidiary on no more than a pro rata basis and (D) payments on account of the transfer or issuance of any Restricted Subsidiary’s Equity Interests to Holdings or any other Restricted Subsidiary), (ii) any purchase, redemption or other acquisition or retirement for value,</w:t>
      </w:r>
    </w:p>
    <w:p>
      <w:pPr>
        <w:spacing w:after="0" w:line="223" w:lineRule="auto"/>
        <w:rPr>
          <w:sz w:val="20"/>
          <w:szCs w:val="20"/>
          <w:color w:val="auto"/>
        </w:rPr>
      </w:pPr>
      <w:r>
        <w:rPr>
          <w:rFonts w:ascii="Arial" w:cs="Arial" w:eastAsia="Arial" w:hAnsi="Arial"/>
          <w:sz w:val="19"/>
          <w:szCs w:val="19"/>
          <w:color w:val="auto"/>
        </w:rPr>
        <w:t>directly or indirectly (including, without limitation, in connection with any merger or consolidation involving the Holdings), any Equity</w:t>
      </w:r>
    </w:p>
    <w:p>
      <w:pPr>
        <w:spacing w:after="0" w:line="226" w:lineRule="auto"/>
        <w:rPr>
          <w:sz w:val="20"/>
          <w:szCs w:val="20"/>
          <w:color w:val="auto"/>
        </w:rPr>
      </w:pPr>
      <w:r>
        <w:rPr>
          <w:rFonts w:ascii="Arial" w:cs="Arial" w:eastAsia="Arial" w:hAnsi="Arial"/>
          <w:sz w:val="18"/>
          <w:szCs w:val="18"/>
          <w:color w:val="auto"/>
        </w:rPr>
        <w:t>Interests of Holdings, (iii) any principal payment on or with respect to, or purchase, redemption, defeasance or other acquisition or retirement for value any Subordinated Indebtedness (excluding any intercompany Indebtedness between or among members of the Group) or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Indebtedness (excluding any intercompany Indebtedness between or among members of the Group) of Holdings or any Restricted Subsidiary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is secured by Liens that are junior to the Liens securing the Obligations, except a payment of principal at, or within 365 days of, the stated maturity thereof or (iv) any Restricted Investment. Notwithstanding the foregoing, a “Restricted Payment” shall not include any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payments or other transactions contemplated by the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Holdings other than an Unrestricted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Revenue Commissioners</w:t>
      </w:r>
      <w:r>
        <w:rPr>
          <w:rFonts w:ascii="Arial" w:cs="Arial" w:eastAsia="Arial" w:hAnsi="Arial"/>
          <w:sz w:val="20"/>
          <w:szCs w:val="20"/>
          <w:color w:val="auto"/>
        </w:rPr>
        <w:t>” means the Revenue Commissioners of Ireland.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Borrowers</w:t>
      </w:r>
      <w:r>
        <w:rPr>
          <w:rFonts w:ascii="Arial" w:cs="Arial" w:eastAsia="Arial" w:hAnsi="Arial"/>
          <w:sz w:val="19"/>
          <w:szCs w:val="19"/>
          <w:color w:val="auto"/>
        </w:rPr>
        <w:t>” means the Lux Borrower, Merger Sub (which, after giving effect to the Acquisition on the Closing Date,</w:t>
      </w:r>
    </w:p>
    <w:p>
      <w:pPr>
        <w:spacing w:after="0" w:line="226" w:lineRule="auto"/>
        <w:rPr>
          <w:sz w:val="20"/>
          <w:szCs w:val="20"/>
          <w:color w:val="auto"/>
        </w:rPr>
      </w:pPr>
      <w:r>
        <w:rPr>
          <w:rFonts w:ascii="Arial" w:cs="Arial" w:eastAsia="Arial" w:hAnsi="Arial"/>
          <w:sz w:val="18"/>
          <w:szCs w:val="18"/>
          <w:color w:val="auto"/>
        </w:rPr>
        <w:t>shall be succeeded by Target), ICON CLINICAL RESEARCH LIMITED, a limited liability company incorporated under the laws of Ireland with registration number 201978 and with registered address at South County Business Park, Leopardstown, Dublin 18, Ireland, ICON</w:t>
      </w:r>
    </w:p>
    <w:p>
      <w:pPr>
        <w:spacing w:after="0" w:line="224" w:lineRule="auto"/>
        <w:rPr>
          <w:sz w:val="20"/>
          <w:szCs w:val="20"/>
          <w:color w:val="auto"/>
        </w:rPr>
      </w:pPr>
      <w:r>
        <w:rPr>
          <w:rFonts w:ascii="Arial" w:cs="Arial" w:eastAsia="Arial" w:hAnsi="Arial"/>
          <w:sz w:val="19"/>
          <w:szCs w:val="19"/>
          <w:color w:val="auto"/>
        </w:rPr>
        <w:t>GLOBAL TREASURY UNLIMITED COMPANY, an unlimited liability company incorporated under the laws of Ireland with registration</w:t>
      </w:r>
    </w:p>
    <w:p>
      <w:pPr>
        <w:spacing w:after="0" w:line="220" w:lineRule="auto"/>
        <w:rPr>
          <w:sz w:val="20"/>
          <w:szCs w:val="20"/>
          <w:color w:val="auto"/>
        </w:rPr>
      </w:pPr>
      <w:r>
        <w:rPr>
          <w:rFonts w:ascii="Arial" w:cs="Arial" w:eastAsia="Arial" w:hAnsi="Arial"/>
          <w:sz w:val="20"/>
          <w:szCs w:val="20"/>
          <w:color w:val="auto"/>
        </w:rPr>
        <w:t>number 649443 and with registered address at South Country Business Park, Leopardstown, Dublin 18, Ireland, and ICON US HOLDINGS INC., a Delaware corporation, and each Additional Borrower that becomes a Revolving Borrower.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means a Borrowing comprised of Revolving Loans of any Class.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each Revolving Lender, the commitment, if any, of such Revolving Lender to make Revolving Loans and to acquire participations in Letters of Credit hereunder, as such commitment may be (a) reduced or terminated from</w:t>
      </w:r>
    </w:p>
    <w:p>
      <w:pPr>
        <w:spacing w:after="0" w:line="235" w:lineRule="auto"/>
        <w:rPr>
          <w:sz w:val="20"/>
          <w:szCs w:val="20"/>
          <w:color w:val="auto"/>
        </w:rPr>
      </w:pPr>
      <w:r>
        <w:rPr>
          <w:rFonts w:ascii="Arial" w:cs="Arial" w:eastAsia="Arial" w:hAnsi="Arial"/>
          <w:sz w:val="18"/>
          <w:szCs w:val="18"/>
          <w:color w:val="auto"/>
        </w:rPr>
        <w:t>time to time pursuant to Section 2.09, (b) increased from time to time pursuant to Section 2.20 and (c) reduced or increased from time to time</w:t>
      </w:r>
    </w:p>
    <w:p>
      <w:pPr>
        <w:spacing w:after="0" w:line="226" w:lineRule="auto"/>
        <w:rPr>
          <w:sz w:val="20"/>
          <w:szCs w:val="20"/>
          <w:color w:val="auto"/>
        </w:rPr>
      </w:pPr>
      <w:r>
        <w:rPr>
          <w:rFonts w:ascii="Arial" w:cs="Arial" w:eastAsia="Arial" w:hAnsi="Arial"/>
          <w:sz w:val="18"/>
          <w:szCs w:val="18"/>
          <w:color w:val="auto"/>
        </w:rPr>
        <w:t>pursuant to assignments by or to such Lender pursuant to Section 9.04. For the avoidance of doubt, “Revolving Commitments” includes the Initial Revolving Commitments, any Incremental Revolving Commitments, any Extended Revolving Commitments and any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Refinancing Revolving Commitments.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 Increases</w:t>
      </w:r>
      <w:r>
        <w:rPr>
          <w:rFonts w:ascii="Arial" w:cs="Arial" w:eastAsia="Arial" w:hAnsi="Arial"/>
          <w:sz w:val="20"/>
          <w:szCs w:val="20"/>
          <w:color w:val="auto"/>
        </w:rPr>
        <w:t>” has the meaning assigned to such term in Section 2.20(a).</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Event</w:t>
      </w:r>
      <w:r>
        <w:rPr>
          <w:rFonts w:ascii="Arial" w:cs="Arial" w:eastAsia="Arial" w:hAnsi="Arial"/>
          <w:sz w:val="20"/>
          <w:szCs w:val="20"/>
          <w:color w:val="auto"/>
        </w:rPr>
        <w:t>” means a Revolving Borrowing of any Class, the issuance, extension or increase in amount of a Letter of Credit, an LC Disbursement with respect to a Letter of Credit or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357"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Revolving Lender at any time, and without duplication, the sum of the outstanding principal amount of such Revolving Lender’s Revolving Loans and its LC Exposure and Swingline Exposure at such time.</w:t>
      </w:r>
    </w:p>
    <w:p>
      <w:pPr>
        <w:spacing w:after="0" w:line="15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as of any date of determination, each Lender that has a Revolving Commitment or, if the Revolving Commitments have terminated or expired, a Lender with Revolving Credit Exposure.</w:t>
      </w:r>
    </w:p>
    <w:p>
      <w:pPr>
        <w:spacing w:after="0" w:line="15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any Initial Revolving Loan, any Extended Revolving Loan, any Other Refinancing Revolving Loan and any Incremental Revolving Loan.</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the percentage equal to a fraction the numerator of which is such Lender’s Revolving Commitment and the denominator of which is the aggregate Revolving Commitments of all Revolving Lenders (if the Revolving Commitments of any Class have</w:t>
      </w:r>
    </w:p>
    <w:p>
      <w:pPr>
        <w:spacing w:after="0"/>
        <w:rPr>
          <w:sz w:val="20"/>
          <w:szCs w:val="20"/>
          <w:color w:val="auto"/>
        </w:rPr>
      </w:pPr>
      <w:r>
        <w:rPr>
          <w:rFonts w:ascii="Arial" w:cs="Arial" w:eastAsia="Arial" w:hAnsi="Arial"/>
          <w:sz w:val="16"/>
          <w:szCs w:val="16"/>
          <w:color w:val="auto"/>
        </w:rPr>
        <w:t>terminated or expired, the Revolving Percentages shall be determined based upon the Revolving Commitments of such Class most recently in</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effect, giving effect to any assignments);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a Defaulting Lender shall exist, the Revolving Commitments of such Defaulting Lender shall be excluded from the denominator in calculating the “Revolving Percentage.”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w:t>
      </w:r>
      <w:r>
        <w:rPr>
          <w:rFonts w:ascii="Arial" w:cs="Arial" w:eastAsia="Arial" w:hAnsi="Arial"/>
          <w:sz w:val="19"/>
          <w:szCs w:val="19"/>
          <w:color w:val="auto"/>
        </w:rPr>
        <w:t>” means, for any Obligations consisting of any interest, fees or other amounts denominated in Pounds Sterling, SONIA.</w:t>
      </w:r>
    </w:p>
    <w:p>
      <w:pPr>
        <w:spacing w:after="0" w:line="18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Business Day</w:t>
      </w:r>
      <w:r>
        <w:rPr>
          <w:rFonts w:ascii="Arial" w:cs="Arial" w:eastAsia="Arial" w:hAnsi="Arial"/>
          <w:sz w:val="20"/>
          <w:szCs w:val="20"/>
          <w:color w:val="auto"/>
        </w:rPr>
        <w:t>” means any day except for (a) a Saturday, (b) a Sunday or (c) a day on which banks are closed for general business in London.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Interest Day</w:t>
      </w:r>
      <w:r>
        <w:rPr>
          <w:rFonts w:ascii="Arial" w:cs="Arial" w:eastAsia="Arial" w:hAnsi="Arial"/>
          <w:sz w:val="20"/>
          <w:szCs w:val="20"/>
          <w:color w:val="auto"/>
        </w:rPr>
        <w:t>” has the meaning assigned to such term in the definition of “Daily Simple RFR”.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Loan</w:t>
      </w:r>
      <w:r>
        <w:rPr>
          <w:rFonts w:ascii="Arial" w:cs="Arial" w:eastAsia="Arial" w:hAnsi="Arial"/>
          <w:sz w:val="20"/>
          <w:szCs w:val="20"/>
          <w:color w:val="auto"/>
        </w:rPr>
        <w:t>” means a Loan that bears interest at a rate based on Daily Simple RFR.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Lookback Day</w:t>
      </w:r>
      <w:r>
        <w:rPr>
          <w:rFonts w:ascii="Arial" w:cs="Arial" w:eastAsia="Arial" w:hAnsi="Arial"/>
          <w:sz w:val="20"/>
          <w:szCs w:val="20"/>
          <w:color w:val="auto"/>
        </w:rPr>
        <w:t>” has the meaning assigned to such term in the definition of “Daily Simple RFR”.</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Run-rate</w:t>
      </w:r>
      <w:r>
        <w:rPr>
          <w:rFonts w:ascii="Arial" w:cs="Arial" w:eastAsia="Arial" w:hAnsi="Arial"/>
          <w:sz w:val="18"/>
          <w:szCs w:val="18"/>
          <w:color w:val="auto"/>
        </w:rPr>
        <w:t>” means the full recurring benefit for a period that is associated with any action taken, committed to be taken or with respect to which substantial steps have been taken or are expected to be taken (in the good faith determination of Holdings) (including any</w:t>
      </w:r>
    </w:p>
    <w:p>
      <w:pPr>
        <w:spacing w:after="0"/>
        <w:rPr>
          <w:sz w:val="20"/>
          <w:szCs w:val="20"/>
          <w:color w:val="auto"/>
        </w:rPr>
      </w:pPr>
      <w:r>
        <w:rPr>
          <w:rFonts w:ascii="Arial" w:cs="Arial" w:eastAsia="Arial" w:hAnsi="Arial"/>
          <w:sz w:val="20"/>
          <w:szCs w:val="20"/>
          <w:color w:val="auto"/>
        </w:rPr>
        <w:t>savings expected to result from the elimination of a public target’s compliance costs with public company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and any successor to its rating agency business.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any sale or other transfer of any property or asset by any Person with the intent to lease such property or asset as lessee.</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that is itself the target of Sanctions (at the time of this Agreement, the Crimea region of Ukraine, Cuba, Iran, North Korea, and Syria).</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OFAC, the U.S. Department of State, the United Nations Security Council, the European Union or any EU member state, Her Majesty’s Treasury of the United Kingdom, (b) any Person operating, organized or resident in a Sanctioned Country or (c) any Person controlled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owned 50.0% or more by one or more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w:t>
      </w:r>
    </w:p>
    <w:p>
      <w:pPr>
        <w:spacing w:after="0"/>
        <w:rPr>
          <w:sz w:val="20"/>
          <w:szCs w:val="20"/>
          <w:color w:val="auto"/>
        </w:rPr>
      </w:pPr>
      <w:r>
        <w:rPr>
          <w:rFonts w:ascii="Arial" w:cs="Arial" w:eastAsia="Arial" w:hAnsi="Arial"/>
          <w:sz w:val="20"/>
          <w:szCs w:val="20"/>
          <w:color w:val="auto"/>
        </w:rPr>
        <w:t>European Union or any EU member state, or Her Majesty’s Treasury of the United Kingdom.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Screen Rate</w:t>
      </w:r>
      <w:r>
        <w:rPr>
          <w:rFonts w:ascii="Arial" w:cs="Arial" w:eastAsia="Arial" w:hAnsi="Arial"/>
          <w:sz w:val="20"/>
          <w:szCs w:val="20"/>
          <w:color w:val="FF0000"/>
          <w:strike w:val="1"/>
        </w:rPr>
        <w:t>” means the LIBO Screen Rate or the EURIBOR Screen Rate, as applicable.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 or any Governmental Authority succeeding to any of its principal functions.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82</w:t>
      </w:r>
      <w:r>
        <w:rPr>
          <w:rFonts w:ascii="Arial" w:cs="Arial" w:eastAsia="Arial" w:hAnsi="Arial"/>
          <w:sz w:val="20"/>
          <w:szCs w:val="20"/>
          <w:color w:val="auto"/>
        </w:rPr>
        <w:t>” has the meaning assigned to such term in Section 3.16.</w:t>
      </w:r>
    </w:p>
    <w:p>
      <w:pPr>
        <w:spacing w:after="0" w:line="162"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Net Leverage Ratio</w:t>
      </w:r>
      <w:r>
        <w:rPr>
          <w:rFonts w:ascii="Arial" w:cs="Arial" w:eastAsia="Arial" w:hAnsi="Arial"/>
          <w:sz w:val="18"/>
          <w:szCs w:val="18"/>
          <w:color w:val="auto"/>
        </w:rPr>
        <w:t>” means, with respect to any Test Period, the ratio of (a) Consolidated Total Indebtedness secured by a Lien on Collateral, net of Unrestricted Cash, as of the last day of such Test Period to (b) Consolidated EBITDA for such Test Period.</w:t>
      </w:r>
    </w:p>
    <w:p>
      <w:pPr>
        <w:spacing w:after="0" w:line="10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the Secured Obligations shall exclude (i) any Excluded Swap Obligations, (ii) each Cash Management Agreement and Swap Agreement entered into with any counterparty</w:t>
      </w:r>
    </w:p>
    <w:p>
      <w:pPr>
        <w:spacing w:after="0" w:line="255" w:lineRule="auto"/>
        <w:rPr>
          <w:sz w:val="20"/>
          <w:szCs w:val="20"/>
          <w:color w:val="auto"/>
        </w:rPr>
      </w:pPr>
      <w:r>
        <w:rPr>
          <w:rFonts w:ascii="Arial" w:cs="Arial" w:eastAsia="Arial" w:hAnsi="Arial"/>
          <w:sz w:val="16"/>
          <w:szCs w:val="16"/>
          <w:color w:val="auto"/>
        </w:rPr>
        <w:t>that is not a Secured Party and (iii) Obligations in respect of any Cash Management Agreement or Swap Agreement that has been designated by each of the parties to such Cash Management Agreement or Swap Agreement (including, for the avoidance of doubt, the applicable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Secured Party) as not constituting “Secured Obligations.”</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holders of the Secured Obligations from time to time and shall include (i) each Lender and Issuing Bank in respect of its Loans and LC Exposure respectively, (ii) the Administrative Agent, the Collateral Agent, the Issuing Banks and the Lenders</w:t>
      </w:r>
    </w:p>
    <w:p>
      <w:pPr>
        <w:spacing w:after="0" w:line="226" w:lineRule="auto"/>
        <w:rPr>
          <w:sz w:val="20"/>
          <w:szCs w:val="20"/>
          <w:color w:val="auto"/>
        </w:rPr>
      </w:pPr>
      <w:r>
        <w:rPr>
          <w:rFonts w:ascii="Arial" w:cs="Arial" w:eastAsia="Arial" w:hAnsi="Arial"/>
          <w:sz w:val="18"/>
          <w:szCs w:val="18"/>
          <w:color w:val="auto"/>
        </w:rPr>
        <w:t>in respect of all other present and future obligations and liabilities of Holdings and each Restricted Subsidiary of every type and description arising under or in connection with this Agreement or any other Loan Document, (iii) each Hedge Bank, (iv) each indemnified party under</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Section 9.03 in respect of the obligations and liabilities of any Borrower to such Person hereunder and under the other Loan Documents, (v) each Cash Management Bank and (vi) their respective successors and (in the case of a Lender, permitted) transferees and assigns.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United States Securities Act of 1933, as amended from time to time and any successor statute.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(a) the accounts receivable, royalty or other revenue streams and other rights to payment and other</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w:t>
      </w:r>
    </w:p>
    <w:p>
      <w:pPr>
        <w:spacing w:after="0"/>
        <w:rPr>
          <w:sz w:val="20"/>
          <w:szCs w:val="20"/>
          <w:color w:val="auto"/>
        </w:rPr>
      </w:pPr>
      <w:r>
        <w:rPr>
          <w:rFonts w:ascii="Arial" w:cs="Arial" w:eastAsia="Arial" w:hAnsi="Arial"/>
          <w:sz w:val="20"/>
          <w:szCs w:val="20"/>
          <w:color w:val="auto"/>
        </w:rPr>
        <w:t>Person that is not a Securitization Subsidiary in connection with any Qualified Securitization Financing.</w:t>
      </w:r>
    </w:p>
    <w:p>
      <w:pPr>
        <w:spacing w:after="0" w:line="14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Financing</w:t>
      </w:r>
      <w:r>
        <w:rPr>
          <w:rFonts w:ascii="Arial" w:cs="Arial" w:eastAsia="Arial" w:hAnsi="Arial"/>
          <w:sz w:val="18"/>
          <w:szCs w:val="18"/>
          <w:color w:val="auto"/>
        </w:rPr>
        <w:t>” means any transaction or series of transactions that may be entered into by Holdings or any of its Subsidiaries pursuant to which Holdings or any of its Subsidiaries may sell, convey or otherwise transfer to (a) a Securitization Subsidiary (in</w:t>
      </w:r>
    </w:p>
    <w:p>
      <w:pPr>
        <w:spacing w:after="0" w:line="220" w:lineRule="auto"/>
        <w:rPr>
          <w:sz w:val="20"/>
          <w:szCs w:val="20"/>
          <w:color w:val="auto"/>
        </w:rPr>
      </w:pPr>
      <w:r>
        <w:rPr>
          <w:rFonts w:ascii="Arial" w:cs="Arial" w:eastAsia="Arial" w:hAnsi="Arial"/>
          <w:sz w:val="20"/>
          <w:szCs w:val="20"/>
          <w:color w:val="auto"/>
        </w:rPr>
        <w:t>the case of a transfer by Holdings or any of its Subsidiaries) or (b) any other Person (in the case of a transfer by a Securitization Subsidiary), or may grant a security interest in (which in either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may include a backup or precautionary grant) any Securitization Assets of Holdings or any of its Subsidiaries, and any assets related thereto, including all collateral securing such Securitization Assets, all contracts and all guarantees or other obligations in respect of such</w:t>
      </w:r>
    </w:p>
    <w:p>
      <w:pPr>
        <w:spacing w:after="0" w:line="239" w:lineRule="auto"/>
        <w:rPr>
          <w:sz w:val="20"/>
          <w:szCs w:val="20"/>
          <w:color w:val="auto"/>
        </w:rPr>
      </w:pPr>
      <w:r>
        <w:rPr>
          <w:rFonts w:ascii="Arial" w:cs="Arial" w:eastAsia="Arial" w:hAnsi="Arial"/>
          <w:sz w:val="19"/>
          <w:szCs w:val="19"/>
          <w:color w:val="auto"/>
        </w:rPr>
        <w:t>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 wholly-owned Subsidiary of Holdings (or another Person formed for the purposes of engaging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a Qualified Securitization Financing in which Holdings or any Subsidiary of Holdings makes an investment and to which Holdings or any Subsidiary of Holdings transfers Securitization Assets and related assets) that engages in no activities other than in connection with the</w:t>
      </w:r>
    </w:p>
    <w:p>
      <w:pPr>
        <w:spacing w:after="0" w:line="236" w:lineRule="auto"/>
        <w:rPr>
          <w:sz w:val="20"/>
          <w:szCs w:val="20"/>
          <w:color w:val="auto"/>
        </w:rPr>
      </w:pPr>
      <w:r>
        <w:rPr>
          <w:rFonts w:ascii="Arial" w:cs="Arial" w:eastAsia="Arial" w:hAnsi="Arial"/>
          <w:sz w:val="18"/>
          <w:szCs w:val="18"/>
          <w:color w:val="auto"/>
        </w:rPr>
        <w:t>financing of Securitization Assets of Holdings or its Subsidiaries, all proceeds thereof and all rights (contingent and other), collateral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assets relating thereto, and any business or activities incidental or related to such business, and which is designated by the Board of Directors or such other Person (as provided below) as a Securitization Subsidiary.</w:t>
      </w:r>
    </w:p>
    <w:p>
      <w:pPr>
        <w:spacing w:after="0" w:line="15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Notes</w:t>
      </w:r>
      <w:r>
        <w:rPr>
          <w:rFonts w:ascii="Arial" w:cs="Arial" w:eastAsia="Arial" w:hAnsi="Arial"/>
          <w:sz w:val="20"/>
          <w:szCs w:val="20"/>
          <w:color w:val="auto"/>
        </w:rPr>
        <w:t>” means the 2.32% Series A Senior Notes due December 8, 2023 issued by Icon Investments Five Unlimited Company on December 8, 2020.</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B Notes</w:t>
      </w:r>
      <w:r>
        <w:rPr>
          <w:rFonts w:ascii="Arial" w:cs="Arial" w:eastAsia="Arial" w:hAnsi="Arial"/>
          <w:sz w:val="20"/>
          <w:szCs w:val="20"/>
          <w:color w:val="auto"/>
        </w:rPr>
        <w:t>” means the 2.43% Series B Senior Notes due December 8, 2025 issued by Icon Investments Five Unlimited Company on December 8, 2020.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with respect to Holdings and its Subsidiaries, on the Closing Date, after giving effect to the consummation of the</w:t>
      </w:r>
    </w:p>
    <w:p>
      <w:pPr>
        <w:spacing w:after="0"/>
        <w:rPr>
          <w:sz w:val="20"/>
          <w:szCs w:val="20"/>
          <w:color w:val="auto"/>
        </w:rPr>
      </w:pPr>
      <w:r>
        <w:rPr>
          <w:rFonts w:ascii="Arial" w:cs="Arial" w:eastAsia="Arial" w:hAnsi="Arial"/>
          <w:sz w:val="20"/>
          <w:szCs w:val="20"/>
          <w:color w:val="auto"/>
        </w:rPr>
        <w:t>Transactions, and after giving effect to the application of the proceeds of such indebtedness under such Transactions:</w:t>
      </w:r>
    </w:p>
    <w:p>
      <w:pPr>
        <w:spacing w:after="0" w:line="159" w:lineRule="exact"/>
        <w:rPr>
          <w:sz w:val="20"/>
          <w:szCs w:val="20"/>
          <w:color w:val="auto"/>
        </w:rPr>
      </w:pPr>
    </w:p>
    <w:p>
      <w:pPr>
        <w:ind w:left="1060" w:hanging="404"/>
        <w:spacing w:after="0"/>
        <w:tabs>
          <w:tab w:leader="none" w:pos="106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amount of the fair saleable value of the assets of Holdings and its Subsidiaries on a consolidated basis exceeds:</w:t>
      </w:r>
    </w:p>
    <w:p>
      <w:pPr>
        <w:spacing w:after="0" w:line="173" w:lineRule="exact"/>
        <w:rPr>
          <w:rFonts w:ascii="Arial" w:cs="Arial" w:eastAsia="Arial" w:hAnsi="Arial"/>
          <w:sz w:val="19"/>
          <w:szCs w:val="19"/>
          <w:color w:val="auto"/>
        </w:rPr>
      </w:pPr>
    </w:p>
    <w:p>
      <w:pPr>
        <w:jc w:val="both"/>
        <w:ind w:left="1300" w:firstLine="4"/>
        <w:spacing w:after="0" w:line="223" w:lineRule="auto"/>
        <w:tabs>
          <w:tab w:leader="none" w:pos="1775"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value of all liabilities of Holdings and its Subsidiaries (on a consolidated basis), including contingent and other liabilities, as generally determined in accordance with applicable United States federal laws governing determinations of the insolvency of debtors; and</w:t>
      </w:r>
    </w:p>
    <w:p>
      <w:pPr>
        <w:spacing w:after="0" w:line="155" w:lineRule="exact"/>
        <w:rPr>
          <w:rFonts w:ascii="Arial" w:cs="Arial" w:eastAsia="Arial" w:hAnsi="Arial"/>
          <w:sz w:val="20"/>
          <w:szCs w:val="20"/>
          <w:color w:val="auto"/>
        </w:rPr>
      </w:pPr>
    </w:p>
    <w:p>
      <w:pPr>
        <w:ind w:left="1300" w:right="20" w:firstLine="4"/>
        <w:spacing w:after="0" w:line="229" w:lineRule="auto"/>
        <w:tabs>
          <w:tab w:leader="none" w:pos="1808"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amount that will be required to pay the probable liabilities of Holdings and its Subsidiaries on its existing debts (including contingent liabilities) as such debts become absolute and matured;</w:t>
      </w:r>
    </w:p>
    <w:p>
      <w:pPr>
        <w:spacing w:after="0" w:line="141" w:lineRule="exact"/>
        <w:rPr>
          <w:rFonts w:ascii="Arial" w:cs="Arial" w:eastAsia="Arial" w:hAnsi="Arial"/>
          <w:sz w:val="20"/>
          <w:szCs w:val="20"/>
          <w:color w:val="auto"/>
        </w:rPr>
      </w:pPr>
    </w:p>
    <w:p>
      <w:pPr>
        <w:ind w:firstLine="656"/>
        <w:spacing w:after="0" w:line="236" w:lineRule="auto"/>
        <w:tabs>
          <w:tab w:leader="none" w:pos="1079"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Holdings and its Subsidiaries (on a consolidated basis) do not have an unreasonably small amount of capital for the operation of the businesses in which it is engaged or proposed to be engaged; and</w:t>
      </w:r>
    </w:p>
    <w:p>
      <w:pPr>
        <w:spacing w:after="0" w:line="141" w:lineRule="exact"/>
        <w:rPr>
          <w:rFonts w:ascii="Arial" w:cs="Arial" w:eastAsia="Arial" w:hAnsi="Arial"/>
          <w:sz w:val="20"/>
          <w:szCs w:val="20"/>
          <w:color w:val="auto"/>
        </w:rPr>
      </w:pPr>
    </w:p>
    <w:p>
      <w:pPr>
        <w:ind w:firstLine="656"/>
        <w:spacing w:after="0" w:line="236" w:lineRule="auto"/>
        <w:tabs>
          <w:tab w:leader="none" w:pos="1208"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Holdings and its Subsidiaries (on a consolidated basis) will be able to pay its liabilities, including contingent and other liabilities, as they mature.</w:t>
      </w:r>
    </w:p>
    <w:p>
      <w:pPr>
        <w:spacing w:after="0" w:line="14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means, with respect to any RFR Business Day, a rate per annum equal to the Sterling Overnight Index Average for such RFR Business Day published by the SONIA Administrator on the SONIA Administrator’s Website.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 Index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357"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Administrator’s Website</w:t>
      </w:r>
      <w:r>
        <w:rPr>
          <w:rFonts w:ascii="Arial" w:cs="Arial" w:eastAsia="Arial" w:hAnsi="Arial"/>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set forth in Sections 3.01 (as it relates to organizational existence of the Loan Parties), 3.02 (as it relates to the due authorization, execution and delivery of the Loan Documents), 3.03 (as it relates</w:t>
      </w:r>
    </w:p>
    <w:p>
      <w:pPr>
        <w:spacing w:after="0" w:line="227" w:lineRule="auto"/>
        <w:rPr>
          <w:sz w:val="20"/>
          <w:szCs w:val="20"/>
          <w:color w:val="auto"/>
        </w:rPr>
      </w:pPr>
      <w:r>
        <w:rPr>
          <w:rFonts w:ascii="Arial" w:cs="Arial" w:eastAsia="Arial" w:hAnsi="Arial"/>
          <w:sz w:val="20"/>
          <w:szCs w:val="20"/>
          <w:color w:val="auto"/>
        </w:rPr>
        <w:t>to no conflicts with or violations of Organizational Documents), 3.08, 3.12, 3.14 (limited to execution, delivery and performance of the Loan Documents), 3.15 and 3.16.</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 at the option of Holdings, any designation of operations or assets of Holdings or a Restricted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Subsidiary as discontinued operations (as defined under GAAP), (b) at the option of Holdings, any Investment that results in a Person becoming a Restricted Subsidiary, (c) any designation of a Subsidiary as a Restricted Subsidiary or an Unrestricted Subsidiary, (d) any</w:t>
      </w:r>
    </w:p>
    <w:p>
      <w:pPr>
        <w:spacing w:after="0" w:line="224" w:lineRule="auto"/>
        <w:rPr>
          <w:sz w:val="20"/>
          <w:szCs w:val="20"/>
          <w:color w:val="auto"/>
        </w:rPr>
      </w:pPr>
      <w:r>
        <w:rPr>
          <w:rFonts w:ascii="Arial" w:cs="Arial" w:eastAsia="Arial" w:hAnsi="Arial"/>
          <w:sz w:val="19"/>
          <w:szCs w:val="19"/>
          <w:color w:val="auto"/>
        </w:rPr>
        <w:t>Material Acquisition, (e) any Material Disposition that results in a Restricted Subsidiary ceasing to be a Subsidiary of Holdings or any</w:t>
      </w:r>
    </w:p>
    <w:p>
      <w:pPr>
        <w:spacing w:after="0" w:line="226" w:lineRule="auto"/>
        <w:rPr>
          <w:sz w:val="20"/>
          <w:szCs w:val="20"/>
          <w:color w:val="auto"/>
        </w:rPr>
      </w:pPr>
      <w:r>
        <w:rPr>
          <w:rFonts w:ascii="Arial" w:cs="Arial" w:eastAsia="Arial" w:hAnsi="Arial"/>
          <w:sz w:val="18"/>
          <w:szCs w:val="18"/>
          <w:color w:val="auto"/>
        </w:rPr>
        <w:t>Disposition of a business unit, line of business or division or product line of Holdings, in each case whether by merger, consolidation, amalgamation or otherwise, (f) or any incurrence or repayment of Indebtedness (other than Indebtedness incurred or repaid under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revolving credit facility or line of credit in the ordinary course of business for working capital purposes) that by the terms of this Agreement requires such test to be calculated on a Pro Forma Basis or after giving Pro Forma Effect and (g) the Transactions.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and indemnities entered into by Holdings or</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any Subsidiary of Holdings that are customary (as determined by Holdings in good faith) in a Securitization Financing or a Qualified Receivables Factoring, including without limitation those relating to the servicing of the assets of a Securitization Subsidiary, it being</w:t>
      </w:r>
    </w:p>
    <w:p>
      <w:pPr>
        <w:spacing w:after="0"/>
        <w:rPr>
          <w:sz w:val="20"/>
          <w:szCs w:val="20"/>
          <w:color w:val="auto"/>
        </w:rPr>
      </w:pPr>
      <w:r>
        <w:rPr>
          <w:rFonts w:ascii="Arial" w:cs="Arial" w:eastAsia="Arial" w:hAnsi="Arial"/>
          <w:sz w:val="20"/>
          <w:szCs w:val="20"/>
          <w:color w:val="auto"/>
        </w:rPr>
        <w:t>understood that a Receivables Repurchase Obligations shall be deemed to be a Standard Securitization Undertaking.</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with respect to any currency, a fraction (expressed as a decimal), the numerator of which is the number one and the denominator of which is the number one minus the aggregate of the maximum reserve, liquid asset, fees or similar</w:t>
      </w:r>
    </w:p>
    <w:p>
      <w:pPr>
        <w:spacing w:after="0" w:line="226" w:lineRule="auto"/>
        <w:rPr>
          <w:sz w:val="20"/>
          <w:szCs w:val="20"/>
          <w:color w:val="auto"/>
        </w:rPr>
      </w:pPr>
      <w:r>
        <w:rPr>
          <w:rFonts w:ascii="Arial" w:cs="Arial" w:eastAsia="Arial" w:hAnsi="Arial"/>
          <w:sz w:val="18"/>
          <w:szCs w:val="18"/>
          <w:color w:val="auto"/>
        </w:rPr>
        <w:t>requirements (including any marginal, special, emergency or supplemental reserves or other requirements) established by any central bank, monetary authority, the Board, the Financial Conduct Authority or the Prudential Regulatory Authority of the United Kingdom, the European</w:t>
      </w:r>
    </w:p>
    <w:p>
      <w:pPr>
        <w:spacing w:after="0" w:line="236" w:lineRule="auto"/>
        <w:rPr>
          <w:sz w:val="20"/>
          <w:szCs w:val="20"/>
          <w:color w:val="auto"/>
        </w:rPr>
      </w:pPr>
      <w:r>
        <w:rPr>
          <w:rFonts w:ascii="Arial" w:cs="Arial" w:eastAsia="Arial" w:hAnsi="Arial"/>
          <w:sz w:val="18"/>
          <w:szCs w:val="18"/>
          <w:color w:val="auto"/>
        </w:rPr>
        <w:t>Central Bank or other Governmental Authority for any category of deposits or liabilities customarily used to fund loans in such currency,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expressed in the case of each such requirement as a decimal. Such reserve, liquid asset, fees or similar requirements shall, in the case of Dollar denominated Loans, include those imposed pursuant to Regulation D of the Board. Eurocurrency Loans and RFR Loans shall be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Statutory Reserve Rate shall be adjusted automatically on and as of the effective date of any change in any reserve, liquid asset or similar requirement.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any Indebtedness of Holdings or any Restricted Subsidiary the payment of which is</w:t>
      </w:r>
    </w:p>
    <w:p>
      <w:pPr>
        <w:spacing w:after="0" w:line="220" w:lineRule="auto"/>
        <w:rPr>
          <w:sz w:val="20"/>
          <w:szCs w:val="20"/>
          <w:color w:val="auto"/>
        </w:rPr>
      </w:pPr>
      <w:r>
        <w:rPr>
          <w:rFonts w:ascii="Arial" w:cs="Arial" w:eastAsia="Arial" w:hAnsi="Arial"/>
          <w:sz w:val="20"/>
          <w:szCs w:val="20"/>
          <w:color w:val="auto"/>
        </w:rPr>
        <w:t>contractually subordinated in right of payment of the obligations under the Loan Documents (excluding intercompany Indebtedness between or among members of the Group).</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(i) any corporation, limited liability company, partnership, association or other entity the accounts of which would be consolidated with those of the parent in the parent’s consolidated financial</w:t>
      </w:r>
    </w:p>
    <w:p>
      <w:pPr>
        <w:spacing w:after="0"/>
        <w:rPr>
          <w:sz w:val="20"/>
          <w:szCs w:val="20"/>
          <w:color w:val="auto"/>
        </w:rPr>
      </w:pPr>
      <w:r>
        <w:rPr>
          <w:rFonts w:ascii="Arial" w:cs="Arial" w:eastAsia="Arial" w:hAnsi="Arial"/>
          <w:sz w:val="20"/>
          <w:szCs w:val="20"/>
          <w:color w:val="auto"/>
        </w:rPr>
        <w:t>statements if such financial statements were prepared in accordance with GAAP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well as any other corporation, limited liability company, partnership, association or other entity of which securities or other ownership interests representing more than 50% of the equity or more than 50% of the ordinary voting power or, in the case of a partnership, more than</w:t>
      </w:r>
    </w:p>
    <w:p>
      <w:pPr>
        <w:spacing w:after="0" w:line="235" w:lineRule="auto"/>
        <w:rPr>
          <w:sz w:val="20"/>
          <w:szCs w:val="20"/>
          <w:color w:val="auto"/>
        </w:rPr>
      </w:pPr>
      <w:r>
        <w:rPr>
          <w:rFonts w:ascii="Arial" w:cs="Arial" w:eastAsia="Arial" w:hAnsi="Arial"/>
          <w:sz w:val="18"/>
          <w:szCs w:val="18"/>
          <w:color w:val="auto"/>
        </w:rPr>
        <w:t>50% of the general partnership interests are, as of such date, owned, Controlled or held; and (ii) in the case of any Person incorporated in</w:t>
      </w:r>
    </w:p>
    <w:p>
      <w:pPr>
        <w:spacing w:after="0" w:line="220" w:lineRule="auto"/>
        <w:rPr>
          <w:sz w:val="20"/>
          <w:szCs w:val="20"/>
          <w:color w:val="auto"/>
        </w:rPr>
      </w:pPr>
      <w:r>
        <w:rPr>
          <w:rFonts w:ascii="Arial" w:cs="Arial" w:eastAsia="Arial" w:hAnsi="Arial"/>
          <w:sz w:val="20"/>
          <w:szCs w:val="20"/>
          <w:color w:val="auto"/>
        </w:rPr>
        <w:t>Ireland, any subsidiary of that Person within the meaning of Section 7 of the Companies Act or Regulation 4 of the European Communities (Companies Group Accounts) Regulations 1992.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subsidiary of Holdings (unless a contrary intention appears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each Subsidiary that is party to this Agreement from time to time. The Subsidiary Guarantors as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Closing Date will be each Subsidiary of Holdings as set forth in </w:t>
      </w:r>
      <w:r>
        <w:rPr>
          <w:rFonts w:ascii="Arial" w:cs="Arial" w:eastAsia="Arial" w:hAnsi="Arial"/>
          <w:sz w:val="18"/>
          <w:szCs w:val="18"/>
          <w:u w:val="single" w:color="auto"/>
          <w:color w:val="auto"/>
        </w:rPr>
        <w:t>Schedule 1.01F</w:t>
      </w:r>
      <w:r>
        <w:rPr>
          <w:rFonts w:ascii="Arial" w:cs="Arial" w:eastAsia="Arial" w:hAnsi="Arial"/>
          <w:sz w:val="18"/>
          <w:szCs w:val="18"/>
          <w:color w:val="auto"/>
        </w:rPr>
        <w:t xml:space="preserve">. Notwithstanding anything herein or in any other Loan Document to the contrary, no Excluded Subsidiary or Unrestricted Subsidiary shall be required to be a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36" w:lineRule="auto"/>
        <w:rPr>
          <w:sz w:val="20"/>
          <w:szCs w:val="20"/>
          <w:color w:val="auto"/>
        </w:rPr>
      </w:pPr>
      <w:r>
        <w:rPr>
          <w:rFonts w:ascii="Arial" w:cs="Arial" w:eastAsia="Arial" w:hAnsi="Arial"/>
          <w:sz w:val="18"/>
          <w:szCs w:val="18"/>
          <w:color w:val="auto"/>
        </w:rPr>
        <w:t>Holdings shall be required to comply with the provisions set forth in Section 5.09(f). Notwithstanding the foregoing, Holdings may elect to</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cause any Restricted Subsidiary that is not otherwise required to be a Subsidiary Guarantor to provide a Guarantee by causing such Restricted Subsidiary to execute a Joinder Agreement (or, in the case of any Foreign Subsidiary, a guaranty of the Secured Obligations (which may be</w:t>
      </w:r>
    </w:p>
    <w:p>
      <w:pPr>
        <w:spacing w:after="0" w:line="235" w:lineRule="auto"/>
        <w:rPr>
          <w:sz w:val="20"/>
          <w:szCs w:val="20"/>
          <w:color w:val="auto"/>
        </w:rPr>
      </w:pPr>
      <w:r>
        <w:rPr>
          <w:rFonts w:ascii="Arial" w:cs="Arial" w:eastAsia="Arial" w:hAnsi="Arial"/>
          <w:sz w:val="18"/>
          <w:szCs w:val="18"/>
          <w:color w:val="auto"/>
        </w:rPr>
        <w:t>the Guarantee or, if reasonably required by the Administrative Agent in order to create a legally enforceable Guarantee, a guaranty governed</w:t>
      </w:r>
    </w:p>
    <w:p>
      <w:pPr>
        <w:spacing w:after="0" w:line="226" w:lineRule="auto"/>
        <w:rPr>
          <w:sz w:val="20"/>
          <w:szCs w:val="20"/>
          <w:color w:val="auto"/>
        </w:rPr>
      </w:pPr>
      <w:r>
        <w:rPr>
          <w:rFonts w:ascii="Arial" w:cs="Arial" w:eastAsia="Arial" w:hAnsi="Arial"/>
          <w:sz w:val="18"/>
          <w:szCs w:val="18"/>
          <w:color w:val="auto"/>
        </w:rPr>
        <w:t>by the laws of the applicable country in which such Foreign Subsidiary is incorporated or organized) and all documents, financing statements, agreements, instruments, certificates, notices and acknowledgements and filings which the Administrative Agent may reasonably</w:t>
      </w:r>
    </w:p>
    <w:p>
      <w:pPr>
        <w:spacing w:after="0" w:line="224" w:lineRule="auto"/>
        <w:rPr>
          <w:sz w:val="20"/>
          <w:szCs w:val="20"/>
          <w:color w:val="auto"/>
        </w:rPr>
      </w:pPr>
      <w:r>
        <w:rPr>
          <w:rFonts w:ascii="Arial" w:cs="Arial" w:eastAsia="Arial" w:hAnsi="Arial"/>
          <w:sz w:val="19"/>
          <w:szCs w:val="19"/>
          <w:color w:val="auto"/>
        </w:rPr>
        <w:t>request to ensure the creation, perfection and priority of the Liens on the assets of such Foreign Subsidiary, in each case (i) in a form</w:t>
      </w:r>
    </w:p>
    <w:p>
      <w:pPr>
        <w:spacing w:after="0" w:line="226" w:lineRule="auto"/>
        <w:rPr>
          <w:sz w:val="20"/>
          <w:szCs w:val="20"/>
          <w:color w:val="auto"/>
        </w:rPr>
      </w:pPr>
      <w:r>
        <w:rPr>
          <w:rFonts w:ascii="Arial" w:cs="Arial" w:eastAsia="Arial" w:hAnsi="Arial"/>
          <w:sz w:val="18"/>
          <w:szCs w:val="18"/>
          <w:color w:val="auto"/>
        </w:rPr>
        <w:t>reasonably acceptable to the Administrative Agent, (ii) governed by the laws of the applicable country in which such Foreign Subsidiary is incorporated or organized and (iii) subject to the Agreed Guarantee and Security Principles and customary exceptions for transactions of this</w:t>
      </w:r>
    </w:p>
    <w:p>
      <w:pPr>
        <w:spacing w:after="0" w:line="224" w:lineRule="auto"/>
        <w:rPr>
          <w:sz w:val="20"/>
          <w:szCs w:val="20"/>
          <w:color w:val="auto"/>
        </w:rPr>
      </w:pPr>
      <w:r>
        <w:rPr>
          <w:rFonts w:ascii="Arial" w:cs="Arial" w:eastAsia="Arial" w:hAnsi="Arial"/>
          <w:sz w:val="19"/>
          <w:szCs w:val="19"/>
          <w:color w:val="auto"/>
        </w:rPr>
        <w:t>type in such applicable country), and any such Restricted Subsidiary shall be a Loan Party and Subsidiary Guarantor for all purposes</w:t>
      </w:r>
    </w:p>
    <w:p>
      <w:pPr>
        <w:spacing w:after="0" w:line="220" w:lineRule="auto"/>
        <w:rPr>
          <w:sz w:val="20"/>
          <w:szCs w:val="20"/>
          <w:color w:val="auto"/>
        </w:rPr>
      </w:pPr>
      <w:r>
        <w:rPr>
          <w:rFonts w:ascii="Arial" w:cs="Arial" w:eastAsia="Arial" w:hAnsi="Arial"/>
          <w:sz w:val="20"/>
          <w:szCs w:val="20"/>
          <w:color w:val="auto"/>
        </w:rPr>
        <w:t>hereunder. In the event that Holdings elects to cause a Foreign Subsidiary to be a Subsidiary Guarantor in accordance with the foregoing, such Foreign Subsidiary shall cease to be an Excluded Subsidiary for purposes of the Loan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assigned to such term in Section 9.20.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means any agreement with respect to any swap, forward, future or derivative transaction or option or similar</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agreement involving, or settled by reference to, one or more rates, currencies, commodities, equity or debt instruments or securities, or economic, financial or pricing indices or measures of economic, financial or pricing risk or value or any similar transaction or any</w:t>
      </w:r>
    </w:p>
    <w:p>
      <w:pPr>
        <w:spacing w:after="0" w:line="215" w:lineRule="auto"/>
        <w:rPr>
          <w:sz w:val="20"/>
          <w:szCs w:val="20"/>
          <w:color w:val="auto"/>
        </w:rPr>
      </w:pPr>
      <w:r>
        <w:rPr>
          <w:rFonts w:ascii="Arial" w:cs="Arial" w:eastAsia="Arial" w:hAnsi="Arial"/>
          <w:sz w:val="19"/>
          <w:szCs w:val="19"/>
          <w:color w:val="auto"/>
        </w:rPr>
        <w:t xml:space="preserve">combination of these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Holdings or its Restricted Subsidiaries shall be a Swap</w:t>
      </w:r>
    </w:p>
    <w:p>
      <w:pPr>
        <w:spacing w:after="0"/>
        <w:rPr>
          <w:sz w:val="20"/>
          <w:szCs w:val="20"/>
          <w:color w:val="auto"/>
        </w:rPr>
      </w:pPr>
      <w:r>
        <w:rPr>
          <w:rFonts w:ascii="Arial" w:cs="Arial" w:eastAsia="Arial" w:hAnsi="Arial"/>
          <w:sz w:val="20"/>
          <w:szCs w:val="20"/>
          <w:color w:val="auto"/>
        </w:rPr>
        <w:t>Agreement.</w:t>
      </w:r>
    </w:p>
    <w:p>
      <w:pPr>
        <w:spacing w:after="0" w:line="14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any and all obligations of Holdings or any Restricted Subsidiary, whether absolute or contingent and howsoever and whensoever created, arising, evidenced or acquired (including all renewals, extensions and modifications thereof and</w:t>
      </w:r>
    </w:p>
    <w:p>
      <w:pPr>
        <w:spacing w:after="0" w:line="255" w:lineRule="auto"/>
        <w:rPr>
          <w:sz w:val="20"/>
          <w:szCs w:val="20"/>
          <w:color w:val="auto"/>
        </w:rPr>
      </w:pPr>
      <w:r>
        <w:rPr>
          <w:rFonts w:ascii="Arial" w:cs="Arial" w:eastAsia="Arial" w:hAnsi="Arial"/>
          <w:sz w:val="16"/>
          <w:szCs w:val="16"/>
          <w:color w:val="auto"/>
        </w:rPr>
        <w:t>substitutions therefor), under (a) any and all Swap Agreements with a Hedge Bank, (b) any and all cancellations, buy backs, reversals, terminations or assignments of any such Swap Agreement transaction and (c) any obligation to pay or perform under any agreement, contract</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or transaction that constitutes a “swap” within the meaning of section 1a(47) of the Commodity Exchange Act. For the avoidance of doubt, Permitted Equity Derivatives shall not constitute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5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means, at any time, the aggregate principal amount of all Swingline Loans outstanding at such time. The Swingline Exposure of any Lender at any time shall be its Revolving Percentage of the total Swingline Exposure at such time.</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Citibank, N.A. (acting through itself or one of its designated affiliates or branch offices), in its capacity as lender of Swingline Loans hereunder and any other Lender designated by the Applicable Borrower as a “Swingline Lender” hereunder that</w:t>
      </w:r>
    </w:p>
    <w:p>
      <w:pPr>
        <w:spacing w:after="0"/>
        <w:rPr>
          <w:sz w:val="20"/>
          <w:szCs w:val="20"/>
          <w:color w:val="auto"/>
        </w:rPr>
      </w:pPr>
      <w:r>
        <w:rPr>
          <w:rFonts w:ascii="Arial" w:cs="Arial" w:eastAsia="Arial" w:hAnsi="Arial"/>
          <w:sz w:val="20"/>
          <w:szCs w:val="20"/>
          <w:color w:val="auto"/>
        </w:rPr>
        <w:t>has agreed to such designation (and is reasonably acceptable to the Administrative Agent).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Loan made pursuant to Section 2.05.</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PRA Health Sciences, Inc., a Delaware corporation, and its Subsidiaries (prior to consummation of the Acquisition).</w:t>
      </w:r>
    </w:p>
    <w:p>
      <w:pPr>
        <w:spacing w:after="0"/>
        <w:rPr>
          <w:sz w:val="20"/>
          <w:szCs w:val="20"/>
          <w:color w:val="auto"/>
        </w:rPr>
      </w:pPr>
      <w:r>
        <w:rPr>
          <w:rFonts w:ascii="Arial" w:cs="Arial" w:eastAsia="Arial" w:hAnsi="Arial"/>
          <w:sz w:val="18"/>
          <w:szCs w:val="18"/>
          <w:color w:val="auto"/>
        </w:rPr>
        <w:t>References to Target herein and in the other Loan Documents shall, from and after the Closing Date, mean PRA Health Sciences, Inc.</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the Trans-European Automated Real-time Gross Settlement Express Transfer (TARGET) payment system (or, if such payment system ceases to be operative, such other payment system (if any) reasonably determined by the Administrative Agent to be a</w:t>
      </w:r>
    </w:p>
    <w:p>
      <w:pPr>
        <w:spacing w:after="0"/>
        <w:rPr>
          <w:sz w:val="20"/>
          <w:szCs w:val="20"/>
          <w:color w:val="auto"/>
        </w:rPr>
      </w:pPr>
      <w:r>
        <w:rPr>
          <w:rFonts w:ascii="Arial" w:cs="Arial" w:eastAsia="Arial" w:hAnsi="Arial"/>
          <w:sz w:val="20"/>
          <w:szCs w:val="20"/>
          <w:color w:val="auto"/>
        </w:rPr>
        <w:t>suitable replacement) for the settlement of payments in euro.</w:t>
      </w:r>
    </w:p>
    <w:p>
      <w:pPr>
        <w:spacing w:after="0" w:line="14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Credit Agreement</w:t>
      </w:r>
      <w:r>
        <w:rPr>
          <w:rFonts w:ascii="Arial" w:cs="Arial" w:eastAsia="Arial" w:hAnsi="Arial"/>
          <w:sz w:val="20"/>
          <w:szCs w:val="20"/>
          <w:color w:val="auto"/>
        </w:rPr>
        <w:t>” means the Credit Agreement, dated October 28, 2019, by and among the Target, PNC Bank, National Association, as administrative agent, the lenders party thereto and the other parties thereto (as amended, restated, amended and restated, supplemented or otherwise modified from time to time).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Receivables Financing Agreement</w:t>
      </w:r>
      <w:r>
        <w:rPr>
          <w:rFonts w:ascii="Arial" w:cs="Arial" w:eastAsia="Arial" w:hAnsi="Arial"/>
          <w:sz w:val="16"/>
          <w:szCs w:val="16"/>
          <w:color w:val="auto"/>
        </w:rPr>
        <w:t>” means the Receivables Financing Agreement, dated as of March 22, 2016, by and among</w:t>
      </w:r>
    </w:p>
    <w:p>
      <w:pPr>
        <w:spacing w:after="0" w:line="35"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Target, PNC Capital Markets LLC, as structuring agent, the lenders party thereto and the other parties thereto (as amended, restated, amended and restated, supplemented or otherwise modified from time to time).</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assessments, withholdings or similar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Group</w:t>
      </w:r>
      <w:r>
        <w:rPr>
          <w:rFonts w:ascii="Arial" w:cs="Arial" w:eastAsia="Arial" w:hAnsi="Arial"/>
          <w:sz w:val="20"/>
          <w:szCs w:val="20"/>
          <w:color w:val="auto"/>
        </w:rPr>
        <w:t>” has the meaning assigned to such term in Section 6.04(b)(xxii).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TCA</w:t>
      </w:r>
      <w:r>
        <w:rPr>
          <w:rFonts w:ascii="Arial" w:cs="Arial" w:eastAsia="Arial" w:hAnsi="Arial"/>
          <w:sz w:val="20"/>
          <w:szCs w:val="20"/>
          <w:color w:val="auto"/>
        </w:rPr>
        <w:t>” means the Taxes Consolidation Act 1997 of Ireland.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Facility</w:t>
      </w:r>
      <w:r>
        <w:rPr>
          <w:rFonts w:ascii="Arial" w:cs="Arial" w:eastAsia="Arial" w:hAnsi="Arial"/>
          <w:sz w:val="18"/>
          <w:szCs w:val="18"/>
          <w:color w:val="auto"/>
        </w:rPr>
        <w:t>” means Indebtedness with amortization in excess of 1% and less than or equal to 10% per year that is marketed</w:t>
      </w:r>
    </w:p>
    <w:p>
      <w:pPr>
        <w:spacing w:after="0" w:line="1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principally to regulated commercial banks (as determined by Holdings) in an aggregate principal amount for all Term A Facilities outstanding at any time not to exceed the greater of $1,160,000,000 and 100% of Consolidated EBITDA for the Test Period most recently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ended on or prior to the date of such determination.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Lender</w:t>
      </w:r>
      <w:r>
        <w:rPr>
          <w:rFonts w:ascii="Arial" w:cs="Arial" w:eastAsia="Arial" w:hAnsi="Arial"/>
          <w:sz w:val="19"/>
          <w:szCs w:val="19"/>
          <w:color w:val="auto"/>
        </w:rPr>
        <w:t>” means, as of any date of determination, each Lender that holds Term Loan Commitments or Term Loans.</w:t>
      </w:r>
    </w:p>
    <w:p>
      <w:pPr>
        <w:spacing w:after="0" w:line="18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Commitments</w:t>
      </w:r>
      <w:r>
        <w:rPr>
          <w:rFonts w:ascii="Arial" w:cs="Arial" w:eastAsia="Arial" w:hAnsi="Arial"/>
          <w:sz w:val="19"/>
          <w:szCs w:val="19"/>
          <w:color w:val="auto"/>
        </w:rPr>
        <w:t>” means, collectively, the Lux Term Loan Commitments, the U.S. Term Loan Commitments, the Extended Term Loan Commitments, the Incremental Term Loan Commitments and the Other Refinancing Term Commitments.</w:t>
      </w:r>
    </w:p>
    <w:p>
      <w:pPr>
        <w:spacing w:after="0" w:line="153"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Increases</w:t>
      </w:r>
      <w:r>
        <w:rPr>
          <w:rFonts w:ascii="Arial" w:cs="Arial" w:eastAsia="Arial" w:hAnsi="Arial"/>
          <w:sz w:val="20"/>
          <w:szCs w:val="20"/>
          <w:color w:val="auto"/>
        </w:rPr>
        <w:t>” means one or more new Incremental Term Loan Commitments which are in the same Tranche as any outstanding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35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collectively, the Lux Term Loans, the U.S. Term Loans, any Incremental Term Loan (including any Other Term Loan), any Other Refinancing Term Loans of the applicable Class or any Extended Term Loan.</w:t>
      </w:r>
    </w:p>
    <w:p>
      <w:pPr>
        <w:spacing w:after="0" w:line="15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at any date of determination, the most recently completed four consecutive fiscal quarters ending on or prior to such date for which financial statements are available.</w:t>
      </w:r>
    </w:p>
    <w:p>
      <w:pPr>
        <w:spacing w:after="0" w:line="15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Assets</w:t>
      </w:r>
      <w:r>
        <w:rPr>
          <w:rFonts w:ascii="Arial" w:cs="Arial" w:eastAsia="Arial" w:hAnsi="Arial"/>
          <w:sz w:val="16"/>
          <w:szCs w:val="16"/>
          <w:color w:val="auto"/>
        </w:rPr>
        <w:t>” means the total assets of the Group, as shown on the most recent balance sheet of Holdings for which financial statements are available on which any calculation of Total Assets is being made, calculated on a Pro Forma Basis in accordance with Section</w:t>
      </w:r>
    </w:p>
    <w:p>
      <w:pPr>
        <w:spacing w:after="0" w:line="236" w:lineRule="auto"/>
        <w:rPr>
          <w:sz w:val="20"/>
          <w:szCs w:val="20"/>
          <w:color w:val="auto"/>
        </w:rPr>
      </w:pPr>
      <w:r>
        <w:rPr>
          <w:rFonts w:ascii="Arial" w:cs="Arial" w:eastAsia="Arial" w:hAnsi="Arial"/>
          <w:sz w:val="18"/>
          <w:szCs w:val="18"/>
          <w:color w:val="auto"/>
        </w:rPr>
        <w:t>1.07 to give effect to any Material Acquisition or Material Disposition since the date of such balance sheet. For the avoidance of doubt, any</w:t>
      </w:r>
    </w:p>
    <w:p>
      <w:pPr>
        <w:spacing w:after="0" w:line="250" w:lineRule="auto"/>
        <w:rPr>
          <w:sz w:val="20"/>
          <w:szCs w:val="20"/>
          <w:color w:val="auto"/>
        </w:rPr>
      </w:pPr>
      <w:r>
        <w:rPr>
          <w:rFonts w:ascii="Arial" w:cs="Arial" w:eastAsia="Arial" w:hAnsi="Arial"/>
          <w:sz w:val="18"/>
          <w:szCs w:val="18"/>
          <w:color w:val="auto"/>
        </w:rPr>
        <w:t>Indebtedness or Lien incurred, Investment or Restricted Payment made in each case was permitted under this Agreement at the time of such incurrence, making or receipt, shall continue to be permitted hereunder, regardless of any subsequent decrease in Total Assets.</w:t>
      </w:r>
    </w:p>
    <w:p>
      <w:pPr>
        <w:spacing w:after="0" w:line="14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Net Leverage Ratio</w:t>
      </w:r>
      <w:r>
        <w:rPr>
          <w:rFonts w:ascii="Arial" w:cs="Arial" w:eastAsia="Arial" w:hAnsi="Arial"/>
          <w:sz w:val="20"/>
          <w:szCs w:val="20"/>
          <w:color w:val="auto"/>
        </w:rPr>
        <w:t>” means, with respect to any Test Period, the ratio of (a) Consolidated Total Indebtedness net of Unrestricted Cash as of the last day of such Test Period to (b) Consolidated EBITDA for such Test Period.</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w:t>
      </w:r>
      <w:r>
        <w:rPr>
          <w:rFonts w:ascii="Arial" w:cs="Arial" w:eastAsia="Arial" w:hAnsi="Arial"/>
          <w:sz w:val="20"/>
          <w:szCs w:val="20"/>
          <w:color w:val="auto"/>
        </w:rPr>
        <w:t>” means a category of Commitments and extensions of credit thereunder (e.g. Lux Term Loans, U.S. Term Loans and Incremental Term Loans).</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Loan Parties of this Agreement and the other Loan Documents, (b) the borrowing of Loans and other credit extensions and the use of the proceeds thereof, (c) the granting of Liens pursuant to</w:t>
      </w:r>
    </w:p>
    <w:p>
      <w:pPr>
        <w:spacing w:after="0" w:line="222" w:lineRule="auto"/>
        <w:rPr>
          <w:sz w:val="20"/>
          <w:szCs w:val="20"/>
          <w:color w:val="auto"/>
        </w:rPr>
      </w:pPr>
      <w:r>
        <w:rPr>
          <w:rFonts w:ascii="Arial" w:cs="Arial" w:eastAsia="Arial" w:hAnsi="Arial"/>
          <w:sz w:val="19"/>
          <w:szCs w:val="19"/>
          <w:color w:val="auto"/>
        </w:rPr>
        <w:t>the Collateral Documents, (d) the Acquisition (including the execution of the Acquisition Documents, the payment of the Deferred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Acquisition Consideration and the other transactions contemplated by the Acquisition Documents), (e) the execution, delivery and performance of the New Note Documents and the issuance of the New Notes thereunder, (f) the Refinancing, (g) any other transactions</w:t>
      </w:r>
    </w:p>
    <w:p>
      <w:pPr>
        <w:spacing w:after="0" w:line="224" w:lineRule="auto"/>
        <w:rPr>
          <w:sz w:val="20"/>
          <w:szCs w:val="20"/>
          <w:color w:val="auto"/>
        </w:rPr>
      </w:pPr>
      <w:r>
        <w:rPr>
          <w:rFonts w:ascii="Arial" w:cs="Arial" w:eastAsia="Arial" w:hAnsi="Arial"/>
          <w:sz w:val="19"/>
          <w:szCs w:val="19"/>
          <w:color w:val="auto"/>
        </w:rPr>
        <w:t>related to or entered into in connection with any of the foregoing, including without limitation each of the transactions described in the</w:t>
      </w:r>
    </w:p>
    <w:p>
      <w:pPr>
        <w:ind w:right="20"/>
        <w:spacing w:after="0" w:line="220" w:lineRule="auto"/>
        <w:rPr>
          <w:sz w:val="20"/>
          <w:szCs w:val="20"/>
          <w:color w:val="auto"/>
        </w:rPr>
      </w:pPr>
      <w:r>
        <w:rPr>
          <w:rFonts w:ascii="Arial" w:cs="Arial" w:eastAsia="Arial" w:hAnsi="Arial"/>
          <w:sz w:val="20"/>
          <w:szCs w:val="20"/>
          <w:color w:val="auto"/>
        </w:rPr>
        <w:t>memorandum prepared by KPMG and provided to the Administrative Agent prior to the Closing Date and (h) the payment of the fees and expenses incurred in connection with any of the foregoing.</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Acquisition</w:t>
      </w:r>
      <w:r>
        <w:rPr>
          <w:rFonts w:ascii="Arial" w:cs="Arial" w:eastAsia="Arial" w:hAnsi="Arial"/>
          <w:sz w:val="18"/>
          <w:szCs w:val="18"/>
          <w:color w:val="auto"/>
        </w:rPr>
        <w:t>” shall mean any acquisition by Holdings, any Borrower or any other Restricted Subsidiary that (i) is not permitted by the terms of the Loan Documents immediately prior to the consummation of such acquisition or (ii) if permitted by the terms of</w:t>
      </w:r>
    </w:p>
    <w:p>
      <w:pPr>
        <w:spacing w:after="0" w:line="226" w:lineRule="auto"/>
        <w:rPr>
          <w:sz w:val="20"/>
          <w:szCs w:val="20"/>
          <w:color w:val="auto"/>
        </w:rPr>
      </w:pPr>
      <w:r>
        <w:rPr>
          <w:rFonts w:ascii="Arial" w:cs="Arial" w:eastAsia="Arial" w:hAnsi="Arial"/>
          <w:sz w:val="18"/>
          <w:szCs w:val="18"/>
          <w:color w:val="auto"/>
        </w:rPr>
        <w:t>the Loan Documents immediately prior to the consummation of such acquisition, would not provide Holdings, any Borrower and the other Restricted Subsidiaries with adequate flexibility under the Loan Documents for the continuation and/or expansion of their combined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operations following such consummation, as determined by the Borrowers acting in good faith.</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Transformative Disposition</w:t>
      </w:r>
      <w:r>
        <w:rPr>
          <w:rFonts w:ascii="Arial" w:cs="Arial" w:eastAsia="Arial" w:hAnsi="Arial"/>
          <w:sz w:val="18"/>
          <w:szCs w:val="18"/>
          <w:color w:val="auto"/>
        </w:rPr>
        <w:t>” shall mean any Disposition by Holdings, any Borrower or any other Restricted Subsidiary that (i) is not permitted by the terms of the Loan Documents immediately prior to the consummation of such disposition or (ii) if permitted by the terms of</w:t>
      </w:r>
    </w:p>
    <w:p>
      <w:pPr>
        <w:spacing w:after="0" w:line="226" w:lineRule="auto"/>
        <w:rPr>
          <w:sz w:val="20"/>
          <w:szCs w:val="20"/>
          <w:color w:val="auto"/>
        </w:rPr>
      </w:pPr>
      <w:r>
        <w:rPr>
          <w:rFonts w:ascii="Arial" w:cs="Arial" w:eastAsia="Arial" w:hAnsi="Arial"/>
          <w:sz w:val="18"/>
          <w:szCs w:val="18"/>
          <w:color w:val="auto"/>
        </w:rPr>
        <w:t>the Loan Documents immediately prior to the consummation of such disposition, would not provide Holdings, the Borrowers and the other Restricted Subsidiaries with adequate flexibility under the Loan Documents for the continuation and/or expansion of their combined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operations following such consummation, as determined by the Borrowers acting in good faith.</w:t>
      </w:r>
    </w:p>
    <w:p>
      <w:pPr>
        <w:spacing w:after="0" w:line="146"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Loans or Borrowings in a single currency and whether the rate of interest on such Loan, or on the Loans comprising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Borrowing, is determined by reference to the Eurocurrency Rate, </w:t>
      </w:r>
      <w:r>
        <w:rPr>
          <w:rFonts w:ascii="Arial" w:cs="Arial" w:eastAsia="Arial" w:hAnsi="Arial"/>
          <w:sz w:val="18"/>
          <w:szCs w:val="18"/>
          <w:u w:val="single" w:color="auto"/>
          <w:color w:val="0000FF"/>
        </w:rPr>
        <w:t>USD Term SOFR,</w:t>
      </w:r>
      <w:r>
        <w:rPr>
          <w:rFonts w:ascii="Arial" w:cs="Arial" w:eastAsia="Arial" w:hAnsi="Arial"/>
          <w:sz w:val="18"/>
          <w:szCs w:val="18"/>
          <w:color w:val="auto"/>
        </w:rPr>
        <w:t xml:space="preserve"> Daily Simple RFR or the Alternate Base Rate.</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time) promulgated by the United Kingdom Prudential Regulation Authority) or any person falling within IFPRU 11.6 of the FCA Handbook (as amended from time to time) promulgated by the United Kingdom Financial Conduct Authority, which includes certain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institutions and investment firms, and certain affiliates of such credit institutions or investment firms.</w:t>
      </w:r>
    </w:p>
    <w:p>
      <w:pPr>
        <w:spacing w:after="0" w:line="14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4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(i) an obligation to reimburse a bank for drawings not yet made under a</w:t>
      </w:r>
    </w:p>
    <w:p>
      <w:pPr>
        <w:spacing w:after="0" w:line="220" w:lineRule="auto"/>
        <w:rPr>
          <w:sz w:val="20"/>
          <w:szCs w:val="20"/>
          <w:color w:val="auto"/>
        </w:rPr>
      </w:pPr>
      <w:r>
        <w:rPr>
          <w:rFonts w:ascii="Arial" w:cs="Arial" w:eastAsia="Arial" w:hAnsi="Arial"/>
          <w:sz w:val="20"/>
          <w:szCs w:val="20"/>
          <w:color w:val="auto"/>
        </w:rPr>
        <w:t>letter of credit issued by it; (ii) any other obligation (including any guarantee) that is contingent in nature at such time; and (iii) an obligation to provide collateral to secure any of the foregoing types of obligations.</w:t>
      </w:r>
    </w:p>
    <w:p>
      <w:pPr>
        <w:spacing w:after="0" w:line="156"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Cash</w:t>
      </w:r>
      <w:r>
        <w:rPr>
          <w:rFonts w:ascii="Arial" w:cs="Arial" w:eastAsia="Arial" w:hAnsi="Arial"/>
          <w:sz w:val="19"/>
          <w:szCs w:val="19"/>
          <w:color w:val="auto"/>
        </w:rPr>
        <w:t>” means at any time the sum of (i) unrestricted cash and Cash Equivalents whether or not held in a pledged account plus (ii) cash and Cash Equivalents restricted in favor of the Obligations (which may also include cash and Cash Equivalents</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securing other Indebtedness secured by a Lien on the Collateral along with the Obligations at such time), in each case, such unrestricted cash and restricted cash and Cash Equivalents to be determined in accordance with GAAP.</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(1) IGPHS, (2) each Securitization Subsidiary, (3) any Subsidiary that at the time of determination</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shall be designated an Unrestricted Subsidiary by the Board of Directors of Holdings in accordance with Section 5.10 and (4) any Subsidiary of an Unrestricted Subsidiary.</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“USD Adjusted Term SOFR” means, for purposes of any calculation, the rate per annum equal to (a) USD Term SOFR for such calculation plus (b) the USD Term SOFR Adjustment; provided that if USD Adjusted Term SOFR as so determined shall ever</w:t>
      </w:r>
      <w:r>
        <w:rPr>
          <w:rFonts w:ascii="Arial" w:cs="Arial" w:eastAsia="Arial" w:hAnsi="Arial"/>
          <w:sz w:val="18"/>
          <w:szCs w:val="18"/>
          <w:color w:val="0000FF"/>
        </w:rPr>
        <w:t xml:space="preserve"> </w:t>
      </w:r>
      <w:r>
        <w:rPr>
          <w:rFonts w:ascii="Arial" w:cs="Arial" w:eastAsia="Arial" w:hAnsi="Arial"/>
          <w:sz w:val="18"/>
          <w:szCs w:val="18"/>
          <w:color w:val="00C000"/>
        </w:rPr>
        <w:t>be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6487795</wp:posOffset>
            </wp:positionH>
            <wp:positionV relativeFrom="paragraph">
              <wp:posOffset>-6985</wp:posOffset>
            </wp:positionV>
            <wp:extent cx="643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C000"/>
        </w:rPr>
        <w:t>the USD Floor,</w:t>
      </w:r>
      <w:r>
        <w:rPr>
          <w:rFonts w:ascii="Arial" w:cs="Arial" w:eastAsia="Arial" w:hAnsi="Arial"/>
          <w:sz w:val="20"/>
          <w:szCs w:val="20"/>
          <w:color w:val="00C000"/>
        </w:rPr>
        <w:t xml:space="preserve"> </w:t>
      </w:r>
      <w:r>
        <w:rPr>
          <w:rFonts w:ascii="Arial" w:cs="Arial" w:eastAsia="Arial" w:hAnsi="Arial"/>
          <w:sz w:val="20"/>
          <w:szCs w:val="20"/>
          <w:u w:val="single" w:color="auto"/>
          <w:color w:val="0000FF"/>
        </w:rPr>
        <w:t>then USD Adjusted Term SOFR shall</w:t>
      </w:r>
      <w:r>
        <w:rPr>
          <w:rFonts w:ascii="Arial" w:cs="Arial" w:eastAsia="Arial" w:hAnsi="Arial"/>
          <w:sz w:val="20"/>
          <w:szCs w:val="20"/>
          <w:color w:val="00C000"/>
        </w:rPr>
        <w:t xml:space="preserve"> be deemed to be the USD Floor</w:t>
      </w:r>
      <w:r>
        <w:rPr>
          <w:rFonts w:ascii="Arial" w:cs="Arial" w:eastAsia="Arial" w:hAnsi="Arial"/>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-24765</wp:posOffset>
            </wp:positionV>
            <wp:extent cx="16224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1622425" cy="8255"/>
                    </a:xfrm>
                    <a:prstGeom prst="rect">
                      <a:avLst/>
                    </a:prstGeom>
                    <a:noFill/>
                  </pic:spPr>
                </pic:pic>
              </a:graphicData>
            </a:graphic>
          </wp:anchor>
        </w:drawing>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Available Tenor</w:t>
      </w:r>
      <w:r>
        <w:rPr>
          <w:rFonts w:ascii="Arial" w:cs="Arial" w:eastAsia="Arial" w:hAnsi="Arial"/>
          <w:sz w:val="18"/>
          <w:szCs w:val="18"/>
          <w:color w:val="auto"/>
        </w:rPr>
        <w:t>” means, as of any date of determination and with respect to any then-current Benchmark for any currency, as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(x) if any then-current USD Benchmark is a term rate, any tenor for such Benchmark that is or may be used for determining the length of an Interest Period or (y) otherwise, any payment period for interest calculated with reference to such USD Benchmark,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applicable, pursuant to this Agreement as of such date.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USD Benchmark</w:t>
      </w:r>
      <w:r>
        <w:rPr>
          <w:rFonts w:ascii="Arial" w:cs="Arial" w:eastAsia="Arial" w:hAnsi="Arial"/>
          <w:sz w:val="19"/>
          <w:szCs w:val="19"/>
          <w:color w:val="auto"/>
        </w:rPr>
        <w:t>” means</w:t>
      </w:r>
      <w:r>
        <w:rPr>
          <w:rFonts w:ascii="Arial" w:cs="Arial" w:eastAsia="Arial" w:hAnsi="Arial"/>
          <w:sz w:val="19"/>
          <w:szCs w:val="19"/>
          <w:u w:val="single" w:color="auto"/>
          <w:color w:val="0000FF"/>
        </w:rPr>
        <w:t>, initially, the</w:t>
      </w:r>
      <w:r>
        <w:rPr>
          <w:rFonts w:ascii="Arial" w:cs="Arial" w:eastAsia="Arial" w:hAnsi="Arial"/>
          <w:sz w:val="19"/>
          <w:szCs w:val="19"/>
          <w:color w:val="auto"/>
        </w:rPr>
        <w:t xml:space="preserve"> USD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Term SOFR Reference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w:t>
      </w:r>
      <w:r>
        <w:rPr>
          <w:rFonts w:ascii="Arial" w:cs="Arial" w:eastAsia="Arial" w:hAnsi="Arial"/>
          <w:sz w:val="19"/>
          <w:szCs w:val="19"/>
          <w:color w:val="FF0000"/>
          <w:strike w:val="1"/>
        </w:rPr>
        <w:t>replacement of an initial or</w:t>
      </w:r>
    </w:p>
    <w:p>
      <w:pPr>
        <w:spacing w:after="0" w:line="234" w:lineRule="auto"/>
        <w:rPr>
          <w:sz w:val="20"/>
          <w:szCs w:val="20"/>
          <w:color w:val="auto"/>
        </w:rPr>
      </w:pPr>
      <w:r>
        <w:rPr>
          <w:rFonts w:ascii="Arial" w:cs="Arial" w:eastAsia="Arial" w:hAnsi="Arial"/>
          <w:sz w:val="18"/>
          <w:szCs w:val="18"/>
          <w:color w:val="FF0000"/>
          <w:strike w:val="1"/>
        </w:rPr>
        <w:t>subsequent</w:t>
      </w:r>
      <w:r>
        <w:rPr>
          <w:rFonts w:ascii="Arial" w:cs="Arial" w:eastAsia="Arial" w:hAnsi="Arial"/>
          <w:sz w:val="18"/>
          <w:szCs w:val="18"/>
          <w:color w:val="FF0000"/>
        </w:rPr>
        <w:t xml:space="preserve"> </w:t>
      </w:r>
      <w:r>
        <w:rPr>
          <w:rFonts w:ascii="Arial" w:cs="Arial" w:eastAsia="Arial" w:hAnsi="Arial"/>
          <w:sz w:val="18"/>
          <w:szCs w:val="18"/>
          <w:color w:val="000000"/>
        </w:rPr>
        <w:t>USD Benchmark</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Transition Event</w:t>
      </w:r>
      <w:r>
        <w:rPr>
          <w:rFonts w:ascii="Arial" w:cs="Arial" w:eastAsia="Arial" w:hAnsi="Arial"/>
          <w:sz w:val="18"/>
          <w:szCs w:val="18"/>
          <w:color w:val="FF0000"/>
        </w:rPr>
        <w:t xml:space="preserve"> </w:t>
      </w:r>
      <w:r>
        <w:rPr>
          <w:rFonts w:ascii="Arial" w:cs="Arial" w:eastAsia="Arial" w:hAnsi="Arial"/>
          <w:sz w:val="18"/>
          <w:szCs w:val="18"/>
          <w:color w:val="000000"/>
        </w:rPr>
        <w:t>has occurred pursuant to Section 2.14, then “USD Benchmark” means the applicable USD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Benchmark Replacement to the extent that such USD Benchmark Replacement has replaced such prior benchmark rate. Any reference to “USD Benchmark” shall include, as applicable,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35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Benchmark Replacement</w:t>
      </w:r>
      <w:r>
        <w:rPr>
          <w:rFonts w:ascii="Arial" w:cs="Arial" w:eastAsia="Arial" w:hAnsi="Arial"/>
          <w:sz w:val="20"/>
          <w:szCs w:val="20"/>
          <w:color w:val="auto"/>
        </w:rPr>
        <w:t>” means, for any USD Available Tenor</w:t>
      </w:r>
      <w:r>
        <w:rPr>
          <w:rFonts w:ascii="Arial" w:cs="Arial" w:eastAsia="Arial" w:hAnsi="Arial"/>
          <w:sz w:val="20"/>
          <w:szCs w:val="20"/>
          <w:color w:val="FF0000"/>
          <w:strike w:val="1"/>
        </w:rPr>
        <w:t>:(i) For</w:t>
      </w:r>
      <w:r>
        <w:rPr>
          <w:rFonts w:ascii="Arial" w:cs="Arial" w:eastAsia="Arial" w:hAnsi="Arial"/>
          <w:sz w:val="20"/>
          <w:szCs w:val="20"/>
          <w:u w:val="single" w:color="auto"/>
          <w:color w:val="0000FF"/>
        </w:rPr>
        <w:t>, for</w:t>
      </w:r>
      <w:r>
        <w:rPr>
          <w:rFonts w:ascii="Arial" w:cs="Arial" w:eastAsia="Arial" w:hAnsi="Arial"/>
          <w:sz w:val="20"/>
          <w:szCs w:val="20"/>
          <w:color w:val="auto"/>
        </w:rPr>
        <w:t xml:space="preserve"> purposes of Section 2.14(</w:t>
      </w:r>
      <w:r>
        <w:rPr>
          <w:rFonts w:ascii="Arial" w:cs="Arial" w:eastAsia="Arial" w:hAnsi="Arial"/>
          <w:sz w:val="20"/>
          <w:szCs w:val="20"/>
          <w:color w:val="FF0000"/>
          <w:strike w:val="1"/>
        </w:rPr>
        <w:t>a), the first alternative</w:t>
      </w:r>
      <w:r>
        <w:rPr>
          <w:rFonts w:ascii="Arial" w:cs="Arial" w:eastAsia="Arial" w:hAnsi="Arial"/>
          <w:sz w:val="20"/>
          <w:szCs w:val="20"/>
          <w:color w:val="auto"/>
        </w:rPr>
        <w:t xml:space="preserve"> </w:t>
      </w:r>
      <w:r>
        <w:rPr>
          <w:rFonts w:ascii="Arial" w:cs="Arial" w:eastAsia="Arial" w:hAnsi="Arial"/>
          <w:sz w:val="20"/>
          <w:szCs w:val="20"/>
          <w:color w:val="FF0000"/>
          <w:strike w:val="1"/>
        </w:rPr>
        <w:t>set forth below that can be determined by the Administrative Agent:</w:t>
      </w:r>
    </w:p>
    <w:p>
      <w:pPr>
        <w:spacing w:after="0" w:line="155" w:lineRule="exact"/>
        <w:rPr>
          <w:sz w:val="20"/>
          <w:szCs w:val="20"/>
          <w:color w:val="auto"/>
        </w:rPr>
      </w:pPr>
    </w:p>
    <w:p>
      <w:pPr>
        <w:jc w:val="both"/>
        <w:ind w:left="1300" w:firstLine="1300"/>
        <w:spacing w:after="0" w:line="223" w:lineRule="auto"/>
        <w:tabs>
          <w:tab w:leader="none" w:pos="3071" w:val="left"/>
        </w:tabs>
        <w:numPr>
          <w:ilvl w:val="0"/>
          <w:numId w:val="142"/>
        </w:numPr>
        <w:rPr>
          <w:rFonts w:ascii="Arial" w:cs="Arial" w:eastAsia="Arial" w:hAnsi="Arial"/>
          <w:sz w:val="20"/>
          <w:szCs w:val="20"/>
          <w:color w:val="FF0000"/>
          <w:strike w:val="1"/>
        </w:rPr>
      </w:pPr>
      <w:r>
        <w:rPr>
          <w:rFonts w:ascii="Arial" w:cs="Arial" w:eastAsia="Arial" w:hAnsi="Arial"/>
          <w:sz w:val="20"/>
          <w:szCs w:val="20"/>
          <w:color w:val="FF0000"/>
          <w:strike w:val="1"/>
        </w:rPr>
        <w:t>the sum of: (i) USD Term SOFR and (ii) 0.11448% (11.448 basis points) for a USD Available Tenor of one-month’s duration, 0.26161% (26.161 basis points) for a USD Available Tenor of three-months’ duration and 0.42826% (42.826 basis points) for a USD Available Tenor of six-months’ duration, or</w:t>
      </w:r>
    </w:p>
    <w:p>
      <w:pPr>
        <w:spacing w:after="0" w:line="168" w:lineRule="exact"/>
        <w:rPr>
          <w:rFonts w:ascii="Arial" w:cs="Arial" w:eastAsia="Arial" w:hAnsi="Arial"/>
          <w:sz w:val="20"/>
          <w:szCs w:val="20"/>
          <w:color w:val="FF0000"/>
          <w:strike w:val="1"/>
        </w:rPr>
      </w:pPr>
    </w:p>
    <w:p>
      <w:pPr>
        <w:jc w:val="both"/>
        <w:ind w:left="1300" w:firstLine="1300"/>
        <w:spacing w:after="0" w:line="236" w:lineRule="auto"/>
        <w:tabs>
          <w:tab w:leader="none" w:pos="3106" w:val="left"/>
        </w:tabs>
        <w:numPr>
          <w:ilvl w:val="0"/>
          <w:numId w:val="142"/>
        </w:numPr>
        <w:rPr>
          <w:rFonts w:ascii="Arial" w:cs="Arial" w:eastAsia="Arial" w:hAnsi="Arial"/>
          <w:sz w:val="18"/>
          <w:szCs w:val="18"/>
          <w:color w:val="FF0000"/>
          <w:strike w:val="1"/>
        </w:rPr>
      </w:pPr>
      <w:r>
        <w:rPr>
          <w:rFonts w:ascii="Arial" w:cs="Arial" w:eastAsia="Arial" w:hAnsi="Arial"/>
          <w:sz w:val="18"/>
          <w:szCs w:val="18"/>
          <w:color w:val="FF0000"/>
          <w:strike w:val="1"/>
        </w:rPr>
        <w:t>the sum of: (i) USD Daily Simple SOFR and (ii) the spread adjustment selected or recommended by the Relevant Governmental Body for the replacement of the tenor of USD LIBOR with a USD SOFR-based rate having</w:t>
      </w:r>
    </w:p>
    <w:p>
      <w:pPr>
        <w:ind w:left="1300"/>
        <w:spacing w:after="0"/>
        <w:tabs>
          <w:tab w:leader="none" w:pos="9280" w:val="left"/>
        </w:tabs>
        <w:rPr>
          <w:sz w:val="20"/>
          <w:szCs w:val="20"/>
          <w:color w:val="auto"/>
        </w:rPr>
      </w:pPr>
      <w:r>
        <w:rPr>
          <w:rFonts w:ascii="Arial" w:cs="Arial" w:eastAsia="Arial" w:hAnsi="Arial"/>
          <w:sz w:val="20"/>
          <w:szCs w:val="20"/>
          <w:color w:val="FF0000"/>
          <w:strike w:val="1"/>
        </w:rPr>
        <w:t>approximately the same length as the interest payment period specified in Section 2.14(a); and(ii)</w:t>
      </w:r>
      <w:r>
        <w:rPr>
          <w:sz w:val="20"/>
          <w:szCs w:val="20"/>
          <w:color w:val="auto"/>
        </w:rPr>
        <w:tab/>
      </w:r>
      <w:r>
        <w:rPr>
          <w:rFonts w:ascii="Arial" w:cs="Arial" w:eastAsia="Arial" w:hAnsi="Arial"/>
          <w:sz w:val="16"/>
          <w:szCs w:val="16"/>
          <w:color w:val="FF0000"/>
          <w:strike w:val="1"/>
        </w:rPr>
        <w:t>For purposes of 2.14(</w:t>
      </w:r>
      <w:r>
        <w:rPr>
          <w:rFonts w:ascii="Arial" w:cs="Arial" w:eastAsia="Arial" w:hAnsi="Arial"/>
          <w:sz w:val="16"/>
          <w:szCs w:val="16"/>
          <w:color w:val="000000"/>
          <w:strike w:val="1"/>
        </w:rPr>
        <w:t>b),</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 xml:space="preserve">the sum of (a) the alternate benchmark rate </w:t>
      </w:r>
      <w:r>
        <w:rPr>
          <w:rFonts w:ascii="Arial" w:cs="Arial" w:eastAsia="Arial" w:hAnsi="Arial"/>
          <w:sz w:val="18"/>
          <w:szCs w:val="18"/>
          <w:color w:val="0000FF"/>
        </w:rPr>
        <w:t>that has been selected by the Administrative Agent and Holdings giving due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consideration to (i) any selection or recommendation of a replacement benchmark rate or the mechanism for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-126365</wp:posOffset>
            </wp:positionV>
            <wp:extent cx="40392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ind w:left="1300"/>
        <w:spacing w:after="0" w:line="236" w:lineRule="auto"/>
        <w:rPr>
          <w:sz w:val="20"/>
          <w:szCs w:val="20"/>
          <w:color w:val="auto"/>
        </w:rPr>
      </w:pPr>
      <w:r>
        <w:rPr>
          <w:rFonts w:ascii="Arial" w:cs="Arial" w:eastAsia="Arial" w:hAnsi="Arial"/>
          <w:sz w:val="18"/>
          <w:szCs w:val="18"/>
          <w:u w:val="single" w:color="auto"/>
          <w:color w:val="0000FF"/>
        </w:rPr>
        <w:t>such a rate by the Relevant Governmental Body or (ii) any evolving or then-prevailing market convention for determining a</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u w:val="single" w:color="auto"/>
          <w:color w:val="0000FF"/>
        </w:rPr>
        <w:t>benchmark rate as a replacement to the then-current Benchmark for Dollar-denominated syndicated credit facilities at such time</w:t>
      </w:r>
      <w:r>
        <w:rPr>
          <w:rFonts w:ascii="Arial" w:cs="Arial" w:eastAsia="Arial" w:hAnsi="Arial"/>
          <w:sz w:val="18"/>
          <w:szCs w:val="18"/>
          <w:color w:val="0000FF"/>
        </w:rPr>
        <w:t xml:space="preserve"> </w:t>
      </w:r>
      <w:r>
        <w:rPr>
          <w:rFonts w:ascii="Arial" w:cs="Arial" w:eastAsia="Arial" w:hAnsi="Arial"/>
          <w:sz w:val="18"/>
          <w:szCs w:val="18"/>
          <w:color w:val="000000"/>
        </w:rPr>
        <w:t>and (b) an adjustment (which may be a positive or negative value or zero), in each case, that has been selected by the</w:t>
      </w:r>
    </w:p>
    <w:p>
      <w:pPr>
        <w:ind w:left="1300"/>
        <w:spacing w:after="0" w:line="236" w:lineRule="auto"/>
        <w:rPr>
          <w:sz w:val="20"/>
          <w:szCs w:val="20"/>
          <w:color w:val="auto"/>
        </w:rPr>
      </w:pPr>
      <w:r>
        <w:rPr>
          <w:rFonts w:ascii="Arial" w:cs="Arial" w:eastAsia="Arial" w:hAnsi="Arial"/>
          <w:sz w:val="18"/>
          <w:szCs w:val="18"/>
          <w:color w:val="auto"/>
        </w:rPr>
        <w:t>Administrative Agent and Holdings as the replacement for such USD Available Tenor of such USD Benchmark giving due</w:t>
      </w:r>
    </w:p>
    <w:p>
      <w:pPr>
        <w:spacing w:after="0" w:line="1"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consideration to any evolving or then-prevailing market convention, including any applicable recommendations made by the Relevant Governmental Body, for Dollar-denominated syndicated credit facilities at such time in the U.S. syndicated loan</w:t>
      </w:r>
    </w:p>
    <w:p>
      <w:pPr>
        <w:ind w:left="1300"/>
        <w:spacing w:after="0" w:line="236" w:lineRule="auto"/>
        <w:rPr>
          <w:sz w:val="20"/>
          <w:szCs w:val="20"/>
          <w:color w:val="auto"/>
        </w:rPr>
      </w:pPr>
      <w:r>
        <w:rPr>
          <w:rFonts w:ascii="Arial" w:cs="Arial" w:eastAsia="Arial" w:hAnsi="Arial"/>
          <w:sz w:val="18"/>
          <w:szCs w:val="18"/>
          <w:color w:val="auto"/>
        </w:rPr>
        <w:t>market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provided</w:t>
      </w:r>
      <w:r>
        <w:rPr>
          <w:rFonts w:ascii="Arial" w:cs="Arial" w:eastAsia="Arial" w:hAnsi="Arial"/>
          <w:sz w:val="18"/>
          <w:szCs w:val="18"/>
          <w:color w:val="auto"/>
        </w:rPr>
        <w:t xml:space="preserve"> </w:t>
      </w:r>
      <w:r>
        <w:rPr>
          <w:rFonts w:ascii="Arial" w:cs="Arial" w:eastAsia="Arial" w:hAnsi="Arial"/>
          <w:sz w:val="18"/>
          <w:szCs w:val="18"/>
          <w:color w:val="FF0000"/>
          <w:strike w:val="1"/>
        </w:rPr>
        <w:t>that, if the USD Benchmark Replacement as determined pursuant to clause (i) or (ii) above would</w:t>
      </w:r>
      <w:r>
        <w:rPr>
          <w:rFonts w:ascii="Arial" w:cs="Arial" w:eastAsia="Arial" w:hAnsi="Arial"/>
          <w:sz w:val="18"/>
          <w:szCs w:val="18"/>
          <w:color w:val="auto"/>
        </w:rPr>
        <w:t xml:space="preserve"> </w:t>
      </w:r>
      <w:r>
        <w:rPr>
          <w:rFonts w:ascii="Arial" w:cs="Arial" w:eastAsia="Arial" w:hAnsi="Arial"/>
          <w:sz w:val="18"/>
          <w:szCs w:val="18"/>
          <w:color w:val="00C000"/>
        </w:rPr>
        <w:t>be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6744970</wp:posOffset>
            </wp:positionH>
            <wp:positionV relativeFrom="paragraph">
              <wp:posOffset>-58420</wp:posOffset>
            </wp:positionV>
            <wp:extent cx="386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86715" cy="8255"/>
                    </a:xfrm>
                    <a:prstGeom prst="rect">
                      <a:avLst/>
                    </a:prstGeom>
                    <a:noFill/>
                  </pic:spPr>
                </pic:pic>
              </a:graphicData>
            </a:graphic>
          </wp:anchor>
        </w:drawing>
      </w:r>
    </w:p>
    <w:p>
      <w:pPr>
        <w:ind w:left="1300"/>
        <w:spacing w:after="0" w:line="220" w:lineRule="auto"/>
        <w:rPr>
          <w:sz w:val="20"/>
          <w:szCs w:val="20"/>
          <w:color w:val="auto"/>
        </w:rPr>
      </w:pPr>
      <w:r>
        <w:rPr>
          <w:rFonts w:ascii="Arial" w:cs="Arial" w:eastAsia="Arial" w:hAnsi="Arial"/>
          <w:sz w:val="20"/>
          <w:szCs w:val="20"/>
          <w:color w:val="00C000"/>
          <w:strike w:val="1"/>
        </w:rPr>
        <w:t>than the USD Floor,</w:t>
      </w:r>
      <w:r>
        <w:rPr>
          <w:rFonts w:ascii="Arial" w:cs="Arial" w:eastAsia="Arial" w:hAnsi="Arial"/>
          <w:sz w:val="20"/>
          <w:szCs w:val="20"/>
          <w:color w:val="00C000"/>
        </w:rPr>
        <w:t xml:space="preserve"> </w:t>
      </w:r>
      <w:r>
        <w:rPr>
          <w:rFonts w:ascii="Arial" w:cs="Arial" w:eastAsia="Arial" w:hAnsi="Arial"/>
          <w:sz w:val="20"/>
          <w:szCs w:val="20"/>
          <w:color w:val="FF0000"/>
          <w:strike w:val="1"/>
        </w:rPr>
        <w:t>the USD Benchmark Replacement will</w:t>
      </w:r>
      <w:r>
        <w:rPr>
          <w:rFonts w:ascii="Arial" w:cs="Arial" w:eastAsia="Arial" w:hAnsi="Arial"/>
          <w:sz w:val="20"/>
          <w:szCs w:val="20"/>
          <w:color w:val="00C000"/>
        </w:rPr>
        <w:t xml:space="preserve"> be deemed to be the USD Floor </w:t>
      </w:r>
      <w:r>
        <w:rPr>
          <w:rFonts w:ascii="Arial" w:cs="Arial" w:eastAsia="Arial" w:hAnsi="Arial"/>
          <w:sz w:val="20"/>
          <w:szCs w:val="20"/>
          <w:color w:val="FF0000"/>
        </w:rPr>
        <w:t>for the purposes of this</w:t>
      </w:r>
      <w:r>
        <w:rPr>
          <w:rFonts w:ascii="Arial" w:cs="Arial" w:eastAsia="Arial" w:hAnsi="Arial"/>
          <w:sz w:val="20"/>
          <w:szCs w:val="20"/>
          <w:color w:val="00C000"/>
        </w:rPr>
        <w:t xml:space="preserve"> </w:t>
      </w:r>
      <w:r>
        <w:rPr>
          <w:rFonts w:ascii="Arial" w:cs="Arial" w:eastAsia="Arial" w:hAnsi="Arial"/>
          <w:sz w:val="20"/>
          <w:szCs w:val="20"/>
          <w:color w:val="FF0000"/>
          <w:strike w:val="1"/>
        </w:rPr>
        <w:t>Agreement and the other Loan Documents</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-198120</wp:posOffset>
            </wp:positionV>
            <wp:extent cx="31121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USD Benchmark Replacement Conforming Changes</w:t>
      </w:r>
      <w:r>
        <w:rPr>
          <w:rFonts w:ascii="Arial" w:cs="Arial" w:eastAsia="Arial" w:hAnsi="Arial"/>
          <w:sz w:val="18"/>
          <w:szCs w:val="18"/>
          <w:color w:val="auto"/>
        </w:rPr>
        <w:t>” means, with respect to any USD Benchmark Replacement, any technical,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administrative or operational changes (including changes to the definition of “ABR,” the definition of “Business Day,” </w:t>
      </w:r>
      <w:r>
        <w:rPr>
          <w:rFonts w:ascii="Arial" w:cs="Arial" w:eastAsia="Arial" w:hAnsi="Arial"/>
          <w:sz w:val="18"/>
          <w:szCs w:val="18"/>
          <w:color w:val="0000FF"/>
        </w:rPr>
        <w:t>the definition of “U.S.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Government Securities Business Day,”</w:t>
      </w:r>
      <w:r>
        <w:rPr>
          <w:rFonts w:ascii="Arial" w:cs="Arial" w:eastAsia="Arial" w:hAnsi="Arial"/>
          <w:sz w:val="18"/>
          <w:szCs w:val="18"/>
          <w:color w:val="0000FF"/>
        </w:rPr>
        <w:t xml:space="preserve"> </w:t>
      </w:r>
      <w:r>
        <w:rPr>
          <w:rFonts w:ascii="Arial" w:cs="Arial" w:eastAsia="Arial" w:hAnsi="Arial"/>
          <w:sz w:val="18"/>
          <w:szCs w:val="18"/>
          <w:color w:val="000000"/>
        </w:rPr>
        <w:t>the definition of “Interest Period,”</w:t>
      </w:r>
      <w:r>
        <w:rPr>
          <w:rFonts w:ascii="Arial" w:cs="Arial" w:eastAsia="Arial" w:hAnsi="Arial"/>
          <w:sz w:val="18"/>
          <w:szCs w:val="18"/>
          <w:color w:val="0000FF"/>
        </w:rPr>
        <w:t xml:space="preserve"> or any similar or analogous definition (or the addition of a 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-126365</wp:posOffset>
            </wp:positionV>
            <wp:extent cx="1151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1151255" cy="8890"/>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-6350</wp:posOffset>
            </wp:positionV>
            <wp:extent cx="34118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9"/>
          <w:szCs w:val="19"/>
          <w:u w:val="single" w:color="auto"/>
          <w:color w:val="0000FF"/>
        </w:rPr>
        <w:t>of “interest period”),</w:t>
      </w:r>
      <w:r>
        <w:rPr>
          <w:rFonts w:ascii="Arial" w:cs="Arial" w:eastAsia="Arial" w:hAnsi="Arial"/>
          <w:sz w:val="19"/>
          <w:szCs w:val="19"/>
          <w:color w:val="0000FF"/>
        </w:rPr>
        <w:t xml:space="preserve"> </w:t>
      </w:r>
      <w:r>
        <w:rPr>
          <w:rFonts w:ascii="Arial" w:cs="Arial" w:eastAsia="Arial" w:hAnsi="Arial"/>
          <w:sz w:val="19"/>
          <w:szCs w:val="19"/>
          <w:color w:val="000000"/>
        </w:rPr>
        <w:t>timing and frequency of determining rates and making payments of interest, timing of borrowing requests or</w:t>
      </w:r>
    </w:p>
    <w:p>
      <w:pPr>
        <w:jc w:val="both"/>
        <w:spacing w:after="0" w:line="226" w:lineRule="auto"/>
        <w:rPr>
          <w:sz w:val="20"/>
          <w:szCs w:val="20"/>
          <w:color w:val="auto"/>
        </w:rPr>
      </w:pPr>
      <w:r>
        <w:rPr>
          <w:rFonts w:ascii="Arial" w:cs="Arial" w:eastAsia="Arial" w:hAnsi="Arial"/>
          <w:sz w:val="18"/>
          <w:szCs w:val="18"/>
          <w:color w:val="auto"/>
        </w:rPr>
        <w:t>prepayment, conversion or continuation notices, the applicability and length of lookback periods, the applicability of breakage provisions and other technical, administrative or operational matters) that the Administrative Agent, in consultation with Holdings, decides may be</w:t>
      </w:r>
    </w:p>
    <w:p>
      <w:pPr>
        <w:spacing w:after="0" w:line="236" w:lineRule="auto"/>
        <w:rPr>
          <w:sz w:val="20"/>
          <w:szCs w:val="20"/>
          <w:color w:val="auto"/>
        </w:rPr>
      </w:pPr>
      <w:r>
        <w:rPr>
          <w:rFonts w:ascii="Arial" w:cs="Arial" w:eastAsia="Arial" w:hAnsi="Arial"/>
          <w:sz w:val="18"/>
          <w:szCs w:val="18"/>
          <w:color w:val="auto"/>
        </w:rPr>
        <w:t>appropriate to reflect the adoption and implementation of such USD Benchmark Replacement and to permit the administration thereof by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administration of such USD Benchmark Replacement exists, in such other manner of administration as the Administrative Agent, in consultation with Holdings, decides is reasonably necessary in connection with the administration of this Agreement and the other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4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Benchmark Transition Event</w:t>
      </w:r>
      <w:r>
        <w:rPr>
          <w:rFonts w:ascii="Arial" w:cs="Arial" w:eastAsia="Arial" w:hAnsi="Arial"/>
          <w:sz w:val="20"/>
          <w:szCs w:val="20"/>
          <w:color w:val="auto"/>
        </w:rPr>
        <w:t xml:space="preserve">” means, with respect to any then-current USD Benchmark </w:t>
      </w:r>
      <w:r>
        <w:rPr>
          <w:rFonts w:ascii="Arial" w:cs="Arial" w:eastAsia="Arial" w:hAnsi="Arial"/>
          <w:sz w:val="20"/>
          <w:szCs w:val="20"/>
          <w:color w:val="FF0000"/>
        </w:rPr>
        <w:t>other than USD LIBOR</w:t>
      </w:r>
      <w:r>
        <w:rPr>
          <w:rFonts w:ascii="Arial" w:cs="Arial" w:eastAsia="Arial" w:hAnsi="Arial"/>
          <w:sz w:val="20"/>
          <w:szCs w:val="20"/>
          <w:color w:val="auto"/>
        </w:rPr>
        <w:t>, the occurrence of one or more of the following events: a public statement or publication of information by or on behalf of the administrator of any then-current USD Benchmark, the regulatory supervisor for the administrator of such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5523865</wp:posOffset>
            </wp:positionH>
            <wp:positionV relativeFrom="paragraph">
              <wp:posOffset>-334645</wp:posOffset>
            </wp:positionV>
            <wp:extent cx="13569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Benchmark, the Board of Governors of the Federal Reserve System, the Federal Reserve Bank of New York, an insolvency official with jurisdiction over the administrator for such USD Benchmark, a resolution authority with jurisdiction over the administrator for such USD</w:t>
      </w:r>
    </w:p>
    <w:p>
      <w:pPr>
        <w:spacing w:after="0" w:line="222" w:lineRule="auto"/>
        <w:rPr>
          <w:sz w:val="20"/>
          <w:szCs w:val="20"/>
          <w:color w:val="auto"/>
        </w:rPr>
      </w:pPr>
      <w:r>
        <w:rPr>
          <w:rFonts w:ascii="Arial" w:cs="Arial" w:eastAsia="Arial" w:hAnsi="Arial"/>
          <w:sz w:val="19"/>
          <w:szCs w:val="19"/>
          <w:color w:val="auto"/>
        </w:rPr>
        <w:t>Benchmark or a court or an entity with similar insolvency or resolution authority over the administrator for such USD Benchmark,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announcing or stating that (a) such administrator has ceased or will cease on a specified date to provide all USD Available Tenors of such USD Benchmark,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w:t>
      </w:r>
    </w:p>
    <w:p>
      <w:pPr>
        <w:spacing w:after="0" w:line="236" w:lineRule="auto"/>
        <w:rPr>
          <w:sz w:val="20"/>
          <w:szCs w:val="20"/>
          <w:color w:val="auto"/>
        </w:rPr>
      </w:pPr>
      <w:r>
        <w:rPr>
          <w:rFonts w:ascii="Arial" w:cs="Arial" w:eastAsia="Arial" w:hAnsi="Arial"/>
          <w:sz w:val="18"/>
          <w:szCs w:val="18"/>
          <w:color w:val="auto"/>
        </w:rPr>
        <w:t>that will continue to provide any USD Available Tenor of such USD Benchmark or (b) all USD Available Tenors of such USD Benchmark</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are or will no longer be representative of the underlying market and economic reality that such USD Benchmark is intended to measure and that representativeness will not be restored.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USD Daily Simple SOFR</w:t>
      </w:r>
      <w:r>
        <w:rPr>
          <w:rFonts w:ascii="Arial" w:cs="Arial" w:eastAsia="Arial" w:hAnsi="Arial"/>
          <w:sz w:val="18"/>
          <w:szCs w:val="18"/>
          <w:color w:val="FF0000"/>
          <w:strike w:val="1"/>
        </w:rPr>
        <w:t>” means, for any day, USD SOFR, with the conventions for this rate (which will include a lookback) being established by the Administrative Agent in accordance with the conventions for this rate recommended by the Relevant Governmental Body</w:t>
      </w:r>
    </w:p>
    <w:p>
      <w:pPr>
        <w:spacing w:after="0" w:line="235" w:lineRule="auto"/>
        <w:rPr>
          <w:sz w:val="20"/>
          <w:szCs w:val="20"/>
          <w:color w:val="auto"/>
        </w:rPr>
      </w:pPr>
      <w:r>
        <w:rPr>
          <w:rFonts w:ascii="Arial" w:cs="Arial" w:eastAsia="Arial" w:hAnsi="Arial"/>
          <w:sz w:val="18"/>
          <w:szCs w:val="18"/>
          <w:color w:val="FF0000"/>
          <w:strike w:val="1"/>
        </w:rPr>
        <w:t xml:space="preserve">for determining “USD Daily Simple SOFR” for syndicated business loans;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the Administrative Agent decides that any such</w:t>
      </w:r>
    </w:p>
    <w:p>
      <w:pPr>
        <w:spacing w:after="0" w:line="220" w:lineRule="auto"/>
        <w:rPr>
          <w:sz w:val="20"/>
          <w:szCs w:val="20"/>
          <w:color w:val="auto"/>
        </w:rPr>
      </w:pPr>
      <w:r>
        <w:rPr>
          <w:rFonts w:ascii="Arial" w:cs="Arial" w:eastAsia="Arial" w:hAnsi="Arial"/>
          <w:sz w:val="20"/>
          <w:szCs w:val="20"/>
          <w:color w:val="FF0000"/>
          <w:strike w:val="1"/>
        </w:rPr>
        <w:t>convention is not administratively feasible for the Administrative Agent, then the Administrative Agent may establish another convention</w:t>
      </w:r>
      <w:r>
        <w:rPr>
          <w:rFonts w:ascii="Arial" w:cs="Arial" w:eastAsia="Arial" w:hAnsi="Arial"/>
          <w:sz w:val="20"/>
          <w:szCs w:val="20"/>
          <w:color w:val="FF0000"/>
        </w:rPr>
        <w:t xml:space="preserve"> </w:t>
      </w:r>
      <w:r>
        <w:rPr>
          <w:rFonts w:ascii="Arial" w:cs="Arial" w:eastAsia="Arial" w:hAnsi="Arial"/>
          <w:sz w:val="20"/>
          <w:szCs w:val="20"/>
          <w:color w:val="00C000"/>
        </w:rPr>
        <w:t>in</w:t>
      </w:r>
      <w:r>
        <w:rPr>
          <w:rFonts w:ascii="Arial" w:cs="Arial" w:eastAsia="Arial" w:hAnsi="Arial"/>
          <w:sz w:val="20"/>
          <w:szCs w:val="20"/>
          <w:color w:val="FF0000"/>
        </w:rPr>
        <w:t xml:space="preserve"> </w:t>
      </w:r>
      <w:r>
        <w:rPr>
          <w:rFonts w:ascii="Arial" w:cs="Arial" w:eastAsia="Arial" w:hAnsi="Arial"/>
          <w:sz w:val="20"/>
          <w:szCs w:val="20"/>
          <w:color w:val="00C000"/>
          <w:strike w:val="1"/>
        </w:rPr>
        <w:t>its reasonable discretion</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6999605</wp:posOffset>
            </wp:positionH>
            <wp:positionV relativeFrom="paragraph">
              <wp:posOffset>-198120</wp:posOffset>
            </wp:positionV>
            <wp:extent cx="1377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137795" cy="8890"/>
                    </a:xfrm>
                    <a:prstGeom prst="rect">
                      <a:avLst/>
                    </a:prstGeom>
                    <a:noFill/>
                  </pic:spPr>
                </pic:pic>
              </a:graphicData>
            </a:graphic>
          </wp:anchor>
        </w:drawing>
      </w:r>
    </w:p>
    <w:p>
      <w:pPr>
        <w:spacing w:after="0" w:line="13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USD Early Opt-in Effective Date</w:t>
      </w:r>
      <w:r>
        <w:rPr>
          <w:rFonts w:ascii="Arial" w:cs="Arial" w:eastAsia="Arial" w:hAnsi="Arial"/>
          <w:sz w:val="18"/>
          <w:szCs w:val="18"/>
          <w:color w:val="FF0000"/>
          <w:strike w:val="1"/>
        </w:rPr>
        <w:t>” means, with respect to any USD Early Opt-in Election, the sixth (6</w:t>
      </w:r>
      <w:r>
        <w:rPr>
          <w:rFonts w:ascii="Arial" w:cs="Arial" w:eastAsia="Arial" w:hAnsi="Arial"/>
          <w:sz w:val="11"/>
          <w:szCs w:val="11"/>
          <w:color w:val="FF0000"/>
          <w:strike w:val="1"/>
        </w:rPr>
        <w:t>th</w:t>
      </w:r>
      <w:r>
        <w:rPr>
          <w:rFonts w:ascii="Arial" w:cs="Arial" w:eastAsia="Arial" w:hAnsi="Arial"/>
          <w:sz w:val="18"/>
          <w:szCs w:val="18"/>
          <w:color w:val="FF0000"/>
          <w:strike w:val="1"/>
        </w:rPr>
        <w:t>) Business Day after the date notice of such USD Early Opt-in Election is provided to the Lenders, so long as the Administrative Agent has not received, by 5:00 p.m.</w:t>
      </w:r>
    </w:p>
    <w:p>
      <w:pPr>
        <w:spacing w:after="0" w:line="227" w:lineRule="auto"/>
        <w:rPr>
          <w:sz w:val="20"/>
          <w:szCs w:val="20"/>
          <w:color w:val="auto"/>
        </w:rPr>
      </w:pPr>
      <w:r>
        <w:rPr>
          <w:rFonts w:ascii="Arial" w:cs="Arial" w:eastAsia="Arial" w:hAnsi="Arial"/>
          <w:sz w:val="20"/>
          <w:szCs w:val="20"/>
          <w:color w:val="FF0000"/>
          <w:strike w:val="1"/>
        </w:rPr>
        <w:t>(New York City time) on the fifth (5th) Business Day after the date notice of such USD Early Opt-in Election is provided to the Lenders, written notice of objection to such USD Early Opt-in Election from Lenders comprising the Required Lenders.</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USD Early Opt-in Election</w:t>
      </w:r>
      <w:r>
        <w:rPr>
          <w:rFonts w:ascii="Arial" w:cs="Arial" w:eastAsia="Arial" w:hAnsi="Arial"/>
          <w:sz w:val="20"/>
          <w:szCs w:val="20"/>
          <w:color w:val="FF0000"/>
          <w:strike w:val="1"/>
        </w:rPr>
        <w:t>” means, in the case of Loans denominated in Dollars, if the then-current USD Benchmark is USD LIBOR, the occurrence of the following:</w:t>
      </w:r>
    </w:p>
    <w:p>
      <w:pPr>
        <w:spacing w:after="0" w:line="142" w:lineRule="exact"/>
        <w:rPr>
          <w:sz w:val="20"/>
          <w:szCs w:val="20"/>
          <w:color w:val="auto"/>
        </w:rPr>
      </w:pPr>
    </w:p>
    <w:p>
      <w:pPr>
        <w:jc w:val="both"/>
        <w:ind w:left="660" w:firstLine="1292"/>
        <w:spacing w:after="0" w:line="229" w:lineRule="auto"/>
        <w:tabs>
          <w:tab w:leader="none" w:pos="2415" w:val="left"/>
        </w:tabs>
        <w:numPr>
          <w:ilvl w:val="0"/>
          <w:numId w:val="143"/>
        </w:numPr>
        <w:rPr>
          <w:rFonts w:ascii="Arial" w:cs="Arial" w:eastAsia="Arial" w:hAnsi="Arial"/>
          <w:sz w:val="19"/>
          <w:szCs w:val="19"/>
          <w:color w:val="FF0000"/>
          <w:strike w:val="1"/>
        </w:rPr>
      </w:pPr>
      <w:r>
        <w:rPr>
          <w:rFonts w:ascii="Arial" w:cs="Arial" w:eastAsia="Arial" w:hAnsi="Arial"/>
          <w:sz w:val="19"/>
          <w:szCs w:val="19"/>
          <w:color w:val="FF0000"/>
          <w:strike w:val="1"/>
        </w:rPr>
        <w:t>(a) a notification by the Administrative Agent to (or the request by Holdings to the Administrative Agent to notify) each of the other parties hereto that at least five currently outstanding Dollars denominated syndicated credit facilities in the U.S. syndicated loan market at such time contain (as a result of amendment or as originally executed) a USD SOFR-based rate (including USD SOFR, a term USD SOFR or any other rate based upon USD SOFR) as a benchmark rate (and such syndicated credit facilities are identified in such notice and are publicly available for review), and</w:t>
      </w:r>
    </w:p>
    <w:p>
      <w:pPr>
        <w:spacing w:after="0" w:line="159" w:lineRule="exact"/>
        <w:rPr>
          <w:rFonts w:ascii="Arial" w:cs="Arial" w:eastAsia="Arial" w:hAnsi="Arial"/>
          <w:sz w:val="19"/>
          <w:szCs w:val="19"/>
          <w:color w:val="FF0000"/>
          <w:strike w:val="1"/>
        </w:rPr>
      </w:pPr>
    </w:p>
    <w:p>
      <w:pPr>
        <w:ind w:left="660" w:right="20" w:firstLine="1292"/>
        <w:spacing w:after="0" w:line="236" w:lineRule="auto"/>
        <w:tabs>
          <w:tab w:leader="none" w:pos="2460" w:val="left"/>
        </w:tabs>
        <w:numPr>
          <w:ilvl w:val="0"/>
          <w:numId w:val="143"/>
        </w:numPr>
        <w:rPr>
          <w:rFonts w:ascii="Arial" w:cs="Arial" w:eastAsia="Arial" w:hAnsi="Arial"/>
          <w:sz w:val="20"/>
          <w:szCs w:val="20"/>
          <w:color w:val="FF0000"/>
          <w:strike w:val="1"/>
        </w:rPr>
      </w:pPr>
      <w:r>
        <w:rPr>
          <w:rFonts w:ascii="Arial" w:cs="Arial" w:eastAsia="Arial" w:hAnsi="Arial"/>
          <w:sz w:val="20"/>
          <w:szCs w:val="20"/>
          <w:color w:val="FF0000"/>
          <w:strike w:val="1"/>
        </w:rPr>
        <w:t>the joint election by the Administrative Agent and Holdings to trigger a fallback from USD LIBOR and the provision by the Administrative Agent of written notice of such election to the Lenders.</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Floor</w:t>
      </w:r>
      <w:r>
        <w:rPr>
          <w:rFonts w:ascii="Arial" w:cs="Arial" w:eastAsia="Arial" w:hAnsi="Arial"/>
          <w:sz w:val="20"/>
          <w:szCs w:val="20"/>
          <w:color w:val="auto"/>
        </w:rPr>
        <w:t xml:space="preserve">”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20"/>
          <w:szCs w:val="20"/>
          <w:color w:val="FF0000"/>
          <w:strike w:val="1"/>
        </w:rPr>
        <w:t>initial</w:t>
      </w:r>
      <w:r>
        <w:rPr>
          <w:rFonts w:ascii="Arial" w:cs="Arial" w:eastAsia="Arial" w:hAnsi="Arial"/>
          <w:sz w:val="20"/>
          <w:szCs w:val="20"/>
          <w:color w:val="auto"/>
        </w:rPr>
        <w:t xml:space="preserve"> USD Benchmark, which is 0% with respect to the Initial Revolving Loans and 0.50% with respect to the Initial Term Loans.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USD LIBOR</w:t>
      </w:r>
      <w:r>
        <w:rPr>
          <w:rFonts w:ascii="Arial" w:cs="Arial" w:eastAsia="Arial" w:hAnsi="Arial"/>
          <w:sz w:val="20"/>
          <w:szCs w:val="20"/>
          <w:color w:val="FF0000"/>
          <w:strike w:val="1"/>
        </w:rPr>
        <w:t>” means the London interbank offered rate for Dollars.</w:t>
      </w:r>
    </w:p>
    <w:p>
      <w:pPr>
        <w:spacing w:after="0" w:line="16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USD SOFR</w:t>
      </w:r>
      <w:r>
        <w:rPr>
          <w:rFonts w:ascii="Arial" w:cs="Arial" w:eastAsia="Arial" w:hAnsi="Arial"/>
          <w:sz w:val="20"/>
          <w:szCs w:val="20"/>
          <w:color w:val="FF0000"/>
          <w:strike w:val="1"/>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-26035</wp:posOffset>
            </wp:positionV>
            <wp:extent cx="311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overnight financing rate identified as such by the administrator of the secured overnight financing rate from time to time).</w:t>
      </w:r>
    </w:p>
    <w:p>
      <w:pPr>
        <w:spacing w:after="0" w:line="162" w:lineRule="exact"/>
        <w:rPr>
          <w:sz w:val="20"/>
          <w:szCs w:val="20"/>
          <w:color w:val="auto"/>
        </w:rPr>
      </w:pPr>
    </w:p>
    <w:p>
      <w:pPr>
        <w:ind w:left="660" w:right="380"/>
        <w:spacing w:after="0" w:line="415" w:lineRule="auto"/>
        <w:rPr>
          <w:sz w:val="20"/>
          <w:szCs w:val="20"/>
          <w:color w:val="auto"/>
        </w:rPr>
      </w:pPr>
      <w:r>
        <w:rPr>
          <w:rFonts w:ascii="Arial" w:cs="Arial" w:eastAsia="Arial" w:hAnsi="Arial"/>
          <w:sz w:val="20"/>
          <w:szCs w:val="20"/>
          <w:u w:val="single" w:color="auto"/>
          <w:color w:val="0000FF"/>
        </w:rPr>
        <w:t>“USD SOFR” means a rate equal to the secured overnight financing rate as administered by the USD Term SOFR Administrator. “USD Term SOFR” means,</w:t>
      </w:r>
    </w:p>
    <w:p>
      <w:pPr>
        <w:spacing w:after="0" w:line="1" w:lineRule="exact"/>
        <w:rPr>
          <w:sz w:val="20"/>
          <w:szCs w:val="20"/>
          <w:color w:val="auto"/>
        </w:rPr>
      </w:pPr>
    </w:p>
    <w:p>
      <w:pPr>
        <w:jc w:val="both"/>
        <w:ind w:firstLine="1304"/>
        <w:spacing w:after="0" w:line="223" w:lineRule="auto"/>
        <w:tabs>
          <w:tab w:leader="none" w:pos="1779" w:val="left"/>
        </w:tabs>
        <w:numPr>
          <w:ilvl w:val="1"/>
          <w:numId w:val="14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calculation with respect to a USD SOFR Loan, the USD Term SOFR Reference Rate for a tenor comparable to the applicable Interest Period on the day (such day, the “USD Periodic Term SOFR Determination Day”) that is two (2) U.S. Government Securities Business Days prior to the first day of such Interest Period, as such rate is published by the USD Term SOFR Administrator; provided, however, that if as of 5:00 p.m. (New York City time) on any USD Periodic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USD Periodic Term SOFR Determination Day, and</w:t>
      </w:r>
    </w:p>
    <w:p>
      <w:pPr>
        <w:spacing w:after="0" w:line="156" w:lineRule="exact"/>
        <w:rPr>
          <w:rFonts w:ascii="Arial" w:cs="Arial" w:eastAsia="Arial" w:hAnsi="Arial"/>
          <w:sz w:val="19"/>
          <w:szCs w:val="19"/>
          <w:u w:val="single" w:color="auto"/>
          <w:color w:val="0000FF"/>
        </w:rPr>
      </w:pPr>
    </w:p>
    <w:p>
      <w:pPr>
        <w:jc w:val="both"/>
        <w:ind w:firstLine="875"/>
        <w:spacing w:after="0" w:line="237" w:lineRule="auto"/>
        <w:tabs>
          <w:tab w:leader="none" w:pos="1316" w:val="left"/>
        </w:tabs>
        <w:numPr>
          <w:ilvl w:val="0"/>
          <w:numId w:val="145"/>
        </w:numPr>
        <w:rPr>
          <w:rFonts w:ascii="Arial" w:cs="Arial" w:eastAsia="Arial" w:hAnsi="Arial"/>
          <w:sz w:val="18"/>
          <w:szCs w:val="18"/>
          <w:color w:val="0000FF"/>
        </w:rPr>
      </w:pPr>
      <w:r>
        <w:rPr>
          <w:rFonts w:ascii="Arial" w:cs="Arial" w:eastAsia="Arial" w:hAnsi="Arial"/>
          <w:sz w:val="18"/>
          <w:szCs w:val="18"/>
          <w:color w:val="0000FF"/>
        </w:rPr>
        <w:t xml:space="preserve">for any calculation with respect to an ABR Loan on any day, the USD Term SOFR Reference Rate for a tenor of one month </w:t>
      </w:r>
      <w:r>
        <w:rPr>
          <w:rFonts w:ascii="Arial" w:cs="Arial" w:eastAsia="Arial" w:hAnsi="Arial"/>
          <w:sz w:val="18"/>
          <w:szCs w:val="18"/>
          <w:u w:val="single" w:color="auto"/>
          <w:color w:val="0000FF"/>
        </w:rPr>
        <w:t>on the day (such day, the “ABR Term SOFR Determination Day”) that is two (2) U.S. Government Securities Business Days prior to such day, as such rate is published by the USD Term SOFR Administrator; provided, however, that if as of 5:00 p.m. (New York City time) on any ABR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ABR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-1036955</wp:posOffset>
            </wp:positionV>
            <wp:extent cx="6715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6715125" cy="8255"/>
                    </a:xfrm>
                    <a:prstGeom prst="rect">
                      <a:avLst/>
                    </a:prstGeom>
                    <a:noFill/>
                  </pic:spPr>
                </pic:pic>
              </a:graphicData>
            </a:graphic>
          </wp:anchor>
        </w:drawing>
      </w:r>
    </w:p>
    <w:p>
      <w:pPr>
        <w:spacing w:after="0" w:line="12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0000FF"/>
        </w:rPr>
        <w:t>“USD Term SOFR Adjustment” means, for any calculation with respect to a USD Term SOFR Loan, a percentage per annum as set forth below for the applicable Interest Period therefor:</w:t>
      </w:r>
    </w:p>
    <w:p>
      <w:pPr>
        <w:spacing w:after="0" w:line="179" w:lineRule="exact"/>
        <w:rPr>
          <w:sz w:val="20"/>
          <w:szCs w:val="20"/>
          <w:color w:val="auto"/>
        </w:rPr>
      </w:pPr>
    </w:p>
    <w:tbl>
      <w:tblPr>
        <w:tblLayout w:type="fixed"/>
        <w:tblInd w:w="1210" w:type="dxa"/>
        <w:tblCellMar>
          <w:top w:w="0" w:type="dxa"/>
          <w:left w:w="0" w:type="dxa"/>
          <w:bottom w:w="0" w:type="dxa"/>
          <w:right w:w="0" w:type="dxa"/>
        </w:tblCellMar>
      </w:tblPr>
      <w:tr>
        <w:trPr>
          <w:trHeight w:val="216"/>
        </w:trPr>
        <w:tc>
          <w:tcPr>
            <w:tcW w:w="880" w:type="dxa"/>
            <w:vAlign w:val="bottom"/>
            <w:tcBorders>
              <w:top w:val="single" w:sz="8" w:color="auto"/>
              <w:left w:val="single" w:sz="8" w:color="auto"/>
            </w:tcBorders>
            <w:shd w:val="clear" w:color="auto" w:fill="CCCCFF"/>
          </w:tcPr>
          <w:p>
            <w:pPr>
              <w:spacing w:after="0"/>
              <w:rPr>
                <w:sz w:val="18"/>
                <w:szCs w:val="18"/>
                <w:color w:val="auto"/>
              </w:rPr>
            </w:pPr>
          </w:p>
        </w:tc>
        <w:tc>
          <w:tcPr>
            <w:tcW w:w="2800" w:type="dxa"/>
            <w:vAlign w:val="bottom"/>
            <w:tcBorders>
              <w:top w:val="single" w:sz="8" w:color="auto"/>
              <w:right w:val="single" w:sz="8" w:color="auto"/>
            </w:tcBorders>
            <w:gridSpan w:val="6"/>
            <w:shd w:val="clear" w:color="auto" w:fill="CCCCFF"/>
          </w:tcPr>
          <w:p>
            <w:pPr>
              <w:jc w:val="center"/>
              <w:ind w:right="1540"/>
              <w:spacing w:after="0" w:line="216" w:lineRule="exact"/>
              <w:rPr>
                <w:sz w:val="20"/>
                <w:szCs w:val="20"/>
                <w:color w:val="auto"/>
              </w:rPr>
            </w:pPr>
            <w:r>
              <w:rPr>
                <w:rFonts w:ascii="Arial" w:cs="Arial" w:eastAsia="Arial" w:hAnsi="Arial"/>
                <w:sz w:val="20"/>
                <w:szCs w:val="20"/>
                <w:b w:val="1"/>
                <w:bCs w:val="1"/>
                <w:color w:val="0000FF"/>
                <w:w w:val="89"/>
              </w:rPr>
              <w:t>Interest Period</w:t>
            </w:r>
          </w:p>
        </w:tc>
        <w:tc>
          <w:tcPr>
            <w:tcW w:w="3740" w:type="dxa"/>
            <w:vAlign w:val="bottom"/>
            <w:tcBorders>
              <w:top w:val="single" w:sz="8" w:color="auto"/>
              <w:right w:val="single" w:sz="8" w:color="auto"/>
            </w:tcBorders>
            <w:gridSpan w:val="7"/>
            <w:shd w:val="clear" w:color="auto" w:fill="CCCCFF"/>
          </w:tcPr>
          <w:p>
            <w:pPr>
              <w:ind w:left="1060"/>
              <w:spacing w:after="0" w:line="216" w:lineRule="exact"/>
              <w:rPr>
                <w:sz w:val="20"/>
                <w:szCs w:val="20"/>
                <w:color w:val="auto"/>
              </w:rPr>
            </w:pPr>
            <w:r>
              <w:rPr>
                <w:rFonts w:ascii="Arial" w:cs="Arial" w:eastAsia="Arial" w:hAnsi="Arial"/>
                <w:sz w:val="20"/>
                <w:szCs w:val="20"/>
                <w:b w:val="1"/>
                <w:bCs w:val="1"/>
                <w:color w:val="0000FF"/>
              </w:rPr>
              <w:t>Percentage</w:t>
            </w:r>
          </w:p>
        </w:tc>
      </w:tr>
      <w:tr>
        <w:trPr>
          <w:trHeight w:val="250"/>
        </w:trPr>
        <w:tc>
          <w:tcPr>
            <w:tcW w:w="880" w:type="dxa"/>
            <w:vAlign w:val="bottom"/>
            <w:tcBorders>
              <w:top w:val="single" w:sz="8" w:color="CCCCFF"/>
              <w:left w:val="single" w:sz="8" w:color="auto"/>
              <w:bottom w:val="single" w:sz="8" w:color="auto"/>
            </w:tcBorders>
            <w:shd w:val="clear" w:color="auto" w:fill="CCCCFF"/>
          </w:tcPr>
          <w:p>
            <w:pPr>
              <w:spacing w:after="0"/>
              <w:rPr>
                <w:sz w:val="21"/>
                <w:szCs w:val="21"/>
                <w:color w:val="auto"/>
              </w:rPr>
            </w:pPr>
          </w:p>
        </w:tc>
        <w:tc>
          <w:tcPr>
            <w:tcW w:w="80" w:type="dxa"/>
            <w:vAlign w:val="bottom"/>
            <w:tcBorders>
              <w:top w:val="single" w:sz="8" w:color="0000FF"/>
              <w:bottom w:val="single" w:sz="8" w:color="auto"/>
            </w:tcBorders>
            <w:shd w:val="clear" w:color="auto" w:fill="CCCCFF"/>
          </w:tcPr>
          <w:p>
            <w:pPr>
              <w:spacing w:after="0"/>
              <w:rPr>
                <w:sz w:val="21"/>
                <w:szCs w:val="21"/>
                <w:color w:val="auto"/>
              </w:rPr>
            </w:pPr>
          </w:p>
        </w:tc>
        <w:tc>
          <w:tcPr>
            <w:tcW w:w="100" w:type="dxa"/>
            <w:vAlign w:val="bottom"/>
            <w:tcBorders>
              <w:top w:val="single" w:sz="8" w:color="0000FF"/>
              <w:bottom w:val="single" w:sz="8" w:color="auto"/>
            </w:tcBorders>
            <w:shd w:val="clear" w:color="auto" w:fill="CCCCFF"/>
          </w:tcPr>
          <w:p>
            <w:pPr>
              <w:spacing w:after="0"/>
              <w:rPr>
                <w:sz w:val="21"/>
                <w:szCs w:val="21"/>
                <w:color w:val="auto"/>
              </w:rPr>
            </w:pPr>
          </w:p>
        </w:tc>
        <w:tc>
          <w:tcPr>
            <w:tcW w:w="900" w:type="dxa"/>
            <w:vAlign w:val="bottom"/>
            <w:tcBorders>
              <w:top w:val="single" w:sz="8" w:color="0000FF"/>
              <w:bottom w:val="single" w:sz="8" w:color="auto"/>
            </w:tcBorders>
            <w:shd w:val="clear" w:color="auto" w:fill="CCCCFF"/>
          </w:tcPr>
          <w:p>
            <w:pPr>
              <w:spacing w:after="0"/>
              <w:rPr>
                <w:sz w:val="21"/>
                <w:szCs w:val="21"/>
                <w:color w:val="auto"/>
              </w:rPr>
            </w:pPr>
          </w:p>
        </w:tc>
        <w:tc>
          <w:tcPr>
            <w:tcW w:w="100" w:type="dxa"/>
            <w:vAlign w:val="bottom"/>
            <w:tcBorders>
              <w:top w:val="single" w:sz="8" w:color="0000FF"/>
              <w:bottom w:val="single" w:sz="8" w:color="auto"/>
            </w:tcBorders>
            <w:shd w:val="clear" w:color="auto" w:fill="CCCCFF"/>
          </w:tcPr>
          <w:p>
            <w:pPr>
              <w:spacing w:after="0"/>
              <w:rPr>
                <w:sz w:val="21"/>
                <w:szCs w:val="21"/>
                <w:color w:val="auto"/>
              </w:rPr>
            </w:pPr>
          </w:p>
        </w:tc>
        <w:tc>
          <w:tcPr>
            <w:tcW w:w="80" w:type="dxa"/>
            <w:vAlign w:val="bottom"/>
            <w:tcBorders>
              <w:top w:val="single" w:sz="8" w:color="0000FF"/>
              <w:bottom w:val="single" w:sz="8" w:color="auto"/>
            </w:tcBorders>
            <w:shd w:val="clear" w:color="auto" w:fill="CCCCFF"/>
          </w:tcPr>
          <w:p>
            <w:pPr>
              <w:spacing w:after="0"/>
              <w:rPr>
                <w:sz w:val="21"/>
                <w:szCs w:val="21"/>
                <w:color w:val="auto"/>
              </w:rPr>
            </w:pPr>
          </w:p>
        </w:tc>
        <w:tc>
          <w:tcPr>
            <w:tcW w:w="15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c>
          <w:tcPr>
            <w:tcW w:w="106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0000FF"/>
              <w:bottom w:val="single" w:sz="8" w:color="auto"/>
            </w:tcBorders>
            <w:shd w:val="clear" w:color="auto" w:fill="CCCCFF"/>
          </w:tcPr>
          <w:p>
            <w:pPr>
              <w:spacing w:after="0"/>
              <w:rPr>
                <w:sz w:val="21"/>
                <w:szCs w:val="21"/>
                <w:color w:val="auto"/>
              </w:rPr>
            </w:pPr>
          </w:p>
        </w:tc>
        <w:tc>
          <w:tcPr>
            <w:tcW w:w="20" w:type="dxa"/>
            <w:vAlign w:val="bottom"/>
            <w:tcBorders>
              <w:top w:val="single" w:sz="8" w:color="0000FF"/>
              <w:bottom w:val="single" w:sz="8" w:color="auto"/>
            </w:tcBorders>
            <w:shd w:val="clear" w:color="auto" w:fill="CCCCFF"/>
          </w:tcPr>
          <w:p>
            <w:pPr>
              <w:spacing w:after="0"/>
              <w:rPr>
                <w:sz w:val="21"/>
                <w:szCs w:val="21"/>
                <w:color w:val="auto"/>
              </w:rPr>
            </w:pPr>
          </w:p>
        </w:tc>
        <w:tc>
          <w:tcPr>
            <w:tcW w:w="820" w:type="dxa"/>
            <w:vAlign w:val="bottom"/>
            <w:tcBorders>
              <w:top w:val="single" w:sz="8" w:color="0000FF"/>
              <w:bottom w:val="single" w:sz="8" w:color="auto"/>
            </w:tcBorders>
            <w:shd w:val="clear" w:color="auto" w:fill="CCCCFF"/>
          </w:tcPr>
          <w:p>
            <w:pPr>
              <w:spacing w:after="0"/>
              <w:rPr>
                <w:sz w:val="21"/>
                <w:szCs w:val="21"/>
                <w:color w:val="auto"/>
              </w:rPr>
            </w:pPr>
          </w:p>
        </w:tc>
        <w:tc>
          <w:tcPr>
            <w:tcW w:w="20" w:type="dxa"/>
            <w:vAlign w:val="bottom"/>
            <w:tcBorders>
              <w:top w:val="single" w:sz="8" w:color="0000FF"/>
              <w:bottom w:val="single" w:sz="8" w:color="auto"/>
            </w:tcBorders>
            <w:shd w:val="clear" w:color="auto" w:fill="CCCCFF"/>
          </w:tcPr>
          <w:p>
            <w:pPr>
              <w:spacing w:after="0"/>
              <w:rPr>
                <w:sz w:val="21"/>
                <w:szCs w:val="21"/>
                <w:color w:val="auto"/>
              </w:rPr>
            </w:pPr>
          </w:p>
        </w:tc>
        <w:tc>
          <w:tcPr>
            <w:tcW w:w="40" w:type="dxa"/>
            <w:vAlign w:val="bottom"/>
            <w:tcBorders>
              <w:top w:val="single" w:sz="8" w:color="0000FF"/>
              <w:bottom w:val="single" w:sz="8" w:color="auto"/>
            </w:tcBorders>
            <w:shd w:val="clear" w:color="auto" w:fill="CCCCFF"/>
          </w:tcPr>
          <w:p>
            <w:pPr>
              <w:spacing w:after="0"/>
              <w:rPr>
                <w:sz w:val="21"/>
                <w:szCs w:val="21"/>
                <w:color w:val="auto"/>
              </w:rPr>
            </w:pPr>
          </w:p>
        </w:tc>
        <w:tc>
          <w:tcPr>
            <w:tcW w:w="17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r>
      <w:tr>
        <w:trPr>
          <w:trHeight w:val="196"/>
        </w:trPr>
        <w:tc>
          <w:tcPr>
            <w:tcW w:w="880" w:type="dxa"/>
            <w:vAlign w:val="bottom"/>
            <w:tcBorders>
              <w:left w:val="single" w:sz="8" w:color="auto"/>
            </w:tcBorders>
            <w:shd w:val="clear" w:color="auto" w:fill="CCCCFF"/>
          </w:tcPr>
          <w:p>
            <w:pPr>
              <w:spacing w:after="0"/>
              <w:rPr>
                <w:sz w:val="17"/>
                <w:szCs w:val="17"/>
                <w:color w:val="auto"/>
              </w:rPr>
            </w:pPr>
          </w:p>
        </w:tc>
        <w:tc>
          <w:tcPr>
            <w:tcW w:w="80" w:type="dxa"/>
            <w:vAlign w:val="bottom"/>
            <w:shd w:val="clear" w:color="auto" w:fill="CCCCFF"/>
          </w:tcPr>
          <w:p>
            <w:pPr>
              <w:spacing w:after="0"/>
              <w:rPr>
                <w:sz w:val="17"/>
                <w:szCs w:val="17"/>
                <w:color w:val="auto"/>
              </w:rPr>
            </w:pPr>
          </w:p>
        </w:tc>
        <w:tc>
          <w:tcPr>
            <w:tcW w:w="100" w:type="dxa"/>
            <w:vAlign w:val="bottom"/>
            <w:shd w:val="clear" w:color="auto" w:fill="CCCCFF"/>
          </w:tcPr>
          <w:p>
            <w:pPr>
              <w:spacing w:after="0"/>
              <w:rPr>
                <w:sz w:val="17"/>
                <w:szCs w:val="17"/>
                <w:color w:val="auto"/>
              </w:rPr>
            </w:pPr>
          </w:p>
        </w:tc>
        <w:tc>
          <w:tcPr>
            <w:tcW w:w="2620" w:type="dxa"/>
            <w:vAlign w:val="bottom"/>
            <w:tcBorders>
              <w:right w:val="single" w:sz="8" w:color="auto"/>
            </w:tcBorders>
            <w:gridSpan w:val="4"/>
            <w:shd w:val="clear" w:color="auto" w:fill="CCCCFF"/>
          </w:tcPr>
          <w:p>
            <w:pPr>
              <w:jc w:val="center"/>
              <w:ind w:right="1720"/>
              <w:spacing w:after="0" w:line="196" w:lineRule="exact"/>
              <w:rPr>
                <w:sz w:val="20"/>
                <w:szCs w:val="20"/>
                <w:color w:val="auto"/>
              </w:rPr>
            </w:pPr>
            <w:r>
              <w:rPr>
                <w:rFonts w:ascii="Arial" w:cs="Arial" w:eastAsia="Arial" w:hAnsi="Arial"/>
                <w:sz w:val="20"/>
                <w:szCs w:val="20"/>
                <w:color w:val="0000FF"/>
                <w:w w:val="90"/>
              </w:rPr>
              <w:t>One month</w:t>
            </w:r>
          </w:p>
        </w:tc>
        <w:tc>
          <w:tcPr>
            <w:tcW w:w="2000" w:type="dxa"/>
            <w:vAlign w:val="bottom"/>
            <w:gridSpan w:val="6"/>
            <w:shd w:val="clear" w:color="auto" w:fill="CCCCFF"/>
          </w:tcPr>
          <w:p>
            <w:pPr>
              <w:jc w:val="center"/>
              <w:ind w:left="961"/>
              <w:spacing w:after="0" w:line="196" w:lineRule="exact"/>
              <w:rPr>
                <w:sz w:val="20"/>
                <w:szCs w:val="20"/>
                <w:color w:val="auto"/>
              </w:rPr>
            </w:pPr>
            <w:r>
              <w:rPr>
                <w:rFonts w:ascii="Arial" w:cs="Arial" w:eastAsia="Arial" w:hAnsi="Arial"/>
                <w:sz w:val="20"/>
                <w:szCs w:val="20"/>
                <w:color w:val="0000FF"/>
                <w:w w:val="89"/>
              </w:rPr>
              <w:t>0.</w:t>
            </w:r>
            <w:r>
              <w:rPr>
                <w:rFonts w:ascii="Arial" w:cs="Arial" w:eastAsia="Arial" w:hAnsi="Arial"/>
                <w:sz w:val="20"/>
                <w:szCs w:val="20"/>
                <w:u w:val="single" w:color="auto"/>
                <w:color w:val="0000FF"/>
                <w:w w:val="89"/>
              </w:rPr>
              <w:t>11448</w:t>
            </w:r>
            <w:r>
              <w:rPr>
                <w:rFonts w:ascii="Arial" w:cs="Arial" w:eastAsia="Arial" w:hAnsi="Arial"/>
                <w:sz w:val="20"/>
                <w:szCs w:val="20"/>
                <w:color w:val="0000FF"/>
                <w:w w:val="89"/>
              </w:rPr>
              <w:t xml:space="preserve"> %</w:t>
            </w:r>
          </w:p>
        </w:tc>
        <w:tc>
          <w:tcPr>
            <w:tcW w:w="1740" w:type="dxa"/>
            <w:vAlign w:val="bottom"/>
            <w:tcBorders>
              <w:right w:val="single" w:sz="8" w:color="auto"/>
            </w:tcBorders>
            <w:shd w:val="clear" w:color="auto" w:fill="CCCCFF"/>
          </w:tcPr>
          <w:p>
            <w:pPr>
              <w:spacing w:after="0"/>
              <w:rPr>
                <w:sz w:val="17"/>
                <w:szCs w:val="17"/>
                <w:color w:val="auto"/>
              </w:rPr>
            </w:pPr>
          </w:p>
        </w:tc>
      </w:tr>
      <w:tr>
        <w:trPr>
          <w:trHeight w:val="250"/>
        </w:trPr>
        <w:tc>
          <w:tcPr>
            <w:tcW w:w="880" w:type="dxa"/>
            <w:vAlign w:val="bottom"/>
            <w:tcBorders>
              <w:top w:val="single" w:sz="8" w:color="CCCCFF"/>
              <w:left w:val="single" w:sz="8" w:color="auto"/>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00" w:type="dxa"/>
            <w:vAlign w:val="bottom"/>
            <w:tcBorders>
              <w:top w:val="single" w:sz="8" w:color="CCCCFF"/>
              <w:bottom w:val="single" w:sz="8" w:color="auto"/>
            </w:tcBorders>
            <w:shd w:val="clear" w:color="auto" w:fill="CCCCFF"/>
          </w:tcPr>
          <w:p>
            <w:pPr>
              <w:spacing w:after="0"/>
              <w:rPr>
                <w:sz w:val="21"/>
                <w:szCs w:val="21"/>
                <w:color w:val="auto"/>
              </w:rPr>
            </w:pPr>
          </w:p>
        </w:tc>
        <w:tc>
          <w:tcPr>
            <w:tcW w:w="900" w:type="dxa"/>
            <w:vAlign w:val="bottom"/>
            <w:tcBorders>
              <w:top w:val="single" w:sz="8" w:color="0000FF"/>
              <w:bottom w:val="single" w:sz="8" w:color="auto"/>
            </w:tcBorders>
            <w:shd w:val="clear" w:color="auto" w:fill="CCCCFF"/>
          </w:tcPr>
          <w:p>
            <w:pPr>
              <w:spacing w:after="0"/>
              <w:rPr>
                <w:sz w:val="21"/>
                <w:szCs w:val="21"/>
                <w:color w:val="auto"/>
              </w:rPr>
            </w:pPr>
          </w:p>
        </w:tc>
        <w:tc>
          <w:tcPr>
            <w:tcW w:w="100" w:type="dxa"/>
            <w:vAlign w:val="bottom"/>
            <w:tcBorders>
              <w:top w:val="single" w:sz="8" w:color="CCCCFF"/>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5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c>
          <w:tcPr>
            <w:tcW w:w="106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20" w:type="dxa"/>
            <w:vAlign w:val="bottom"/>
            <w:tcBorders>
              <w:top w:val="single" w:sz="8" w:color="0000FF"/>
              <w:bottom w:val="single" w:sz="8" w:color="auto"/>
            </w:tcBorders>
            <w:shd w:val="clear" w:color="auto" w:fill="CCCCFF"/>
          </w:tcPr>
          <w:p>
            <w:pPr>
              <w:spacing w:after="0"/>
              <w:rPr>
                <w:sz w:val="21"/>
                <w:szCs w:val="21"/>
                <w:color w:val="auto"/>
              </w:rPr>
            </w:pPr>
          </w:p>
        </w:tc>
        <w:tc>
          <w:tcPr>
            <w:tcW w:w="820" w:type="dxa"/>
            <w:vAlign w:val="bottom"/>
            <w:tcBorders>
              <w:top w:val="single" w:sz="8" w:color="0000FF"/>
              <w:bottom w:val="single" w:sz="8" w:color="auto"/>
            </w:tcBorders>
            <w:shd w:val="clear" w:color="auto" w:fill="CCCCFF"/>
          </w:tcPr>
          <w:p>
            <w:pPr>
              <w:spacing w:after="0"/>
              <w:rPr>
                <w:sz w:val="21"/>
                <w:szCs w:val="21"/>
                <w:color w:val="auto"/>
              </w:rPr>
            </w:pPr>
          </w:p>
        </w:tc>
        <w:tc>
          <w:tcPr>
            <w:tcW w:w="20" w:type="dxa"/>
            <w:vAlign w:val="bottom"/>
            <w:tcBorders>
              <w:top w:val="single" w:sz="8" w:color="0000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17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r>
      <w:tr>
        <w:trPr>
          <w:trHeight w:val="196"/>
        </w:trPr>
        <w:tc>
          <w:tcPr>
            <w:tcW w:w="880" w:type="dxa"/>
            <w:vAlign w:val="bottom"/>
            <w:tcBorders>
              <w:left w:val="single" w:sz="8" w:color="auto"/>
            </w:tcBorders>
            <w:shd w:val="clear" w:color="auto" w:fill="CCCCFF"/>
          </w:tcPr>
          <w:p>
            <w:pPr>
              <w:spacing w:after="0"/>
              <w:rPr>
                <w:sz w:val="17"/>
                <w:szCs w:val="17"/>
                <w:color w:val="auto"/>
              </w:rPr>
            </w:pPr>
          </w:p>
        </w:tc>
        <w:tc>
          <w:tcPr>
            <w:tcW w:w="2800" w:type="dxa"/>
            <w:vAlign w:val="bottom"/>
            <w:tcBorders>
              <w:right w:val="single" w:sz="8" w:color="auto"/>
            </w:tcBorders>
            <w:gridSpan w:val="6"/>
            <w:shd w:val="clear" w:color="auto" w:fill="CCCCFF"/>
          </w:tcPr>
          <w:p>
            <w:pPr>
              <w:jc w:val="center"/>
              <w:ind w:right="1540"/>
              <w:spacing w:after="0" w:line="196" w:lineRule="exact"/>
              <w:rPr>
                <w:sz w:val="20"/>
                <w:szCs w:val="20"/>
                <w:color w:val="auto"/>
              </w:rPr>
            </w:pPr>
            <w:r>
              <w:rPr>
                <w:rFonts w:ascii="Arial" w:cs="Arial" w:eastAsia="Arial" w:hAnsi="Arial"/>
                <w:sz w:val="20"/>
                <w:szCs w:val="20"/>
                <w:color w:val="0000FF"/>
                <w:w w:val="89"/>
              </w:rPr>
              <w:t>Three months</w:t>
            </w:r>
          </w:p>
        </w:tc>
        <w:tc>
          <w:tcPr>
            <w:tcW w:w="1960" w:type="dxa"/>
            <w:vAlign w:val="bottom"/>
            <w:gridSpan w:val="5"/>
            <w:shd w:val="clear" w:color="auto" w:fill="CCCCFF"/>
          </w:tcPr>
          <w:p>
            <w:pPr>
              <w:jc w:val="center"/>
              <w:ind w:left="1001"/>
              <w:spacing w:after="0" w:line="196" w:lineRule="exact"/>
              <w:rPr>
                <w:sz w:val="20"/>
                <w:szCs w:val="20"/>
                <w:color w:val="auto"/>
              </w:rPr>
            </w:pPr>
            <w:r>
              <w:rPr>
                <w:rFonts w:ascii="Arial" w:cs="Arial" w:eastAsia="Arial" w:hAnsi="Arial"/>
                <w:sz w:val="20"/>
                <w:szCs w:val="20"/>
                <w:color w:val="0000FF"/>
                <w:w w:val="90"/>
              </w:rPr>
              <w:t>0.</w:t>
            </w:r>
            <w:r>
              <w:rPr>
                <w:rFonts w:ascii="Arial" w:cs="Arial" w:eastAsia="Arial" w:hAnsi="Arial"/>
                <w:sz w:val="20"/>
                <w:szCs w:val="20"/>
                <w:u w:val="single" w:color="auto"/>
                <w:color w:val="0000FF"/>
                <w:w w:val="90"/>
              </w:rPr>
              <w:t>26161%</w:t>
            </w:r>
          </w:p>
        </w:tc>
        <w:tc>
          <w:tcPr>
            <w:tcW w:w="40" w:type="dxa"/>
            <w:vAlign w:val="bottom"/>
            <w:shd w:val="clear" w:color="auto" w:fill="CCCCFF"/>
          </w:tcPr>
          <w:p>
            <w:pPr>
              <w:spacing w:after="0"/>
              <w:rPr>
                <w:sz w:val="17"/>
                <w:szCs w:val="17"/>
                <w:color w:val="auto"/>
              </w:rPr>
            </w:pPr>
          </w:p>
        </w:tc>
        <w:tc>
          <w:tcPr>
            <w:tcW w:w="1740" w:type="dxa"/>
            <w:vAlign w:val="bottom"/>
            <w:tcBorders>
              <w:right w:val="single" w:sz="8" w:color="auto"/>
            </w:tcBorders>
            <w:shd w:val="clear" w:color="auto" w:fill="CCCCFF"/>
          </w:tcPr>
          <w:p>
            <w:pPr>
              <w:spacing w:after="0"/>
              <w:rPr>
                <w:sz w:val="17"/>
                <w:szCs w:val="17"/>
                <w:color w:val="auto"/>
              </w:rPr>
            </w:pPr>
          </w:p>
        </w:tc>
      </w:tr>
      <w:tr>
        <w:trPr>
          <w:trHeight w:val="250"/>
        </w:trPr>
        <w:tc>
          <w:tcPr>
            <w:tcW w:w="880" w:type="dxa"/>
            <w:vAlign w:val="bottom"/>
            <w:tcBorders>
              <w:top w:val="single" w:sz="8" w:color="CCCCFF"/>
              <w:left w:val="single" w:sz="8" w:color="auto"/>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00" w:type="dxa"/>
            <w:vAlign w:val="bottom"/>
            <w:tcBorders>
              <w:top w:val="single" w:sz="8" w:color="0000FF"/>
              <w:bottom w:val="single" w:sz="8" w:color="auto"/>
            </w:tcBorders>
            <w:shd w:val="clear" w:color="auto" w:fill="CCCCFF"/>
          </w:tcPr>
          <w:p>
            <w:pPr>
              <w:spacing w:after="0"/>
              <w:rPr>
                <w:sz w:val="21"/>
                <w:szCs w:val="21"/>
                <w:color w:val="auto"/>
              </w:rPr>
            </w:pPr>
          </w:p>
        </w:tc>
        <w:tc>
          <w:tcPr>
            <w:tcW w:w="900" w:type="dxa"/>
            <w:vAlign w:val="bottom"/>
            <w:tcBorders>
              <w:top w:val="single" w:sz="8" w:color="0000FF"/>
              <w:bottom w:val="single" w:sz="8" w:color="auto"/>
            </w:tcBorders>
            <w:shd w:val="clear" w:color="auto" w:fill="CCCCFF"/>
          </w:tcPr>
          <w:p>
            <w:pPr>
              <w:spacing w:after="0"/>
              <w:rPr>
                <w:sz w:val="21"/>
                <w:szCs w:val="21"/>
                <w:color w:val="auto"/>
              </w:rPr>
            </w:pPr>
          </w:p>
        </w:tc>
        <w:tc>
          <w:tcPr>
            <w:tcW w:w="100" w:type="dxa"/>
            <w:vAlign w:val="bottom"/>
            <w:tcBorders>
              <w:top w:val="single" w:sz="8" w:color="0000FF"/>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5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c>
          <w:tcPr>
            <w:tcW w:w="106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20" w:type="dxa"/>
            <w:vAlign w:val="bottom"/>
            <w:tcBorders>
              <w:top w:val="single" w:sz="8" w:color="CCCCFF"/>
              <w:bottom w:val="single" w:sz="8" w:color="auto"/>
            </w:tcBorders>
            <w:shd w:val="clear" w:color="auto" w:fill="CCCCFF"/>
          </w:tcPr>
          <w:p>
            <w:pPr>
              <w:spacing w:after="0"/>
              <w:rPr>
                <w:sz w:val="21"/>
                <w:szCs w:val="21"/>
                <w:color w:val="auto"/>
              </w:rPr>
            </w:pPr>
          </w:p>
        </w:tc>
        <w:tc>
          <w:tcPr>
            <w:tcW w:w="820" w:type="dxa"/>
            <w:vAlign w:val="bottom"/>
            <w:tcBorders>
              <w:top w:val="single" w:sz="8" w:color="0000FF"/>
              <w:bottom w:val="single" w:sz="8" w:color="auto"/>
            </w:tcBorders>
            <w:shd w:val="clear" w:color="auto" w:fill="CCCCFF"/>
          </w:tcPr>
          <w:p>
            <w:pPr>
              <w:spacing w:after="0"/>
              <w:rPr>
                <w:sz w:val="21"/>
                <w:szCs w:val="21"/>
                <w:color w:val="auto"/>
              </w:rPr>
            </w:pPr>
          </w:p>
        </w:tc>
        <w:tc>
          <w:tcPr>
            <w:tcW w:w="2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17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r>
      <w:tr>
        <w:trPr>
          <w:trHeight w:val="196"/>
        </w:trPr>
        <w:tc>
          <w:tcPr>
            <w:tcW w:w="880" w:type="dxa"/>
            <w:vAlign w:val="bottom"/>
            <w:tcBorders>
              <w:left w:val="single" w:sz="8" w:color="auto"/>
            </w:tcBorders>
            <w:shd w:val="clear" w:color="auto" w:fill="CCCCFF"/>
          </w:tcPr>
          <w:p>
            <w:pPr>
              <w:spacing w:after="0"/>
              <w:rPr>
                <w:sz w:val="17"/>
                <w:szCs w:val="17"/>
                <w:color w:val="auto"/>
              </w:rPr>
            </w:pPr>
          </w:p>
        </w:tc>
        <w:tc>
          <w:tcPr>
            <w:tcW w:w="80" w:type="dxa"/>
            <w:vAlign w:val="bottom"/>
            <w:shd w:val="clear" w:color="auto" w:fill="CCCCFF"/>
          </w:tcPr>
          <w:p>
            <w:pPr>
              <w:spacing w:after="0"/>
              <w:rPr>
                <w:sz w:val="17"/>
                <w:szCs w:val="17"/>
                <w:color w:val="auto"/>
              </w:rPr>
            </w:pPr>
          </w:p>
        </w:tc>
        <w:tc>
          <w:tcPr>
            <w:tcW w:w="100" w:type="dxa"/>
            <w:vAlign w:val="bottom"/>
            <w:shd w:val="clear" w:color="auto" w:fill="CCCCFF"/>
          </w:tcPr>
          <w:p>
            <w:pPr>
              <w:spacing w:after="0"/>
              <w:rPr>
                <w:sz w:val="17"/>
                <w:szCs w:val="17"/>
                <w:color w:val="auto"/>
              </w:rPr>
            </w:pPr>
          </w:p>
        </w:tc>
        <w:tc>
          <w:tcPr>
            <w:tcW w:w="2620" w:type="dxa"/>
            <w:vAlign w:val="bottom"/>
            <w:tcBorders>
              <w:right w:val="single" w:sz="8" w:color="auto"/>
            </w:tcBorders>
            <w:gridSpan w:val="4"/>
            <w:shd w:val="clear" w:color="auto" w:fill="CCCCFF"/>
          </w:tcPr>
          <w:p>
            <w:pPr>
              <w:jc w:val="center"/>
              <w:ind w:right="1720"/>
              <w:spacing w:after="0" w:line="196" w:lineRule="exact"/>
              <w:rPr>
                <w:sz w:val="20"/>
                <w:szCs w:val="20"/>
                <w:color w:val="auto"/>
              </w:rPr>
            </w:pPr>
            <w:r>
              <w:rPr>
                <w:rFonts w:ascii="Arial" w:cs="Arial" w:eastAsia="Arial" w:hAnsi="Arial"/>
                <w:sz w:val="20"/>
                <w:szCs w:val="20"/>
                <w:color w:val="0000FF"/>
                <w:w w:val="90"/>
              </w:rPr>
              <w:t>Six months</w:t>
            </w:r>
          </w:p>
        </w:tc>
        <w:tc>
          <w:tcPr>
            <w:tcW w:w="1960" w:type="dxa"/>
            <w:vAlign w:val="bottom"/>
            <w:gridSpan w:val="5"/>
            <w:shd w:val="clear" w:color="auto" w:fill="CCCCFF"/>
          </w:tcPr>
          <w:p>
            <w:pPr>
              <w:jc w:val="center"/>
              <w:ind w:left="1001"/>
              <w:spacing w:after="0" w:line="196" w:lineRule="exact"/>
              <w:rPr>
                <w:sz w:val="20"/>
                <w:szCs w:val="20"/>
                <w:color w:val="auto"/>
              </w:rPr>
            </w:pPr>
            <w:r>
              <w:rPr>
                <w:rFonts w:ascii="Arial" w:cs="Arial" w:eastAsia="Arial" w:hAnsi="Arial"/>
                <w:sz w:val="20"/>
                <w:szCs w:val="20"/>
                <w:color w:val="0000FF"/>
                <w:w w:val="90"/>
              </w:rPr>
              <w:t>0.</w:t>
            </w:r>
            <w:r>
              <w:rPr>
                <w:rFonts w:ascii="Arial" w:cs="Arial" w:eastAsia="Arial" w:hAnsi="Arial"/>
                <w:sz w:val="20"/>
                <w:szCs w:val="20"/>
                <w:u w:val="single" w:color="auto"/>
                <w:color w:val="0000FF"/>
                <w:w w:val="90"/>
              </w:rPr>
              <w:t>42826%</w:t>
            </w:r>
          </w:p>
        </w:tc>
        <w:tc>
          <w:tcPr>
            <w:tcW w:w="40" w:type="dxa"/>
            <w:vAlign w:val="bottom"/>
            <w:shd w:val="clear" w:color="auto" w:fill="CCCCFF"/>
          </w:tcPr>
          <w:p>
            <w:pPr>
              <w:spacing w:after="0"/>
              <w:rPr>
                <w:sz w:val="17"/>
                <w:szCs w:val="17"/>
                <w:color w:val="auto"/>
              </w:rPr>
            </w:pPr>
          </w:p>
        </w:tc>
        <w:tc>
          <w:tcPr>
            <w:tcW w:w="1740" w:type="dxa"/>
            <w:vAlign w:val="bottom"/>
            <w:tcBorders>
              <w:right w:val="single" w:sz="8" w:color="auto"/>
            </w:tcBorders>
            <w:shd w:val="clear" w:color="auto" w:fill="CCCCFF"/>
          </w:tcPr>
          <w:p>
            <w:pPr>
              <w:spacing w:after="0"/>
              <w:rPr>
                <w:sz w:val="17"/>
                <w:szCs w:val="17"/>
                <w:color w:val="auto"/>
              </w:rPr>
            </w:pPr>
          </w:p>
        </w:tc>
      </w:tr>
      <w:tr>
        <w:trPr>
          <w:trHeight w:val="250"/>
        </w:trPr>
        <w:tc>
          <w:tcPr>
            <w:tcW w:w="880" w:type="dxa"/>
            <w:vAlign w:val="bottom"/>
            <w:tcBorders>
              <w:top w:val="single" w:sz="8" w:color="CCCCFF"/>
              <w:left w:val="single" w:sz="8" w:color="auto"/>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00" w:type="dxa"/>
            <w:vAlign w:val="bottom"/>
            <w:tcBorders>
              <w:top w:val="single" w:sz="8" w:color="CCCCFF"/>
              <w:bottom w:val="single" w:sz="8" w:color="auto"/>
            </w:tcBorders>
            <w:shd w:val="clear" w:color="auto" w:fill="CCCCFF"/>
          </w:tcPr>
          <w:p>
            <w:pPr>
              <w:spacing w:after="0"/>
              <w:rPr>
                <w:sz w:val="21"/>
                <w:szCs w:val="21"/>
                <w:color w:val="auto"/>
              </w:rPr>
            </w:pPr>
          </w:p>
        </w:tc>
        <w:tc>
          <w:tcPr>
            <w:tcW w:w="900" w:type="dxa"/>
            <w:vAlign w:val="bottom"/>
            <w:tcBorders>
              <w:top w:val="single" w:sz="8" w:color="0000FF"/>
              <w:bottom w:val="single" w:sz="8" w:color="auto"/>
            </w:tcBorders>
            <w:shd w:val="clear" w:color="auto" w:fill="CCCCFF"/>
          </w:tcPr>
          <w:p>
            <w:pPr>
              <w:spacing w:after="0"/>
              <w:rPr>
                <w:sz w:val="21"/>
                <w:szCs w:val="21"/>
                <w:color w:val="auto"/>
              </w:rPr>
            </w:pPr>
          </w:p>
        </w:tc>
        <w:tc>
          <w:tcPr>
            <w:tcW w:w="100" w:type="dxa"/>
            <w:vAlign w:val="bottom"/>
            <w:tcBorders>
              <w:top w:val="single" w:sz="8" w:color="CCCCFF"/>
              <w:bottom w:val="single" w:sz="8" w:color="auto"/>
            </w:tcBorders>
            <w:shd w:val="clear" w:color="auto" w:fill="CCCCFF"/>
          </w:tcPr>
          <w:p>
            <w:pPr>
              <w:spacing w:after="0"/>
              <w:rPr>
                <w:sz w:val="21"/>
                <w:szCs w:val="21"/>
                <w:color w:val="auto"/>
              </w:rPr>
            </w:pPr>
          </w:p>
        </w:tc>
        <w:tc>
          <w:tcPr>
            <w:tcW w:w="80" w:type="dxa"/>
            <w:vAlign w:val="bottom"/>
            <w:tcBorders>
              <w:top w:val="single" w:sz="8" w:color="CCCCFF"/>
              <w:bottom w:val="single" w:sz="8" w:color="auto"/>
            </w:tcBorders>
            <w:shd w:val="clear" w:color="auto" w:fill="CCCCFF"/>
          </w:tcPr>
          <w:p>
            <w:pPr>
              <w:spacing w:after="0"/>
              <w:rPr>
                <w:sz w:val="21"/>
                <w:szCs w:val="21"/>
                <w:color w:val="auto"/>
              </w:rPr>
            </w:pPr>
          </w:p>
        </w:tc>
        <w:tc>
          <w:tcPr>
            <w:tcW w:w="15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c>
          <w:tcPr>
            <w:tcW w:w="106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20" w:type="dxa"/>
            <w:vAlign w:val="bottom"/>
            <w:tcBorders>
              <w:top w:val="single" w:sz="8" w:color="CCCCFF"/>
              <w:bottom w:val="single" w:sz="8" w:color="auto"/>
            </w:tcBorders>
            <w:shd w:val="clear" w:color="auto" w:fill="CCCCFF"/>
          </w:tcPr>
          <w:p>
            <w:pPr>
              <w:spacing w:after="0"/>
              <w:rPr>
                <w:sz w:val="21"/>
                <w:szCs w:val="21"/>
                <w:color w:val="auto"/>
              </w:rPr>
            </w:pPr>
          </w:p>
        </w:tc>
        <w:tc>
          <w:tcPr>
            <w:tcW w:w="820" w:type="dxa"/>
            <w:vAlign w:val="bottom"/>
            <w:tcBorders>
              <w:top w:val="single" w:sz="8" w:color="0000FF"/>
              <w:bottom w:val="single" w:sz="8" w:color="auto"/>
            </w:tcBorders>
            <w:shd w:val="clear" w:color="auto" w:fill="CCCCFF"/>
          </w:tcPr>
          <w:p>
            <w:pPr>
              <w:spacing w:after="0"/>
              <w:rPr>
                <w:sz w:val="21"/>
                <w:szCs w:val="21"/>
                <w:color w:val="auto"/>
              </w:rPr>
            </w:pPr>
          </w:p>
        </w:tc>
        <w:tc>
          <w:tcPr>
            <w:tcW w:w="20" w:type="dxa"/>
            <w:vAlign w:val="bottom"/>
            <w:tcBorders>
              <w:top w:val="single" w:sz="8" w:color="CCCCFF"/>
              <w:bottom w:val="single" w:sz="8" w:color="auto"/>
            </w:tcBorders>
            <w:shd w:val="clear" w:color="auto" w:fill="CCCCFF"/>
          </w:tcPr>
          <w:p>
            <w:pPr>
              <w:spacing w:after="0"/>
              <w:rPr>
                <w:sz w:val="21"/>
                <w:szCs w:val="21"/>
                <w:color w:val="auto"/>
              </w:rPr>
            </w:pPr>
          </w:p>
        </w:tc>
        <w:tc>
          <w:tcPr>
            <w:tcW w:w="40" w:type="dxa"/>
            <w:vAlign w:val="bottom"/>
            <w:tcBorders>
              <w:top w:val="single" w:sz="8" w:color="CCCCFF"/>
              <w:bottom w:val="single" w:sz="8" w:color="auto"/>
            </w:tcBorders>
            <w:shd w:val="clear" w:color="auto" w:fill="CCCCFF"/>
          </w:tcPr>
          <w:p>
            <w:pPr>
              <w:spacing w:after="0"/>
              <w:rPr>
                <w:sz w:val="21"/>
                <w:szCs w:val="21"/>
                <w:color w:val="auto"/>
              </w:rPr>
            </w:pPr>
          </w:p>
        </w:tc>
        <w:tc>
          <w:tcPr>
            <w:tcW w:w="1740" w:type="dxa"/>
            <w:vAlign w:val="bottom"/>
            <w:tcBorders>
              <w:top w:val="single" w:sz="8" w:color="CCCCFF"/>
              <w:bottom w:val="single" w:sz="8" w:color="auto"/>
              <w:right w:val="single" w:sz="8" w:color="auto"/>
            </w:tcBorders>
            <w:shd w:val="clear" w:color="auto" w:fill="CCCCFF"/>
          </w:tcPr>
          <w:p>
            <w:pPr>
              <w:spacing w:after="0"/>
              <w:rPr>
                <w:sz w:val="21"/>
                <w:szCs w:val="21"/>
                <w:color w:val="auto"/>
              </w:rPr>
            </w:pPr>
          </w:p>
        </w:tc>
      </w:tr>
    </w:tbl>
    <w:p>
      <w:pPr>
        <w:spacing w:after="0" w:line="200" w:lineRule="exact"/>
        <w:rPr>
          <w:sz w:val="20"/>
          <w:szCs w:val="20"/>
          <w:color w:val="auto"/>
        </w:rPr>
      </w:pPr>
    </w:p>
    <w:p>
      <w:pPr>
        <w:spacing w:after="0" w:line="29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0000FF"/>
        </w:rPr>
        <w:t>“USD Term SOFR Administrator” means CME Group Benchmark Administration Limited (CBA) (or a successor administrator of the USD Term SOFR Reference Rate selected by the Administrative Agent</w:t>
      </w:r>
      <w:r>
        <w:rPr>
          <w:rFonts w:ascii="Arial" w:cs="Arial" w:eastAsia="Arial" w:hAnsi="Arial"/>
          <w:sz w:val="20"/>
          <w:szCs w:val="20"/>
          <w:color w:val="0000FF"/>
        </w:rPr>
        <w:t xml:space="preserve"> </w:t>
      </w:r>
      <w:r>
        <w:rPr>
          <w:rFonts w:ascii="Arial" w:cs="Arial" w:eastAsia="Arial" w:hAnsi="Arial"/>
          <w:sz w:val="20"/>
          <w:szCs w:val="20"/>
          <w:color w:val="00C000"/>
        </w:rPr>
        <w:t>in its reasonable discretion</w:t>
      </w:r>
      <w:r>
        <w:rPr>
          <w:rFonts w:ascii="Arial" w:cs="Arial" w:eastAsia="Arial" w:hAnsi="Arial"/>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1374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5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u w:val="single" w:color="auto"/>
          <w:color w:val="0000FF"/>
        </w:rPr>
        <w:t>“USD Term SOFR Loan” means a Loan that bears interest at a rate based on Adjusted Term SOFR, other than pursuant to clause (c) of the definition of “Alternate Base Rate”.</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USD Term SOFR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Reference Rate</w:t>
      </w:r>
      <w:r>
        <w:rPr>
          <w:rFonts w:ascii="Arial" w:cs="Arial" w:eastAsia="Arial" w:hAnsi="Arial"/>
          <w:sz w:val="20"/>
          <w:szCs w:val="20"/>
          <w:color w:val="auto"/>
        </w:rPr>
        <w:t>” means</w:t>
      </w:r>
      <w:r>
        <w:rPr>
          <w:rFonts w:ascii="Arial" w:cs="Arial" w:eastAsia="Arial" w:hAnsi="Arial"/>
          <w:sz w:val="20"/>
          <w:szCs w:val="20"/>
          <w:color w:val="FF0000"/>
          <w:strike w:val="1"/>
        </w:rPr>
        <w:t>, for the applicable corresponding tenor,</w:t>
      </w:r>
      <w:r>
        <w:rPr>
          <w:rFonts w:ascii="Arial" w:cs="Arial" w:eastAsia="Arial" w:hAnsi="Arial"/>
          <w:sz w:val="20"/>
          <w:szCs w:val="20"/>
          <w:color w:val="auto"/>
        </w:rPr>
        <w:t xml:space="preserve"> the forward-looking term rate based on USD SOFR </w:t>
      </w:r>
      <w:r>
        <w:rPr>
          <w:rFonts w:ascii="Arial" w:cs="Arial" w:eastAsia="Arial" w:hAnsi="Arial"/>
          <w:sz w:val="20"/>
          <w:szCs w:val="20"/>
          <w:color w:val="FF0000"/>
        </w:rPr>
        <w:t>that has been selected or recommended by the Relevant Governmental Body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-78740</wp:posOffset>
            </wp:positionV>
            <wp:extent cx="38760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13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w:t>
      </w:r>
      <w:r>
        <w:rPr>
          <w:rFonts w:ascii="Arial" w:cs="Arial" w:eastAsia="Arial" w:hAnsi="Arial"/>
          <w:sz w:val="20"/>
          <w:szCs w:val="20"/>
          <w:color w:val="auto"/>
        </w:rPr>
        <w:t>” has the meaning assigned to such term in the preamble hereto or any Additional Borrower organized under the laws of the United States, any state thereof or the District of Columbia.</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Corporate Subsidiary</w:t>
      </w:r>
      <w:r>
        <w:rPr>
          <w:rFonts w:ascii="Arial" w:cs="Arial" w:eastAsia="Arial" w:hAnsi="Arial"/>
          <w:sz w:val="20"/>
          <w:szCs w:val="20"/>
          <w:color w:val="auto"/>
        </w:rPr>
        <w:t>” means a Domestic Subsidiary of Holdings that is treated as a corporation for U.S. federal income tax purposes.</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w:t>
      </w:r>
    </w:p>
    <w:p>
      <w:pPr>
        <w:spacing w:after="0"/>
        <w:rPr>
          <w:sz w:val="20"/>
          <w:szCs w:val="20"/>
          <w:color w:val="auto"/>
        </w:rPr>
      </w:pPr>
      <w:r>
        <w:rPr>
          <w:rFonts w:ascii="Arial" w:cs="Arial" w:eastAsia="Arial" w:hAnsi="Arial"/>
          <w:sz w:val="20"/>
          <w:szCs w:val="20"/>
          <w:u w:val="single" w:color="auto"/>
          <w:color w:val="0000FF"/>
        </w:rPr>
        <w:t>day for purposes of trading in United States government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Holdco</w:t>
      </w:r>
      <w:r>
        <w:rPr>
          <w:rFonts w:ascii="Arial" w:cs="Arial" w:eastAsia="Arial" w:hAnsi="Arial"/>
          <w:sz w:val="19"/>
          <w:szCs w:val="19"/>
          <w:color w:val="auto"/>
        </w:rPr>
        <w:t>” means ICON US Holdings, Inc., a Delaware corporation and an indirect wholly-owned subsidiary of Holdings.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Security Agreement</w:t>
      </w:r>
      <w:r>
        <w:rPr>
          <w:rFonts w:ascii="Arial" w:cs="Arial" w:eastAsia="Arial" w:hAnsi="Arial"/>
          <w:sz w:val="19"/>
          <w:szCs w:val="19"/>
          <w:color w:val="auto"/>
        </w:rPr>
        <w:t>” means that certain Pledge and Security Agreement (including any and all supplements thereto),</w:t>
      </w:r>
    </w:p>
    <w:p>
      <w:pPr>
        <w:spacing w:after="0" w:line="255" w:lineRule="auto"/>
        <w:rPr>
          <w:sz w:val="20"/>
          <w:szCs w:val="20"/>
          <w:color w:val="auto"/>
        </w:rPr>
      </w:pPr>
      <w:r>
        <w:rPr>
          <w:rFonts w:ascii="Arial" w:cs="Arial" w:eastAsia="Arial" w:hAnsi="Arial"/>
          <w:sz w:val="16"/>
          <w:szCs w:val="16"/>
          <w:color w:val="auto"/>
        </w:rPr>
        <w:t xml:space="preserve">substantially in the form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dated as of the Closing Date (or such earlier date to the extent executed prior to the Closing Date by certain of the Foreign Grantors (as defined therein) party thereto), between the U.S. Borrower, each other Domestic Subsidiary that is</w:t>
      </w:r>
    </w:p>
    <w:p>
      <w:pPr>
        <w:spacing w:after="0" w:line="235" w:lineRule="auto"/>
        <w:rPr>
          <w:sz w:val="20"/>
          <w:szCs w:val="20"/>
          <w:color w:val="auto"/>
        </w:rPr>
      </w:pPr>
      <w:r>
        <w:rPr>
          <w:rFonts w:ascii="Arial" w:cs="Arial" w:eastAsia="Arial" w:hAnsi="Arial"/>
          <w:sz w:val="18"/>
          <w:szCs w:val="18"/>
          <w:color w:val="auto"/>
        </w:rPr>
        <w:t>a Subsidiary Guarantor and each Foreign Grantor (as defined therein) party thereto and the Collateral Agent, for the benefit of the Collateral</w:t>
      </w:r>
    </w:p>
    <w:p>
      <w:pPr>
        <w:spacing w:after="0" w:line="226" w:lineRule="auto"/>
        <w:rPr>
          <w:sz w:val="20"/>
          <w:szCs w:val="20"/>
          <w:color w:val="auto"/>
        </w:rPr>
      </w:pPr>
      <w:r>
        <w:rPr>
          <w:rFonts w:ascii="Arial" w:cs="Arial" w:eastAsia="Arial" w:hAnsi="Arial"/>
          <w:sz w:val="18"/>
          <w:szCs w:val="18"/>
          <w:color w:val="auto"/>
        </w:rPr>
        <w:t>Agent and the other Secured Parties, and any other pledge or security agreement entered into after the date hereof by any other Loan Party that is a Domestic Subsidiary (as required by this Agreement or any other Loan Document), or by any Foreign Loan Party with respect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Domestic Pledged Equity (each as defined in the U.S. Security Agreement), with the Collateral Agent.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w:t>
      </w:r>
      <w:r>
        <w:rPr>
          <w:rFonts w:ascii="Arial" w:cs="Arial" w:eastAsia="Arial" w:hAnsi="Arial"/>
          <w:sz w:val="20"/>
          <w:szCs w:val="20"/>
          <w:color w:val="auto"/>
        </w:rPr>
        <w:t>” has the meaning assigned to such term in Section 9.20.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2.17(e)(i)(A)(iii).</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Term Loan Commitments</w:t>
      </w:r>
      <w:r>
        <w:rPr>
          <w:rFonts w:ascii="Arial" w:cs="Arial" w:eastAsia="Arial" w:hAnsi="Arial"/>
          <w:sz w:val="18"/>
          <w:szCs w:val="18"/>
          <w:color w:val="auto"/>
        </w:rPr>
        <w:t>” means with respect to each Term Lender, the commitment, if any, of such Term Lender to make U.S. Term Loans hereunder, as such commitment may be (a) reduced or terminated from time to time pursuant to Section 2.09 and (b)</w:t>
      </w:r>
    </w:p>
    <w:p>
      <w:pPr>
        <w:spacing w:after="0" w:line="235" w:lineRule="auto"/>
        <w:rPr>
          <w:sz w:val="20"/>
          <w:szCs w:val="20"/>
          <w:color w:val="auto"/>
        </w:rPr>
      </w:pPr>
      <w:r>
        <w:rPr>
          <w:rFonts w:ascii="Arial" w:cs="Arial" w:eastAsia="Arial" w:hAnsi="Arial"/>
          <w:sz w:val="18"/>
          <w:szCs w:val="18"/>
          <w:color w:val="auto"/>
        </w:rPr>
        <w:t>reduced or increased from time to time pursuant to assignments by or to such Term Lender pursuant to Section 9.04. The amount of each</w:t>
      </w:r>
    </w:p>
    <w:p>
      <w:pPr>
        <w:spacing w:after="0" w:line="226" w:lineRule="auto"/>
        <w:rPr>
          <w:sz w:val="20"/>
          <w:szCs w:val="20"/>
          <w:color w:val="auto"/>
        </w:rPr>
      </w:pPr>
      <w:r>
        <w:rPr>
          <w:rFonts w:ascii="Arial" w:cs="Arial" w:eastAsia="Arial" w:hAnsi="Arial"/>
          <w:sz w:val="18"/>
          <w:szCs w:val="18"/>
          <w:color w:val="auto"/>
        </w:rPr>
        <w:t xml:space="preserve">Term Lender’s U.S. Term Loan Commitment as of the Closing Date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or in the Assignment and Assumption (or other documentation contemplated by this Agreement) pursuant to which such Term Lender shall have assumed its U.S. Term Loan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Commitment, as applicable, and any other Refinancing Commitments and any Incremental Term Loan Commitments. The aggregate principal amount of the U.S. Term Loan Commitments on the Closing Date is $1,100,000,000.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Term Loan Repayment Date</w:t>
      </w:r>
      <w:r>
        <w:rPr>
          <w:rFonts w:ascii="Arial" w:cs="Arial" w:eastAsia="Arial" w:hAnsi="Arial"/>
          <w:sz w:val="20"/>
          <w:szCs w:val="20"/>
          <w:color w:val="auto"/>
        </w:rPr>
        <w:t>” has the meaning assigned to such term in Section 2.10(a)(ii).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3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Term Loans</w:t>
      </w:r>
      <w:r>
        <w:rPr>
          <w:rFonts w:ascii="Arial" w:cs="Arial" w:eastAsia="Arial" w:hAnsi="Arial"/>
          <w:sz w:val="18"/>
          <w:szCs w:val="18"/>
          <w:color w:val="auto"/>
        </w:rPr>
        <w:t xml:space="preserve">” means the term loans made by the Term Lenders to the U.S. Borrower on the Closing Date pursuant to Section 2.01. Each U.S. Term Loan shall be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USD Term SOFR</w:t>
      </w:r>
      <w:r>
        <w:rPr>
          <w:rFonts w:ascii="Arial" w:cs="Arial" w:eastAsia="Arial" w:hAnsi="Arial"/>
          <w:sz w:val="18"/>
          <w:szCs w:val="18"/>
          <w:color w:val="auto"/>
        </w:rPr>
        <w:t xml:space="preserve"> Loan denominated in Dollars or an ABR Loan denominated in Dollars.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has the meaning assigned to such term in Section 9.14.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specified Person means as of any date the Equity Interests of such Person of the class or classes that has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general voting power under ordinary circumstances to elect at least a majority of the Board of Directors of such Person (irrespective of whether or not at the time Equity Interests of any other class or classes shall have or might have voting power by reason of the happening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contingency).</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sum of the products obtained by multiplying (i) the amount of each then remaining installment, sinking fund, serial maturity</w:t>
      </w:r>
    </w:p>
    <w:p>
      <w:pPr>
        <w:spacing w:after="0" w:line="255" w:lineRule="auto"/>
        <w:rPr>
          <w:sz w:val="20"/>
          <w:szCs w:val="20"/>
          <w:color w:val="auto"/>
        </w:rPr>
      </w:pPr>
      <w:r>
        <w:rPr>
          <w:rFonts w:ascii="Arial" w:cs="Arial" w:eastAsia="Arial" w:hAnsi="Arial"/>
          <w:sz w:val="16"/>
          <w:szCs w:val="16"/>
          <w:color w:val="auto"/>
        </w:rPr>
        <w:t>or other required payments of principal, including payment at final maturity, in respect thereof, by (ii) the number of years (calculated to the nearest one-twelfth) that will elapse between such date and the making of such payment; by (b) the then outstanding principal amount of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w:t>
      </w:r>
    </w:p>
    <w:p>
      <w:pPr>
        <w:spacing w:after="0" w:line="226" w:lineRule="auto"/>
        <w:rPr>
          <w:sz w:val="20"/>
          <w:szCs w:val="20"/>
          <w:color w:val="auto"/>
        </w:rPr>
      </w:pPr>
      <w:r>
        <w:rPr>
          <w:rFonts w:ascii="Arial" w:cs="Arial" w:eastAsia="Arial" w:hAnsi="Arial"/>
          <w:sz w:val="18"/>
          <w:szCs w:val="18"/>
          <w:color w:val="auto"/>
        </w:rPr>
        <w:t>write-down and conversion powers are described in the EU Bail-In Legislation Schedule, and (b) with respect to the United Kingdom, any powers of the applicable Resolution Authority under the Bail-In Legislation to cancel, transfer or dilute shares issued by a person that is a</w:t>
      </w:r>
    </w:p>
    <w:p>
      <w:pPr>
        <w:spacing w:after="0" w:line="236" w:lineRule="auto"/>
        <w:rPr>
          <w:sz w:val="20"/>
          <w:szCs w:val="20"/>
          <w:color w:val="auto"/>
        </w:rPr>
      </w:pPr>
      <w:r>
        <w:rPr>
          <w:rFonts w:ascii="Arial" w:cs="Arial" w:eastAsia="Arial" w:hAnsi="Arial"/>
          <w:sz w:val="18"/>
          <w:szCs w:val="18"/>
          <w:color w:val="auto"/>
        </w:rPr>
        <w:t>bank or investment firm or other financial institution or affiliate of a bank, investment firm or other financial institution, to cancel, reduce,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instrument is to have effect as if a right had been exercised under it or to suspend any obligation in respect of that liability or any of the powers under that Bail-In Legislation that are related to or ancillary to any of those powers.</w:t>
      </w:r>
    </w:p>
    <w:p>
      <w:pPr>
        <w:spacing w:after="0" w:line="13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w:t>
      </w:r>
    </w:p>
    <w:p>
      <w:pPr>
        <w:spacing w:after="0" w:line="226" w:lineRule="auto"/>
        <w:rPr>
          <w:sz w:val="20"/>
          <w:szCs w:val="20"/>
          <w:color w:val="auto"/>
        </w:rPr>
      </w:pPr>
      <w:r>
        <w:rPr>
          <w:rFonts w:ascii="Arial" w:cs="Arial" w:eastAsia="Arial" w:hAnsi="Arial"/>
          <w:sz w:val="18"/>
          <w:szCs w:val="18"/>
          <w:color w:val="auto"/>
        </w:rPr>
        <w:t>Class (</w:t>
      </w:r>
      <w:r>
        <w:rPr>
          <w:rFonts w:ascii="Arial" w:cs="Arial" w:eastAsia="Arial" w:hAnsi="Arial"/>
          <w:sz w:val="18"/>
          <w:szCs w:val="18"/>
          <w:u w:val="single" w:color="auto"/>
          <w:color w:val="auto"/>
        </w:rPr>
        <w:t>e.g.</w:t>
      </w:r>
      <w:r>
        <w:rPr>
          <w:rFonts w:ascii="Arial" w:cs="Arial" w:eastAsia="Arial" w:hAnsi="Arial"/>
          <w:sz w:val="18"/>
          <w:szCs w:val="18"/>
          <w:color w:val="auto"/>
        </w:rPr>
        <w:t>, a “Term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Term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“Term Loan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Type (</w:t>
      </w:r>
      <w:r>
        <w:rPr>
          <w:rFonts w:ascii="Arial" w:cs="Arial" w:eastAsia="Arial" w:hAnsi="Arial"/>
          <w:sz w:val="20"/>
          <w:szCs w:val="20"/>
          <w:u w:val="single" w:color="auto"/>
          <w:color w:val="auto"/>
        </w:rPr>
        <w:t>e.g.</w:t>
      </w:r>
      <w:r>
        <w:rPr>
          <w:rFonts w:ascii="Arial" w:cs="Arial" w:eastAsia="Arial" w:hAnsi="Arial"/>
          <w:sz w:val="20"/>
          <w:szCs w:val="20"/>
          <w:color w:val="auto"/>
        </w:rPr>
        <w:t>, a “Term Loan Eurocurrency Borrowing”).</w:t>
      </w:r>
    </w:p>
    <w:p>
      <w:pPr>
        <w:spacing w:after="0" w:line="159"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w:t>
      </w:r>
    </w:p>
    <w:p>
      <w:pPr>
        <w:jc w:val="both"/>
        <w:spacing w:after="0" w:line="226" w:lineRule="auto"/>
        <w:rPr>
          <w:sz w:val="20"/>
          <w:szCs w:val="20"/>
          <w:color w:val="auto"/>
        </w:rPr>
      </w:pPr>
      <w:r>
        <w:rPr>
          <w:rFonts w:ascii="Arial" w:cs="Arial" w:eastAsia="Arial" w:hAnsi="Arial"/>
          <w:sz w:val="18"/>
          <w:szCs w:val="18"/>
          <w:color w:val="auto"/>
        </w:rPr>
        <w:t>“include”, “includes” and “including” shall be deemed to be followed by the phrase “without limitation”. The word “will” shall be construed to have the same meaning and effect as the word “shall”. The word “law” shall be construed as referring to all statutes, rules, regulations,</w:t>
      </w:r>
    </w:p>
    <w:p>
      <w:pPr>
        <w:spacing w:after="0" w:line="224" w:lineRule="auto"/>
        <w:rPr>
          <w:sz w:val="20"/>
          <w:szCs w:val="20"/>
          <w:color w:val="auto"/>
        </w:rPr>
      </w:pPr>
      <w:r>
        <w:rPr>
          <w:rFonts w:ascii="Arial" w:cs="Arial" w:eastAsia="Arial" w:hAnsi="Arial"/>
          <w:sz w:val="19"/>
          <w:szCs w:val="19"/>
          <w:color w:val="auto"/>
        </w:rPr>
        <w:t>codes and other laws (including official rulings and interpretations thereunder having the force of law or with which affected Persons</w:t>
      </w:r>
    </w:p>
    <w:p>
      <w:pPr>
        <w:jc w:val="both"/>
        <w:spacing w:after="0" w:line="226" w:lineRule="auto"/>
        <w:rPr>
          <w:sz w:val="20"/>
          <w:szCs w:val="20"/>
          <w:color w:val="auto"/>
        </w:rPr>
      </w:pPr>
      <w:r>
        <w:rPr>
          <w:rFonts w:ascii="Arial" w:cs="Arial" w:eastAsia="Arial" w:hAnsi="Arial"/>
          <w:sz w:val="18"/>
          <w:szCs w:val="18"/>
          <w:color w:val="auto"/>
        </w:rPr>
        <w:t>customarily comply), and all judgments, orders and decrees, of all Governmental Authorities. Unless the context requires otherwise (a) any definition of or reference to any agreement, instrument or other document herein shall be construed as referring to such agreement,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instrument or other document as from time to time amended, restated, supplemented or otherwise modified (subject to any restrictions on such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restatements, supplements or modifications set forth herein), (b) any definition of or reference to any statute, rule or regulation shall be construed as referring thereto as from time to time amended, supplemented or otherwise modified (including by succession of comparable</w:t>
      </w:r>
    </w:p>
    <w:p>
      <w:pPr>
        <w:spacing w:after="0" w:line="235" w:lineRule="auto"/>
        <w:rPr>
          <w:sz w:val="20"/>
          <w:szCs w:val="20"/>
          <w:color w:val="auto"/>
        </w:rPr>
      </w:pPr>
      <w:r>
        <w:rPr>
          <w:rFonts w:ascii="Arial" w:cs="Arial" w:eastAsia="Arial" w:hAnsi="Arial"/>
          <w:sz w:val="18"/>
          <w:szCs w:val="18"/>
          <w:color w:val="auto"/>
        </w:rPr>
        <w:t>successor laws), (c) any reference herein to any Person shall be construed to include such Person’s successors and assigns (subject to any</w:t>
      </w:r>
    </w:p>
    <w:p>
      <w:pPr>
        <w:spacing w:after="0" w:line="226" w:lineRule="auto"/>
        <w:rPr>
          <w:sz w:val="20"/>
          <w:szCs w:val="20"/>
          <w:color w:val="auto"/>
        </w:rPr>
      </w:pPr>
      <w:r>
        <w:rPr>
          <w:rFonts w:ascii="Arial" w:cs="Arial" w:eastAsia="Arial" w:hAnsi="Arial"/>
          <w:sz w:val="18"/>
          <w:szCs w:val="18"/>
          <w:color w:val="auto"/>
        </w:rPr>
        <w:t>restrictions on assignment set forth herein) and, in the case of any Governmental Authority, any other Governmental Authority that shall have succeeded to any or all functions thereof, (d) the words “herein”, “hereof” and “hereunder”, and words of similar import, shall be construed</w:t>
      </w:r>
    </w:p>
    <w:p>
      <w:pPr>
        <w:spacing w:after="0" w:line="236" w:lineRule="auto"/>
        <w:rPr>
          <w:sz w:val="20"/>
          <w:szCs w:val="20"/>
          <w:color w:val="auto"/>
        </w:rPr>
      </w:pPr>
      <w:r>
        <w:rPr>
          <w:rFonts w:ascii="Arial" w:cs="Arial" w:eastAsia="Arial" w:hAnsi="Arial"/>
          <w:sz w:val="18"/>
          <w:szCs w:val="18"/>
          <w:color w:val="auto"/>
        </w:rPr>
        <w:t>to refer to this Agreement in its entirety and not to any particular provision hereof, (e) all references herein to Articles, Sections, Exhibits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Schedules shall be construed to refer to Articles and Sections of, and Exhibits and Schedules to, this Agreement and (f) the words “asset” and “property” shall be construed to have the same meaning and effect and to refer to any and all tangible and intangible assets and properties,</w:t>
      </w:r>
    </w:p>
    <w:p>
      <w:pPr>
        <w:spacing w:after="0" w:line="235" w:lineRule="auto"/>
        <w:rPr>
          <w:sz w:val="20"/>
          <w:szCs w:val="20"/>
          <w:color w:val="auto"/>
        </w:rPr>
      </w:pPr>
      <w:r>
        <w:rPr>
          <w:rFonts w:ascii="Arial" w:cs="Arial" w:eastAsia="Arial" w:hAnsi="Arial"/>
          <w:sz w:val="18"/>
          <w:szCs w:val="18"/>
          <w:color w:val="auto"/>
        </w:rPr>
        <w:t>including cash, securities, accounts and contract rights. Any references in this Agreement or any other Loan Document to “Permitted Liens”</w:t>
      </w:r>
    </w:p>
    <w:p>
      <w:pPr>
        <w:spacing w:after="0" w:line="220" w:lineRule="auto"/>
        <w:rPr>
          <w:sz w:val="20"/>
          <w:szCs w:val="20"/>
          <w:color w:val="auto"/>
        </w:rPr>
      </w:pPr>
      <w:r>
        <w:rPr>
          <w:rFonts w:ascii="Arial" w:cs="Arial" w:eastAsia="Arial" w:hAnsi="Arial"/>
          <w:sz w:val="20"/>
          <w:szCs w:val="20"/>
          <w:color w:val="auto"/>
        </w:rPr>
        <w:t>is not intended to subordinate or postpone, and shall not be interpreted as subordinating or postponing, or as any agreement to subordinate or postpone, any Lien created by any of the Loan Documents to any Permitted Lien.</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 Except as otherwise expressly provided herein, all terms of an accounting or financial</w:t>
      </w:r>
    </w:p>
    <w:p>
      <w:pPr>
        <w:spacing w:after="0" w:line="226" w:lineRule="auto"/>
        <w:rPr>
          <w:sz w:val="20"/>
          <w:szCs w:val="20"/>
          <w:color w:val="auto"/>
        </w:rPr>
      </w:pPr>
      <w:r>
        <w:rPr>
          <w:rFonts w:ascii="Arial" w:cs="Arial" w:eastAsia="Arial" w:hAnsi="Arial"/>
          <w:sz w:val="18"/>
          <w:szCs w:val="18"/>
          <w:color w:val="auto"/>
        </w:rPr>
        <w:t xml:space="preserve">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Holdings notifies the Administrative Agent that Holdings requests an amendment to any provision hereof to eliminate the effect of any change occurring after the Closing Date in</w:t>
      </w:r>
    </w:p>
    <w:p>
      <w:pPr>
        <w:spacing w:after="0" w:line="236" w:lineRule="auto"/>
        <w:rPr>
          <w:sz w:val="20"/>
          <w:szCs w:val="20"/>
          <w:color w:val="auto"/>
        </w:rPr>
      </w:pPr>
      <w:r>
        <w:rPr>
          <w:rFonts w:ascii="Arial" w:cs="Arial" w:eastAsia="Arial" w:hAnsi="Arial"/>
          <w:sz w:val="18"/>
          <w:szCs w:val="18"/>
          <w:color w:val="auto"/>
        </w:rPr>
        <w:t>GAAP or in the application thereof on the operation of such provision (or if the Administrative Agent notifies Holdings that the Required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Lenders request an amendment to any provision hereof for such purpose), regardless of whether any such notice is given before or after such change in GAAP or in the application thereof, then such provision shall be interpreted on the basis of GAAP as in effect and applied</w:t>
      </w:r>
    </w:p>
    <w:p>
      <w:pPr>
        <w:spacing w:after="0" w:line="236" w:lineRule="auto"/>
        <w:rPr>
          <w:sz w:val="20"/>
          <w:szCs w:val="20"/>
          <w:color w:val="auto"/>
        </w:rPr>
      </w:pPr>
      <w:r>
        <w:rPr>
          <w:rFonts w:ascii="Arial" w:cs="Arial" w:eastAsia="Arial" w:hAnsi="Arial"/>
          <w:sz w:val="18"/>
          <w:szCs w:val="18"/>
          <w:color w:val="auto"/>
        </w:rPr>
        <w:t>immediately before such change shall have become effective until such notice shall have been withdrawn or such provision amended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accordance herewith. At any time after the Closing Date, Holdings may elect (by written notice to the Administrative Agent) to change its financial reporting (both hereunder and for its audited financial statements generally) from GAAP to International Financial Reporting</w:t>
      </w:r>
    </w:p>
    <w:p>
      <w:pPr>
        <w:spacing w:after="0" w:line="236" w:lineRule="auto"/>
        <w:rPr>
          <w:sz w:val="20"/>
          <w:szCs w:val="20"/>
          <w:color w:val="auto"/>
        </w:rPr>
      </w:pPr>
      <w:r>
        <w:rPr>
          <w:rFonts w:ascii="Arial" w:cs="Arial" w:eastAsia="Arial" w:hAnsi="Arial"/>
          <w:sz w:val="18"/>
          <w:szCs w:val="18"/>
          <w:color w:val="auto"/>
        </w:rPr>
        <w:t>Standards (as issued by the International Accounting Standards Board and the International Financial Reporting Standards Interpretations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Committee and/or adopted by the European Union (“</w:t>
      </w:r>
      <w:r>
        <w:rPr>
          <w:rFonts w:ascii="Arial" w:cs="Arial" w:eastAsia="Arial" w:hAnsi="Arial"/>
          <w:sz w:val="16"/>
          <w:szCs w:val="16"/>
          <w:u w:val="single" w:color="auto"/>
          <w:color w:val="auto"/>
        </w:rPr>
        <w:t>IFRS</w:t>
      </w:r>
      <w:r>
        <w:rPr>
          <w:rFonts w:ascii="Arial" w:cs="Arial" w:eastAsia="Arial" w:hAnsi="Arial"/>
          <w:sz w:val="16"/>
          <w:szCs w:val="16"/>
          <w:color w:val="auto"/>
        </w:rPr>
        <w:t>”)), as in effect from time to time, in which case all references herein to GAAP (except for historical financial statements theretofore prepared in accordance with GAAP) shall instead be deemed references to the IFRS and</w:t>
      </w:r>
    </w:p>
    <w:p>
      <w:pPr>
        <w:spacing w:after="0" w:line="235" w:lineRule="auto"/>
        <w:rPr>
          <w:sz w:val="20"/>
          <w:szCs w:val="20"/>
          <w:color w:val="auto"/>
        </w:rPr>
      </w:pPr>
      <w:r>
        <w:rPr>
          <w:rFonts w:ascii="Arial" w:cs="Arial" w:eastAsia="Arial" w:hAnsi="Arial"/>
          <w:sz w:val="18"/>
          <w:szCs w:val="18"/>
          <w:color w:val="auto"/>
        </w:rPr>
        <w:t>the related accounting standards as shown in the first set of audited financial statements prepared in accordance therewith and delivered</w:t>
      </w:r>
    </w:p>
    <w:p>
      <w:pPr>
        <w:spacing w:after="0" w:line="215" w:lineRule="auto"/>
        <w:rPr>
          <w:sz w:val="20"/>
          <w:szCs w:val="20"/>
          <w:color w:val="auto"/>
        </w:rPr>
      </w:pPr>
      <w:r>
        <w:rPr>
          <w:rFonts w:ascii="Arial" w:cs="Arial" w:eastAsia="Arial" w:hAnsi="Arial"/>
          <w:sz w:val="19"/>
          <w:szCs w:val="19"/>
          <w:color w:val="auto"/>
        </w:rPr>
        <w:t>pursuant to this Agreement; provided that, if Holdings notifies the Administrative Agent that Holdings requests an amendment to any provision hereof to eliminate the effect of any change occurring as a result of the adoption of IFRS or in the application thereof on the</w:t>
      </w:r>
    </w:p>
    <w:p>
      <w:pPr>
        <w:spacing w:after="0" w:line="234" w:lineRule="auto"/>
        <w:rPr>
          <w:sz w:val="20"/>
          <w:szCs w:val="20"/>
          <w:color w:val="auto"/>
        </w:rPr>
      </w:pPr>
      <w:r>
        <w:rPr>
          <w:rFonts w:ascii="Arial" w:cs="Arial" w:eastAsia="Arial" w:hAnsi="Arial"/>
          <w:sz w:val="18"/>
          <w:szCs w:val="18"/>
          <w:color w:val="auto"/>
        </w:rPr>
        <w:t>operation of such provision (or if the Administrative Agent notifies Holdings that the Administrative Agent or the Required Lenders request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 amendment to any provision hereof for such purpose), then such provision shall be interpreted on the basis of GAAP as otherwise required above (and without regard to this sentence) until such notice shall have been withdrawn or such provision amended in accordance herewith;</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provided further that, if, after the adoption of IFRS by Holdings, Holdings notifies the Administrative Agent that Holdings requests an amendment to any provision hereof to eliminate the effect of any change in IFRS occurring after such adoption of IFRS or in the application</w:t>
      </w:r>
    </w:p>
    <w:p>
      <w:pPr>
        <w:spacing w:after="0" w:line="236" w:lineRule="auto"/>
        <w:rPr>
          <w:sz w:val="20"/>
          <w:szCs w:val="20"/>
          <w:color w:val="auto"/>
        </w:rPr>
      </w:pPr>
      <w:r>
        <w:rPr>
          <w:rFonts w:ascii="Arial" w:cs="Arial" w:eastAsia="Arial" w:hAnsi="Arial"/>
          <w:sz w:val="18"/>
          <w:szCs w:val="18"/>
          <w:color w:val="auto"/>
        </w:rPr>
        <w:t>thereof on the operation of such provision (or if the Administrative Agent notifies Holdings that the Required Lenders request an amendment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any provision hereof for such purpose), regardless of whether any such notice is given before or after such change in IFRS or in the application thereof, then such provision shall be interpreted on the basis of IFRS as in effect and applied immediately before such change</w:t>
      </w:r>
    </w:p>
    <w:p>
      <w:pPr>
        <w:spacing w:after="0" w:line="236" w:lineRule="auto"/>
        <w:rPr>
          <w:sz w:val="20"/>
          <w:szCs w:val="20"/>
          <w:color w:val="auto"/>
        </w:rPr>
      </w:pPr>
      <w:r>
        <w:rPr>
          <w:rFonts w:ascii="Arial" w:cs="Arial" w:eastAsia="Arial" w:hAnsi="Arial"/>
          <w:sz w:val="18"/>
          <w:szCs w:val="18"/>
          <w:color w:val="auto"/>
        </w:rPr>
        <w:t>shall have become effective until such notice shall have been withdrawn or such provision amended in accordance herewith. Notwithstanding</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any other provision contained herein, all terms of an accounting or financial nature used herein shall be construed, and all computations of amounts and ratios referred to herein shall be made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without giving effect to any election under Accounting Standards Codification 825-10-25 (or any other Accounting Standards Codification or Financial Accounting Standard having a similar result or effect) to value any Indebtedness or other liabilities of Holdings or any Subsidiary</w:t>
      </w:r>
    </w:p>
    <w:p>
      <w:pPr>
        <w:spacing w:after="0" w:line="235" w:lineRule="auto"/>
        <w:rPr>
          <w:sz w:val="20"/>
          <w:szCs w:val="20"/>
          <w:color w:val="auto"/>
        </w:rPr>
      </w:pPr>
      <w:r>
        <w:rPr>
          <w:rFonts w:ascii="Arial" w:cs="Arial" w:eastAsia="Arial" w:hAnsi="Arial"/>
          <w:sz w:val="18"/>
          <w:szCs w:val="18"/>
          <w:color w:val="auto"/>
        </w:rPr>
        <w:t>at “fair value”, as defined therein, (ii) without giving effect to any treatment of Indebtedness in respect of convertible debt instruments under</w:t>
      </w:r>
    </w:p>
    <w:p>
      <w:pPr>
        <w:spacing w:after="0" w:line="226" w:lineRule="auto"/>
        <w:rPr>
          <w:sz w:val="20"/>
          <w:szCs w:val="20"/>
          <w:color w:val="auto"/>
        </w:rPr>
      </w:pPr>
      <w:r>
        <w:rPr>
          <w:rFonts w:ascii="Arial" w:cs="Arial" w:eastAsia="Arial" w:hAnsi="Arial"/>
          <w:sz w:val="18"/>
          <w:szCs w:val="18"/>
          <w:color w:val="auto"/>
        </w:rPr>
        <w:t>Accounting Standards Codification 470-20 (or any other Accounting Standards Codification or Financial Accounting Standard having a similar result or effect) to value any such Indebtedness in a reduced or bifurcated manner as described therein, and such Indebtedness shall at</w:t>
      </w:r>
    </w:p>
    <w:p>
      <w:pPr>
        <w:spacing w:after="0" w:line="224" w:lineRule="auto"/>
        <w:rPr>
          <w:sz w:val="20"/>
          <w:szCs w:val="20"/>
          <w:color w:val="auto"/>
        </w:rPr>
      </w:pPr>
      <w:r>
        <w:rPr>
          <w:rFonts w:ascii="Arial" w:cs="Arial" w:eastAsia="Arial" w:hAnsi="Arial"/>
          <w:sz w:val="19"/>
          <w:szCs w:val="19"/>
          <w:color w:val="auto"/>
        </w:rPr>
        <w:t>all times be valued at the full stated principal amount thereof and (iii) for the avoidance of doubt, except as provided in the definition of</w:t>
      </w:r>
    </w:p>
    <w:p>
      <w:pPr>
        <w:spacing w:after="0" w:line="226" w:lineRule="auto"/>
        <w:rPr>
          <w:sz w:val="20"/>
          <w:szCs w:val="20"/>
          <w:color w:val="auto"/>
        </w:rPr>
      </w:pPr>
      <w:r>
        <w:rPr>
          <w:rFonts w:ascii="Arial" w:cs="Arial" w:eastAsia="Arial" w:hAnsi="Arial"/>
          <w:sz w:val="18"/>
          <w:szCs w:val="18"/>
          <w:color w:val="auto"/>
        </w:rPr>
        <w:t>“Consolidated Net Income”, without giving effect to the financial condition, results and performance of the Unrestricted Subsidiaries. For purposes of calculating Consolidated Net Income, Total Assets and Consolidated EBITDA under this Agreement and any other Loan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Document, IGPHS shall be treated as a Restricted Subsidiary of Holdings, notwithstanding the fact that IGPHS is an Unrestricted Subsidiary for all other purposes of the Loan Documents.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8"/>
          <w:szCs w:val="18"/>
          <w:u w:val="single" w:color="auto"/>
          <w:color w:val="auto"/>
        </w:rPr>
        <w:t>Special Luxembourg Provisions</w:t>
      </w:r>
      <w:r>
        <w:rPr>
          <w:rFonts w:ascii="Arial" w:cs="Arial" w:eastAsia="Arial" w:hAnsi="Arial"/>
          <w:sz w:val="18"/>
          <w:szCs w:val="18"/>
          <w:color w:val="auto"/>
        </w:rPr>
        <w:t>. Words in the English language used in this Agreement to describe Luxembourg law</w:t>
      </w:r>
    </w:p>
    <w:p>
      <w:pPr>
        <w:spacing w:after="0" w:line="220" w:lineRule="auto"/>
        <w:rPr>
          <w:sz w:val="20"/>
          <w:szCs w:val="20"/>
          <w:color w:val="auto"/>
        </w:rPr>
      </w:pPr>
      <w:r>
        <w:rPr>
          <w:rFonts w:ascii="Arial" w:cs="Arial" w:eastAsia="Arial" w:hAnsi="Arial"/>
          <w:sz w:val="20"/>
          <w:szCs w:val="20"/>
          <w:color w:val="auto"/>
        </w:rPr>
        <w:t>concepts only intend to describe such concepts and the consequences of the use of those words in English law or any other foreign law are to be disregarded.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Without prejudice to the generality of any provision of this Agreement, to the extent this Agreement relates to any</w:t>
      </w:r>
    </w:p>
    <w:p>
      <w:pPr>
        <w:spacing w:after="0" w:line="226" w:lineRule="auto"/>
        <w:rPr>
          <w:sz w:val="20"/>
          <w:szCs w:val="20"/>
          <w:color w:val="auto"/>
        </w:rPr>
      </w:pPr>
      <w:r>
        <w:rPr>
          <w:rFonts w:ascii="Arial" w:cs="Arial" w:eastAsia="Arial" w:hAnsi="Arial"/>
          <w:sz w:val="18"/>
          <w:szCs w:val="18"/>
          <w:color w:val="auto"/>
        </w:rPr>
        <w:t>Luxembourg Loan Party or any entity incorporated or existing under the laws of Luxembourg, a reference to: (a) a winding-up, administration or dissolution includes, without limitation, bankruptcy (</w:t>
      </w:r>
      <w:r>
        <w:rPr>
          <w:rFonts w:ascii="Arial" w:cs="Arial" w:eastAsia="Arial" w:hAnsi="Arial"/>
          <w:sz w:val="18"/>
          <w:szCs w:val="18"/>
          <w:i w:val="1"/>
          <w:iCs w:val="1"/>
          <w:color w:val="auto"/>
        </w:rPr>
        <w:t>faillite</w:t>
      </w:r>
      <w:r>
        <w:rPr>
          <w:rFonts w:ascii="Arial" w:cs="Arial" w:eastAsia="Arial" w:hAnsi="Arial"/>
          <w:sz w:val="18"/>
          <w:szCs w:val="18"/>
          <w:color w:val="auto"/>
        </w:rPr>
        <w:t>), insolvency, liquidation, composition with creditors (</w:t>
      </w:r>
      <w:r>
        <w:rPr>
          <w:rFonts w:ascii="Arial" w:cs="Arial" w:eastAsia="Arial" w:hAnsi="Arial"/>
          <w:sz w:val="18"/>
          <w:szCs w:val="18"/>
          <w:i w:val="1"/>
          <w:iCs w:val="1"/>
          <w:color w:val="auto"/>
        </w:rPr>
        <w:t>concordat</w:t>
      </w:r>
    </w:p>
    <w:p>
      <w:pPr>
        <w:spacing w:after="0" w:line="236" w:lineRule="auto"/>
        <w:rPr>
          <w:sz w:val="20"/>
          <w:szCs w:val="20"/>
          <w:color w:val="auto"/>
        </w:rPr>
      </w:pPr>
      <w:r>
        <w:rPr>
          <w:rFonts w:ascii="Arial" w:cs="Arial" w:eastAsia="Arial" w:hAnsi="Arial"/>
          <w:sz w:val="18"/>
          <w:szCs w:val="18"/>
          <w:i w:val="1"/>
          <w:iCs w:val="1"/>
          <w:color w:val="auto"/>
        </w:rPr>
        <w:t>préventif de la faillite</w:t>
      </w:r>
      <w:r>
        <w:rPr>
          <w:rFonts w:ascii="Arial" w:cs="Arial" w:eastAsia="Arial" w:hAnsi="Arial"/>
          <w:sz w:val="18"/>
          <w:szCs w:val="18"/>
          <w:color w:val="auto"/>
        </w:rPr>
        <w:t>), moratorium or reprieve from payment (</w:t>
      </w:r>
      <w:r>
        <w:rPr>
          <w:rFonts w:ascii="Arial" w:cs="Arial" w:eastAsia="Arial" w:hAnsi="Arial"/>
          <w:sz w:val="18"/>
          <w:szCs w:val="18"/>
          <w:i w:val="1"/>
          <w:iCs w:val="1"/>
          <w:color w:val="auto"/>
        </w:rPr>
        <w:t>sursis de paiement</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fraudulent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conveyance (</w:t>
      </w:r>
      <w:r>
        <w:rPr>
          <w:rFonts w:ascii="Arial" w:cs="Arial" w:eastAsia="Arial" w:hAnsi="Arial"/>
          <w:sz w:val="16"/>
          <w:szCs w:val="16"/>
          <w:i w:val="1"/>
          <w:iCs w:val="1"/>
          <w:color w:val="auto"/>
        </w:rPr>
        <w:t>actio pauliana</w:t>
      </w:r>
      <w:r>
        <w:rPr>
          <w:rFonts w:ascii="Arial" w:cs="Arial" w:eastAsia="Arial" w:hAnsi="Arial"/>
          <w:sz w:val="16"/>
          <w:szCs w:val="16"/>
          <w:color w:val="auto"/>
        </w:rPr>
        <w:t>), general settlement with creditors, reorganization or similar laws affecting the rights of creditors generally; (b) a receiver, administrative receiver, administrator, trustee, custodian, sequestrator, conservator or similar officer appointed for the reorganization</w:t>
      </w:r>
    </w:p>
    <w:p>
      <w:pPr>
        <w:spacing w:after="0" w:line="235" w:lineRule="auto"/>
        <w:rPr>
          <w:sz w:val="20"/>
          <w:szCs w:val="20"/>
          <w:color w:val="auto"/>
        </w:rPr>
      </w:pPr>
      <w:r>
        <w:rPr>
          <w:rFonts w:ascii="Arial" w:cs="Arial" w:eastAsia="Arial" w:hAnsi="Arial"/>
          <w:sz w:val="18"/>
          <w:szCs w:val="18"/>
          <w:color w:val="auto"/>
        </w:rPr>
        <w:t xml:space="preserve">or liquidation of the business of a Person includes, without limitation, a </w:t>
      </w:r>
      <w:r>
        <w:rPr>
          <w:rFonts w:ascii="Arial" w:cs="Arial" w:eastAsia="Arial" w:hAnsi="Arial"/>
          <w:sz w:val="18"/>
          <w:szCs w:val="18"/>
          <w:i w:val="1"/>
          <w:iCs w:val="1"/>
          <w:color w:val="auto"/>
        </w:rPr>
        <w:t>juge délégué</w:t>
      </w:r>
      <w:r>
        <w:rPr>
          <w:rFonts w:ascii="Arial" w:cs="Arial" w:eastAsia="Arial" w:hAnsi="Arial"/>
          <w:sz w:val="18"/>
          <w:szCs w:val="18"/>
          <w:color w:val="auto"/>
        </w:rPr>
        <w:t xml:space="preserve">, </w:t>
      </w:r>
      <w:r>
        <w:rPr>
          <w:rFonts w:ascii="Arial" w:cs="Arial" w:eastAsia="Arial" w:hAnsi="Arial"/>
          <w:sz w:val="18"/>
          <w:szCs w:val="18"/>
          <w:i w:val="1"/>
          <w:iCs w:val="1"/>
          <w:color w:val="auto"/>
        </w:rPr>
        <w:t>commissaire</w:t>
      </w:r>
      <w:r>
        <w:rPr>
          <w:rFonts w:ascii="Arial" w:cs="Arial" w:eastAsia="Arial" w:hAnsi="Arial"/>
          <w:sz w:val="18"/>
          <w:szCs w:val="18"/>
          <w:color w:val="auto"/>
        </w:rPr>
        <w:t xml:space="preserve">, </w:t>
      </w:r>
      <w:r>
        <w:rPr>
          <w:rFonts w:ascii="Arial" w:cs="Arial" w:eastAsia="Arial" w:hAnsi="Arial"/>
          <w:sz w:val="18"/>
          <w:szCs w:val="18"/>
          <w:i w:val="1"/>
          <w:iCs w:val="1"/>
          <w:color w:val="auto"/>
        </w:rPr>
        <w:t>juge-commissaire</w:t>
      </w:r>
      <w:r>
        <w:rPr>
          <w:rFonts w:ascii="Arial" w:cs="Arial" w:eastAsia="Arial" w:hAnsi="Arial"/>
          <w:sz w:val="18"/>
          <w:szCs w:val="18"/>
          <w:color w:val="auto"/>
        </w:rPr>
        <w:t xml:space="preserve">, </w:t>
      </w:r>
      <w:r>
        <w:rPr>
          <w:rFonts w:ascii="Arial" w:cs="Arial" w:eastAsia="Arial" w:hAnsi="Arial"/>
          <w:sz w:val="18"/>
          <w:szCs w:val="18"/>
          <w:i w:val="1"/>
          <w:iCs w:val="1"/>
          <w:color w:val="auto"/>
        </w:rPr>
        <w:t>mandataire ad hoc</w:t>
      </w:r>
      <w:r>
        <w:rPr>
          <w:rFonts w:ascii="Arial" w:cs="Arial" w:eastAsia="Arial" w:hAnsi="Arial"/>
          <w:sz w:val="18"/>
          <w:szCs w:val="18"/>
          <w:color w:val="auto"/>
        </w:rPr>
        <w:t>,</w:t>
      </w:r>
    </w:p>
    <w:p>
      <w:pPr>
        <w:spacing w:after="0" w:line="226" w:lineRule="auto"/>
        <w:rPr>
          <w:sz w:val="20"/>
          <w:szCs w:val="20"/>
          <w:color w:val="auto"/>
        </w:rPr>
      </w:pPr>
      <w:r>
        <w:rPr>
          <w:rFonts w:ascii="Arial" w:cs="Arial" w:eastAsia="Arial" w:hAnsi="Arial"/>
          <w:sz w:val="18"/>
          <w:szCs w:val="18"/>
          <w:i w:val="1"/>
          <w:iCs w:val="1"/>
          <w:color w:val="auto"/>
        </w:rPr>
        <w:t>administrateur provisoire</w:t>
      </w:r>
      <w:r>
        <w:rPr>
          <w:rFonts w:ascii="Arial" w:cs="Arial" w:eastAsia="Arial" w:hAnsi="Arial"/>
          <w:sz w:val="18"/>
          <w:szCs w:val="18"/>
          <w:color w:val="auto"/>
        </w:rPr>
        <w:t>,</w:t>
      </w:r>
      <w:r>
        <w:rPr>
          <w:rFonts w:ascii="Arial" w:cs="Arial" w:eastAsia="Arial" w:hAnsi="Arial"/>
          <w:sz w:val="18"/>
          <w:szCs w:val="18"/>
          <w:i w:val="1"/>
          <w:iCs w:val="1"/>
          <w:color w:val="auto"/>
        </w:rPr>
        <w:t xml:space="preserve"> liquidateur </w:t>
      </w:r>
      <w:r>
        <w:rPr>
          <w:rFonts w:ascii="Arial" w:cs="Arial" w:eastAsia="Arial" w:hAnsi="Arial"/>
          <w:sz w:val="18"/>
          <w:szCs w:val="18"/>
          <w:color w:val="auto"/>
        </w:rPr>
        <w:t>or</w:t>
      </w:r>
      <w:r>
        <w:rPr>
          <w:rFonts w:ascii="Arial" w:cs="Arial" w:eastAsia="Arial" w:hAnsi="Arial"/>
          <w:sz w:val="18"/>
          <w:szCs w:val="18"/>
          <w:i w:val="1"/>
          <w:iCs w:val="1"/>
          <w:color w:val="auto"/>
        </w:rPr>
        <w:t xml:space="preserve"> curateur</w:t>
      </w:r>
      <w:r>
        <w:rPr>
          <w:rFonts w:ascii="Arial" w:cs="Arial" w:eastAsia="Arial" w:hAnsi="Arial"/>
          <w:sz w:val="18"/>
          <w:szCs w:val="18"/>
          <w:color w:val="auto"/>
        </w:rPr>
        <w:t>; (c) a lien or security interest includes any</w:t>
      </w:r>
      <w:r>
        <w:rPr>
          <w:rFonts w:ascii="Arial" w:cs="Arial" w:eastAsia="Arial" w:hAnsi="Arial"/>
          <w:sz w:val="18"/>
          <w:szCs w:val="18"/>
          <w:i w:val="1"/>
          <w:iCs w:val="1"/>
          <w:color w:val="auto"/>
        </w:rPr>
        <w:t xml:space="preserve"> hypothèque, nantissement, gage, privilège, sûreté réelle, droit de rétention </w:t>
      </w:r>
      <w:r>
        <w:rPr>
          <w:rFonts w:ascii="Arial" w:cs="Arial" w:eastAsia="Arial" w:hAnsi="Arial"/>
          <w:sz w:val="18"/>
          <w:szCs w:val="18"/>
          <w:color w:val="auto"/>
        </w:rPr>
        <w:t>and any type of security in rem (</w:t>
      </w:r>
      <w:r>
        <w:rPr>
          <w:rFonts w:ascii="Arial" w:cs="Arial" w:eastAsia="Arial" w:hAnsi="Arial"/>
          <w:sz w:val="18"/>
          <w:szCs w:val="18"/>
          <w:i w:val="1"/>
          <w:iCs w:val="1"/>
          <w:color w:val="auto"/>
        </w:rPr>
        <w:t>sûreté réelle</w:t>
      </w:r>
      <w:r>
        <w:rPr>
          <w:rFonts w:ascii="Arial" w:cs="Arial" w:eastAsia="Arial" w:hAnsi="Arial"/>
          <w:sz w:val="18"/>
          <w:szCs w:val="18"/>
          <w:color w:val="auto"/>
        </w:rPr>
        <w:t>) or agreement or arrangement having a similar effect and any</w:t>
      </w:r>
    </w:p>
    <w:p>
      <w:pPr>
        <w:spacing w:after="0" w:line="236" w:lineRule="auto"/>
        <w:rPr>
          <w:sz w:val="20"/>
          <w:szCs w:val="20"/>
          <w:color w:val="auto"/>
        </w:rPr>
      </w:pPr>
      <w:r>
        <w:rPr>
          <w:rFonts w:ascii="Arial" w:cs="Arial" w:eastAsia="Arial" w:hAnsi="Arial"/>
          <w:sz w:val="18"/>
          <w:szCs w:val="18"/>
          <w:color w:val="auto"/>
        </w:rPr>
        <w:t xml:space="preserve">transfer of title by way of security; (d) a person being unable to pay its debts includes that person being in a state of </w:t>
      </w:r>
      <w:r>
        <w:rPr>
          <w:rFonts w:ascii="Arial" w:cs="Arial" w:eastAsia="Arial" w:hAnsi="Arial"/>
          <w:sz w:val="18"/>
          <w:szCs w:val="18"/>
          <w:i w:val="1"/>
          <w:iCs w:val="1"/>
          <w:color w:val="auto"/>
        </w:rPr>
        <w:t>cessation de paiements</w:t>
      </w:r>
      <w:r>
        <w:rPr>
          <w:rFonts w:ascii="Arial" w:cs="Arial" w:eastAsia="Arial" w:hAnsi="Arial"/>
          <w:sz w:val="18"/>
          <w:szCs w:val="18"/>
          <w:color w:val="auto"/>
        </w:rPr>
        <w:t>;</w:t>
      </w:r>
    </w:p>
    <w:p>
      <w:pPr>
        <w:spacing w:after="0" w:line="1" w:lineRule="exact"/>
        <w:rPr>
          <w:sz w:val="20"/>
          <w:szCs w:val="20"/>
          <w:color w:val="auto"/>
        </w:rPr>
      </w:pPr>
    </w:p>
    <w:p>
      <w:pPr>
        <w:jc w:val="both"/>
        <w:ind w:firstLine="8"/>
        <w:spacing w:after="0" w:line="217" w:lineRule="auto"/>
        <w:tabs>
          <w:tab w:leader="none" w:pos="29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creditors process means an executory attachment (</w:t>
      </w:r>
      <w:r>
        <w:rPr>
          <w:rFonts w:ascii="Arial" w:cs="Arial" w:eastAsia="Arial" w:hAnsi="Arial"/>
          <w:sz w:val="20"/>
          <w:szCs w:val="20"/>
          <w:i w:val="1"/>
          <w:iCs w:val="1"/>
          <w:color w:val="auto"/>
        </w:rPr>
        <w:t>saisie exécutoire</w:t>
      </w:r>
      <w:r>
        <w:rPr>
          <w:rFonts w:ascii="Arial" w:cs="Arial" w:eastAsia="Arial" w:hAnsi="Arial"/>
          <w:sz w:val="20"/>
          <w:szCs w:val="20"/>
          <w:color w:val="auto"/>
        </w:rPr>
        <w:t>) or conservatory attachment (</w:t>
      </w:r>
      <w:r>
        <w:rPr>
          <w:rFonts w:ascii="Arial" w:cs="Arial" w:eastAsia="Arial" w:hAnsi="Arial"/>
          <w:sz w:val="20"/>
          <w:szCs w:val="20"/>
          <w:i w:val="1"/>
          <w:iCs w:val="1"/>
          <w:color w:val="auto"/>
        </w:rPr>
        <w:t>saisie conservatoire</w:t>
      </w:r>
      <w:r>
        <w:rPr>
          <w:rFonts w:ascii="Arial" w:cs="Arial" w:eastAsia="Arial" w:hAnsi="Arial"/>
          <w:sz w:val="20"/>
          <w:szCs w:val="20"/>
          <w:color w:val="auto"/>
        </w:rPr>
        <w:t>); (f) by-laws or constitutional documents includes its up-to-date (restated) articles of association (</w:t>
      </w:r>
      <w:r>
        <w:rPr>
          <w:rFonts w:ascii="Arial" w:cs="Arial" w:eastAsia="Arial" w:hAnsi="Arial"/>
          <w:sz w:val="20"/>
          <w:szCs w:val="20"/>
          <w:i w:val="1"/>
          <w:iCs w:val="1"/>
          <w:color w:val="auto"/>
        </w:rPr>
        <w:t>statuts coordonnés</w:t>
      </w:r>
      <w:r>
        <w:rPr>
          <w:rFonts w:ascii="Arial" w:cs="Arial" w:eastAsia="Arial" w:hAnsi="Arial"/>
          <w:sz w:val="20"/>
          <w:szCs w:val="20"/>
          <w:color w:val="auto"/>
        </w:rPr>
        <w:t xml:space="preserve">) and (g) a director, a manager or authorized officer includes an </w:t>
      </w:r>
      <w:r>
        <w:rPr>
          <w:rFonts w:ascii="Arial" w:cs="Arial" w:eastAsia="Arial" w:hAnsi="Arial"/>
          <w:sz w:val="20"/>
          <w:szCs w:val="20"/>
          <w:i w:val="1"/>
          <w:iCs w:val="1"/>
          <w:color w:val="auto"/>
        </w:rPr>
        <w:t>administrateur</w:t>
      </w:r>
      <w:r>
        <w:rPr>
          <w:rFonts w:ascii="Arial" w:cs="Arial" w:eastAsia="Arial" w:hAnsi="Arial"/>
          <w:sz w:val="20"/>
          <w:szCs w:val="20"/>
          <w:color w:val="auto"/>
        </w:rPr>
        <w:t xml:space="preserve"> or a </w:t>
      </w:r>
      <w:r>
        <w:rPr>
          <w:rFonts w:ascii="Arial" w:cs="Arial" w:eastAsia="Arial" w:hAnsi="Arial"/>
          <w:sz w:val="20"/>
          <w:szCs w:val="20"/>
          <w:i w:val="1"/>
          <w:iCs w:val="1"/>
          <w:color w:val="auto"/>
        </w:rPr>
        <w:t>gérant</w:t>
      </w:r>
      <w:r>
        <w:rPr>
          <w:rFonts w:ascii="Arial" w:cs="Arial" w:eastAsia="Arial" w:hAnsi="Arial"/>
          <w:sz w:val="20"/>
          <w:szCs w:val="20"/>
          <w:color w:val="auto"/>
        </w:rPr>
        <w:t>.</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6"/>
          <w:szCs w:val="16"/>
          <w:u w:val="single" w:color="auto"/>
          <w:color w:val="auto"/>
        </w:rPr>
        <w:t>Certain Conditions, Calculations and Tests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3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financial ratios and tests, including the First Lien Net Leverage Ratio, the Secured Net Leverage Ratio, the Total Net Leverage Ratio, the Fixed Charge Coverage Ratio and the determination of any basket or covenant based on Consolidated EBITDA or Total Assets shall be calculated in the manner prescribed by this Section 1.07;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anything to the contrary in clause (b) of this Section 1.07, when calculating the Secured Net Leverage Ratio, the First Lien Net Leverage Ratio and the Total Net Leverage Ratio, each as applicable, for purposes of (i) the definition of “Applicable Margin”, (ii) the definition of “ECF Payment Amount” and (iii) Section 6.12 (other than for the purpose of determining pro forma compliance with Section 6.12), the events described in this Section 1.07 that occurred subsequent to the end of the applicable Test Period shall not be given Pro Forma Effect. In addition, whenever a financial ratio or test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determination of Consolidated EBITDA or Total Assets is to be calculated on a Pro Forma Basis, the reference to “Test Period” for purposes of calculating such financial ratio or test or determination of Consolidated EBITDA or Total Assets shall be deemed to be a reference to, and</w:t>
      </w:r>
    </w:p>
    <w:p>
      <w:pPr>
        <w:spacing w:after="0" w:line="235" w:lineRule="auto"/>
        <w:rPr>
          <w:sz w:val="20"/>
          <w:szCs w:val="20"/>
          <w:color w:val="auto"/>
        </w:rPr>
      </w:pPr>
      <w:r>
        <w:rPr>
          <w:rFonts w:ascii="Arial" w:cs="Arial" w:eastAsia="Arial" w:hAnsi="Arial"/>
          <w:sz w:val="18"/>
          <w:szCs w:val="18"/>
          <w:color w:val="auto"/>
        </w:rPr>
        <w:t>shall be based on, the most recently ended Test Period for which internal financial statements of Holdings are available (as determined in</w:t>
      </w:r>
    </w:p>
    <w:p>
      <w:pPr>
        <w:spacing w:after="0" w:line="226" w:lineRule="auto"/>
        <w:rPr>
          <w:sz w:val="20"/>
          <w:szCs w:val="20"/>
          <w:color w:val="auto"/>
        </w:rPr>
      </w:pPr>
      <w:r>
        <w:rPr>
          <w:rFonts w:ascii="Arial" w:cs="Arial" w:eastAsia="Arial" w:hAnsi="Arial"/>
          <w:sz w:val="18"/>
          <w:szCs w:val="18"/>
          <w:color w:val="auto"/>
        </w:rPr>
        <w:t>good faith by Holdings). For the avoidance of doubt, the provisions of the foregoing sentence shall not apply for purposes of calculating the Secured Net Leverage Ratio, the First Lien Net Leverage Ratio or the Total Net Leverage Ratio, each as applicable, for purposes of (i) the</w:t>
      </w:r>
    </w:p>
    <w:p>
      <w:pPr>
        <w:spacing w:after="0" w:line="236" w:lineRule="auto"/>
        <w:rPr>
          <w:sz w:val="20"/>
          <w:szCs w:val="20"/>
          <w:color w:val="auto"/>
        </w:rPr>
      </w:pPr>
      <w:r>
        <w:rPr>
          <w:rFonts w:ascii="Arial" w:cs="Arial" w:eastAsia="Arial" w:hAnsi="Arial"/>
          <w:sz w:val="18"/>
          <w:szCs w:val="18"/>
          <w:color w:val="auto"/>
        </w:rPr>
        <w:t>definition of “ECF Payment Amount” and (ii) Section 6.12 (other than for the purpose of determining pro forma compliance with Section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6.12), each of which shall be based on the financial statements delivered pursuant to Section 5.01(a) or (b), as applicable, for the relevant Test Period.</w:t>
      </w:r>
    </w:p>
    <w:p>
      <w:pPr>
        <w:spacing w:after="0" w:line="170" w:lineRule="exact"/>
        <w:rPr>
          <w:sz w:val="20"/>
          <w:szCs w:val="20"/>
          <w:color w:val="auto"/>
        </w:rPr>
      </w:pPr>
    </w:p>
    <w:p>
      <w:pPr>
        <w:jc w:val="both"/>
        <w:ind w:firstLine="1304"/>
        <w:spacing w:after="0" w:line="235" w:lineRule="auto"/>
        <w:tabs>
          <w:tab w:leader="none" w:pos="19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purposes of calculating any financial ratio or test (or Consolidated EBITDA or Total Assets), Specified Transactions (with any incurrence or repayment of any Indebtedness in connection therewith to be subject to clause (d) of this Section 1.07) that have been made (i) during the applicable Test Period or (ii) if applicable as described in clause (a) above, subsequent to such Test Period and prior to or simultaneously with the event for which the calculation of any such ratio or test (or Consolidated EBITDA or Total Assets)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Consolidated EBITDA or Total Assets, on the last day of the applicable Test Period). If since the beginning of any applicable Test Period any Person that subsequently became a Restricted Subsidiary or was merged, amalgamated or consolidated with or into Holdings or any of its Restricted Subsidiaries since the beginning of such Test Period shall have made any Specified Transaction that would have required adjustment pursuant to this Section 1.07, then such financial ratio or test (or Consolidated EBITDA or Total Assets) shall be calculated to give Pro Forma Effect thereto in accordance with this Section 1.07.</w:t>
      </w:r>
    </w:p>
    <w:p>
      <w:pPr>
        <w:spacing w:after="0" w:line="160" w:lineRule="exact"/>
        <w:rPr>
          <w:rFonts w:ascii="Arial" w:cs="Arial" w:eastAsia="Arial" w:hAnsi="Arial"/>
          <w:sz w:val="18"/>
          <w:szCs w:val="18"/>
          <w:color w:val="auto"/>
        </w:rPr>
      </w:pPr>
    </w:p>
    <w:p>
      <w:pPr>
        <w:jc w:val="both"/>
        <w:ind w:firstLine="1304"/>
        <w:spacing w:after="0" w:line="233" w:lineRule="auto"/>
        <w:tabs>
          <w:tab w:leader="none" w:pos="193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Whenever Pro Forma Effect is to be given to a Specified Transaction, the pro forma calculations shall be made in good faith by a responsible financial or accounting officer of Holdings and may include, for the avoidance of doubt, the amount of Run-rate cost savings, synergies and operating expense reductions projected by Holdings to be realized as a result of any Specified Transaction (including the Transactions) which is being given Pro Forma Effect that have been realized or are expected to be realized and for which the actions necessary to realize such cost savings, operating expense reductions and synergies are taken, committed to be taken or with respect to which substantial steps have been taken or are expected in good faith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amounts are reasonably identifiable and factually supportable in the good faith judgment of Holdings, (B) the aggregate amount of cost savings, synergies and operating expense reductions, when aggregated with the addbacks being made for such Test Period pursuant to clause (vii) of the definition of Consolidated EBITDA, shall not exceed the cap set forth therein, (C) any cost savings, synergies and operating expense reductions included pursuant to this Section 1.08(c) shall be subject to the other limitations set forth in clause (vii) of the definition of Consolidated EBITDA and (D) no amounts shall be added to the extent duplicative of any amounts that are otherwise added back in computing Consolidated EBITDA (or any other components thereof), whether through a pro forma adjustment or otherwise, with respect to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357" w:lineRule="exact"/>
        <w:rPr>
          <w:sz w:val="20"/>
          <w:szCs w:val="20"/>
          <w:color w:val="auto"/>
        </w:rPr>
      </w:pPr>
    </w:p>
    <w:p>
      <w:pPr>
        <w:jc w:val="both"/>
        <w:ind w:firstLine="1304"/>
        <w:spacing w:after="0" w:line="235" w:lineRule="auto"/>
        <w:tabs>
          <w:tab w:leader="none" w:pos="193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that (w) Holdings or any Restricted Subsidiary incurs (including by assumption or guarantees) or repays (including by redemption, repayment, retirement or extinguishment) any Indebtedness (other than Indebtedness incurred or repaid under any revolving credit facility (including, without limitation, the Revolving Loans) in the ordinary course of business for working capital purposes),</w:t>
      </w:r>
    </w:p>
    <w:p>
      <w:pPr>
        <w:spacing w:after="0" w:line="1" w:lineRule="exact"/>
        <w:rPr>
          <w:rFonts w:ascii="Arial" w:cs="Arial" w:eastAsia="Arial" w:hAnsi="Arial"/>
          <w:sz w:val="18"/>
          <w:szCs w:val="18"/>
          <w:color w:val="auto"/>
        </w:rPr>
      </w:pPr>
    </w:p>
    <w:p>
      <w:pPr>
        <w:jc w:val="both"/>
        <w:ind w:firstLine="8"/>
        <w:spacing w:after="0" w:line="221" w:lineRule="auto"/>
        <w:tabs>
          <w:tab w:leader="none" w:pos="31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Holdings or any Restricted Subsidiary issues, repurchases or redeems Disqualified Equity Interests or (y) any Restricted Subsidiary issues, repurchases or redeems Preferred Equity, (i) during the applicable Test Period or (ii) if applicable as described in clause (a)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Equity, in each case to the extent required, as if the same had occurred on the last day of the applicable Test Period (except in the case of the Fixed Charge Coverage Ratio (or similar ratio), in which case such incurrence, assumption, guarantee, redemption, repayment, retirement or extinguishment of Indebtedness or such issuance, repurchase or redemption of Disqualified Equity Interests or Preferred Equity will be given effect, as if the same had occurred on the first day of the applicable Test Period).</w:t>
      </w:r>
    </w:p>
    <w:p>
      <w:pPr>
        <w:spacing w:after="0" w:line="171" w:lineRule="exact"/>
        <w:rPr>
          <w:rFonts w:ascii="Arial" w:cs="Arial" w:eastAsia="Arial" w:hAnsi="Arial"/>
          <w:sz w:val="19"/>
          <w:szCs w:val="19"/>
          <w:color w:val="auto"/>
        </w:rPr>
      </w:pPr>
    </w:p>
    <w:p>
      <w:pPr>
        <w:jc w:val="both"/>
        <w:ind w:firstLine="1304"/>
        <w:spacing w:after="0" w:line="223" w:lineRule="auto"/>
        <w:tabs>
          <w:tab w:leader="none" w:pos="193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margin for the entire period (taking into account any interest hedging arrangements applicable to such Indebtedness). Interest on a Capital Lease Obligation shall be deemed to accrue at an interest rate reasonably determined by a Responsible Officer of Holdings to be the rate of interest implicit in such Capital Lease Obligation in accordance with GAAP. For purposes of the computation above, interest on any Indebtedness under a revolving credit facility computed on a Pro Forma Basis shall be computed on the average daily balances of such Indebtedness during the applicable period.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Holdings or Restricted Subsidiary may designate.</w:t>
      </w:r>
    </w:p>
    <w:p>
      <w:pPr>
        <w:spacing w:after="0" w:line="156" w:lineRule="exact"/>
        <w:rPr>
          <w:rFonts w:ascii="Arial" w:cs="Arial" w:eastAsia="Arial" w:hAnsi="Arial"/>
          <w:sz w:val="19"/>
          <w:szCs w:val="19"/>
          <w:color w:val="auto"/>
        </w:rPr>
      </w:pPr>
    </w:p>
    <w:p>
      <w:pPr>
        <w:jc w:val="both"/>
        <w:ind w:firstLine="1304"/>
        <w:spacing w:after="0" w:line="233" w:lineRule="auto"/>
        <w:tabs>
          <w:tab w:leader="none" w:pos="193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Solely for purposes of determining (i) compliance on a Pro Forma Basis with any provision of this Agreement that requires the calculation of the First Lien Net Leverage Ratio, Secured Net Leverage Ratio, Total Net Leverage Ratio, Fixed Charge Coverage Ratio, Total Assets or Consolidated EBITDA or (ii) whether a Default or an Event of Default has occurred and is continuing, in each case in connection with any determination as to whether a Limited Condition Transaction or any Indebtedness and Liens to be incurred in connection with such Limited Condition Transaction is permitted to be consummated, the date of determination of whether such Limited Condition Transaction or any Indebtedness and Liens to be incurred in connection with such Limited Condition Transaction is permitted hereunder shall, at the option of Holdings, be the date on which the definitive agreements for such Limited Condition Transaction are entered into or the date such irrevocable notice or offer for such Limited Condition Transaction is delivered, as applicable (the “</w:t>
      </w:r>
      <w:r>
        <w:rPr>
          <w:rFonts w:ascii="Arial" w:cs="Arial" w:eastAsia="Arial" w:hAnsi="Arial"/>
          <w:sz w:val="18"/>
          <w:szCs w:val="18"/>
          <w:u w:val="single" w:color="auto"/>
          <w:color w:val="auto"/>
        </w:rPr>
        <w:t>LCT Test Date</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exercise such option by delivering to the Administrative Agent a certificate of a Responsible Officer on or prior to the LCT Test Date), with such determination to give Pro Forma Effect to such Limited Condition Transaction and the other transactions to be entered into in connection therewith (including any incurrence of Indebtedness or Liens and the use of proceeds thereof) as if they had occurred at the beginning of the most recent Test Period ending prior to the LCT Test Date. For the avoidance of doubt, (x) if Holdings has exercised such option and any of the tests, ratios, baskets or amounts for which compliance was determined or tested as of the LCT Test Date are exceeded as a result of fluctuations in any such test, ratio, basket or amount, including due to fluctuations in Total Assets or Consolidated EBITDA or total assets of Holdings or the Person subject to such Limited Condition Transaction, at or prior to the consummation of the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Condition Transaction, such test, ratios, baskets and amounts will not be deemed to have been exceeded as a result of such fluctuations solely for purposes of determining whether the Limited Condition Transaction is permitted to be consummated and (y) if any Default or Event of</w:t>
      </w:r>
    </w:p>
    <w:p>
      <w:pPr>
        <w:spacing w:after="0" w:line="223" w:lineRule="auto"/>
        <w:rPr>
          <w:sz w:val="20"/>
          <w:szCs w:val="20"/>
          <w:color w:val="auto"/>
        </w:rPr>
      </w:pPr>
      <w:r>
        <w:rPr>
          <w:rFonts w:ascii="Arial" w:cs="Arial" w:eastAsia="Arial" w:hAnsi="Arial"/>
          <w:sz w:val="19"/>
          <w:szCs w:val="19"/>
          <w:color w:val="auto"/>
        </w:rPr>
        <w:t>Default occurs following the LCT Test Date and prior to the consummation of such Limited Condition Transaction, any such Default or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Event of Default shall be deemed not to have occurred or be continuing for purposes of determining whether any action being taken in connection with such Limited Condition Transaction is permitted. If Holdings has exercised such option for any Limited Condition</w:t>
      </w:r>
    </w:p>
    <w:p>
      <w:pPr>
        <w:spacing w:after="0" w:line="234" w:lineRule="auto"/>
        <w:rPr>
          <w:sz w:val="20"/>
          <w:szCs w:val="20"/>
          <w:color w:val="auto"/>
        </w:rPr>
      </w:pPr>
      <w:r>
        <w:rPr>
          <w:rFonts w:ascii="Arial" w:cs="Arial" w:eastAsia="Arial" w:hAnsi="Arial"/>
          <w:sz w:val="18"/>
          <w:szCs w:val="18"/>
          <w:color w:val="auto"/>
        </w:rPr>
        <w:t>Transaction, then, in connection with any subsequent calculation of such test, ratios, baskets or amounts on or following the relevant LCT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Test Date and prior to the earlier of (i) the date on which such Limited Condition Transaction is consummated and (ii) the date that the definitive agreements for such Limited Condition Transaction are terminated or expire without consummation of such Limited Condition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Transaction, any such test, ratio basket or basket shall be calculated on a Pro Forma Basis assuming such Limited Condition Transaction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other transactions in connection therewith (including any incurrence of Indebtedness or Liens and the use of proceeds thereof) have been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Holdings elects to have such determinations occur at the time of entry into such definitive agreement or the</w:t>
      </w:r>
    </w:p>
    <w:p>
      <w:pPr>
        <w:spacing w:after="0" w:line="236" w:lineRule="auto"/>
        <w:rPr>
          <w:sz w:val="20"/>
          <w:szCs w:val="20"/>
          <w:color w:val="auto"/>
        </w:rPr>
      </w:pPr>
      <w:r>
        <w:rPr>
          <w:rFonts w:ascii="Arial" w:cs="Arial" w:eastAsia="Arial" w:hAnsi="Arial"/>
          <w:sz w:val="18"/>
          <w:szCs w:val="18"/>
          <w:color w:val="auto"/>
        </w:rPr>
        <w:t>date such irrevocable notice or offer for such Limited Condition Transaction is delivered, as applicable, any indebtedness to be incurred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associated lien) shall be deemed incurred at the time of such election (until such time as the indebtedness is actually incurred or the applicable acquisition agreement is terminated without actually consummating the applicable acquisition) and outstanding thereafter for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purposes of pro forma compliance with any applicable financial test.</w:t>
      </w:r>
    </w:p>
    <w:p>
      <w:pPr>
        <w:spacing w:after="0" w:line="173" w:lineRule="exact"/>
        <w:rPr>
          <w:sz w:val="20"/>
          <w:szCs w:val="20"/>
          <w:color w:val="auto"/>
        </w:rPr>
      </w:pPr>
    </w:p>
    <w:p>
      <w:pPr>
        <w:jc w:val="both"/>
        <w:ind w:firstLine="1304"/>
        <w:spacing w:after="0" w:line="232" w:lineRule="auto"/>
        <w:tabs>
          <w:tab w:leader="none" w:pos="19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Arial" w:cs="Arial" w:eastAsia="Arial" w:hAnsi="Arial"/>
          <w:sz w:val="18"/>
          <w:szCs w:val="18"/>
          <w:u w:val="single" w:color="auto"/>
          <w:color w:val="auto"/>
        </w:rPr>
        <w:t>Fixed Amounts</w:t>
      </w:r>
      <w:r>
        <w:rPr>
          <w:rFonts w:ascii="Arial" w:cs="Arial" w:eastAsia="Arial" w:hAnsi="Arial"/>
          <w:sz w:val="18"/>
          <w:szCs w:val="18"/>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Net Leverage Ratio test, any Secured Net Leverage Ratio, any Total Net Leverage Ratio, any Fixed Charge Coverage Ratio or the amount of Consolidated EBITDA) (any such amounts, the “</w:t>
      </w:r>
      <w:r>
        <w:rPr>
          <w:rFonts w:ascii="Arial" w:cs="Arial" w:eastAsia="Arial" w:hAnsi="Arial"/>
          <w:sz w:val="18"/>
          <w:szCs w:val="18"/>
          <w:u w:val="single" w:color="auto"/>
          <w:color w:val="auto"/>
        </w:rPr>
        <w:t>Incurrence-Based Amounts</w:t>
      </w:r>
      <w:r>
        <w:rPr>
          <w:rFonts w:ascii="Arial" w:cs="Arial" w:eastAsia="Arial" w:hAnsi="Arial"/>
          <w:sz w:val="18"/>
          <w:szCs w:val="18"/>
          <w:color w:val="auto"/>
        </w:rPr>
        <w:t>”),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8"/>
          <w:szCs w:val="18"/>
          <w:u w:val="single" w:color="auto"/>
          <w:color w:val="auto"/>
        </w:rPr>
        <w:t xml:space="preserve">Divisions. </w:t>
      </w:r>
      <w:r>
        <w:rPr>
          <w:rFonts w:ascii="Arial" w:cs="Arial" w:eastAsia="Arial" w:hAnsi="Arial"/>
          <w:sz w:val="18"/>
          <w:szCs w:val="18"/>
          <w:color w:val="auto"/>
        </w:rPr>
        <w:t>For all purposes under the Loan Documents, in connection with any division or plan of division under</w:t>
      </w:r>
    </w:p>
    <w:p>
      <w:pPr>
        <w:spacing w:after="0" w:line="226" w:lineRule="auto"/>
        <w:rPr>
          <w:sz w:val="20"/>
          <w:szCs w:val="20"/>
          <w:color w:val="auto"/>
        </w:rPr>
      </w:pPr>
      <w:r>
        <w:rPr>
          <w:rFonts w:ascii="Arial" w:cs="Arial" w:eastAsia="Arial" w:hAnsi="Arial"/>
          <w:sz w:val="18"/>
          <w:szCs w:val="18"/>
          <w:color w:val="auto"/>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35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The Credits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u w:val="single" w:color="auto"/>
          <w:color w:val="auto"/>
        </w:rPr>
        <w:t>Commitments and Loans.</w:t>
      </w:r>
    </w:p>
    <w:p>
      <w:pPr>
        <w:spacing w:after="0" w:line="175" w:lineRule="exact"/>
        <w:rPr>
          <w:sz w:val="20"/>
          <w:szCs w:val="20"/>
          <w:color w:val="auto"/>
        </w:rPr>
      </w:pPr>
    </w:p>
    <w:p>
      <w:pPr>
        <w:jc w:val="both"/>
        <w:ind w:firstLine="1304"/>
        <w:spacing w:after="0" w:line="220" w:lineRule="auto"/>
        <w:tabs>
          <w:tab w:leader="none" w:pos="1934"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Term Lender agrees, severally and not jointly, to make a Lux Term Loan to the Lux Borrower and the Lux U.S. Subsidiary Borrower on the Closing Date in a principal amount not to exceed its Lux Term Loan Commitment. The full amount of the Lux Term Loan Commitments must be drawn in a single drawing on the Closing Date and amounts repaid or prepaid in respect of Lux Term Loans may not be reborrowed.</w:t>
      </w:r>
    </w:p>
    <w:p>
      <w:pPr>
        <w:spacing w:after="0" w:line="169"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Term Lender agrees, severally and not jointly, to make a U.S. Term Loan to the U.S. Borrower on the Closing Date in a principal amount not to exceed its U.S. Term Loan Commitment. The full amount of the U.S. Term Loan Commitments must be drawn in a single drawing on the Closing Date and amounts repaid or prepaid in respect of U.S. Term Loans may not be reborrowed.</w:t>
      </w:r>
    </w:p>
    <w:p>
      <w:pPr>
        <w:spacing w:after="0" w:line="169" w:lineRule="exact"/>
        <w:rPr>
          <w:rFonts w:ascii="Arial" w:cs="Arial" w:eastAsia="Arial" w:hAnsi="Arial"/>
          <w:sz w:val="20"/>
          <w:szCs w:val="20"/>
          <w:color w:val="auto"/>
        </w:rPr>
      </w:pPr>
    </w:p>
    <w:p>
      <w:pPr>
        <w:jc w:val="both"/>
        <w:ind w:firstLine="1304"/>
        <w:spacing w:after="0" w:line="226" w:lineRule="auto"/>
        <w:tabs>
          <w:tab w:leader="none" w:pos="193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Subject to the term and conditions set forth herein, each Revolving Lender agrees to make Revolving Loans to any Revolving Borrower in Agreed Currencies from time to time during the Availability Period in an aggregate principal amount that will not result in (i) subject to Sections 2.04 and 2.11(c), the Dollar Amount of such Lender’s Revolving Credit Exposure exceeding such Lender’s Revolving Commitment and (ii) subject to Sections 2.04 and 2.11(c), the sum of the Dollar Amount of the total Revolving Credit Exposures exceeding the aggregate Revolving Commitments. Within the foregoing limits and subject to the terms and conditions set forth herein, each Revolving Borrower may borrow, prepay and reborrow Revolving Loans.</w:t>
      </w:r>
    </w:p>
    <w:p>
      <w:pPr>
        <w:spacing w:after="0" w:line="169" w:lineRule="exact"/>
        <w:rPr>
          <w:rFonts w:ascii="Arial" w:cs="Arial" w:eastAsia="Arial" w:hAnsi="Arial"/>
          <w:sz w:val="19"/>
          <w:szCs w:val="19"/>
          <w:color w:val="auto"/>
        </w:rPr>
      </w:pPr>
    </w:p>
    <w:p>
      <w:pPr>
        <w:jc w:val="both"/>
        <w:ind w:firstLine="1304"/>
        <w:spacing w:after="0" w:line="252" w:lineRule="auto"/>
        <w:tabs>
          <w:tab w:leader="none" w:pos="193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Each Borrower hereunder shall only be liable as a primary obligor for the Loans made to such Borrower and shall not be jointly and severally liable for Loans made to any other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Lux Borrower and the Lux U.S. Subsidiary Borrower shall be jointly and severally liable for the Lux Term Loans made pursuant to Section 2.01(a).</w:t>
      </w:r>
    </w:p>
    <w:p>
      <w:pPr>
        <w:spacing w:after="0" w:line="157" w:lineRule="exact"/>
        <w:rPr>
          <w:rFonts w:ascii="Arial" w:cs="Arial" w:eastAsia="Arial" w:hAnsi="Arial"/>
          <w:sz w:val="18"/>
          <w:szCs w:val="18"/>
          <w:color w:val="auto"/>
        </w:rPr>
      </w:pPr>
    </w:p>
    <w:p>
      <w:pPr>
        <w:jc w:val="both"/>
        <w:ind w:firstLine="1304"/>
        <w:spacing w:after="0" w:line="238" w:lineRule="auto"/>
        <w:tabs>
          <w:tab w:leader="none" w:pos="193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avoidance of doubt, at the Closing Date, each Term Lender shall fund an equal percentage of the principal amount of the total U.S. Term Loans and Lux Term Loans (i.e., the percentage of the principal amount of the total U.S. Term Loans funded by each Term Lender shall equal the percentage of the principal amount of the Lux Term Loans funded by such Term Lender). As provided in Section 9.04(b)(ii)(G), at all times after the Closing Date, 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Loans and Borrowings.</w:t>
      </w:r>
    </w:p>
    <w:p>
      <w:pPr>
        <w:spacing w:after="0" w:line="189" w:lineRule="exact"/>
        <w:rPr>
          <w:sz w:val="20"/>
          <w:szCs w:val="20"/>
          <w:color w:val="auto"/>
        </w:rPr>
      </w:pPr>
    </w:p>
    <w:p>
      <w:pPr>
        <w:jc w:val="both"/>
        <w:ind w:firstLine="1304"/>
        <w:spacing w:after="0" w:line="215" w:lineRule="auto"/>
        <w:tabs>
          <w:tab w:leader="none" w:pos="193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Each Loan (other than a Swingline Loan) shall be made as part of a Borrowing consisting of Loans of the same Class and Type made under a single Tranche and shall be made by the Lenders of such Class under such Tranche ratably in accordance with their respective Commitments in respect of the applicable Class and in respect of the applicable Tranche.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the Lenders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several and no Lender shall be responsible for any other Lender’s failure to make Loans as required. Any Swingline Loan shall be made in accordance with the procedures set forth in Section 2.05.</w:t>
      </w:r>
    </w:p>
    <w:p>
      <w:pPr>
        <w:spacing w:after="0" w:line="169" w:lineRule="exact"/>
        <w:rPr>
          <w:sz w:val="20"/>
          <w:szCs w:val="20"/>
          <w:color w:val="auto"/>
        </w:rPr>
      </w:pPr>
    </w:p>
    <w:p>
      <w:pPr>
        <w:jc w:val="both"/>
        <w:ind w:firstLine="1304"/>
        <w:spacing w:after="0" w:line="235" w:lineRule="auto"/>
        <w:tabs>
          <w:tab w:leader="none" w:pos="193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Section 2.14, (i) each Revolving Borrowing shall be comprised entirely of ABR Loans, 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auto"/>
        </w:rPr>
        <w:t xml:space="preserve"> or RFR Loans and (ii) each Lux Term Loan Borrowing and each U.S. Term Loan Borrowing shall be comprised entirely of ABR Loans 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USD Term SOFR</w:t>
      </w:r>
      <w:r>
        <w:rPr>
          <w:rFonts w:ascii="Arial" w:cs="Arial" w:eastAsia="Arial" w:hAnsi="Arial"/>
          <w:sz w:val="18"/>
          <w:szCs w:val="18"/>
          <w:color w:val="auto"/>
        </w:rPr>
        <w:t xml:space="preserve"> Loans, in each case, as the Applicable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ABR Loan shall only be made in Dollars. Each Swingline Loan shall be an ABR Loan. Subject to Section 2.19, each Lender at its option may make any 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auto"/>
        </w:rPr>
        <w:t xml:space="preserve"> or RFR Loan by causing any domestic or foreign branch or Affiliate of such Lender to make such Loan (and in the case of a branch or Affiliate, the provisions of Sections 2.14, 2.15, 2.16 and 2.17 (including, for the avoidance of doubt, the requirements and limitations of such sections) shall apply to such branch or Affiliate to the same extent as if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exercise of such option shall not affect the obligation of the Applicable Borrower to repay such Loan in accordance with the terms of this Agreement, (y) if the respective branch or Affiliate is a Foreign Lender, the same shall comply with the requirements of Section 2.17 and (z) with respect to any Loans incurred by a Borrower that is organized or tax resident in Ireland, the branch or Affiliate, whether or not a Foreign Lender, shall comply with the requirements of Section 2.17.</w:t>
      </w:r>
    </w:p>
    <w:p>
      <w:pPr>
        <w:spacing w:after="0" w:line="160" w:lineRule="exact"/>
        <w:rPr>
          <w:rFonts w:ascii="Arial" w:cs="Arial" w:eastAsia="Arial" w:hAnsi="Arial"/>
          <w:sz w:val="18"/>
          <w:szCs w:val="18"/>
          <w:color w:val="auto"/>
        </w:rPr>
      </w:pPr>
    </w:p>
    <w:p>
      <w:pPr>
        <w:jc w:val="both"/>
        <w:ind w:firstLine="1304"/>
        <w:spacing w:after="0" w:line="223" w:lineRule="auto"/>
        <w:tabs>
          <w:tab w:leader="none" w:pos="193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At the commencement of each Interest Period for any Borrowing of Eurocurrency Revolving Loans</w:t>
      </w:r>
      <w:r>
        <w:rPr>
          <w:rFonts w:ascii="Arial" w:cs="Arial" w:eastAsia="Arial" w:hAnsi="Arial"/>
          <w:sz w:val="19"/>
          <w:szCs w:val="19"/>
          <w:u w:val="single" w:color="auto"/>
          <w:color w:val="0000FF"/>
        </w:rPr>
        <w:t>, USD 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 Revolving Loans</w:t>
      </w:r>
      <w:r>
        <w:rPr>
          <w:rFonts w:ascii="Arial" w:cs="Arial" w:eastAsia="Arial" w:hAnsi="Arial"/>
          <w:sz w:val="19"/>
          <w:szCs w:val="19"/>
          <w:color w:val="0000FF"/>
        </w:rPr>
        <w:t xml:space="preserve"> </w:t>
      </w:r>
      <w:r>
        <w:rPr>
          <w:rFonts w:ascii="Arial" w:cs="Arial" w:eastAsia="Arial" w:hAnsi="Arial"/>
          <w:sz w:val="19"/>
          <w:szCs w:val="19"/>
          <w:color w:val="000000"/>
        </w:rPr>
        <w:t>or RFR Revolving Loans, such Borrowing shall be in an aggregate amount that is an integral multiple of $500,000</w:t>
      </w:r>
      <w:r>
        <w:rPr>
          <w:rFonts w:ascii="Arial" w:cs="Arial" w:eastAsia="Arial" w:hAnsi="Arial"/>
          <w:sz w:val="19"/>
          <w:szCs w:val="19"/>
          <w:color w:val="0000FF"/>
        </w:rPr>
        <w:t xml:space="preserve"> </w:t>
      </w:r>
      <w:r>
        <w:rPr>
          <w:rFonts w:ascii="Arial" w:cs="Arial" w:eastAsia="Arial" w:hAnsi="Arial"/>
          <w:sz w:val="19"/>
          <w:szCs w:val="19"/>
          <w:color w:val="000000"/>
        </w:rPr>
        <w:t xml:space="preserve">(or, if such Borrowing is denominated in a Foreign Currency, 500,000 units of such currency) and not less than $2,000,000 (or, if such Borrowing is denominated in a Foreign Currency, 2,000,000 units of such currency). At the time that each ABR Revolving Borrowing is made, such Borrowing shall be in an aggregate amount that is an integral multiple of $500,000 and not less than $1,000,000;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 ABR Revolving Borrowing may be in an aggregate amount that is equal to the entire unused balance of the aggregate Revolving Commitments of the relevant Class, or that is required to finance the reimbursement of an LC Disbursement as contemplated by Section 2.06(e). Each Swingline Loan shall be in an amount that is an integral multiple of $500,000 and not less than $1,000,000. Borrowings of more than one Type and Class and under more than one Tranche may be outstanding at the same time;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there shall not at any time be more than a total of eight (8) Eurocurrency Revolving Borrowings</w:t>
      </w:r>
      <w:r>
        <w:rPr>
          <w:rFonts w:ascii="Arial" w:cs="Arial" w:eastAsia="Arial" w:hAnsi="Arial"/>
          <w:sz w:val="19"/>
          <w:szCs w:val="19"/>
          <w:u w:val="single" w:color="auto"/>
          <w:color w:val="0000FF"/>
        </w:rPr>
        <w:t>, USD Term SOFR Revolving Borrowings</w:t>
      </w:r>
      <w:r>
        <w:rPr>
          <w:rFonts w:ascii="Arial" w:cs="Arial" w:eastAsia="Arial" w:hAnsi="Arial"/>
          <w:sz w:val="19"/>
          <w:szCs w:val="19"/>
          <w:color w:val="000000"/>
        </w:rPr>
        <w:t xml:space="preserve"> and RFR Revolving Borrowings outstanding.</w:t>
      </w:r>
    </w:p>
    <w:p>
      <w:pPr>
        <w:spacing w:after="0" w:line="169"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the Applicable Borrower shall not be entitled to request, or to elect to convert or continue, any Borrowing of any Class if the Interest Period requested with respect thereto would end after the Maturity Date of such Class.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Applicable Borrower shall notify the Administrative Agent of such request (a)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USD Term SOFR</w:t>
      </w:r>
      <w:r>
        <w:rPr>
          <w:rFonts w:ascii="Arial" w:cs="Arial" w:eastAsia="Arial" w:hAnsi="Arial"/>
          <w:sz w:val="18"/>
          <w:szCs w:val="18"/>
          <w:color w:val="auto"/>
        </w:rPr>
        <w:t xml:space="preserve"> Borrowing </w:t>
      </w:r>
      <w:r>
        <w:rPr>
          <w:rFonts w:ascii="Arial" w:cs="Arial" w:eastAsia="Arial" w:hAnsi="Arial"/>
          <w:sz w:val="18"/>
          <w:szCs w:val="18"/>
          <w:color w:val="FF0000"/>
          <w:strike w:val="1"/>
        </w:rPr>
        <w:t>denominated in Dollars</w:t>
      </w:r>
      <w:r>
        <w:rPr>
          <w:rFonts w:ascii="Arial" w:cs="Arial" w:eastAsia="Arial" w:hAnsi="Arial"/>
          <w:sz w:val="18"/>
          <w:szCs w:val="18"/>
          <w:color w:val="auto"/>
        </w:rPr>
        <w:t>, by telephonic notice not later than 11:00</w:t>
      </w:r>
    </w:p>
    <w:p>
      <w:pPr>
        <w:spacing w:after="0" w:line="226" w:lineRule="auto"/>
        <w:rPr>
          <w:sz w:val="20"/>
          <w:szCs w:val="20"/>
          <w:color w:val="auto"/>
        </w:rPr>
      </w:pPr>
      <w:r>
        <w:rPr>
          <w:rFonts w:ascii="Arial" w:cs="Arial" w:eastAsia="Arial" w:hAnsi="Arial"/>
          <w:sz w:val="18"/>
          <w:szCs w:val="18"/>
          <w:color w:val="auto"/>
        </w:rPr>
        <w:t>a.m., New York City time, three (3) Business Days before the date of the proposed Borrowing, (b) in the case of a Eurocurrency Borrowing denominated in an Agreed Currency other than Dollars or an RFR Borrowing, by telephonic notice not later than 11:00 a.m., New York City</w:t>
      </w:r>
    </w:p>
    <w:p>
      <w:pPr>
        <w:spacing w:after="0" w:line="236" w:lineRule="auto"/>
        <w:rPr>
          <w:sz w:val="20"/>
          <w:szCs w:val="20"/>
          <w:color w:val="auto"/>
        </w:rPr>
      </w:pPr>
      <w:r>
        <w:rPr>
          <w:rFonts w:ascii="Arial" w:cs="Arial" w:eastAsia="Arial" w:hAnsi="Arial"/>
          <w:sz w:val="18"/>
          <w:szCs w:val="18"/>
          <w:color w:val="auto"/>
        </w:rPr>
        <w:t>time, four (4) Business Days before the date of the proposed Borrowing or (c) in the case of an ABR Borrowing, by telephonic notice not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later than 11:00 a.m., New York City time, one (1) Business Day before the date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such notice of an ABR Revolving Borrowing to finance the reimbursement of an LC Disbursement as contemplated by Section 2.06(e) may be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given not later than 10:00 a.m., New York City time, on the date of the proposed Borrowing and (y) any notice with respect to Borrowings to be made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Closing Date may be given with such shorter time than the deadline described in clause (a), (b) or (c), as applicable, as the Administrative Agent may agree in its sole discretion. Each such telephonic Borrowing Request shall be irrevocable and shall be confirmed promptly by</w:t>
      </w:r>
    </w:p>
    <w:p>
      <w:pPr>
        <w:spacing w:after="0" w:line="223" w:lineRule="auto"/>
        <w:rPr>
          <w:sz w:val="20"/>
          <w:szCs w:val="20"/>
          <w:color w:val="auto"/>
        </w:rPr>
      </w:pPr>
      <w:r>
        <w:rPr>
          <w:rFonts w:ascii="Arial" w:cs="Arial" w:eastAsia="Arial" w:hAnsi="Arial"/>
          <w:sz w:val="19"/>
          <w:szCs w:val="19"/>
          <w:color w:val="auto"/>
        </w:rPr>
        <w:t>email to the Administrative Agent of a written Borrowing Request in a form approved by the Administrative Agent and signed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the Loans to be borrowed on the Closing Date, any written Borrowing Request may be provided by the Applicable Borrower on a conditional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to the extent the Applicable Borrower does not borrow any</w:t>
      </w:r>
    </w:p>
    <w:p>
      <w:pPr>
        <w:spacing w:after="0" w:line="236" w:lineRule="auto"/>
        <w:rPr>
          <w:sz w:val="20"/>
          <w:szCs w:val="20"/>
          <w:color w:val="auto"/>
        </w:rPr>
      </w:pPr>
      <w:r>
        <w:rPr>
          <w:rFonts w:ascii="Arial" w:cs="Arial" w:eastAsia="Arial" w:hAnsi="Arial"/>
          <w:sz w:val="18"/>
          <w:szCs w:val="18"/>
          <w:color w:val="auto"/>
        </w:rPr>
        <w:t>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auto"/>
        </w:rPr>
        <w:t xml:space="preserve"> or RFR Loans set forth in such conditional Borrowing Request, the Applicable Borrower shall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required to compensate the Lenders under Section 2.16 for the losses, costs or expenses related thereto and (2) any such Borrowing Request shall be irrevocable once funding of the Borrowings has been initiated by the Administrative Agent), and such Borrowing Request</w:t>
      </w:r>
    </w:p>
    <w:p>
      <w:pPr>
        <w:spacing w:after="0" w:line="236" w:lineRule="auto"/>
        <w:rPr>
          <w:sz w:val="20"/>
          <w:szCs w:val="20"/>
          <w:color w:val="auto"/>
        </w:rPr>
      </w:pPr>
      <w:r>
        <w:rPr>
          <w:rFonts w:ascii="Arial" w:cs="Arial" w:eastAsia="Arial" w:hAnsi="Arial"/>
          <w:sz w:val="18"/>
          <w:szCs w:val="18"/>
          <w:color w:val="auto"/>
        </w:rPr>
        <w:t>may be provided no later than 2:00 pm, New York City Time, on the Business Day prior to such Borrowing. Each telephonic and written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Borrowing Request shall specify the following information in compliance with Section 2.02:</w:t>
      </w:r>
    </w:p>
    <w:p>
      <w:pPr>
        <w:spacing w:after="0" w:line="159" w:lineRule="exact"/>
        <w:rPr>
          <w:sz w:val="20"/>
          <w:szCs w:val="20"/>
          <w:color w:val="auto"/>
        </w:rPr>
      </w:pPr>
    </w:p>
    <w:p>
      <w:pPr>
        <w:ind w:left="1940" w:hanging="636"/>
        <w:spacing w:after="0"/>
        <w:tabs>
          <w:tab w:leader="none" w:pos="194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88" w:lineRule="exact"/>
        <w:rPr>
          <w:rFonts w:ascii="Arial" w:cs="Arial" w:eastAsia="Arial" w:hAnsi="Arial"/>
          <w:sz w:val="20"/>
          <w:szCs w:val="20"/>
          <w:color w:val="auto"/>
        </w:rPr>
      </w:pPr>
    </w:p>
    <w:p>
      <w:pPr>
        <w:ind w:right="20" w:firstLine="1304"/>
        <w:spacing w:after="0" w:line="229" w:lineRule="auto"/>
        <w:tabs>
          <w:tab w:leader="none" w:pos="193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Class of such Borrowing and whether such Borrowing is to be an ABR Borrowing, a Eurocurrency Borrowing</w:t>
      </w:r>
      <w:r>
        <w:rPr>
          <w:rFonts w:ascii="Arial" w:cs="Arial" w:eastAsia="Arial" w:hAnsi="Arial"/>
          <w:sz w:val="20"/>
          <w:szCs w:val="20"/>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USD Term SOFR Borrowing</w:t>
      </w:r>
      <w:r>
        <w:rPr>
          <w:rFonts w:ascii="Arial" w:cs="Arial" w:eastAsia="Arial" w:hAnsi="Arial"/>
          <w:sz w:val="20"/>
          <w:szCs w:val="20"/>
          <w:color w:val="0000FF"/>
        </w:rPr>
        <w:t xml:space="preserve"> </w:t>
      </w:r>
      <w:r>
        <w:rPr>
          <w:rFonts w:ascii="Arial" w:cs="Arial" w:eastAsia="Arial" w:hAnsi="Arial"/>
          <w:sz w:val="20"/>
          <w:szCs w:val="20"/>
          <w:color w:val="000000"/>
        </w:rPr>
        <w:t>or an RFR Borrowing;</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0000FF"/>
        </w:rPr>
        <w:t>(i)</w:t>
      </w:r>
      <w:r>
        <w:rPr>
          <w:rFonts w:ascii="Arial" w:cs="Arial" w:eastAsia="Arial" w:hAnsi="Arial"/>
          <w:sz w:val="20"/>
          <w:szCs w:val="20"/>
          <w:color w:val="0000FF"/>
        </w:rPr>
        <w:t xml:space="preserve"> </w:t>
      </w:r>
      <w:r>
        <w:rPr>
          <w:rFonts w:ascii="Arial" w:cs="Arial" w:eastAsia="Arial" w:hAnsi="Arial"/>
          <w:sz w:val="20"/>
          <w:szCs w:val="20"/>
          <w:color w:val="000000"/>
        </w:rPr>
        <w:t>in the case of a Eurocurrency Borrowing or an RFR Borrowing, the Agreed Currency and</w:t>
      </w:r>
      <w:r>
        <w:rPr>
          <w:rFonts w:ascii="Arial" w:cs="Arial" w:eastAsia="Arial" w:hAnsi="Arial"/>
          <w:sz w:val="20"/>
          <w:szCs w:val="20"/>
          <w:color w:val="0000FF"/>
        </w:rPr>
        <w:t xml:space="preserve"> the initial Interest </w:t>
      </w:r>
      <w:r>
        <w:rPr>
          <w:rFonts w:ascii="Arial" w:cs="Arial" w:eastAsia="Arial" w:hAnsi="Arial"/>
          <w:sz w:val="20"/>
          <w:szCs w:val="20"/>
          <w:u w:val="single" w:color="auto"/>
          <w:color w:val="0000FF"/>
        </w:rPr>
        <w:t>Period to be applicable thereto, which shall be a period contemplated by the definition of the term “Interest Period” and (ii) in the case of a USD Term SOFR Borrowing,</w:t>
      </w:r>
      <w:r>
        <w:rPr>
          <w:rFonts w:ascii="Arial" w:cs="Arial" w:eastAsia="Arial" w:hAnsi="Arial"/>
          <w:sz w:val="20"/>
          <w:szCs w:val="20"/>
          <w:color w:val="0000FF"/>
        </w:rPr>
        <w:t xml:space="preserve"> </w:t>
      </w:r>
      <w:r>
        <w:rPr>
          <w:rFonts w:ascii="Arial" w:cs="Arial" w:eastAsia="Arial" w:hAnsi="Arial"/>
          <w:sz w:val="20"/>
          <w:szCs w:val="20"/>
          <w:color w:val="000000"/>
        </w:rPr>
        <w:t>the initial Interest Period to be applicable thereto, which shall be a period contemplated by the definition of the</w:t>
      </w:r>
      <w:r>
        <w:rPr>
          <w:rFonts w:ascii="Arial" w:cs="Arial" w:eastAsia="Arial" w:hAnsi="Arial"/>
          <w:sz w:val="20"/>
          <w:szCs w:val="20"/>
          <w:color w:val="0000FF"/>
        </w:rPr>
        <w:t xml:space="preserve"> </w:t>
      </w:r>
      <w:r>
        <w:rPr>
          <w:rFonts w:ascii="Arial" w:cs="Arial" w:eastAsia="Arial" w:hAnsi="Arial"/>
          <w:sz w:val="20"/>
          <w:szCs w:val="20"/>
          <w:color w:val="000000"/>
        </w:rPr>
        <w:t>term “Interest Period”; and</w:t>
      </w:r>
    </w:p>
    <w:p>
      <w:pPr>
        <w:spacing w:after="0" w:line="169" w:lineRule="exact"/>
        <w:rPr>
          <w:rFonts w:ascii="Arial" w:cs="Arial" w:eastAsia="Arial" w:hAnsi="Arial"/>
          <w:sz w:val="20"/>
          <w:szCs w:val="20"/>
          <w:color w:val="auto"/>
        </w:rPr>
      </w:pPr>
    </w:p>
    <w:p>
      <w:pPr>
        <w:ind w:right="20" w:firstLine="1304"/>
        <w:spacing w:after="0" w:line="229" w:lineRule="auto"/>
        <w:tabs>
          <w:tab w:leader="none" w:pos="193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Applicable Borrower and the location and number of the Applicable Borrower’s account to which funds are to be disbursed, which shall comply with the requirements of Section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-790575</wp:posOffset>
            </wp:positionV>
            <wp:extent cx="9690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no election as to the Type of Borrowing is specified, then, in the case of a Borrowing denominated in Dollars, the requested Borrowing</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be an ABR Borrowing. If no Interest Period is specified with respect to any requested Eurocurrency Borrowing</w:t>
      </w:r>
      <w:r>
        <w:rPr>
          <w:rFonts w:ascii="Arial" w:cs="Arial" w:eastAsia="Arial" w:hAnsi="Arial"/>
          <w:sz w:val="18"/>
          <w:szCs w:val="18"/>
          <w:u w:val="single" w:color="auto"/>
          <w:color w:val="0000FF"/>
        </w:rPr>
        <w:t>, USD Term SOFR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Borrowing</w:t>
      </w:r>
      <w:r>
        <w:rPr>
          <w:rFonts w:ascii="Arial" w:cs="Arial" w:eastAsia="Arial" w:hAnsi="Arial"/>
          <w:sz w:val="18"/>
          <w:szCs w:val="18"/>
          <w:color w:val="0000FF"/>
        </w:rPr>
        <w:t xml:space="preserve"> </w:t>
      </w:r>
      <w:r>
        <w:rPr>
          <w:rFonts w:ascii="Arial" w:cs="Arial" w:eastAsia="Arial" w:hAnsi="Arial"/>
          <w:sz w:val="18"/>
          <w:szCs w:val="18"/>
          <w:color w:val="000000"/>
        </w:rPr>
        <w:t>or RFR Borrowing, then the Applicable Borrower shall be deemed to have selected an Interest Period of one month’s duration.</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 xml:space="preserve">Determination of Dollar Amounts. </w:t>
      </w:r>
      <w:r>
        <w:rPr>
          <w:rFonts w:ascii="Arial" w:cs="Arial" w:eastAsia="Arial" w:hAnsi="Arial"/>
          <w:sz w:val="18"/>
          <w:szCs w:val="18"/>
          <w:color w:val="auto"/>
        </w:rPr>
        <w:t>The Administrative Agent will determine the Dollar Amount of:</w:t>
      </w:r>
    </w:p>
    <w:p>
      <w:pPr>
        <w:spacing w:after="0" w:line="189" w:lineRule="exact"/>
        <w:rPr>
          <w:sz w:val="20"/>
          <w:szCs w:val="20"/>
          <w:color w:val="auto"/>
        </w:rPr>
      </w:pPr>
    </w:p>
    <w:p>
      <w:pPr>
        <w:ind w:right="20" w:firstLine="1304"/>
        <w:spacing w:after="0" w:line="242" w:lineRule="auto"/>
        <w:tabs>
          <w:tab w:leader="none" w:pos="193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each Revolving Borrowing utilizing Revolving Commitments as of the date two (2) Business Days prior to the date of such Borrowing or, if applicable, the date of conversion/continuation of any such Borrowing as a Revolving Borrowing,</w:t>
      </w:r>
    </w:p>
    <w:p>
      <w:pPr>
        <w:spacing w:after="0" w:line="164" w:lineRule="exact"/>
        <w:rPr>
          <w:rFonts w:ascii="Arial" w:cs="Arial" w:eastAsia="Arial" w:hAnsi="Arial"/>
          <w:sz w:val="19"/>
          <w:szCs w:val="19"/>
          <w:color w:val="auto"/>
        </w:rPr>
      </w:pPr>
    </w:p>
    <w:p>
      <w:pPr>
        <w:ind w:left="1940" w:hanging="636"/>
        <w:spacing w:after="0"/>
        <w:tabs>
          <w:tab w:leader="none" w:pos="19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LC Exposure as of the date of each request for the issuance, amendment, renewal or extension of any Letter of</w:t>
      </w:r>
    </w:p>
    <w:p>
      <w:pPr>
        <w:spacing w:after="0"/>
        <w:rPr>
          <w:rFonts w:ascii="Arial" w:cs="Arial" w:eastAsia="Arial" w:hAnsi="Arial"/>
          <w:sz w:val="18"/>
          <w:szCs w:val="18"/>
          <w:color w:val="auto"/>
        </w:rPr>
      </w:pPr>
      <w:r>
        <w:rPr>
          <w:rFonts w:ascii="Arial" w:cs="Arial" w:eastAsia="Arial" w:hAnsi="Arial"/>
          <w:sz w:val="20"/>
          <w:szCs w:val="20"/>
          <w:color w:val="auto"/>
        </w:rPr>
        <w:t>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357" w:lineRule="exact"/>
        <w:rPr>
          <w:sz w:val="20"/>
          <w:szCs w:val="20"/>
          <w:color w:val="auto"/>
        </w:rPr>
      </w:pPr>
    </w:p>
    <w:p>
      <w:pPr>
        <w:jc w:val="both"/>
        <w:ind w:right="20" w:firstLine="1304"/>
        <w:spacing w:after="0" w:line="223" w:lineRule="auto"/>
        <w:tabs>
          <w:tab w:leader="none" w:pos="193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all outstanding Revolving Credit Exposure on and as of the last Business Day of each calendar month and, during the continuation of an Event of Default, on any other Business Day elected by the Administrative Agent in its discretion or upon instruction by the Required Lenders.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4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the Swingline Lender agrees to make Swingline Loans in Dollars to the Applicable Borrower from time to time during the Availability Period, in an aggregate principal amount at any time outstanding that will not result in (i) the aggregate principal amount of outstanding Swingline Loans exceeding $25,000,000 or (ii) the Dollar Amount of the total Revolving Credit Exposures exceeding the aggregate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Swingline Lender shall not be required to make a Swingline Loan to refinance an outstanding Swingline Loan. Within the foregoing limits and subject to the terms and conditions set forth herein, the Applicable Borrower may borrow, prepay and reborrow Swingline Loans.</w:t>
      </w:r>
    </w:p>
    <w:p>
      <w:pPr>
        <w:spacing w:after="0" w:line="169" w:lineRule="exact"/>
        <w:rPr>
          <w:rFonts w:ascii="Arial" w:cs="Arial" w:eastAsia="Arial" w:hAnsi="Arial"/>
          <w:sz w:val="19"/>
          <w:szCs w:val="19"/>
          <w:color w:val="auto"/>
        </w:rPr>
      </w:pPr>
    </w:p>
    <w:p>
      <w:pPr>
        <w:jc w:val="both"/>
        <w:ind w:firstLine="1304"/>
        <w:spacing w:after="0" w:line="212" w:lineRule="auto"/>
        <w:tabs>
          <w:tab w:leader="none" w:pos="1932"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To request a Swingline Loan, the Applicable Borrower shall notify the Administrative Agent of such request by telephone (confirmed by telecopy), not later than 2:00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Applicable Borrower. The Swingline Lender shall make each Swingline Loan available to the Applicable Borrower by means of a credit to the general deposit account of such Applicable Borrower with the Swingline Lender (or, in the case of a Swingline Loan made to finance the reimbursement of an LC Disbursement as provided in Section 2.06(e), by remittance to the applicable Issuing Banks) by 2:00 p.m., New York City time, on the requested date of such Swingline Loan.</w:t>
      </w:r>
    </w:p>
    <w:p>
      <w:pPr>
        <w:spacing w:after="0" w:line="170" w:lineRule="exact"/>
        <w:rPr>
          <w:rFonts w:ascii="Arial" w:cs="Arial" w:eastAsia="Arial" w:hAnsi="Arial"/>
          <w:sz w:val="20"/>
          <w:szCs w:val="20"/>
          <w:color w:val="auto"/>
        </w:rPr>
      </w:pPr>
    </w:p>
    <w:p>
      <w:pPr>
        <w:jc w:val="both"/>
        <w:ind w:firstLine="1304"/>
        <w:spacing w:after="0" w:line="220" w:lineRule="auto"/>
        <w:tabs>
          <w:tab w:leader="none" w:pos="193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Revolving Percentage of such Swingline Loan or Loans. Each Revolving Lender hereby absolutely and unconditionally agrees, upon receipt of notice as provided above, to pay to the Administrative Agent, for the account of the Swingline Lender, such Revolving Lender’s Revolving Percentage (after giving effect to the reallocation provisions of paragraph (d) below) of such Swingline Loan or Loans. Each Revolving Lender acknowledges and agrees that its obligation to acquire participations in Swingline Loans pursuant to this paragraph in an amount equal to its Revolving Percentage thereof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Applicable Borrower of any participations in any Swingline Loan acquired pursuant to this paragraph, and thereafter payments in respect of such Swingline Loan shall be made to the Administrative Agent and not to the Swingline Lender. Any amounts received by the Swingline</w:t>
      </w:r>
    </w:p>
    <w:p>
      <w:pPr>
        <w:spacing w:after="0" w:line="235" w:lineRule="auto"/>
        <w:rPr>
          <w:sz w:val="20"/>
          <w:szCs w:val="20"/>
          <w:color w:val="auto"/>
        </w:rPr>
      </w:pPr>
      <w:r>
        <w:rPr>
          <w:rFonts w:ascii="Arial" w:cs="Arial" w:eastAsia="Arial" w:hAnsi="Arial"/>
          <w:sz w:val="18"/>
          <w:szCs w:val="18"/>
          <w:color w:val="auto"/>
        </w:rPr>
        <w:t>Lender from an Applicable Borrower (or other party on behalf of such Applicable Borrower) in respect of a Swingline Loan after receipt by</w:t>
      </w:r>
    </w:p>
    <w:p>
      <w:pPr>
        <w:spacing w:after="0" w:line="226" w:lineRule="auto"/>
        <w:rPr>
          <w:sz w:val="20"/>
          <w:szCs w:val="20"/>
          <w:color w:val="auto"/>
        </w:rPr>
      </w:pPr>
      <w:r>
        <w:rPr>
          <w:rFonts w:ascii="Arial" w:cs="Arial" w:eastAsia="Arial" w:hAnsi="Arial"/>
          <w:sz w:val="18"/>
          <w:szCs w:val="18"/>
          <w:color w:val="auto"/>
        </w:rPr>
        <w:t>the Swingline Lender of the proceeds of a sale of participations therein shall be promptly remitted to the Administrative Agent; any such amounts received by the Administrative Agent shall be promptly remitted by the Administrative Agent to the applicable Revolving Lenders</w:t>
      </w:r>
    </w:p>
    <w:p>
      <w:pPr>
        <w:spacing w:after="0" w:line="236" w:lineRule="auto"/>
        <w:rPr>
          <w:sz w:val="20"/>
          <w:szCs w:val="20"/>
          <w:color w:val="auto"/>
        </w:rPr>
      </w:pPr>
      <w:r>
        <w:rPr>
          <w:rFonts w:ascii="Arial" w:cs="Arial" w:eastAsia="Arial" w:hAnsi="Arial"/>
          <w:sz w:val="18"/>
          <w:szCs w:val="18"/>
          <w:color w:val="auto"/>
        </w:rPr>
        <w:t>that shall have made their payments pursuant to this paragraph and to the Swingline Lender, as their interests may appear; provided that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payment so remitted shall be repaid to the Swingline Lender or to the Administrative Agent, as applicable, if and to the extent such payment is required to be refunded to the Applicable Borrower for any reason. The purchase of participations in a Swingline Loan pursuant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to this paragraph shall not relieve the Applicable Borrower of any default in the payment thereof.</w:t>
      </w:r>
    </w:p>
    <w:p>
      <w:pPr>
        <w:spacing w:after="0" w:line="173" w:lineRule="exact"/>
        <w:rPr>
          <w:sz w:val="20"/>
          <w:szCs w:val="20"/>
          <w:color w:val="auto"/>
        </w:rPr>
      </w:pPr>
    </w:p>
    <w:p>
      <w:pPr>
        <w:jc w:val="both"/>
        <w:ind w:firstLine="1304"/>
        <w:spacing w:after="0" w:line="234" w:lineRule="auto"/>
        <w:tabs>
          <w:tab w:leader="none" w:pos="193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Reallocations and Extensions</w:t>
      </w:r>
      <w:r>
        <w:rPr>
          <w:rFonts w:ascii="Arial" w:cs="Arial" w:eastAsia="Arial" w:hAnsi="Arial"/>
          <w:sz w:val="18"/>
          <w:szCs w:val="18"/>
          <w:color w:val="auto"/>
        </w:rPr>
        <w:t xml:space="preserve">. If the Maturity Date shall have occurred in respect of any Class of Revolving Commitments at a time when another Tranche or Tranches of any other Class of Revolving Commitments is or are in effect with a longer Maturity Date, then on the earliest occurring Maturity Date all then-outstanding Swingline Loans shall be repaid in full (and there shall be no adjustment to the participations in such Swingline Loans as a result of the occurrence of such earliest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on the occurrence of such earliest Maturity Date (after giving effect to any repayments of Revolving Loans and any reallocation of Letter of Credit participations as contemplated in Section 2.06(k)), there shall remain obligations to fund Swingline Loans hereunder and there shall exist sufficient unutilized Revolving Commitments of any other Class or Classes or Extended Revolving Commitments so that the respective outstanding Swingline Loans could be incurred pursuant to such Revolving Commitments of such other Class or Classes or Extended Revolving Commitments which will remain in effect after the occurrence of such earliest Maturity Date, then there shall be an automatic adjustment on such date of the risk participations of each Revolving Lender holding Revolving Commitments of such other Class or Classes or that is an Extending Revolving Lender and such outstanding Swingline Loans shall be deemed to have been incurred solely pursuant to the relevant Revolving Commitments of such other Class or Classes or Extended Revolving Commitments and such Swingline Loans shall not be so required to be repaid in full on such earliest Maturity Date.</w:t>
      </w:r>
    </w:p>
    <w:p>
      <w:pPr>
        <w:spacing w:after="0" w:line="1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38" w:lineRule="auto"/>
        <w:tabs>
          <w:tab w:leader="none" w:pos="1934"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Applicable Borrower may request the issuance of Letters of Credit denominated in Agreed Currencies, in each case for its own account (or for the account of any Restricted Subsidiary),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w:t>
      </w:r>
    </w:p>
    <w:p>
      <w:pPr>
        <w:spacing w:after="0" w:line="172" w:lineRule="exact"/>
        <w:rPr>
          <w:rFonts w:ascii="Arial" w:cs="Arial" w:eastAsia="Arial" w:hAnsi="Arial"/>
          <w:sz w:val="18"/>
          <w:szCs w:val="18"/>
          <w:color w:val="auto"/>
        </w:rPr>
      </w:pPr>
    </w:p>
    <w:p>
      <w:pPr>
        <w:jc w:val="both"/>
        <w:ind w:firstLine="1304"/>
        <w:spacing w:after="0" w:line="226" w:lineRule="auto"/>
        <w:tabs>
          <w:tab w:leader="none" w:pos="1932"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To request the issuance of a Letter of Credit (or the amendment, renewal or extension of an outstanding Letter of Credit from an Issuing Bank), the Applicable Borrower shall email or telecopy (or transmit by any other electronic communication, if arrangements for doing so have been approved by such Issuing Bank) to such Issuing Bank and the Administrative Agent (reasonably in advance of, but not less than three (3) Business Days prior to, the requested date of issuance (or such shorter period as such Issuing Bank may agree), amendment, renewal or extension and which, in the case of a Letter of Credit to be issued on the Closing Date,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conditioned on the occurrence of the Closing Date) a notice in the applicable Issuing Bank’s customary form requesting the issuance of a Letter of Credit, or identifying the Letter of Credit to be amended, renewed or extended, and specifying the date of issuance, amendment,</w:t>
      </w:r>
    </w:p>
    <w:p>
      <w:pPr>
        <w:spacing w:after="0" w:line="222" w:lineRule="auto"/>
        <w:rPr>
          <w:sz w:val="20"/>
          <w:szCs w:val="20"/>
          <w:color w:val="auto"/>
        </w:rPr>
      </w:pPr>
      <w:r>
        <w:rPr>
          <w:rFonts w:ascii="Arial" w:cs="Arial" w:eastAsia="Arial" w:hAnsi="Arial"/>
          <w:sz w:val="19"/>
          <w:szCs w:val="19"/>
          <w:color w:val="auto"/>
        </w:rPr>
        <w:t>renewal or extension (which shall be a Business Day), the date on which such Letter of Credit is to expire (which shall comply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paragraph (c) of this Section 2.06), the amount of such Letter of Credit, the Agreed Currency applicable thereto), the name and address of the beneficiary thereof and such other information as shall be necessary to prepare, amend, renew or extend such Letter of Credit. The</w:t>
      </w:r>
    </w:p>
    <w:p>
      <w:pPr>
        <w:spacing w:after="0" w:line="224" w:lineRule="auto"/>
        <w:rPr>
          <w:sz w:val="20"/>
          <w:szCs w:val="20"/>
          <w:color w:val="auto"/>
        </w:rPr>
      </w:pPr>
      <w:r>
        <w:rPr>
          <w:rFonts w:ascii="Arial" w:cs="Arial" w:eastAsia="Arial" w:hAnsi="Arial"/>
          <w:sz w:val="19"/>
          <w:szCs w:val="19"/>
          <w:color w:val="auto"/>
        </w:rPr>
        <w:t>Applicable Borrower also shall submit a letter of credit application on such Issuing Bank’s standard form and related documents in</w:t>
      </w:r>
    </w:p>
    <w:p>
      <w:pPr>
        <w:spacing w:after="0" w:line="226" w:lineRule="auto"/>
        <w:rPr>
          <w:sz w:val="20"/>
          <w:szCs w:val="20"/>
          <w:color w:val="auto"/>
        </w:rPr>
      </w:pPr>
      <w:r>
        <w:rPr>
          <w:rFonts w:ascii="Arial" w:cs="Arial" w:eastAsia="Arial" w:hAnsi="Arial"/>
          <w:sz w:val="18"/>
          <w:szCs w:val="18"/>
          <w:color w:val="auto"/>
        </w:rPr>
        <w:t>connection with any request for a Letter of Credit and in connection with any request for a Letter of Credit to be amended, renewed, modified or extended. A Letter of Credit shall be issued, amended, renewed or extended only (A) if (and upon issuance, amendment, renewal or</w:t>
      </w:r>
    </w:p>
    <w:p>
      <w:pPr>
        <w:spacing w:after="0" w:line="224" w:lineRule="auto"/>
        <w:rPr>
          <w:sz w:val="20"/>
          <w:szCs w:val="20"/>
          <w:color w:val="auto"/>
        </w:rPr>
      </w:pPr>
      <w:r>
        <w:rPr>
          <w:rFonts w:ascii="Arial" w:cs="Arial" w:eastAsia="Arial" w:hAnsi="Arial"/>
          <w:sz w:val="19"/>
          <w:szCs w:val="19"/>
          <w:color w:val="auto"/>
        </w:rPr>
        <w:t>extension of each Letter of Credit the Applicable Borrower shall be deemed to represent and warrant that), after giving effect to such</w:t>
      </w:r>
    </w:p>
    <w:p>
      <w:pPr>
        <w:spacing w:after="0" w:line="226" w:lineRule="auto"/>
        <w:rPr>
          <w:sz w:val="20"/>
          <w:szCs w:val="20"/>
          <w:color w:val="auto"/>
        </w:rPr>
      </w:pPr>
      <w:r>
        <w:rPr>
          <w:rFonts w:ascii="Arial" w:cs="Arial" w:eastAsia="Arial" w:hAnsi="Arial"/>
          <w:sz w:val="18"/>
          <w:szCs w:val="18"/>
          <w:color w:val="auto"/>
        </w:rPr>
        <w:t>issuance, amendment, renewal or extension (i) subject to Section 2.04, the Dollar Amount of the LC Exposure shall not exceed $15,000,000 (the “</w:t>
      </w:r>
      <w:r>
        <w:rPr>
          <w:rFonts w:ascii="Arial" w:cs="Arial" w:eastAsia="Arial" w:hAnsi="Arial"/>
          <w:sz w:val="18"/>
          <w:szCs w:val="18"/>
          <w:u w:val="single" w:color="auto"/>
          <w:color w:val="auto"/>
        </w:rPr>
        <w:t>LC Sublimit</w:t>
      </w:r>
      <w:r>
        <w:rPr>
          <w:rFonts w:ascii="Arial" w:cs="Arial" w:eastAsia="Arial" w:hAnsi="Arial"/>
          <w:sz w:val="18"/>
          <w:szCs w:val="18"/>
          <w:color w:val="auto"/>
        </w:rPr>
        <w:t>”) and (ii) subject to Section 2.04, the sum of the Dollar Amount of the total Revolving Credit Exposures shall not exceed</w:t>
      </w:r>
    </w:p>
    <w:p>
      <w:pPr>
        <w:spacing w:after="0" w:line="236" w:lineRule="auto"/>
        <w:rPr>
          <w:sz w:val="20"/>
          <w:szCs w:val="20"/>
          <w:color w:val="auto"/>
        </w:rPr>
      </w:pPr>
      <w:r>
        <w:rPr>
          <w:rFonts w:ascii="Arial" w:cs="Arial" w:eastAsia="Arial" w:hAnsi="Arial"/>
          <w:sz w:val="18"/>
          <w:szCs w:val="18"/>
          <w:color w:val="auto"/>
        </w:rPr>
        <w:t xml:space="preserve">the aggregate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Sublimit may be increased from time to time upon agreement between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and Borrowers, so long as any increase has been appropriately committed by a Lender (that is or shall be an Issuing Bank), on terms and conditions satisfactory to the Administrative Agent and (B) in accordance with such Issuing Bank’s usual and customary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policies and practices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Dollar Amount of the LC Exposure in respect of each Issuing Bank may not be increased or decreased without the applicable Issuing Bank’s consent.</w:t>
      </w:r>
    </w:p>
    <w:p>
      <w:pPr>
        <w:spacing w:after="0" w:line="156" w:lineRule="exact"/>
        <w:rPr>
          <w:sz w:val="20"/>
          <w:szCs w:val="20"/>
          <w:color w:val="auto"/>
        </w:rPr>
      </w:pPr>
    </w:p>
    <w:p>
      <w:pPr>
        <w:jc w:val="both"/>
        <w:ind w:firstLine="1304"/>
        <w:spacing w:after="0" w:line="220" w:lineRule="auto"/>
        <w:tabs>
          <w:tab w:leader="none" w:pos="193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with respect to the Revolving Commitments pursuant to which issued (or if any Extended Revolving Commitments, Incremental Revolving Commitments or Other Refinancing Revolving Commitments are outstanding, the last Maturity Date applicable thereto (so long as the aggregate amount of such Letters of Credit are not in excess of such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may contain customary automatic renewal provisions agreed upon by the Applicable Borrower and the Issuing Bank pursuant to which the expiration date of such Letter of Credit (an “</w:t>
      </w:r>
      <w:r>
        <w:rPr>
          <w:rFonts w:ascii="Arial" w:cs="Arial" w:eastAsia="Arial" w:hAnsi="Arial"/>
          <w:sz w:val="19"/>
          <w:szCs w:val="19"/>
          <w:u w:val="single" w:color="auto"/>
          <w:color w:val="auto"/>
        </w:rPr>
        <w:t>Auto Renewal 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shall automatically be extended for consecutive periods of up to twelve (12) months (but not to a date later than the date set forth in clause (ii)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 Renewal Letter of Credit must permit the applicable Issuing Bank to prevent any such renewal at least once in each twelve month period (commencing with the date of issuance of such Letter of Credit) by giving prior notice to the beneficiary thereof not later than a day in each such twelve month period to be agreed upon at the time such Letter of Credit is issued. Unless otherwise directed by such Issuing Bank, the Applicable Borrower shall not be required to make a specific request to such Issuing Bank for any such renewal. Once an Auto Renewal Letter of Credit has been issued, the Lenders shall be deemed to have authorized (but may not require) such Issuing Bank to permit the renewal of such Letter of Credit at any time to an expiry date not later than such Maturity Date.</w:t>
      </w:r>
    </w:p>
    <w:p>
      <w:pPr>
        <w:spacing w:after="0" w:line="181" w:lineRule="exact"/>
        <w:rPr>
          <w:rFonts w:ascii="Arial" w:cs="Arial" w:eastAsia="Arial" w:hAnsi="Arial"/>
          <w:sz w:val="19"/>
          <w:szCs w:val="19"/>
          <w:color w:val="auto"/>
        </w:rPr>
      </w:pPr>
    </w:p>
    <w:p>
      <w:pPr>
        <w:jc w:val="both"/>
        <w:ind w:firstLine="1304"/>
        <w:spacing w:after="0" w:line="226" w:lineRule="auto"/>
        <w:tabs>
          <w:tab w:leader="none" w:pos="193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By the issuance of a Letter of Credit (or an amendment to a Letter of Credit increasing the amount thereof) and without any further action on the part of any Issuing Bank or any Revolving Lender in respect of the Tranche under which such Letter of Credit is issued (each such Revolving Lender, an “</w:t>
      </w:r>
      <w:r>
        <w:rPr>
          <w:rFonts w:ascii="Arial" w:cs="Arial" w:eastAsia="Arial" w:hAnsi="Arial"/>
          <w:sz w:val="19"/>
          <w:szCs w:val="19"/>
          <w:u w:val="single" w:color="auto"/>
          <w:color w:val="auto"/>
        </w:rPr>
        <w:t>Applicable Lender</w:t>
      </w:r>
      <w:r>
        <w:rPr>
          <w:rFonts w:ascii="Arial" w:cs="Arial" w:eastAsia="Arial" w:hAnsi="Arial"/>
          <w:sz w:val="19"/>
          <w:szCs w:val="19"/>
          <w:color w:val="auto"/>
        </w:rPr>
        <w:t>”), the Issuing Banks hereby grant to each Applicable Lender, and each Applicable Lender hereby acquires from the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unconditionally agrees to pay to the Administrative Agent, for the account of the Issuing Banks, such Applicable Lender’s Applicable Percentage (after giving effect to the reallocation provisions of paragraph (k) below) of each LC Disbursement made by the Issuing Banks</w:t>
      </w:r>
    </w:p>
    <w:p>
      <w:pPr>
        <w:spacing w:after="0" w:line="235" w:lineRule="auto"/>
        <w:rPr>
          <w:sz w:val="20"/>
          <w:szCs w:val="20"/>
          <w:color w:val="auto"/>
        </w:rPr>
      </w:pPr>
      <w:r>
        <w:rPr>
          <w:rFonts w:ascii="Arial" w:cs="Arial" w:eastAsia="Arial" w:hAnsi="Arial"/>
          <w:sz w:val="18"/>
          <w:szCs w:val="18"/>
          <w:color w:val="auto"/>
        </w:rPr>
        <w:t>and not reimbursed by the Applicable Borrower on the date due as provided in paragraph (e) of this Section 2.06, or of any reimbursement</w:t>
      </w:r>
    </w:p>
    <w:p>
      <w:pPr>
        <w:spacing w:after="0" w:line="226" w:lineRule="auto"/>
        <w:rPr>
          <w:sz w:val="20"/>
          <w:szCs w:val="20"/>
          <w:color w:val="auto"/>
        </w:rPr>
      </w:pPr>
      <w:r>
        <w:rPr>
          <w:rFonts w:ascii="Arial" w:cs="Arial" w:eastAsia="Arial" w:hAnsi="Arial"/>
          <w:sz w:val="18"/>
          <w:szCs w:val="18"/>
          <w:color w:val="auto"/>
        </w:rPr>
        <w:t>payment required to be refunded to the Applicable Borrower for any reason. Each Revolving Lender acknowledges and agrees that its obligation to acquire participations pursuant to this paragraph in respect of Letters of Credit is absolute and unconditional and shall not be</w:t>
      </w:r>
    </w:p>
    <w:p>
      <w:pPr>
        <w:spacing w:after="0" w:line="236" w:lineRule="auto"/>
        <w:rPr>
          <w:sz w:val="20"/>
          <w:szCs w:val="20"/>
          <w:color w:val="auto"/>
        </w:rPr>
      </w:pPr>
      <w:r>
        <w:rPr>
          <w:rFonts w:ascii="Arial" w:cs="Arial" w:eastAsia="Arial" w:hAnsi="Arial"/>
          <w:sz w:val="18"/>
          <w:szCs w:val="18"/>
          <w:color w:val="auto"/>
        </w:rPr>
        <w:t>affected by any circumstance whatsoever, including any amendment, renewal or extension of any Letter of Credit or the occurrence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continuance of a Default or reduction or termination of the Commitments, and that each such payment shall be made without any offset, abatement, withholding or reduction whatsoever.</w:t>
      </w:r>
    </w:p>
    <w:p>
      <w:pPr>
        <w:spacing w:after="0" w:line="170" w:lineRule="exact"/>
        <w:rPr>
          <w:sz w:val="20"/>
          <w:szCs w:val="20"/>
          <w:color w:val="auto"/>
        </w:rPr>
      </w:pPr>
    </w:p>
    <w:p>
      <w:pPr>
        <w:jc w:val="both"/>
        <w:ind w:firstLine="1304"/>
        <w:spacing w:after="0" w:line="231" w:lineRule="auto"/>
        <w:tabs>
          <w:tab w:leader="none" w:pos="193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an Issuing Bank shall make any LC Disbursement in respect of a Letter of Credit, the Applicable Borrower shall reimburse such LC Disbursement by paying to such Issuing Bank in Dollars the Dollar Amount equal to such LC Disbursement, calculated as of the date such Issuing Bank made such LC Disbursement (or if the Issuing Bank shall so elect in its sole discretion by notice to the Applicable Borrower, in such other Agreed Currency which was paid by such Issuing Bank pursuant to such LC Disbursement in an amount equal to such LC Disbursement) not later than 12:00 noon, Local Time, on the first Business Day immediately following the date that such LC Disbursement is made, if the Applicable Borrower shall have received notice of such LC Disbursement on the date of such LC Disbursement;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 Disbursement is not less than the Dollar Amount of $1,000,000, the Applicable Borrower may, subject to the conditions to borrowing set forth herein, request in accordance with Section 2.03 or 2.05 that such payment be financed with an ABR Revolving Borrowing or Swingline Loan in an equivalent Dollar Amount of such LC Disbursement and, to the extent so financed, the Applicable Borrower’s obligation to make such payment shall be discharged and replaced by the resulting ABR Revolving Borrowing or Swingline Loan. If the Applicable Borrower fails to make such payment when due, the Administrative Agent shall notify each Applicable Lender of the applicable LC Disbursement, the payment then due from the Applicable Borrower in respect thereof and such Lender’s Applicable Percentage thereof. Promptly following receipt of such notice, each Applicable Lender shall pay to the Administrative Agent its Applicable Percentage (after giving effect to the reallocation provisions of paragraph (k) below) of the payment then due from the Applicable Borrower, in the same manner as provided in Section 2.07 with respect to Loans made by such Lender (and Section 2.07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the payment obligations of the Applicable Lenders), and the Administrative Agent shall promptly pay to the Issuing Bank the amounts so received by it from the Applicable Lenders. Promptly following receipt by the Administrative Agent of any payment from the Applicable Borrower pursuant to this paragraph, the Administrative Agent shall distribute such payment to the applicable Issuing Bank or, to the extent that Applicable Lenders have made payments pursuant to this paragraph to reimburse the applicable Issuing Bank, then to such Lenders and the applicable Issuing Bank as their interests may appear. Any payment made by an Applicable Lender pursuant to this paragraph to reimburse an Issuing Bank for any LC Disbursement (other than the funding of ABR Revolving Loans or a Swingline Loan as contemplated above) shall not constitute a Loan and shall not relieve the Applicable Borrower of its obligations to reimburse such LC Disbursement. If the Applicable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the Applicable Borrower shall, at its option, either (x) pay the amount of any such tax requested by the Administrative Agent, such Issuing Bank or the relevant Revolving Lender or (y) reimburse each LC Disbursement made in such Foreign Currency in Dollars, in an amount equal to the Equivalent Amount, calculated using the applicable Exchange Rates, on the date such LC Disbursement is made, of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357" w:lineRule="exact"/>
        <w:rPr>
          <w:sz w:val="20"/>
          <w:szCs w:val="20"/>
          <w:color w:val="auto"/>
        </w:rPr>
      </w:pPr>
    </w:p>
    <w:p>
      <w:pPr>
        <w:jc w:val="both"/>
        <w:ind w:firstLine="1304"/>
        <w:spacing w:after="0" w:line="231" w:lineRule="auto"/>
        <w:tabs>
          <w:tab w:leader="none" w:pos="1939"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Applicable Borrower’s obligations to reimburse LC Disbursements as provided in paragraph (e) of this Section 2.06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2.06, constitute a legal or equitable discharge of, or provide a right of setoff against, the Applicable Borrower’s obligations hereunder.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such Issuing Bank from liability to the Applicable Borrower to the extent of any direct damages (as opposed to consequential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6" w:lineRule="exact"/>
        <w:rPr>
          <w:rFonts w:ascii="Arial" w:cs="Arial" w:eastAsia="Arial" w:hAnsi="Arial"/>
          <w:sz w:val="18"/>
          <w:szCs w:val="18"/>
          <w:color w:val="auto"/>
        </w:rPr>
      </w:pPr>
    </w:p>
    <w:p>
      <w:pPr>
        <w:jc w:val="both"/>
        <w:ind w:firstLine="1304"/>
        <w:spacing w:after="0" w:line="239" w:lineRule="auto"/>
        <w:tabs>
          <w:tab w:leader="none" w:pos="193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obligations to reimburse such Issuing Bank and the Applicable Lenders with respect to any such LC Disbursement.</w:t>
      </w:r>
    </w:p>
    <w:p>
      <w:pPr>
        <w:spacing w:after="0" w:line="170" w:lineRule="exact"/>
        <w:rPr>
          <w:rFonts w:ascii="Arial" w:cs="Arial" w:eastAsia="Arial" w:hAnsi="Arial"/>
          <w:sz w:val="18"/>
          <w:szCs w:val="18"/>
          <w:color w:val="auto"/>
        </w:rPr>
      </w:pPr>
    </w:p>
    <w:p>
      <w:pPr>
        <w:jc w:val="both"/>
        <w:ind w:firstLine="1304"/>
        <w:spacing w:after="0" w:line="214" w:lineRule="auto"/>
        <w:tabs>
          <w:tab w:leader="none" w:pos="1932"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Interim Interest</w:t>
      </w:r>
      <w:r>
        <w:rPr>
          <w:rFonts w:ascii="Arial" w:cs="Arial" w:eastAsia="Arial" w:hAnsi="Arial"/>
          <w:sz w:val="20"/>
          <w:szCs w:val="20"/>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(or in the case such LC Disbursement is denominated in a Foreign Currency, at the Overnight Foreign Currency Rate for such Agreed Currency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then effective Applicable Margin with respect to Eurocurrency Revolving Loans </w:t>
      </w:r>
      <w:r>
        <w:rPr>
          <w:rFonts w:ascii="Arial" w:cs="Arial" w:eastAsia="Arial" w:hAnsi="Arial"/>
          <w:sz w:val="20"/>
          <w:szCs w:val="20"/>
          <w:color w:val="0000FF"/>
        </w:rPr>
        <w:t>or USD Term SOFR Revolving Loans, as applicable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Applicable Borrower fails to reimburse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-154305</wp:posOffset>
            </wp:positionV>
            <wp:extent cx="27451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2745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LC Disbursement when due pursuant to paragraph (e) of this Section 2.06, then Section 2.13(d) shall apply. Interest accrued pursuant to this paragraph shall be for the account of the Issuing Banks, except that interest accrued on and after the date of payment by any Applicable</w:t>
      </w:r>
    </w:p>
    <w:p>
      <w:pPr>
        <w:spacing w:after="0" w:line="227" w:lineRule="auto"/>
        <w:rPr>
          <w:sz w:val="20"/>
          <w:szCs w:val="20"/>
          <w:color w:val="auto"/>
        </w:rPr>
      </w:pPr>
      <w:r>
        <w:rPr>
          <w:rFonts w:ascii="Arial" w:cs="Arial" w:eastAsia="Arial" w:hAnsi="Arial"/>
          <w:sz w:val="20"/>
          <w:szCs w:val="20"/>
          <w:color w:val="auto"/>
        </w:rPr>
        <w:t>Lender pursuant to paragraph (e) of this Section 2.06 to reimburse the Issuing Banks shall be for the account of such Applicable Lender to the extent of such payment.</w:t>
      </w:r>
    </w:p>
    <w:p>
      <w:pPr>
        <w:spacing w:after="0" w:line="156" w:lineRule="exact"/>
        <w:rPr>
          <w:sz w:val="20"/>
          <w:szCs w:val="20"/>
          <w:color w:val="auto"/>
        </w:rPr>
      </w:pPr>
    </w:p>
    <w:p>
      <w:pPr>
        <w:jc w:val="both"/>
        <w:ind w:firstLine="1304"/>
        <w:spacing w:after="0" w:line="223" w:lineRule="auto"/>
        <w:tabs>
          <w:tab w:leader="none" w:pos="1942"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Replacement or Resignation of Issuing Bank</w:t>
      </w:r>
      <w:r>
        <w:rPr>
          <w:rFonts w:ascii="Arial" w:cs="Arial" w:eastAsia="Arial" w:hAnsi="Arial"/>
          <w:sz w:val="19"/>
          <w:szCs w:val="19"/>
          <w:color w:val="auto"/>
        </w:rPr>
        <w:t>. Each Issuing Bank may be replaced at any time by written agreement among the Applicable Borrower, the Administrative Agent, the replaced Issuing Bank and the successor Issuing Bank. Any Issuing Bank may resign at any time by giving 60 days’ prior notice to the Administrative Agent and the Applicable Borrowers. The Administrative Agent shall notify the Revolving Lenders of any such replacement or resignation of the Issuing Bank. At the time any such replacement or resignation shall become effective, the Applicable Borrower shall pay all unpaid fees accrued for the account of the replaced or resigning Issuing Bank pursuant to Section 2.12.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Issuing Bank or resigning bank shall remain a party hereto and shall continue to have all the rights and obligations of an Issuing Bank under this Agreement with respect to Letters of Credit then outstanding and issued by it prior to such replacement or resignation, but shall not be required to issue additional Letters of Credit.</w:t>
      </w:r>
    </w:p>
    <w:p>
      <w:pPr>
        <w:spacing w:after="0" w:line="155" w:lineRule="exact"/>
        <w:rPr>
          <w:rFonts w:ascii="Arial" w:cs="Arial" w:eastAsia="Arial" w:hAnsi="Arial"/>
          <w:sz w:val="19"/>
          <w:szCs w:val="19"/>
          <w:color w:val="auto"/>
        </w:rPr>
      </w:pPr>
    </w:p>
    <w:p>
      <w:pPr>
        <w:jc w:val="both"/>
        <w:ind w:firstLine="1304"/>
        <w:spacing w:after="0" w:line="232" w:lineRule="auto"/>
        <w:tabs>
          <w:tab w:leader="none" w:pos="194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any Event of Default shall occur and be continuing, on the Business Day that the Applicable Borrower receives notice from the Administrative Agent or the Required Lenders (or, if the maturity of the Loans has been accelerated, a Majority in Interest of the Revolving Lenders) demanding the deposit of cash collateral pursuant to this paragraph, the Applicable Borrower shall deposit in an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102% of the Dollar Amount of the LC Exposure as of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portions of such amount attributable to undrawn Foreign Currency Letters of Credit or LC Disbursements in a Foreign Currency that the Applicable Borrower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Applicable Borrower described in clause (h) or (i) of Section 7.01. For the purposes of this paragraph, the Foreign Currency LC Exposure shall be calculated using the applicable Exchange Rate on the date notice demanding cash collateralization is delivered to the Applicable Borrower. The Applicable Borrower also shall deposit cash collateral pursuant to this paragraph as and to the extent required by Section 2.11(c). Such deposit shall be held by the Administrative Agent as collateral for the payment and performance of the Secured Obligations. The Administrative Agent shall have exclusive dominion and control, including the exclusive right of withdrawal, over such account and the Applicable Borrower hereby grants the Administrative Agent, for the ratable benefit of the Secured Parties, a security interest in the LC Collateral Account. Other than any interest earned on the investment of such deposits in Cash Equivalents,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Borrower for the LC Exposure at such time or, if the maturity of the Loans has been accelerated (but subject to the consent of a Majority in Interest of the Revolving Lenders), be applied to satisfy other Secured Obligations. If the Applicable Borrower is required to provide an</w:t>
      </w:r>
    </w:p>
    <w:p>
      <w:pPr>
        <w:spacing w:after="0" w:line="235" w:lineRule="auto"/>
        <w:rPr>
          <w:sz w:val="20"/>
          <w:szCs w:val="20"/>
          <w:color w:val="auto"/>
        </w:rPr>
      </w:pPr>
      <w:r>
        <w:rPr>
          <w:rFonts w:ascii="Arial" w:cs="Arial" w:eastAsia="Arial" w:hAnsi="Arial"/>
          <w:sz w:val="18"/>
          <w:szCs w:val="18"/>
          <w:color w:val="auto"/>
        </w:rPr>
        <w:t>amount of cash collateral hereunder as a result of the occurrence of an Event of Default, such amount (to the extent not applied as aforesaid)</w:t>
      </w:r>
    </w:p>
    <w:p>
      <w:pPr>
        <w:spacing w:after="0" w:line="255" w:lineRule="auto"/>
        <w:rPr>
          <w:sz w:val="20"/>
          <w:szCs w:val="20"/>
          <w:color w:val="auto"/>
        </w:rPr>
      </w:pPr>
      <w:r>
        <w:rPr>
          <w:rFonts w:ascii="Arial" w:cs="Arial" w:eastAsia="Arial" w:hAnsi="Arial"/>
          <w:sz w:val="16"/>
          <w:szCs w:val="16"/>
          <w:color w:val="auto"/>
        </w:rPr>
        <w:t>shall be returned to the Applicable Borrower within three (3) Business Days after all Events of Default have been cured or waived. If the Applicable Borrower is required to provide an amount of cash collateral hereunder pursuant to Section 2.11(c), such amount (to the extent not</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applied as aforesaid) shall be returned to the Applicable Borrower as and to the extent that, after giving effect to such return, the aggregate Revolving Credit Exposures would not exceed the aggregate Revolving Commitments and no Default shall have occurred and be continuing.</w:t>
      </w:r>
    </w:p>
    <w:p>
      <w:pPr>
        <w:spacing w:after="0" w:line="133" w:lineRule="exact"/>
        <w:rPr>
          <w:sz w:val="20"/>
          <w:szCs w:val="20"/>
          <w:color w:val="auto"/>
        </w:rPr>
      </w:pPr>
    </w:p>
    <w:p>
      <w:pPr>
        <w:jc w:val="both"/>
        <w:ind w:firstLine="1304"/>
        <w:spacing w:after="0" w:line="234" w:lineRule="auto"/>
        <w:tabs>
          <w:tab w:leader="none" w:pos="19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Reallocations and Extensions</w:t>
      </w:r>
      <w:r>
        <w:rPr>
          <w:rFonts w:ascii="Arial" w:cs="Arial" w:eastAsia="Arial" w:hAnsi="Arial"/>
          <w:sz w:val="18"/>
          <w:szCs w:val="18"/>
          <w:color w:val="auto"/>
        </w:rPr>
        <w:t>. If the Maturity Date in respect of any Class of Revolving Commitments occurs prior to the expiration of any Letter of Credit, then (i) if Extended Revolving Commitments or one or more other Tranches of Revolving Commitments of any other Class or Classes in respect of which the Maturity Date shall not have occurred are then in effect and the obligations to issue Letters of Credit hereunder remain at such time, such Letters of Credit shall automatically be deemed to have been issued (including for purposes of the obligations of the Revolving Lenders to purchase participations therein and to make Revolving Loans and payments in respect thereof pursuant to Section 2.06(e)) under (and ratably participated in by Revolving Lenders pursuant to) Extended Revolving Commitments or the Revolving Commitments of such other Class or Classes in respect of such non-terminating Extended Revolving Commitments or Tranches up to an aggregate amount not to exceed the aggregate principal amount of the unutilized Extended Revolving Commitments or Revolving Commitments of such other Class or Classes thereunder at such time (it being understood that no partial face amount of any Letter of Credit may be so reallocated) and (ii) to the extent not reallocated pursuant to the immediately preceding clause (i), the Applicable Borrower shall Cash Collateralize any such Letter of Credit in accordance with Section 2.06(j). Except to the extent of reallocations of participations pursuant to clause (i) of the immediately preceding sentence, the occurrence of a Maturity Date with respect to a given Class of Revolving Commitments shall have no effect upon (and shall not diminish) the percentage participations of the Revolving Lenders in any Letter of Credit issued before such Maturity Date.</w:t>
      </w:r>
    </w:p>
    <w:p>
      <w:pPr>
        <w:spacing w:after="0" w:line="171" w:lineRule="exact"/>
        <w:rPr>
          <w:rFonts w:ascii="Arial" w:cs="Arial" w:eastAsia="Arial" w:hAnsi="Arial"/>
          <w:sz w:val="18"/>
          <w:szCs w:val="18"/>
          <w:color w:val="auto"/>
        </w:rPr>
      </w:pPr>
    </w:p>
    <w:p>
      <w:pPr>
        <w:jc w:val="both"/>
        <w:ind w:firstLine="1304"/>
        <w:spacing w:after="0" w:line="235" w:lineRule="auto"/>
        <w:tabs>
          <w:tab w:leader="none" w:pos="194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Issuing Bank Agreements</w:t>
      </w:r>
      <w:r>
        <w:rPr>
          <w:rFonts w:ascii="Arial" w:cs="Arial" w:eastAsia="Arial" w:hAnsi="Arial"/>
          <w:sz w:val="18"/>
          <w:szCs w:val="18"/>
          <w:color w:val="auto"/>
        </w:rPr>
        <w:t>. Each Issuing Bank (other than the Administrative Agent or its affiliates) agrees that, unless otherwise requested by the Administrative Agent, each Issuing Bank shall report in writing to the Administrative Agent (i) on the first Business Day of each month, the daily activity (set forth by day) in respect of Letters of Credit during the immediately preceding month,</w:t>
      </w:r>
    </w:p>
    <w:p>
      <w:pPr>
        <w:spacing w:after="0" w:line="221" w:lineRule="auto"/>
        <w:rPr>
          <w:sz w:val="20"/>
          <w:szCs w:val="20"/>
          <w:color w:val="auto"/>
        </w:rPr>
      </w:pPr>
      <w:r>
        <w:rPr>
          <w:rFonts w:ascii="Arial" w:cs="Arial" w:eastAsia="Arial" w:hAnsi="Arial"/>
          <w:sz w:val="18"/>
          <w:szCs w:val="18"/>
          <w:color w:val="auto"/>
        </w:rPr>
        <w:t>including all issuances, extensions, amendments and renewals, all expirations and cancellations and all disbursements and reimbursements,</w:t>
      </w:r>
    </w:p>
    <w:p>
      <w:pPr>
        <w:jc w:val="both"/>
        <w:ind w:firstLine="8"/>
        <w:spacing w:after="0" w:line="233" w:lineRule="auto"/>
        <w:tabs>
          <w:tab w:leader="none" w:pos="29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or prior to each Business Day on which such Issuing Bank expects to issue, amend, renew or extend any Letter of Credit, the date of such issuance, amendment, renewal or extension, and the currency and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the Applicable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 as to the Letters of Credit issued by such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57" w:lineRule="exact"/>
        <w:rPr>
          <w:sz w:val="20"/>
          <w:szCs w:val="20"/>
          <w:color w:val="auto"/>
        </w:rPr>
      </w:pPr>
    </w:p>
    <w:p>
      <w:pPr>
        <w:jc w:val="both"/>
        <w:ind w:firstLine="1304"/>
        <w:spacing w:after="0" w:line="239" w:lineRule="auto"/>
        <w:tabs>
          <w:tab w:leader="none" w:pos="1933"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the Applicable Borrower shall be obligated to reimburse the Issuing Banks hereunder for any and all drawings under such Letter of Credit. The Applicable Borrower hereby acknowledges that the issuance of Letters of Credit for the account of Restricted Subsidiaries inures to the benefit of the Applicable Borrower, and that the Applicable Borrower’s business derives substantial benefits from the businesses of such Restricted Subsidiaries.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8"/>
          <w:szCs w:val="18"/>
          <w:u w:val="single" w:color="auto"/>
          <w:color w:val="auto"/>
        </w:rPr>
        <w:t>Funding of Borrowings.</w:t>
      </w:r>
    </w:p>
    <w:p>
      <w:pPr>
        <w:spacing w:after="0" w:line="189" w:lineRule="exact"/>
        <w:rPr>
          <w:sz w:val="20"/>
          <w:szCs w:val="20"/>
          <w:color w:val="auto"/>
        </w:rPr>
      </w:pPr>
    </w:p>
    <w:p>
      <w:pPr>
        <w:jc w:val="both"/>
        <w:ind w:firstLine="1304"/>
        <w:spacing w:after="0" w:line="221" w:lineRule="auto"/>
        <w:tabs>
          <w:tab w:leader="none" w:pos="193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Section 2.05. The Administrative Agent will make such Loans available to the Applicable Borrower by promptly crediting the amounts so received, in like funds, to (x) an account of the Applicable Borrower designated by the Applicable Borrower in the applicable Borrowing Request in the case of Loans denominated in Dollars and (y) an account of the Applicable Borrower in the relevant jurisdiction and designated by the Applicable Borrower in the applicable Borrowing Request, in the case of Loans denominated in a Foreign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Revolving Loans made to finance the reimbursement of an LC Disbursement as provided in Section 2.06(e) shall be remitted by the Administrative Agent to the applicable Issuing Bank.</w:t>
      </w:r>
    </w:p>
    <w:p>
      <w:pPr>
        <w:spacing w:after="0" w:line="176" w:lineRule="exact"/>
        <w:rPr>
          <w:rFonts w:ascii="Arial" w:cs="Arial" w:eastAsia="Arial" w:hAnsi="Arial"/>
          <w:sz w:val="19"/>
          <w:szCs w:val="19"/>
          <w:color w:val="auto"/>
        </w:rPr>
      </w:pPr>
    </w:p>
    <w:p>
      <w:pPr>
        <w:jc w:val="both"/>
        <w:ind w:firstLine="1304"/>
        <w:spacing w:after="0" w:line="234" w:lineRule="auto"/>
        <w:tabs>
          <w:tab w:leader="none" w:pos="19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2.07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an Applicable Borrower, the interest rate applicable to the relevant Class of ABR Loans. If such Lender pays such amount to the Administrative Agent, then such amount shall constitute such Lender’s Loan included in such Borrowing.</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Interest Elections.</w:t>
      </w:r>
    </w:p>
    <w:p>
      <w:pPr>
        <w:spacing w:after="0" w:line="175" w:lineRule="exact"/>
        <w:rPr>
          <w:sz w:val="20"/>
          <w:szCs w:val="20"/>
          <w:color w:val="auto"/>
        </w:rPr>
      </w:pPr>
    </w:p>
    <w:p>
      <w:pPr>
        <w:jc w:val="both"/>
        <w:ind w:firstLine="1304"/>
        <w:spacing w:after="0" w:line="228" w:lineRule="auto"/>
        <w:tabs>
          <w:tab w:leader="none" w:pos="193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Borrowing initially shall be of the Type, and under the applicable Tranche, specified in the applicable Borrowing Request and, in the case of a Eurocurrency Borrowing</w:t>
      </w:r>
      <w:r>
        <w:rPr>
          <w:rFonts w:ascii="Arial" w:cs="Arial" w:eastAsia="Arial" w:hAnsi="Arial"/>
          <w:sz w:val="19"/>
          <w:szCs w:val="19"/>
          <w:u w:val="single" w:color="auto"/>
          <w:color w:val="0000FF"/>
        </w:rPr>
        <w:t>, USD Term SOFR Borrowing</w:t>
      </w:r>
      <w:r>
        <w:rPr>
          <w:rFonts w:ascii="Arial" w:cs="Arial" w:eastAsia="Arial" w:hAnsi="Arial"/>
          <w:sz w:val="19"/>
          <w:szCs w:val="19"/>
          <w:color w:val="auto"/>
        </w:rPr>
        <w:t xml:space="preserve"> or RFR Borrowing, shall have an initial Interest Period as specified in such Borrowing Request. Thereafter, subject to clause (f) below, the Applicable Borrower may elect to convert such Borrowing to a different Type or to continue such Borrowing and, in the case of a Eurocurrency Borrowing</w:t>
      </w:r>
      <w:r>
        <w:rPr>
          <w:rFonts w:ascii="Arial" w:cs="Arial" w:eastAsia="Arial" w:hAnsi="Arial"/>
          <w:sz w:val="19"/>
          <w:szCs w:val="19"/>
          <w:u w:val="single" w:color="auto"/>
          <w:color w:val="0000FF"/>
        </w:rPr>
        <w:t>, USD Term SOFR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Borrowing</w:t>
      </w:r>
      <w:r>
        <w:rPr>
          <w:rFonts w:ascii="Arial" w:cs="Arial" w:eastAsia="Arial" w:hAnsi="Arial"/>
          <w:sz w:val="19"/>
          <w:szCs w:val="19"/>
          <w:color w:val="0000FF"/>
        </w:rPr>
        <w:t xml:space="preserve"> </w:t>
      </w:r>
      <w:r>
        <w:rPr>
          <w:rFonts w:ascii="Arial" w:cs="Arial" w:eastAsia="Arial" w:hAnsi="Arial"/>
          <w:sz w:val="19"/>
          <w:szCs w:val="19"/>
          <w:color w:val="000000"/>
        </w:rPr>
        <w:t>or RFR Borrowing, may elect Interest Periods therefor, all as provided in this Section 2.08. The Applicable Borrower may elect</w:t>
      </w:r>
      <w:r>
        <w:rPr>
          <w:rFonts w:ascii="Arial" w:cs="Arial" w:eastAsia="Arial" w:hAnsi="Arial"/>
          <w:sz w:val="19"/>
          <w:szCs w:val="19"/>
          <w:color w:val="0000FF"/>
        </w:rPr>
        <w:t xml:space="preserve"> </w:t>
      </w:r>
      <w:r>
        <w:rPr>
          <w:rFonts w:ascii="Arial" w:cs="Arial" w:eastAsia="Arial" w:hAnsi="Arial"/>
          <w:sz w:val="19"/>
          <w:szCs w:val="19"/>
          <w:color w:val="000000"/>
        </w:rPr>
        <w:t>different options with respect to different portions of the affected Borrowing,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case each such portion shall be allocated ratably among the Lenders holding the Loans comprising such Borrowing, and the Loans comprising each such portion shall be considered a separate Borrowing. This Section 2.08 shall not apply to Swingline Loans, which may not</w:t>
      </w:r>
    </w:p>
    <w:p>
      <w:pPr>
        <w:ind w:right="20"/>
        <w:spacing w:after="0" w:line="227" w:lineRule="auto"/>
        <w:rPr>
          <w:sz w:val="20"/>
          <w:szCs w:val="20"/>
          <w:color w:val="auto"/>
        </w:rPr>
      </w:pPr>
      <w:r>
        <w:rPr>
          <w:rFonts w:ascii="Arial" w:cs="Arial" w:eastAsia="Arial" w:hAnsi="Arial"/>
          <w:sz w:val="20"/>
          <w:szCs w:val="20"/>
          <w:color w:val="auto"/>
        </w:rPr>
        <w:t>be converted or continued. Notwithstanding any other provision of this Section 2.08, the Applicable Borrower shall not be permitted to change the Tranche of any Borrowing, except as otherwise expressly contemplated by Section 2.22.</w:t>
      </w:r>
    </w:p>
    <w:p>
      <w:pPr>
        <w:spacing w:after="0" w:line="156" w:lineRule="exact"/>
        <w:rPr>
          <w:sz w:val="20"/>
          <w:szCs w:val="20"/>
          <w:color w:val="auto"/>
        </w:rPr>
      </w:pPr>
    </w:p>
    <w:p>
      <w:pPr>
        <w:jc w:val="both"/>
        <w:ind w:firstLine="1304"/>
        <w:spacing w:after="0" w:line="235" w:lineRule="auto"/>
        <w:tabs>
          <w:tab w:leader="none" w:pos="193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make an election pursuant to this Section 2.08, the Applicable Borrower shall notify the Administrative Agent of such election (which may be made (x) telephonically and followed by irrevocable written notice via an Interest Election Request in a form approved by the Administrative Agent and signed by the Applicable Borrower in the case of a borrowing denominated in Dollars or (y) by irrevocable written notice via an Interest Election Request in a form approved by the Administrative Agent and signed by the Applicable Borrower in the case of a borrowing denominated in a Foreign Currency) by the time that a Borrowing Request would be required under Section 2.03 if the Applicable Borrower were requesting a Borrowing of the Type and Class resulting from such election to be made on the effective date of such election. Notwithstanding any contrary provision herein, this Section 2.08 shall not be construed to permit the Applicable Borrower to (i) change the currency of any Borrowing, (ii) elect an Interest Period for Eurocurrency Loans</w:t>
      </w:r>
      <w:r>
        <w:rPr>
          <w:rFonts w:ascii="Arial" w:cs="Arial" w:eastAsia="Arial" w:hAnsi="Arial"/>
          <w:sz w:val="18"/>
          <w:szCs w:val="18"/>
          <w:u w:val="single" w:color="auto"/>
          <w:color w:val="0000FF"/>
        </w:rPr>
        <w:t>, USD Term SOFR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Loans</w:t>
      </w:r>
      <w:r>
        <w:rPr>
          <w:rFonts w:ascii="Arial" w:cs="Arial" w:eastAsia="Arial" w:hAnsi="Arial"/>
          <w:sz w:val="18"/>
          <w:szCs w:val="18"/>
          <w:color w:val="0000FF"/>
        </w:rPr>
        <w:t xml:space="preserve"> </w:t>
      </w:r>
      <w:r>
        <w:rPr>
          <w:rFonts w:ascii="Arial" w:cs="Arial" w:eastAsia="Arial" w:hAnsi="Arial"/>
          <w:sz w:val="18"/>
          <w:szCs w:val="18"/>
          <w:color w:val="000000"/>
        </w:rPr>
        <w:t>or RFR Loans that does not comply with Section 2.02(c) or (iii) convert any Borrowing to a Borrowing of a Type not available under</w:t>
      </w:r>
      <w:r>
        <w:rPr>
          <w:rFonts w:ascii="Arial" w:cs="Arial" w:eastAsia="Arial" w:hAnsi="Arial"/>
          <w:sz w:val="18"/>
          <w:szCs w:val="18"/>
          <w:color w:val="0000FF"/>
        </w:rPr>
        <w:t xml:space="preserve"> </w:t>
      </w:r>
      <w:r>
        <w:rPr>
          <w:rFonts w:ascii="Arial" w:cs="Arial" w:eastAsia="Arial" w:hAnsi="Arial"/>
          <w:sz w:val="18"/>
          <w:szCs w:val="18"/>
          <w:color w:val="000000"/>
        </w:rPr>
        <w:t>the Class of Commitments or the Tranche pursuant to which such Borrowing was made.</w:t>
      </w:r>
    </w:p>
    <w:p>
      <w:pPr>
        <w:spacing w:after="0" w:line="173" w:lineRule="exact"/>
        <w:rPr>
          <w:rFonts w:ascii="Arial" w:cs="Arial" w:eastAsia="Arial" w:hAnsi="Arial"/>
          <w:sz w:val="18"/>
          <w:szCs w:val="18"/>
          <w:color w:val="auto"/>
        </w:rPr>
      </w:pPr>
    </w:p>
    <w:p>
      <w:pPr>
        <w:ind w:left="1940" w:hanging="636"/>
        <w:spacing w:after="0"/>
        <w:tabs>
          <w:tab w:leader="none" w:pos="19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2.02:</w:t>
      </w:r>
    </w:p>
    <w:p>
      <w:pPr>
        <w:spacing w:after="0" w:line="159" w:lineRule="exact"/>
        <w:rPr>
          <w:rFonts w:ascii="Arial" w:cs="Arial" w:eastAsia="Arial" w:hAnsi="Arial"/>
          <w:sz w:val="18"/>
          <w:szCs w:val="18"/>
          <w:color w:val="auto"/>
        </w:rPr>
      </w:pPr>
    </w:p>
    <w:p>
      <w:pPr>
        <w:jc w:val="both"/>
        <w:ind w:left="660" w:firstLine="1292"/>
        <w:spacing w:after="0" w:line="239" w:lineRule="auto"/>
        <w:tabs>
          <w:tab w:leader="none" w:pos="2602"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7" w:lineRule="exact"/>
        <w:rPr>
          <w:rFonts w:ascii="Arial" w:cs="Arial" w:eastAsia="Arial" w:hAnsi="Arial"/>
          <w:sz w:val="19"/>
          <w:szCs w:val="19"/>
          <w:color w:val="auto"/>
        </w:rPr>
      </w:pPr>
    </w:p>
    <w:p>
      <w:pPr>
        <w:ind w:left="2600" w:hanging="648"/>
        <w:spacing w:after="0"/>
        <w:tabs>
          <w:tab w:leader="none" w:pos="26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w:t>
      </w:r>
    </w:p>
    <w:p>
      <w:pPr>
        <w:spacing w:after="0" w:line="3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Day;</w:t>
      </w:r>
    </w:p>
    <w:p>
      <w:pPr>
        <w:spacing w:after="0" w:line="172" w:lineRule="exact"/>
        <w:rPr>
          <w:rFonts w:ascii="Arial" w:cs="Arial" w:eastAsia="Arial" w:hAnsi="Arial"/>
          <w:sz w:val="16"/>
          <w:szCs w:val="16"/>
          <w:color w:val="auto"/>
        </w:rPr>
      </w:pPr>
    </w:p>
    <w:p>
      <w:pPr>
        <w:ind w:left="660" w:firstLine="1292"/>
        <w:spacing w:after="0" w:line="229" w:lineRule="auto"/>
        <w:tabs>
          <w:tab w:leader="none" w:pos="2604" w:val="left"/>
        </w:tabs>
        <w:numPr>
          <w:ilvl w:val="1"/>
          <w:numId w:val="170"/>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a Eurocurrency Borrowing</w:t>
      </w:r>
      <w:r>
        <w:rPr>
          <w:rFonts w:ascii="Arial" w:cs="Arial" w:eastAsia="Arial" w:hAnsi="Arial"/>
          <w:sz w:val="20"/>
          <w:szCs w:val="20"/>
          <w:u w:val="single" w:color="auto"/>
          <w:color w:val="0000FF"/>
        </w:rPr>
        <w:t>, a USD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 Borrowing</w:t>
      </w:r>
      <w:r>
        <w:rPr>
          <w:rFonts w:ascii="Arial" w:cs="Arial" w:eastAsia="Arial" w:hAnsi="Arial"/>
          <w:sz w:val="20"/>
          <w:szCs w:val="20"/>
          <w:color w:val="0000FF"/>
        </w:rPr>
        <w:t xml:space="preserve"> </w:t>
      </w:r>
      <w:r>
        <w:rPr>
          <w:rFonts w:ascii="Arial" w:cs="Arial" w:eastAsia="Arial" w:hAnsi="Arial"/>
          <w:sz w:val="20"/>
          <w:szCs w:val="20"/>
          <w:color w:val="000000"/>
        </w:rPr>
        <w:t>or an RFR Borrowing; and</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593" w:val="left"/>
        </w:tabs>
        <w:numPr>
          <w:ilvl w:val="1"/>
          <w:numId w:val="170"/>
        </w:numPr>
        <w:rPr>
          <w:rFonts w:ascii="Arial" w:cs="Arial" w:eastAsia="Arial" w:hAnsi="Arial"/>
          <w:sz w:val="20"/>
          <w:szCs w:val="20"/>
          <w:color w:val="auto"/>
        </w:rPr>
      </w:pPr>
      <w:r>
        <w:rPr>
          <w:rFonts w:ascii="Arial" w:cs="Arial" w:eastAsia="Arial" w:hAnsi="Arial"/>
          <w:sz w:val="20"/>
          <w:szCs w:val="20"/>
          <w:color w:val="auto"/>
        </w:rPr>
        <w:t>if the resulting Borrowing is a Eurocurrency Borrowing</w:t>
      </w:r>
      <w:r>
        <w:rPr>
          <w:rFonts w:ascii="Arial" w:cs="Arial" w:eastAsia="Arial" w:hAnsi="Arial"/>
          <w:sz w:val="20"/>
          <w:szCs w:val="20"/>
          <w:u w:val="single" w:color="auto"/>
          <w:color w:val="0000FF"/>
        </w:rPr>
        <w:t>, USD Term SOFR Borrowing</w:t>
      </w:r>
      <w:r>
        <w:rPr>
          <w:rFonts w:ascii="Arial" w:cs="Arial" w:eastAsia="Arial" w:hAnsi="Arial"/>
          <w:sz w:val="20"/>
          <w:szCs w:val="20"/>
          <w:color w:val="auto"/>
        </w:rPr>
        <w:t xml:space="preserve"> or RFR Borrowing, the Interest Period and Agreed Currency to be applicable thereto after giving effect to such election, which Interest Period shall be a period contemplated by the definition of the term “Interest Period”.</w:t>
      </w:r>
    </w:p>
    <w:p>
      <w:pPr>
        <w:spacing w:after="0" w:line="16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If any such Interest Election Request requests a Eurocurrency Borrowing</w:t>
      </w:r>
      <w:r>
        <w:rPr>
          <w:rFonts w:ascii="Arial" w:cs="Arial" w:eastAsia="Arial" w:hAnsi="Arial"/>
          <w:sz w:val="18"/>
          <w:szCs w:val="18"/>
          <w:u w:val="single" w:color="auto"/>
          <w:color w:val="0000FF"/>
        </w:rPr>
        <w:t>, USD Term SOFR Borrowing</w:t>
      </w:r>
      <w:r>
        <w:rPr>
          <w:rFonts w:ascii="Arial" w:cs="Arial" w:eastAsia="Arial" w:hAnsi="Arial"/>
          <w:sz w:val="18"/>
          <w:szCs w:val="18"/>
          <w:color w:val="auto"/>
        </w:rPr>
        <w:t xml:space="preserve"> or RFR Borrowing but does not specify an Interest Period, then the Applicable Borrower shall be deemed to have selected an Interest Period of one month’s duration.</w:t>
      </w:r>
    </w:p>
    <w:p>
      <w:pPr>
        <w:spacing w:after="0" w:line="102" w:lineRule="exact"/>
        <w:rPr>
          <w:sz w:val="20"/>
          <w:szCs w:val="20"/>
          <w:color w:val="auto"/>
        </w:rPr>
      </w:pPr>
    </w:p>
    <w:p>
      <w:pPr>
        <w:ind w:firstLine="1304"/>
        <w:spacing w:after="0" w:line="229" w:lineRule="auto"/>
        <w:tabs>
          <w:tab w:leader="none" w:pos="193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applicable Lender of the details thereof and of such Lender’s portion of each resulting Borrowing.</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the Applicable Borrower fails to deliver a timely Interest Election Request with respect to a Eurocurrency Borrowing</w:t>
      </w:r>
      <w:r>
        <w:rPr>
          <w:rFonts w:ascii="Arial" w:cs="Arial" w:eastAsia="Arial" w:hAnsi="Arial"/>
          <w:sz w:val="20"/>
          <w:szCs w:val="20"/>
          <w:u w:val="single" w:color="auto"/>
          <w:color w:val="0000FF"/>
        </w:rPr>
        <w:t>, USD Term SOFR Borrowing</w:t>
      </w:r>
      <w:r>
        <w:rPr>
          <w:rFonts w:ascii="Arial" w:cs="Arial" w:eastAsia="Arial" w:hAnsi="Arial"/>
          <w:sz w:val="20"/>
          <w:szCs w:val="20"/>
          <w:color w:val="auto"/>
        </w:rPr>
        <w:t xml:space="preserve"> or RFR Borrowing prior to the end of the Interest Period applicable thereto, then, unless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35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is repaid as provided herein, at the end of such Interest Period, (i) in the case of a Borrowing of Initial Term Loans, such Borrowing shall continue as a Eurocurrency Borrowing </w:t>
      </w:r>
      <w:r>
        <w:rPr>
          <w:rFonts w:ascii="Arial" w:cs="Arial" w:eastAsia="Arial" w:hAnsi="Arial"/>
          <w:sz w:val="18"/>
          <w:szCs w:val="18"/>
          <w:color w:val="0000FF"/>
        </w:rPr>
        <w:t>or USD Term SOFR Borrowing, as applicable,</w:t>
      </w:r>
      <w:r>
        <w:rPr>
          <w:rFonts w:ascii="Arial" w:cs="Arial" w:eastAsia="Arial" w:hAnsi="Arial"/>
          <w:sz w:val="18"/>
          <w:szCs w:val="18"/>
          <w:color w:val="auto"/>
        </w:rPr>
        <w:t xml:space="preserve"> with a three month Interest Period, (ii)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-6985</wp:posOffset>
            </wp:positionV>
            <wp:extent cx="24244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242443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any other Borrowing denominated in Dollars, such Borrowing shall be converted to an ABR Borrowing and (iii) in the case of a Borrowing</w:t>
      </w:r>
    </w:p>
    <w:p>
      <w:pPr>
        <w:spacing w:after="0" w:line="226" w:lineRule="auto"/>
        <w:rPr>
          <w:sz w:val="20"/>
          <w:szCs w:val="20"/>
          <w:color w:val="auto"/>
        </w:rPr>
      </w:pPr>
      <w:r>
        <w:rPr>
          <w:rFonts w:ascii="Arial" w:cs="Arial" w:eastAsia="Arial" w:hAnsi="Arial"/>
          <w:sz w:val="18"/>
          <w:szCs w:val="18"/>
          <w:color w:val="auto"/>
        </w:rPr>
        <w:t>denominated in a Foreign Currency in respect of which such Borrower shall have failed to deliver an Interest Election Request prior to the third (3rd) Business Day preceding the end of such Interest Period, such Borrowing shall automatically continue as a Eurocurrency</w:t>
      </w:r>
    </w:p>
    <w:p>
      <w:pPr>
        <w:spacing w:after="0" w:line="236" w:lineRule="auto"/>
        <w:rPr>
          <w:sz w:val="20"/>
          <w:szCs w:val="20"/>
          <w:color w:val="auto"/>
        </w:rPr>
      </w:pPr>
      <w:r>
        <w:rPr>
          <w:rFonts w:ascii="Arial" w:cs="Arial" w:eastAsia="Arial" w:hAnsi="Arial"/>
          <w:sz w:val="18"/>
          <w:szCs w:val="18"/>
          <w:color w:val="auto"/>
        </w:rPr>
        <w:t>Borrowing or RFR Borrowing, as applicable, in the same Agreed Currency with a one month Interest Period. Notwithstanding any contrary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provision hereof, if an Event of Default has occurred and is continuing and the Administrative Agent, at the request of the Required Lenders, so notifies the Applicable Borrower, then, so long as an Event of Default is continuing (i) no outstanding Borrowing may be converted to or</w:t>
      </w:r>
    </w:p>
    <w:p>
      <w:pPr>
        <w:spacing w:after="0" w:line="224" w:lineRule="auto"/>
        <w:rPr>
          <w:sz w:val="20"/>
          <w:szCs w:val="20"/>
          <w:color w:val="auto"/>
        </w:rPr>
      </w:pPr>
      <w:r>
        <w:rPr>
          <w:rFonts w:ascii="Arial" w:cs="Arial" w:eastAsia="Arial" w:hAnsi="Arial"/>
          <w:sz w:val="19"/>
          <w:szCs w:val="19"/>
          <w:color w:val="auto"/>
        </w:rPr>
        <w:t>continued as a Eurocurrency Borrowing</w:t>
      </w:r>
      <w:r>
        <w:rPr>
          <w:rFonts w:ascii="Arial" w:cs="Arial" w:eastAsia="Arial" w:hAnsi="Arial"/>
          <w:sz w:val="19"/>
          <w:szCs w:val="19"/>
          <w:u w:val="single" w:color="auto"/>
          <w:color w:val="0000FF"/>
        </w:rPr>
        <w:t>, USD Term SOFR Borrowing</w:t>
      </w:r>
      <w:r>
        <w:rPr>
          <w:rFonts w:ascii="Arial" w:cs="Arial" w:eastAsia="Arial" w:hAnsi="Arial"/>
          <w:sz w:val="19"/>
          <w:szCs w:val="19"/>
          <w:color w:val="auto"/>
        </w:rPr>
        <w:t xml:space="preserve"> or RFR Borrowing and (ii) unless repaid, each Eurocurrency</w:t>
      </w:r>
    </w:p>
    <w:p>
      <w:pPr>
        <w:spacing w:after="0" w:line="215" w:lineRule="auto"/>
        <w:rPr>
          <w:sz w:val="20"/>
          <w:szCs w:val="20"/>
          <w:color w:val="auto"/>
        </w:rPr>
      </w:pPr>
      <w:r>
        <w:rPr>
          <w:rFonts w:ascii="Arial" w:cs="Arial" w:eastAsia="Arial" w:hAnsi="Arial"/>
          <w:sz w:val="19"/>
          <w:szCs w:val="19"/>
          <w:color w:val="auto"/>
        </w:rPr>
        <w:t>Borrowing</w:t>
      </w:r>
      <w:r>
        <w:rPr>
          <w:rFonts w:ascii="Arial" w:cs="Arial" w:eastAsia="Arial" w:hAnsi="Arial"/>
          <w:sz w:val="19"/>
          <w:szCs w:val="19"/>
          <w:u w:val="single" w:color="auto"/>
          <w:color w:val="0000FF"/>
        </w:rPr>
        <w:t>, USD Term SOFR Borrowing</w:t>
      </w:r>
      <w:r>
        <w:rPr>
          <w:rFonts w:ascii="Arial" w:cs="Arial" w:eastAsia="Arial" w:hAnsi="Arial"/>
          <w:sz w:val="19"/>
          <w:szCs w:val="19"/>
          <w:color w:val="auto"/>
        </w:rPr>
        <w:t xml:space="preserve"> and RFR Borrowing shall be converted to an ABR Borrowing (and any such Eurocurrency Borrowing denominated in a Foreign Currency and any such RFR Borrowing shall be redenominated in Dollars, based on the Dollar</w:t>
      </w:r>
    </w:p>
    <w:p>
      <w:pPr>
        <w:spacing w:after="0"/>
        <w:rPr>
          <w:sz w:val="20"/>
          <w:szCs w:val="20"/>
          <w:color w:val="auto"/>
        </w:rPr>
      </w:pPr>
      <w:r>
        <w:rPr>
          <w:rFonts w:ascii="Arial" w:cs="Arial" w:eastAsia="Arial" w:hAnsi="Arial"/>
          <w:sz w:val="20"/>
          <w:szCs w:val="20"/>
          <w:color w:val="auto"/>
        </w:rPr>
        <w:t>Amounts thereof, at the time of such conversion) at the end of the Interest Period applicable thereto.</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u w:val="single" w:color="auto"/>
          <w:color w:val="auto"/>
        </w:rPr>
        <w:t>Termination and Reduction of Commitments.</w:t>
      </w:r>
    </w:p>
    <w:p>
      <w:pPr>
        <w:spacing w:after="0" w:line="175" w:lineRule="exact"/>
        <w:rPr>
          <w:sz w:val="20"/>
          <w:szCs w:val="20"/>
          <w:color w:val="auto"/>
        </w:rPr>
      </w:pPr>
    </w:p>
    <w:p>
      <w:pPr>
        <w:jc w:val="both"/>
        <w:ind w:firstLine="1304"/>
        <w:spacing w:after="0" w:line="227" w:lineRule="auto"/>
        <w:tabs>
          <w:tab w:leader="none" w:pos="193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Unless previously terminated, the Lux Term Loan Commitment of each Term Lender shall automatically and permanently terminate at 5:00 PM, New York City time, on the Closing Date (after giving effect to the incurrence of Lux Term Loans on such date).</w:t>
      </w:r>
    </w:p>
    <w:p>
      <w:pPr>
        <w:spacing w:after="0" w:line="157" w:lineRule="exact"/>
        <w:rPr>
          <w:rFonts w:ascii="Arial" w:cs="Arial" w:eastAsia="Arial" w:hAnsi="Arial"/>
          <w:sz w:val="20"/>
          <w:szCs w:val="20"/>
          <w:color w:val="auto"/>
        </w:rPr>
      </w:pPr>
    </w:p>
    <w:p>
      <w:pPr>
        <w:jc w:val="both"/>
        <w:ind w:firstLine="1304"/>
        <w:spacing w:after="0" w:line="227" w:lineRule="auto"/>
        <w:tabs>
          <w:tab w:leader="none" w:pos="1932"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Unless previously terminated, the U.S. Term Loan Commitment of each Term Lender shall automatically and permanently terminate at 5:00 PM, New York City time, on the Closing Date (after giving effect to the incurrence of U.S. Term Loans on such date).</w:t>
      </w:r>
    </w:p>
    <w:p>
      <w:pPr>
        <w:spacing w:after="0" w:line="157" w:lineRule="exact"/>
        <w:rPr>
          <w:rFonts w:ascii="Arial" w:cs="Arial" w:eastAsia="Arial" w:hAnsi="Arial"/>
          <w:sz w:val="20"/>
          <w:szCs w:val="20"/>
          <w:color w:val="auto"/>
        </w:rPr>
      </w:pPr>
    </w:p>
    <w:p>
      <w:pPr>
        <w:ind w:firstLine="1304"/>
        <w:spacing w:after="0" w:line="236" w:lineRule="auto"/>
        <w:tabs>
          <w:tab w:leader="none" w:pos="193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Unless previously terminated, the Revolving Commitment of each Revolving Lender shall automatically and permanently termination on the relevant Maturity Date.</w:t>
      </w:r>
    </w:p>
    <w:p>
      <w:pPr>
        <w:spacing w:after="0" w:line="168" w:lineRule="exact"/>
        <w:rPr>
          <w:rFonts w:ascii="Arial" w:cs="Arial" w:eastAsia="Arial" w:hAnsi="Arial"/>
          <w:sz w:val="20"/>
          <w:szCs w:val="20"/>
          <w:color w:val="auto"/>
        </w:rPr>
      </w:pPr>
    </w:p>
    <w:p>
      <w:pPr>
        <w:jc w:val="both"/>
        <w:ind w:firstLine="1304"/>
        <w:spacing w:after="0" w:line="214" w:lineRule="auto"/>
        <w:tabs>
          <w:tab w:leader="none" w:pos="1932"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Any Revolving Borrower (on behalf of all of the Revolving Borrowers) may at any time terminate, or from time to time reduce, the Revolving Commitments of any Class;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such Revolving Commitments shall be in an amount that is an integral multiple of $5,000,000 and not less than $10,000,000 and (ii) the Revolving Borrowers shall not terminate or reduce any Revolving Commitments if, after giving effect to any concurrent prepayment of the Revolving Loans of such Class in accordance with Section 2.11, the Dollar Amount of the sum of the total Revolving Credit Exposures in respect of such Class would exceed the aggregate Revolving Commitments of such Class.</w:t>
      </w:r>
    </w:p>
    <w:p>
      <w:pPr>
        <w:spacing w:after="0" w:line="173" w:lineRule="exact"/>
        <w:rPr>
          <w:rFonts w:ascii="Arial" w:cs="Arial" w:eastAsia="Arial" w:hAnsi="Arial"/>
          <w:sz w:val="20"/>
          <w:szCs w:val="20"/>
          <w:color w:val="auto"/>
        </w:rPr>
      </w:pPr>
    </w:p>
    <w:p>
      <w:pPr>
        <w:jc w:val="both"/>
        <w:ind w:firstLine="1304"/>
        <w:spacing w:after="0" w:line="221" w:lineRule="auto"/>
        <w:tabs>
          <w:tab w:leader="none" w:pos="193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Any applicable Revolving Borrower shall notify the Administrative Agent of any election to terminate or reduce the Revolving Commitments of any Class under Section 2.09(d)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any Revolving Borrower pursuant to this Section 2.09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Revolving Commitments of any Class delivered by any Revolving Borrower may state that such notice is conditioned upon the effectiveness of other credit facilities or one or more other events specified therein, in which case such notice may be revoked by such Revolving Borrower (by notice to the Administrative Agent on or prior to the specified effective date) if such condition is not satisfied. Any termination or reduction of the Revolving Commitments of any Class shall be permanent. Each reduction of the Revolving Commitments of any Class shall be made ratably among the applicable Lenders in accordance with their respective Revolving Commitments of such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3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Repayment of Loans; Evidence of Debt.</w:t>
      </w:r>
    </w:p>
    <w:p>
      <w:pPr>
        <w:spacing w:after="0" w:line="175" w:lineRule="exact"/>
        <w:rPr>
          <w:sz w:val="20"/>
          <w:szCs w:val="20"/>
          <w:color w:val="auto"/>
        </w:rPr>
      </w:pPr>
    </w:p>
    <w:p>
      <w:pPr>
        <w:jc w:val="both"/>
        <w:ind w:firstLine="1304"/>
        <w:spacing w:after="0" w:line="224" w:lineRule="auto"/>
        <w:tabs>
          <w:tab w:leader="none" w:pos="1934" w:val="left"/>
        </w:tabs>
        <w:numPr>
          <w:ilvl w:val="1"/>
          <w:numId w:val="173"/>
        </w:numPr>
        <w:rPr>
          <w:rFonts w:ascii="Arial" w:cs="Arial" w:eastAsia="Arial" w:hAnsi="Arial"/>
          <w:sz w:val="19"/>
          <w:szCs w:val="19"/>
          <w:color w:val="auto"/>
        </w:rPr>
      </w:pPr>
      <w:r>
        <w:rPr>
          <w:rFonts w:ascii="Arial" w:cs="Arial" w:eastAsia="Arial" w:hAnsi="Arial"/>
          <w:sz w:val="19"/>
          <w:szCs w:val="19"/>
          <w:color w:val="auto"/>
        </w:rPr>
        <w:t>(i) The Lux Borrower and the Lux U.S. Subsidiary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Arial" w:cs="Arial" w:eastAsia="Arial" w:hAnsi="Arial"/>
          <w:sz w:val="19"/>
          <w:szCs w:val="19"/>
          <w:u w:val="single" w:color="auto"/>
          <w:color w:val="auto"/>
        </w:rPr>
        <w:t>Lux Term Loan Repayment Date</w:t>
      </w:r>
      <w:r>
        <w:rPr>
          <w:rFonts w:ascii="Arial" w:cs="Arial" w:eastAsia="Arial" w:hAnsi="Arial"/>
          <w:sz w:val="19"/>
          <w:szCs w:val="19"/>
          <w:color w:val="auto"/>
        </w:rPr>
        <w:t xml:space="preserve">”), a principal amount of the Lux Term Loans equal to 0.25% of the initial aggregate principal amount of such Lux Term Loans (as adjusted from time to time pursuant to Section 2.11), together in each case with accrued and unpaid interest on the principal amount to be paid to but excluding the date of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specified in the applicable Extension Offer, amortization payments required with respect to Extended Term Loans that are Lux Term Loans for periods solely after the applicable Maturity Date for Lux Term Loans shall be as specified in the applicable Extension Offer. All unpaid Lux Term Loans shall be paid in full in Dollars by the Lux Borrower and the Lux U.S. Subsidiary Borrower on the applicable Maturity Date.</w:t>
      </w:r>
    </w:p>
    <w:p>
      <w:pPr>
        <w:spacing w:after="0" w:line="162" w:lineRule="exact"/>
        <w:rPr>
          <w:rFonts w:ascii="Arial" w:cs="Arial" w:eastAsia="Arial" w:hAnsi="Arial"/>
          <w:sz w:val="19"/>
          <w:szCs w:val="19"/>
          <w:color w:val="auto"/>
        </w:rPr>
      </w:pPr>
    </w:p>
    <w:p>
      <w:pPr>
        <w:ind w:right="20" w:firstLine="1052"/>
        <w:spacing w:after="0" w:line="237" w:lineRule="auto"/>
        <w:tabs>
          <w:tab w:leader="none" w:pos="133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U.S.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Arial" w:cs="Arial" w:eastAsia="Arial" w:hAnsi="Arial"/>
          <w:sz w:val="18"/>
          <w:szCs w:val="18"/>
          <w:u w:val="single" w:color="auto"/>
          <w:color w:val="auto"/>
        </w:rPr>
        <w:t>U.S. Term Loan Repayment Date</w:t>
      </w:r>
      <w:r>
        <w:rPr>
          <w:rFonts w:ascii="Arial" w:cs="Arial" w:eastAsia="Arial" w:hAnsi="Arial"/>
          <w:sz w:val="18"/>
          <w:szCs w:val="18"/>
          <w:color w:val="auto"/>
        </w:rPr>
        <w:t xml:space="preserve">”), a principal amount of the U.S. Term Loans equal to 0.25% of the initial aggregate principal amount of such U.S. Term Loans (as adjusted from time to time pursuant to Section 2.11), together in each case with accrued and unpaid interest on the principal amount to be paid to but excluding the date of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specified in the applicable Extension Offer, amortization payments required with respect to Extended Term Loans that are U.S. Term Loans for periods solely after the applicable Maturity Date for U.S. Term Loans shall be as specified in the applicable Extension Offer. All unpaid U.S. Term Loans shall be paid in full in Dollars by the U.S. Borrower on the applicable Maturity Date.</w:t>
      </w:r>
    </w:p>
    <w:p>
      <w:pPr>
        <w:spacing w:after="0" w:line="173" w:lineRule="exact"/>
        <w:rPr>
          <w:rFonts w:ascii="Arial" w:cs="Arial" w:eastAsia="Arial" w:hAnsi="Arial"/>
          <w:sz w:val="18"/>
          <w:szCs w:val="18"/>
          <w:color w:val="auto"/>
        </w:rPr>
      </w:pPr>
    </w:p>
    <w:p>
      <w:pPr>
        <w:ind w:right="40" w:firstLine="1052"/>
        <w:spacing w:after="0" w:line="214" w:lineRule="auto"/>
        <w:tabs>
          <w:tab w:leader="none" w:pos="139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Applicable Borrower shall pay (A) to the Administrative Agent for the account of each Revolving Lender the then unpaid principal amount of each Revolving Loan on the Maturity Date in the currency of such Loan and (B) to the Swingline Lender the then unpaid principal amount of each Swingline Loan on the earlier of the Latest Maturity Date with respect to any Revolving Commitments and the first date after such Swingline Loan is made that is the 15th or last day of a calendar month and is at least two (2) Business Days after such Swingline Loan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 each date that a Revolving Borrowing is made, the Applicable Borrower shall repay all Swingline Loans then outstanding.</w:t>
      </w:r>
    </w:p>
    <w:p>
      <w:pPr>
        <w:spacing w:after="0" w:line="173" w:lineRule="exact"/>
        <w:rPr>
          <w:rFonts w:ascii="Arial" w:cs="Arial" w:eastAsia="Arial" w:hAnsi="Arial"/>
          <w:sz w:val="20"/>
          <w:szCs w:val="20"/>
          <w:color w:val="auto"/>
        </w:rPr>
      </w:pPr>
    </w:p>
    <w:p>
      <w:pPr>
        <w:jc w:val="both"/>
        <w:ind w:firstLine="1304"/>
        <w:spacing w:after="0" w:line="223" w:lineRule="auto"/>
        <w:tabs>
          <w:tab w:leader="none" w:pos="1932" w:val="left"/>
        </w:tabs>
        <w:numPr>
          <w:ilvl w:val="1"/>
          <w:numId w:val="174"/>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168" w:lineRule="exact"/>
        <w:rPr>
          <w:rFonts w:ascii="Arial" w:cs="Arial" w:eastAsia="Arial" w:hAnsi="Arial"/>
          <w:sz w:val="20"/>
          <w:szCs w:val="20"/>
          <w:color w:val="auto"/>
        </w:rPr>
      </w:pPr>
    </w:p>
    <w:p>
      <w:pPr>
        <w:jc w:val="both"/>
        <w:ind w:firstLine="1304"/>
        <w:spacing w:after="0" w:line="215" w:lineRule="auto"/>
        <w:tabs>
          <w:tab w:leader="none" w:pos="1934"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Tranche under which it was made, the Class, Agreed Currency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71" w:lineRule="exact"/>
        <w:rPr>
          <w:rFonts w:ascii="Arial" w:cs="Arial" w:eastAsia="Arial" w:hAnsi="Arial"/>
          <w:sz w:val="20"/>
          <w:szCs w:val="20"/>
          <w:color w:val="auto"/>
        </w:rPr>
      </w:pPr>
    </w:p>
    <w:p>
      <w:pPr>
        <w:jc w:val="both"/>
        <w:ind w:firstLine="1304"/>
        <w:spacing w:after="0" w:line="235" w:lineRule="auto"/>
        <w:tabs>
          <w:tab w:leader="none" w:pos="1932"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paragraph (b) or (c) of this Section 2.10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Applicable Borrower to repay the Loans in accordance with the terms of this Agreement;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in the case of any conflict between the accounts maintained pursuant to paragraph (b) and the Register, the Register shall control.</w:t>
      </w:r>
    </w:p>
    <w:p>
      <w:pPr>
        <w:spacing w:after="0" w:line="169" w:lineRule="exact"/>
        <w:rPr>
          <w:sz w:val="20"/>
          <w:szCs w:val="20"/>
          <w:color w:val="auto"/>
        </w:rPr>
      </w:pPr>
    </w:p>
    <w:p>
      <w:pPr>
        <w:jc w:val="both"/>
        <w:ind w:firstLine="1304"/>
        <w:spacing w:after="0" w:line="218" w:lineRule="auto"/>
        <w:tabs>
          <w:tab w:leader="none" w:pos="193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Any Lender may request that Loans made by it be evidenced by a promissory note. In such event, the Applicable Borrower shall prepare, execute and deliver to such Lender promissory notes payable to such Lender or its registered assigns and in a form approved by the Administrative Agent. Thereafter, the Loans evidenced by such promissory notes and interest thereon shall at all times (including after assignment pursuant to Section 9.04) be represented by one or more promissory notes in such form payable to the payee named therein or its registered assigns.</w:t>
      </w:r>
    </w:p>
    <w:p>
      <w:pPr>
        <w:spacing w:after="0" w:line="1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p>
    <w:p>
      <w:pPr>
        <w:spacing w:after="0" w:line="189" w:lineRule="exact"/>
        <w:rPr>
          <w:sz w:val="20"/>
          <w:szCs w:val="20"/>
          <w:color w:val="auto"/>
        </w:rPr>
      </w:pPr>
    </w:p>
    <w:p>
      <w:pPr>
        <w:jc w:val="both"/>
        <w:ind w:firstLine="1304"/>
        <w:spacing w:after="0" w:line="231" w:lineRule="auto"/>
        <w:tabs>
          <w:tab w:leader="none" w:pos="193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The Applicable Borrower shall have the right at any time and from time to time to prepay any Borrowing of any Class or Tranche in whole or in part, subject to (i) the premium set forth in Section 2.12(b), (ii) the break funding payments required by Section 2.16 and (iii) prior notice in accordance with the provisions of this Section 2.11(a);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voluntary prepayments of the Initial Term Loans shall be made on a pro rata basis between the two Tranches of Initial Term Loans. The Applicable Borrower shall notify the Administrative Agent (and, in the case of prepayment of a Swingline Loan, the Swingline Lender) by telephone (confirmed by telecopy) of any prepayment hereunder (i) in the case of prepayment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rPr>
        <w:t>USD Term SOFR</w:t>
      </w:r>
      <w:r>
        <w:rPr>
          <w:rFonts w:ascii="Arial" w:cs="Arial" w:eastAsia="Arial" w:hAnsi="Arial"/>
          <w:sz w:val="18"/>
          <w:szCs w:val="18"/>
          <w:color w:val="auto"/>
        </w:rPr>
        <w:t xml:space="preserve"> Borrowing </w:t>
      </w:r>
      <w:r>
        <w:rPr>
          <w:rFonts w:ascii="Arial" w:cs="Arial" w:eastAsia="Arial" w:hAnsi="Arial"/>
          <w:sz w:val="18"/>
          <w:szCs w:val="18"/>
          <w:color w:val="FF0000"/>
          <w:strike w:val="1"/>
        </w:rPr>
        <w:t>denominated in Dollars</w:t>
      </w:r>
      <w:r>
        <w:rPr>
          <w:rFonts w:ascii="Arial" w:cs="Arial" w:eastAsia="Arial" w:hAnsi="Arial"/>
          <w:sz w:val="18"/>
          <w:szCs w:val="18"/>
          <w:color w:val="auto"/>
        </w:rPr>
        <w:t xml:space="preserve">, not later than 11:00 a.m., New York City time, three (3) Business Days before the date of prepayment (or such later time as approved by the Administrative Agent), (ii) in the case of prepayment of a Eurocurrency Borrowing denominated in an Agreed Currency other than Dollars or an RFR Borrowing, not later than 11:00 a.m., New York City time, four (4) Business Days before the date of prepayment (or such later time as approved by the Administrative Agent), (iii) in the case of prepayment of an ABR Borrowing, not later than 11:00 a.m., New York City time, one (1) Business Day before the date of prepayment (or such later time as approved by the Administrative Agent) or (iv) in the case of prepayment of a Swingline Loan, not later than 12:00 noon, New York City time, on the date of prepayment (or such later time as approved by the Administrative Agent). Each such notice shall be irrevocable and shall specify the prepayment date and the principal amount and Class and Tranche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prepayment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as directed by the Applicable Borrower and each mandatory prepayment of a Term Loan Borrowing shall be applied in accordance with Section 2.11(e). Prepayments shall be accompanied by (i) accrued interest to the extent required by Section 2.13 and (ii) break funding payments pursuant to Section 2.16.</w:t>
      </w:r>
    </w:p>
    <w:p>
      <w:pPr>
        <w:spacing w:after="0" w:line="183" w:lineRule="exact"/>
        <w:rPr>
          <w:rFonts w:ascii="Arial" w:cs="Arial" w:eastAsia="Arial" w:hAnsi="Arial"/>
          <w:sz w:val="18"/>
          <w:szCs w:val="18"/>
          <w:color w:val="auto"/>
        </w:rPr>
      </w:pPr>
    </w:p>
    <w:p>
      <w:pPr>
        <w:jc w:val="both"/>
        <w:ind w:firstLine="1304"/>
        <w:spacing w:after="0" w:line="235" w:lineRule="auto"/>
        <w:tabs>
          <w:tab w:leader="none" w:pos="19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If at any time, (i) solely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105% of the aggregate Revolving Commitments or</w:t>
      </w:r>
    </w:p>
    <w:p>
      <w:pPr>
        <w:spacing w:after="0" w:line="1" w:lineRule="exact"/>
        <w:rPr>
          <w:rFonts w:ascii="Arial" w:cs="Arial" w:eastAsia="Arial" w:hAnsi="Arial"/>
          <w:sz w:val="18"/>
          <w:szCs w:val="18"/>
          <w:color w:val="auto"/>
        </w:rPr>
      </w:pPr>
    </w:p>
    <w:p>
      <w:pPr>
        <w:ind w:right="20" w:firstLine="8"/>
        <w:spacing w:after="0" w:line="227" w:lineRule="auto"/>
        <w:tabs>
          <w:tab w:leader="none" w:pos="32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for any other reason, the sum of the aggregate principal Dollar Amount of all of the Revolving Credit Exposures of any Class (so calculated) exceeds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aggregate Commitments of such Class, the Applicable Borrower shall in each case immediately repay the applicable Borrowings or Cash Collateralize LC Exposure in an account with the Administrative Agent pursuant to Section 2.06(j), as applicable, in an aggregate principal</w:t>
      </w:r>
    </w:p>
    <w:p>
      <w:pPr>
        <w:ind w:right="20"/>
        <w:spacing w:after="0" w:line="227" w:lineRule="auto"/>
        <w:rPr>
          <w:sz w:val="20"/>
          <w:szCs w:val="20"/>
          <w:color w:val="auto"/>
        </w:rPr>
      </w:pPr>
      <w:r>
        <w:rPr>
          <w:rFonts w:ascii="Arial" w:cs="Arial" w:eastAsia="Arial" w:hAnsi="Arial"/>
          <w:sz w:val="20"/>
          <w:szCs w:val="20"/>
          <w:color w:val="auto"/>
        </w:rPr>
        <w:t>amount sufficient to cause the aggregate Dollar Amount of all Revolving Credit Exposures (so calculated) of each Class to be less than or equal to the aggregate Commitments of such Class.</w:t>
      </w:r>
    </w:p>
    <w:p>
      <w:pPr>
        <w:spacing w:after="0" w:line="156" w:lineRule="exact"/>
        <w:rPr>
          <w:sz w:val="20"/>
          <w:szCs w:val="20"/>
          <w:color w:val="auto"/>
        </w:rPr>
      </w:pPr>
    </w:p>
    <w:p>
      <w:pPr>
        <w:jc w:val="both"/>
        <w:ind w:firstLine="1304"/>
        <w:spacing w:after="0" w:line="220" w:lineRule="auto"/>
        <w:tabs>
          <w:tab w:leader="none" w:pos="193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In the event and on each occasion that (i) any Net Proceeds are received by or on behalf of Holdings or any of its Restricted Subsidiaries in respect of any Prepayment Event, the Applicable Borrower shall, within ten (10) Business Days after such Net Proceeds are received, prepay the Obligations as set forth in Section 2.11(d)(i) below (and subject to Section 2.11(e)) in an aggregate amount equal to the Required Net Proceeds Percentage of such Net Proceeds;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69" w:lineRule="exact"/>
        <w:rPr>
          <w:rFonts w:ascii="Arial" w:cs="Arial" w:eastAsia="Arial" w:hAnsi="Arial"/>
          <w:sz w:val="20"/>
          <w:szCs w:val="20"/>
          <w:color w:val="auto"/>
        </w:rPr>
      </w:pPr>
    </w:p>
    <w:p>
      <w:pPr>
        <w:jc w:val="both"/>
        <w:ind w:left="1960" w:firstLine="1288"/>
        <w:spacing w:after="0" w:line="235" w:lineRule="auto"/>
        <w:tabs>
          <w:tab w:leader="none" w:pos="3892" w:val="left"/>
        </w:tabs>
        <w:numPr>
          <w:ilvl w:val="2"/>
          <w:numId w:val="178"/>
        </w:numPr>
        <w:rPr>
          <w:rFonts w:ascii="Arial" w:cs="Arial" w:eastAsia="Arial" w:hAnsi="Arial"/>
          <w:sz w:val="18"/>
          <w:szCs w:val="18"/>
          <w:color w:val="auto"/>
        </w:rPr>
      </w:pPr>
      <w:r>
        <w:rPr>
          <w:rFonts w:ascii="Arial" w:cs="Arial" w:eastAsia="Arial" w:hAnsi="Arial"/>
          <w:sz w:val="18"/>
          <w:szCs w:val="18"/>
          <w:color w:val="auto"/>
        </w:rPr>
        <w:t>any Loan Party may use a portion of such Net Proceeds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Net Proceeds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 and</w:t>
      </w:r>
    </w:p>
    <w:p>
      <w:pPr>
        <w:spacing w:after="0" w:line="160" w:lineRule="exact"/>
        <w:rPr>
          <w:rFonts w:ascii="Arial" w:cs="Arial" w:eastAsia="Arial" w:hAnsi="Arial"/>
          <w:sz w:val="18"/>
          <w:szCs w:val="18"/>
          <w:color w:val="auto"/>
        </w:rPr>
      </w:pPr>
    </w:p>
    <w:p>
      <w:pPr>
        <w:jc w:val="both"/>
        <w:ind w:left="1960" w:firstLine="1288"/>
        <w:spacing w:after="0" w:line="235" w:lineRule="auto"/>
        <w:tabs>
          <w:tab w:leader="none" w:pos="3892"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xml:space="preserve">in the case of any event described in clause (1) or (2) of the definition of the term “Prepayment Event”, if Holdings or its Restricted Subsidiaries elect to apply all or a portion of the Net Proceeds from such event (or a portion thereof), within 18 months after receipt of such Net Proceeds, to acquire, maintain, develop, construct, improve, upgrade or repair assets useful in the business of Holdings or its Restricted Subsidiaries or to make capital expenditures, Permitted Acquisitions, Permitted Investments or Investments permitted by Section 6.04, then no prepayment shall be required pursuant to this paragraph in respect of such Net Proceeds;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of any such Net Proceeds therefrom that have not been so applied by the end of such 18 month period (or committed to be applied by the end of the 18 month period and applied within 6 months after the end of such 18 month period), a prepayment shall be required at the end of such period in an amount equal to such Net Proceeds that have not been so applied (subject to clause (f) below); or</w:t>
      </w:r>
    </w:p>
    <w:p>
      <w:pPr>
        <w:spacing w:after="0" w:line="173" w:lineRule="exact"/>
        <w:rPr>
          <w:rFonts w:ascii="Arial" w:cs="Arial" w:eastAsia="Arial" w:hAnsi="Arial"/>
          <w:sz w:val="18"/>
          <w:szCs w:val="18"/>
          <w:color w:val="auto"/>
        </w:rPr>
      </w:pPr>
    </w:p>
    <w:p>
      <w:pPr>
        <w:jc w:val="both"/>
        <w:ind w:left="660" w:firstLine="1292"/>
        <w:spacing w:after="0" w:line="220" w:lineRule="auto"/>
        <w:tabs>
          <w:tab w:leader="none" w:pos="260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any Loan Party incurs, issues or obtains any Credit Agreement Refinancing Indebtedness (other than solely by means of extending or renewing then existing Credit Agreement Refinancing Indebtedness without resulting in any Net Proceeds), the Applicable Borrower shall, on the date on which such Credit Agreement Refinancing Indebtedness is incurred, issued or obtained, prepay any Loans constituting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357" w:lineRule="exact"/>
        <w:rPr>
          <w:sz w:val="20"/>
          <w:szCs w:val="20"/>
          <w:color w:val="auto"/>
        </w:rPr>
      </w:pPr>
    </w:p>
    <w:p>
      <w:pPr>
        <w:ind w:left="4"/>
        <w:spacing w:after="0" w:line="229" w:lineRule="auto"/>
        <w:rPr>
          <w:sz w:val="20"/>
          <w:szCs w:val="20"/>
          <w:color w:val="auto"/>
        </w:rPr>
      </w:pPr>
      <w:r>
        <w:rPr>
          <w:rFonts w:ascii="Arial" w:cs="Arial" w:eastAsia="Arial" w:hAnsi="Arial"/>
          <w:sz w:val="20"/>
          <w:szCs w:val="20"/>
          <w:color w:val="auto"/>
        </w:rPr>
        <w:t>the applicable Refinanced Debt as set forth in Section 2.11(e) below in an aggregate amount equal to 100% of the Net Proceeds of such Credit Agreement Refinancing Indebtedness; and</w:t>
      </w:r>
    </w:p>
    <w:p>
      <w:pPr>
        <w:spacing w:after="0" w:line="169" w:lineRule="exact"/>
        <w:rPr>
          <w:sz w:val="20"/>
          <w:szCs w:val="20"/>
          <w:color w:val="auto"/>
        </w:rPr>
      </w:pPr>
    </w:p>
    <w:p>
      <w:pPr>
        <w:jc w:val="both"/>
        <w:ind w:left="4" w:firstLine="1292"/>
        <w:spacing w:after="0" w:line="260" w:lineRule="auto"/>
        <w:tabs>
          <w:tab w:leader="none" w:pos="194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no later than ten (10) business days after the date on which the financial statements with respect to such fiscal year in which such Excess Cash Flow Period occurs are delivered pursuant to Section 5.01(a), the Applicable Borrower shall make prepayments of the Term Loans (unless otherwise provided in any Incremental Amendment or Refinancing Amendment) in accordance with Section 2.11(d) in an aggregate principal amount (the “</w:t>
      </w:r>
      <w:r>
        <w:rPr>
          <w:rFonts w:ascii="Arial" w:cs="Arial" w:eastAsia="Arial" w:hAnsi="Arial"/>
          <w:sz w:val="16"/>
          <w:szCs w:val="16"/>
          <w:u w:val="single" w:color="auto"/>
          <w:color w:val="auto"/>
        </w:rPr>
        <w:t>ECF Payment Amount</w:t>
      </w:r>
      <w:r>
        <w:rPr>
          <w:rFonts w:ascii="Arial" w:cs="Arial" w:eastAsia="Arial" w:hAnsi="Arial"/>
          <w:sz w:val="16"/>
          <w:szCs w:val="16"/>
          <w:color w:val="auto"/>
        </w:rPr>
        <w:t xml:space="preserve">”) equal to (a) (x) if the First Lien Net Leverage Ratio at the end of such period is greater than or equal to 4.50:1.00, 50% of Excess Cash Flow for the Excess Cash Flow Period then ended, (y) if the First Lien Net Leverage Ratio at the end of such period is less than 4.50:1.00 but greater than 4.00:1.00, 25% of Excess Cash Flow for the Excess Cash Flow Period then ended and (z) if the First Lien Net Leverage Ratio at the end of such period is less than or equal to 4.00:1.00 (but excluding, for purposes of such calculation, the proceeds of any Incremental Loans or any other Indebtedness incurred on such date in the calculation of the Unrestricted Cash), 0% of Excess Cash Flow for the Excess Cash Flow Period then ended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in the case of (a)(x) and (y) above, the sum of (1) all voluntary prepayments or permitted purchases of Term Loans, Alternative Incremental Facility Indebtedness, New Notes and other Indebtedness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and Permitted Refinancing Indebtedness (in each case that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(limited in the case of any voluntary prepayments made pursuant to Section 2.11(a)(ii) and purchases made pursuant to Section 2.23 to the discounted amount actually paid in respect of the principal amount of such Term Loans (as opposed to the face amount so prepaid)),</w:t>
      </w:r>
    </w:p>
    <w:p>
      <w:pPr>
        <w:spacing w:after="0" w:line="188" w:lineRule="exact"/>
        <w:rPr>
          <w:rFonts w:ascii="Arial" w:cs="Arial" w:eastAsia="Arial" w:hAnsi="Arial"/>
          <w:sz w:val="16"/>
          <w:szCs w:val="16"/>
          <w:color w:val="auto"/>
        </w:rPr>
      </w:pPr>
    </w:p>
    <w:p>
      <w:pPr>
        <w:ind w:left="304" w:hanging="304"/>
        <w:spacing w:after="0" w:line="234" w:lineRule="auto"/>
        <w:tabs>
          <w:tab w:leader="none" w:pos="30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voluntary prepayments of Revolving Loans during such Excess Cash Flow Period (and in the case of the first Excess Cash</w:t>
      </w:r>
    </w:p>
    <w:p>
      <w:pPr>
        <w:ind w:left="4"/>
        <w:spacing w:after="0" w:line="235" w:lineRule="auto"/>
        <w:rPr>
          <w:sz w:val="20"/>
          <w:szCs w:val="20"/>
          <w:color w:val="auto"/>
        </w:rPr>
      </w:pPr>
      <w:r>
        <w:rPr>
          <w:rFonts w:ascii="Arial" w:cs="Arial" w:eastAsia="Arial" w:hAnsi="Arial"/>
          <w:sz w:val="18"/>
          <w:szCs w:val="18"/>
          <w:color w:val="auto"/>
        </w:rPr>
        <w:t>Flow Period after the Closing Date, during the fiscal year ended December 31, 2021) or, without duplication across Excess Cash</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Flow Periods, after the end of such Excess Cash Flow Period and prior to when such Excess Cash Flow prepayment is due, to the extent the Revolving Commitments are permanently reduced by the amount of such payments, in each case except to the extent</w:t>
      </w:r>
    </w:p>
    <w:p>
      <w:pPr>
        <w:ind w:left="4"/>
        <w:spacing w:after="0" w:line="224" w:lineRule="auto"/>
        <w:rPr>
          <w:sz w:val="20"/>
          <w:szCs w:val="20"/>
          <w:color w:val="auto"/>
        </w:rPr>
      </w:pPr>
      <w:r>
        <w:rPr>
          <w:rFonts w:ascii="Arial" w:cs="Arial" w:eastAsia="Arial" w:hAnsi="Arial"/>
          <w:sz w:val="19"/>
          <w:szCs w:val="19"/>
          <w:color w:val="auto"/>
        </w:rPr>
        <w:t>financed with the proceeds of long-term Indebtedness (other than revolving Indebtedness), (3) without duplication of amounts</w:t>
      </w:r>
    </w:p>
    <w:p>
      <w:pPr>
        <w:ind w:left="4"/>
        <w:spacing w:after="0" w:line="226" w:lineRule="auto"/>
        <w:rPr>
          <w:sz w:val="20"/>
          <w:szCs w:val="20"/>
          <w:color w:val="auto"/>
        </w:rPr>
      </w:pPr>
      <w:r>
        <w:rPr>
          <w:rFonts w:ascii="Arial" w:cs="Arial" w:eastAsia="Arial" w:hAnsi="Arial"/>
          <w:sz w:val="18"/>
          <w:szCs w:val="18"/>
          <w:color w:val="auto"/>
        </w:rPr>
        <w:t>deducted in prior periods and, at the option of Holdings, the aggregate consideration required to be paid in cash by Holdings or any of the Restricted Subsidiaries pursuant to binding contracts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entered into prior to or during such period</w:t>
      </w:r>
    </w:p>
    <w:p>
      <w:pPr>
        <w:ind w:left="4"/>
        <w:spacing w:after="0" w:line="224" w:lineRule="auto"/>
        <w:rPr>
          <w:sz w:val="20"/>
          <w:szCs w:val="20"/>
          <w:color w:val="auto"/>
        </w:rPr>
      </w:pPr>
      <w:r>
        <w:rPr>
          <w:rFonts w:ascii="Arial" w:cs="Arial" w:eastAsia="Arial" w:hAnsi="Arial"/>
          <w:sz w:val="19"/>
          <w:szCs w:val="19"/>
          <w:color w:val="auto"/>
        </w:rPr>
        <w:t>or prior to the payment date of the ECF Payment Amount relating to Permitted Acquisitions or other Investments, capital</w:t>
      </w:r>
    </w:p>
    <w:p>
      <w:pPr>
        <w:ind w:left="4" w:right="20"/>
        <w:spacing w:after="0" w:line="226" w:lineRule="auto"/>
        <w:rPr>
          <w:sz w:val="20"/>
          <w:szCs w:val="20"/>
          <w:color w:val="auto"/>
        </w:rPr>
      </w:pPr>
      <w:r>
        <w:rPr>
          <w:rFonts w:ascii="Arial" w:cs="Arial" w:eastAsia="Arial" w:hAnsi="Arial"/>
          <w:sz w:val="18"/>
          <w:szCs w:val="18"/>
          <w:color w:val="auto"/>
        </w:rPr>
        <w:t>expenditures, Capitalized Software Expenditures, acquisitions of intellectual property or non-ordinary course acquisitions of other assets to be consummated or made during the fiscal year following such period; provided that Holdings may make a good faith</w:t>
      </w:r>
    </w:p>
    <w:p>
      <w:pPr>
        <w:spacing w:after="0" w:line="2"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estimate of such amount to the extent such amount is unable to be definitively determined at the date of determination of Excess Cash Flow for the applicable period; provided, further, that, to the extent the aggregate amount of cash flow (except to the extent</w:t>
      </w:r>
    </w:p>
    <w:p>
      <w:pPr>
        <w:ind w:left="4"/>
        <w:spacing w:after="0" w:line="236" w:lineRule="auto"/>
        <w:rPr>
          <w:sz w:val="20"/>
          <w:szCs w:val="20"/>
          <w:color w:val="auto"/>
        </w:rPr>
      </w:pPr>
      <w:r>
        <w:rPr>
          <w:rFonts w:ascii="Arial" w:cs="Arial" w:eastAsia="Arial" w:hAnsi="Arial"/>
          <w:sz w:val="18"/>
          <w:szCs w:val="18"/>
          <w:color w:val="auto"/>
        </w:rPr>
        <w:t>financed with the proceeds of long-term Indebtedness of Holdings or its Restricted Subsidiaries (other than revolving Indebtedness))</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actually utilized to finance such Permitted Acquisitions, other Investments, capital expenditures, Capitalized Software Expenditures, acquisitions of intellectual property or non-ordinary course acquisitions of other assets during such period of four consecutive fiscal</w:t>
      </w:r>
    </w:p>
    <w:p>
      <w:pPr>
        <w:spacing w:after="0" w:line="2" w:lineRule="exact"/>
        <w:rPr>
          <w:sz w:val="20"/>
          <w:szCs w:val="20"/>
          <w:color w:val="auto"/>
        </w:rPr>
      </w:pPr>
    </w:p>
    <w:p>
      <w:pPr>
        <w:ind w:left="4"/>
        <w:spacing w:after="0" w:line="227" w:lineRule="auto"/>
        <w:rPr>
          <w:sz w:val="20"/>
          <w:szCs w:val="20"/>
          <w:color w:val="auto"/>
        </w:rPr>
      </w:pPr>
      <w:r>
        <w:rPr>
          <w:rFonts w:ascii="Arial" w:cs="Arial" w:eastAsia="Arial" w:hAnsi="Arial"/>
          <w:sz w:val="20"/>
          <w:szCs w:val="20"/>
          <w:color w:val="auto"/>
        </w:rPr>
        <w:t>quarters is less than the Contract Consideration, the amount of such shortfall shall be added to the calculation of Excess Cash Flow at the end of such period of four consecutive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0584"/>
          </w:cols>
          <w:pgMar w:left="976" w:top="1440" w:right="339" w:bottom="1440" w:gutter="0" w:footer="0" w:header="0"/>
        </w:sectPr>
      </w:pPr>
    </w:p>
    <w:bookmarkStart w:id="271" w:name="page272"/>
    <w:bookmarkEnd w:id="271"/>
    <w:p>
      <w:pPr>
        <w:spacing w:after="0" w:line="357"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quarters, (4) without duplication of amounts deducted pursuant to this clause (4) or clause (3) above in prior fiscal years, the amount of Investments made pursuant to the definition of “Permitted Investments” and Section 6.04 (other than Investments in (x) cash and</w:t>
      </w:r>
    </w:p>
    <w:p>
      <w:pPr>
        <w:ind w:left="660"/>
        <w:spacing w:after="0" w:line="222" w:lineRule="auto"/>
        <w:rPr>
          <w:sz w:val="20"/>
          <w:szCs w:val="20"/>
          <w:color w:val="auto"/>
        </w:rPr>
      </w:pPr>
      <w:r>
        <w:rPr>
          <w:rFonts w:ascii="Arial" w:cs="Arial" w:eastAsia="Arial" w:hAnsi="Arial"/>
          <w:sz w:val="19"/>
          <w:szCs w:val="19"/>
          <w:color w:val="auto"/>
        </w:rPr>
        <w:t>Cash Equivalents and (y) Holdings or any of its Restricted Subsidiaries other than any Investments in the Equity Interests of</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Oncacare Limited) made during such period and, at the election of Holdings, made after such period but prior to the date of the applicable Excess Cash Flow payment, in each case except to the extent financed with the proceeds of long-term Indebtedness of</w:t>
      </w:r>
    </w:p>
    <w:p>
      <w:pPr>
        <w:ind w:left="660"/>
        <w:spacing w:after="0" w:line="236" w:lineRule="auto"/>
        <w:rPr>
          <w:sz w:val="20"/>
          <w:szCs w:val="20"/>
          <w:color w:val="auto"/>
        </w:rPr>
      </w:pPr>
      <w:r>
        <w:rPr>
          <w:rFonts w:ascii="Arial" w:cs="Arial" w:eastAsia="Arial" w:hAnsi="Arial"/>
          <w:sz w:val="18"/>
          <w:szCs w:val="18"/>
          <w:color w:val="auto"/>
        </w:rPr>
        <w:t>Holdings or its Restricted Subsidiaries (other than revolving Indebtedness), (5) [reserved] and (6) without duplication of amounts</w:t>
      </w:r>
    </w:p>
    <w:p>
      <w:pPr>
        <w:spacing w:after="0" w:line="1" w:lineRule="exact"/>
        <w:rPr>
          <w:sz w:val="20"/>
          <w:szCs w:val="20"/>
          <w:color w:val="auto"/>
        </w:rPr>
      </w:pPr>
    </w:p>
    <w:p>
      <w:pPr>
        <w:jc w:val="both"/>
        <w:ind w:left="660"/>
        <w:spacing w:after="0" w:line="255" w:lineRule="auto"/>
        <w:rPr>
          <w:sz w:val="20"/>
          <w:szCs w:val="20"/>
          <w:color w:val="auto"/>
        </w:rPr>
      </w:pPr>
      <w:r>
        <w:rPr>
          <w:rFonts w:ascii="Arial" w:cs="Arial" w:eastAsia="Arial" w:hAnsi="Arial"/>
          <w:sz w:val="16"/>
          <w:szCs w:val="16"/>
          <w:color w:val="auto"/>
        </w:rPr>
        <w:t>deducted pursuant to this clause (6) or clause (3) above in prior fiscal years, the amount of capital expenditures, Capitalized Software Expenditures or acquisitions of intellectual property accrued or made in cash during such period and, at the election of Holdings,</w:t>
      </w:r>
    </w:p>
    <w:p>
      <w:pPr>
        <w:ind w:left="660"/>
        <w:spacing w:after="0" w:line="235" w:lineRule="auto"/>
        <w:rPr>
          <w:sz w:val="20"/>
          <w:szCs w:val="20"/>
          <w:color w:val="auto"/>
        </w:rPr>
      </w:pPr>
      <w:r>
        <w:rPr>
          <w:rFonts w:ascii="Arial" w:cs="Arial" w:eastAsia="Arial" w:hAnsi="Arial"/>
          <w:sz w:val="18"/>
          <w:szCs w:val="18"/>
          <w:color w:val="auto"/>
        </w:rPr>
        <w:t>made after such period but prior to the date of the applicable Excess Cash Flow payment, in each case except to the extent financed</w:t>
      </w:r>
    </w:p>
    <w:p>
      <w:pPr>
        <w:ind w:left="660"/>
        <w:spacing w:after="0" w:line="226" w:lineRule="auto"/>
        <w:rPr>
          <w:sz w:val="20"/>
          <w:szCs w:val="20"/>
          <w:color w:val="auto"/>
        </w:rPr>
      </w:pPr>
      <w:r>
        <w:rPr>
          <w:rFonts w:ascii="Arial" w:cs="Arial" w:eastAsia="Arial" w:hAnsi="Arial"/>
          <w:sz w:val="18"/>
          <w:szCs w:val="18"/>
          <w:color w:val="auto"/>
        </w:rPr>
        <w:t xml:space="preserve">with the proceeds of long-term Indebtedness of Holdings or its Restricted Subsidiaries (other than revolving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prepayment of Term Loans pursuant to this Section 2.11(c)(iii) shall only be required in the amount (if any) by which the ECF</w:t>
      </w:r>
    </w:p>
    <w:p>
      <w:pPr>
        <w:ind w:left="660"/>
        <w:spacing w:after="0" w:line="236" w:lineRule="auto"/>
        <w:rPr>
          <w:sz w:val="20"/>
          <w:szCs w:val="20"/>
          <w:color w:val="auto"/>
        </w:rPr>
      </w:pPr>
      <w:r>
        <w:rPr>
          <w:rFonts w:ascii="Arial" w:cs="Arial" w:eastAsia="Arial" w:hAnsi="Arial"/>
          <w:sz w:val="18"/>
          <w:szCs w:val="18"/>
          <w:color w:val="auto"/>
        </w:rPr>
        <w:t>Payment Amount for such fiscal year exceeds an amount equal to the greater of $60,000,000 and 5% of Consolidated EBITDA for</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 xml:space="preserve">the Test Period most recently ended on or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Applicable Borrower may use a portion of such ECF Payment Amount to prepay or repurchase Permitted Pari Passu Secured Refinancing Debt and, to the</w:t>
      </w:r>
    </w:p>
    <w:p>
      <w:pPr>
        <w:ind w:left="660"/>
        <w:spacing w:after="0" w:line="235" w:lineRule="auto"/>
        <w:rPr>
          <w:sz w:val="20"/>
          <w:szCs w:val="20"/>
          <w:color w:val="auto"/>
        </w:rPr>
      </w:pPr>
      <w:r>
        <w:rPr>
          <w:rFonts w:ascii="Arial" w:cs="Arial" w:eastAsia="Arial" w:hAnsi="Arial"/>
          <w:sz w:val="18"/>
          <w:szCs w:val="18"/>
          <w:color w:val="auto"/>
        </w:rPr>
        <w:t>extent such debt is (x) secured on a pari passu basis with the Obligations and (y) pari passu in right of payment with the Obligations</w:t>
      </w:r>
    </w:p>
    <w:p>
      <w:pPr>
        <w:ind w:left="660"/>
        <w:spacing w:after="0" w:line="226" w:lineRule="auto"/>
        <w:rPr>
          <w:sz w:val="20"/>
          <w:szCs w:val="20"/>
          <w:color w:val="auto"/>
        </w:rPr>
      </w:pPr>
      <w:r>
        <w:rPr>
          <w:rFonts w:ascii="Arial" w:cs="Arial" w:eastAsia="Arial" w:hAnsi="Arial"/>
          <w:sz w:val="18"/>
          <w:szCs w:val="18"/>
          <w:color w:val="auto"/>
        </w:rPr>
        <w:t>hereunder, any Alternative Incremental Facility Indebtedness and/or Ratio Debt to the extent any applicable credit agreement, indenture or other agreement governing such Permitted Pari Passu Secured Refinancing Debt, such Alternative Incremental Facility</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Indebtedness and/or such Ratio Debt so requires, in each case in an amount not to exceed the product of (x) the amount of such ECF</w:t>
      </w:r>
    </w:p>
    <w:p>
      <w:pPr>
        <w:spacing w:after="0" w:line="19" w:lineRule="exact"/>
        <w:rPr>
          <w:sz w:val="20"/>
          <w:szCs w:val="20"/>
          <w:color w:val="auto"/>
        </w:rPr>
      </w:pPr>
    </w:p>
    <w:p>
      <w:pPr>
        <w:ind w:left="660"/>
        <w:spacing w:after="0" w:line="215" w:lineRule="auto"/>
        <w:rPr>
          <w:sz w:val="20"/>
          <w:szCs w:val="20"/>
          <w:color w:val="auto"/>
        </w:rPr>
      </w:pPr>
      <w:r>
        <w:rPr>
          <w:rFonts w:ascii="Arial" w:cs="Arial" w:eastAsia="Arial" w:hAnsi="Arial"/>
          <w:sz w:val="19"/>
          <w:szCs w:val="19"/>
          <w:color w:val="auto"/>
        </w:rPr>
        <w:t>Payment Amount and (y) a fraction, the numerator of which is the outstanding principal amount of such Permitted Pari Passu Secured Refinancing Debt, such Alternative Incremental Facility Indebtedness and/or such Ratio Debt, as applicable, and the</w:t>
      </w:r>
    </w:p>
    <w:p>
      <w:pPr>
        <w:ind w:left="660"/>
        <w:spacing w:after="0" w:line="234" w:lineRule="auto"/>
        <w:rPr>
          <w:sz w:val="20"/>
          <w:szCs w:val="20"/>
          <w:color w:val="auto"/>
        </w:rPr>
      </w:pPr>
      <w:r>
        <w:rPr>
          <w:rFonts w:ascii="Arial" w:cs="Arial" w:eastAsia="Arial" w:hAnsi="Arial"/>
          <w:sz w:val="18"/>
          <w:szCs w:val="18"/>
          <w:color w:val="auto"/>
        </w:rPr>
        <w:t>denominator of which is the sum of the outstanding principal amount of such Permitted Pari Passu Secured Refinancing Debt, such</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Alternative Incremental Facility Indebtedness and/or such Ratio Debt, as applicable, and the outstanding principal amount of Term Loans.</w:t>
      </w:r>
    </w:p>
    <w:p>
      <w:pPr>
        <w:spacing w:after="0" w:line="170" w:lineRule="exact"/>
        <w:rPr>
          <w:sz w:val="20"/>
          <w:szCs w:val="20"/>
          <w:color w:val="auto"/>
        </w:rPr>
      </w:pPr>
    </w:p>
    <w:p>
      <w:pPr>
        <w:jc w:val="both"/>
        <w:ind w:firstLine="1304"/>
        <w:spacing w:after="0" w:line="214" w:lineRule="auto"/>
        <w:tabs>
          <w:tab w:leader="none" w:pos="193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Subject to Section 2.11(e) below and except as specified in any Extension Amendment, Incremental Amendment or Refinancing Amendment (with respect to the applicable Extended Term Loans or Incremental Loans or the Loans incurred pursuant to such Refinancing Amendment), (i) all such amounts pursuant to Sections 2.11(c)(i) and (iii) shall be applied pro rata among the Classes and Tranches of Term Loans and, in a manner determined by Holdings, applied to amortization payments;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Holdings shall notify the Administrative Agent of such determination and (ii) all such amounts pursuant to Section 2.11(c)(ii) shall be applied to prepay an aggregate principal amount of the applicable Loans constituting Refinanced Debt equal to the Net Proceeds of the applicable Credit Agreement Refinancing Indebtedness.</w:t>
      </w:r>
    </w:p>
    <w:p>
      <w:pPr>
        <w:spacing w:after="0" w:line="157" w:lineRule="exact"/>
        <w:rPr>
          <w:rFonts w:ascii="Arial" w:cs="Arial" w:eastAsia="Arial" w:hAnsi="Arial"/>
          <w:sz w:val="20"/>
          <w:szCs w:val="20"/>
          <w:color w:val="auto"/>
        </w:rPr>
      </w:pPr>
    </w:p>
    <w:p>
      <w:pPr>
        <w:jc w:val="both"/>
        <w:ind w:firstLine="1304"/>
        <w:spacing w:after="0" w:line="238" w:lineRule="auto"/>
        <w:tabs>
          <w:tab w:leader="none" w:pos="193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Borrowers shall notify the Administrative Agent in writing of any mandatory prepayment of Term Loans required to be made pursuant to Section 2.11(c)(i) and (iii) at least three (3)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Term Lender’s Applicable Percentage of each relevant Tranche of the Term Loans). Any Term Lender (a “</w:t>
      </w:r>
      <w:r>
        <w:rPr>
          <w:rFonts w:ascii="Arial" w:cs="Arial" w:eastAsia="Arial" w:hAnsi="Arial"/>
          <w:sz w:val="18"/>
          <w:szCs w:val="18"/>
          <w:u w:val="single" w:color="auto"/>
          <w:color w:val="auto"/>
        </w:rPr>
        <w:t>Declining Term Lender</w:t>
      </w:r>
      <w:r>
        <w:rPr>
          <w:rFonts w:ascii="Arial" w:cs="Arial" w:eastAsia="Arial" w:hAnsi="Arial"/>
          <w:sz w:val="18"/>
          <w:szCs w:val="18"/>
          <w:color w:val="auto"/>
        </w:rPr>
        <w:t>,” and any Term Lender which is not a Declining Term Lender, an “</w:t>
      </w:r>
      <w:r>
        <w:rPr>
          <w:rFonts w:ascii="Arial" w:cs="Arial" w:eastAsia="Arial" w:hAnsi="Arial"/>
          <w:sz w:val="18"/>
          <w:szCs w:val="18"/>
          <w:u w:val="single" w:color="auto"/>
          <w:color w:val="auto"/>
        </w:rPr>
        <w:t>Accepting Term Lender</w:t>
      </w:r>
      <w:r>
        <w:rPr>
          <w:rFonts w:ascii="Arial" w:cs="Arial" w:eastAsia="Arial" w:hAnsi="Arial"/>
          <w:sz w:val="18"/>
          <w:szCs w:val="18"/>
          <w:color w:val="auto"/>
        </w:rPr>
        <w:t>”) may elect, by delivering written notice to the Administrative Agent and the Borrowers no later than 5:00 p.m. one (1) Business Day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date of such Term Lender’s receipt of notice from the Administrative Agent regarding such prepayment, that the full amount of any mandatory prepayment otherwise required to be made with respect to the Term Loans held by such Term Lender pursuant to Section 2.11(c)</w:t>
      </w:r>
    </w:p>
    <w:p>
      <w:pPr>
        <w:jc w:val="both"/>
        <w:ind w:firstLine="8"/>
        <w:spacing w:after="0" w:line="223" w:lineRule="auto"/>
        <w:tabs>
          <w:tab w:leader="none" w:pos="25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and (iii) not be made (the aggregate amount of such prepayments declined by the Declining Term Lenders, the “</w:t>
      </w:r>
      <w:r>
        <w:rPr>
          <w:rFonts w:ascii="Arial" w:cs="Arial" w:eastAsia="Arial" w:hAnsi="Arial"/>
          <w:sz w:val="19"/>
          <w:szCs w:val="19"/>
          <w:u w:val="single" w:color="auto"/>
          <w:color w:val="auto"/>
        </w:rPr>
        <w:t>Declined Prepayment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(x) no Term Lender may decline a mandatory prepayment solely with respect to one Tranche of Initial Term Loans and not the other Tranche of Initial Term Loans and (y) a Term Lender may not decline a prepayment made by the Applicable Borrower pursuant to any event described in clause (3) of the term “Prepayment Event”.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For the avoidance of doubt, the Applicable Borrower may, at its option, apply any Declined Prepayment Amount to prepay loans in accordance with Section 2.11(a) above.</w:t>
      </w:r>
    </w:p>
    <w:p>
      <w:pPr>
        <w:spacing w:after="0" w:line="155" w:lineRule="exact"/>
        <w:rPr>
          <w:rFonts w:ascii="Arial" w:cs="Arial" w:eastAsia="Arial" w:hAnsi="Arial"/>
          <w:sz w:val="19"/>
          <w:szCs w:val="19"/>
          <w:color w:val="auto"/>
        </w:rPr>
      </w:pPr>
    </w:p>
    <w:p>
      <w:pPr>
        <w:jc w:val="both"/>
        <w:ind w:firstLine="1304"/>
        <w:spacing w:after="0" w:line="267" w:lineRule="auto"/>
        <w:tabs>
          <w:tab w:leader="none" w:pos="193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Section 2.11, to the extent (i) any Net Proceeds exist as a result of an Asset Sale or casualty event from Holdings and/or a Foreign Subsidiary (or with respect to any Lux Term Loan, a non-Luxembourg Subsidiary) that give rise to a prepayment event pursuant to Section 2.11(c)(i) or (ii) any Excess Cash Flow attributable to Holdings and/or a Foreign Subsidiary (or with respect to any Lux Term Loan, a non-Luxembourg Subsidiary) exists that gives rise to a prepayment event pursuant to Section 2.11(c)(iii), and, in either case, the repatriation of cash to which such prepayment obligation is attributable would result in a material adverse tax consequence and/or is prohibited, restricted or delayed by applicable local law from being repatriated or contributed to the Applicable Borrower, an amount equal to the portion of such Net Proceeds or Excess Cash Flow so affected will not be required to be applied to repay the Term Loans at the times provided in this Section 2.11 so long, but only so long, as the material adverse tax consequence would result from, and/or applicable local law will not permit repatriation or contribution to the Applicable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Holdings shall use commercially reasonable efforts to promptly take all actions, and cause the applicable Foreign Subsidiary (or with respect to any Lux Term Loan, the non-Luxembourg Subsidiary) to promptly take all actions, in each case reasonably required by the applicable local law to eliminate such material adverse tax consequence and/or permit such repatriation or contribution under applicable local law.</w:t>
      </w:r>
    </w:p>
    <w:p>
      <w:pPr>
        <w:spacing w:after="0" w:line="34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5" w:lineRule="auto"/>
        <w:tabs>
          <w:tab w:leader="none" w:pos="19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Applicable Borrower agrees to pay to the Administrative Agent, for the account of each Revolving Lender, a commitment fee, which shall accrue at the rate of 35% of the Applicable Margin then in effect for Eurocurrency Revolving Loans </w:t>
      </w:r>
      <w:r>
        <w:rPr>
          <w:rFonts w:ascii="Arial" w:cs="Arial" w:eastAsia="Arial" w:hAnsi="Arial"/>
          <w:sz w:val="18"/>
          <w:szCs w:val="18"/>
          <w:color w:val="0000FF"/>
        </w:rPr>
        <w:t>or USD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SOFR Revolving Loans, as applicable,</w:t>
      </w:r>
      <w:r>
        <w:rPr>
          <w:rFonts w:ascii="Arial" w:cs="Arial" w:eastAsia="Arial" w:hAnsi="Arial"/>
          <w:sz w:val="18"/>
          <w:szCs w:val="18"/>
          <w:color w:val="0000FF"/>
        </w:rPr>
        <w:t xml:space="preserve"> </w:t>
      </w:r>
      <w:r>
        <w:rPr>
          <w:rFonts w:ascii="Arial" w:cs="Arial" w:eastAsia="Arial" w:hAnsi="Arial"/>
          <w:sz w:val="18"/>
          <w:szCs w:val="18"/>
          <w:color w:val="000000"/>
        </w:rPr>
        <w:t>per annum on the daily amount of the Available Revolving Commitment of such Revolving</w:t>
      </w:r>
      <w:r>
        <w:rPr>
          <w:rFonts w:ascii="Arial" w:cs="Arial" w:eastAsia="Arial" w:hAnsi="Arial"/>
          <w:sz w:val="18"/>
          <w:szCs w:val="18"/>
          <w:color w:val="0000FF"/>
        </w:rPr>
        <w:t xml:space="preserve"> </w:t>
      </w:r>
      <w:r>
        <w:rPr>
          <w:rFonts w:ascii="Arial" w:cs="Arial" w:eastAsia="Arial" w:hAnsi="Arial"/>
          <w:sz w:val="18"/>
          <w:szCs w:val="18"/>
          <w:color w:val="000000"/>
        </w:rPr>
        <w:t xml:space="preserve">Lender during the period from and including the Closing Date to but excluding the date on which the last of the Revolving Commitments (or Extended Revolving Commitments) of such Revolving Lender terminates. Accrued commitment fees shall be payable in arrears on the last Business Day of March, June, September and December of each year and on the date on which the last of the Revolving Commitments terminate, commencing on the first such date to occur after the Closing Date;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commitment fees accruing after the date on which such Revolving Commitments terminate shall be payable on demand. All commitment fees shall be computed on the basis of a year of 360 days and shall be payable for the actual number of days elapsed (including the first day but excluding the last day).</w:t>
      </w:r>
    </w:p>
    <w:p>
      <w:pPr>
        <w:spacing w:after="0" w:line="173" w:lineRule="exact"/>
        <w:rPr>
          <w:rFonts w:ascii="Arial" w:cs="Arial" w:eastAsia="Arial" w:hAnsi="Arial"/>
          <w:sz w:val="18"/>
          <w:szCs w:val="18"/>
          <w:color w:val="auto"/>
        </w:rPr>
      </w:pPr>
    </w:p>
    <w:p>
      <w:pPr>
        <w:jc w:val="both"/>
        <w:ind w:firstLine="1304"/>
        <w:spacing w:after="0" w:line="235" w:lineRule="auto"/>
        <w:tabs>
          <w:tab w:leader="none" w:pos="1932"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The Applicable Borrower agrees to pay (i) to the Administrative Agent, for the account of each Revolving Lender, a participation fee with respect to its participations in Letters of Credit, which shall accrue at the same Applicable Margin used to determine the interest rate applicable to Eurocurrency Revolving Loans </w:t>
      </w:r>
      <w:r>
        <w:rPr>
          <w:rFonts w:ascii="Arial" w:cs="Arial" w:eastAsia="Arial" w:hAnsi="Arial"/>
          <w:sz w:val="19"/>
          <w:szCs w:val="19"/>
          <w:color w:val="0000FF"/>
        </w:rPr>
        <w:t>or USD Term SOFR Revolving Loans,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6699250</wp:posOffset>
            </wp:positionH>
            <wp:positionV relativeFrom="paragraph">
              <wp:posOffset>-1416050</wp:posOffset>
            </wp:positionV>
            <wp:extent cx="4356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435610" cy="825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-27305</wp:posOffset>
            </wp:positionV>
            <wp:extent cx="21202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2120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on the average daily Dollar Amount of such Revolving Lender’s LC Exposure (excluding any portion thereof attributable to</w:t>
      </w:r>
      <w:r>
        <w:rPr>
          <w:rFonts w:ascii="Arial" w:cs="Arial" w:eastAsia="Arial" w:hAnsi="Arial"/>
          <w:sz w:val="18"/>
          <w:szCs w:val="18"/>
          <w:color w:val="0000FF"/>
        </w:rPr>
        <w:t xml:space="preserve"> </w:t>
      </w:r>
      <w:r>
        <w:rPr>
          <w:rFonts w:ascii="Arial" w:cs="Arial" w:eastAsia="Arial" w:hAnsi="Arial"/>
          <w:sz w:val="18"/>
          <w:szCs w:val="18"/>
          <w:color w:val="000000"/>
        </w:rPr>
        <w:t>unreimbursed LC Disbursements) during the period from and including the Closing Date to but excluding the later of the date on which the</w:t>
      </w:r>
    </w:p>
    <w:p>
      <w:pPr>
        <w:spacing w:after="0" w:line="235" w:lineRule="auto"/>
        <w:rPr>
          <w:sz w:val="20"/>
          <w:szCs w:val="20"/>
          <w:color w:val="auto"/>
        </w:rPr>
      </w:pPr>
      <w:r>
        <w:rPr>
          <w:rFonts w:ascii="Arial" w:cs="Arial" w:eastAsia="Arial" w:hAnsi="Arial"/>
          <w:sz w:val="18"/>
          <w:szCs w:val="18"/>
          <w:color w:val="auto"/>
        </w:rPr>
        <w:t>last of such Revolving Lender’s Revolving Commitment terminates and the date on which such Revolving Lender ceases to have any LC</w:t>
      </w:r>
    </w:p>
    <w:p>
      <w:pPr>
        <w:spacing w:after="0" w:line="226" w:lineRule="auto"/>
        <w:rPr>
          <w:sz w:val="20"/>
          <w:szCs w:val="20"/>
          <w:color w:val="auto"/>
        </w:rPr>
      </w:pPr>
      <w:r>
        <w:rPr>
          <w:rFonts w:ascii="Arial" w:cs="Arial" w:eastAsia="Arial" w:hAnsi="Arial"/>
          <w:sz w:val="18"/>
          <w:szCs w:val="18"/>
          <w:color w:val="auto"/>
        </w:rPr>
        <w:t>Exposure and (ii) to each Issuing Bank for its own account a fronting fee, which shall accrue at the rate of 0.125% per annum on the average daily Dollar Amount of the LC Exposure (excluding any portion thereof attributable to unreimbursed LC Disbursements) attributable to</w:t>
      </w:r>
    </w:p>
    <w:p>
      <w:pPr>
        <w:spacing w:after="0" w:line="236" w:lineRule="auto"/>
        <w:rPr>
          <w:sz w:val="20"/>
          <w:szCs w:val="20"/>
          <w:color w:val="auto"/>
        </w:rPr>
      </w:pPr>
      <w:r>
        <w:rPr>
          <w:rFonts w:ascii="Arial" w:cs="Arial" w:eastAsia="Arial" w:hAnsi="Arial"/>
          <w:sz w:val="18"/>
          <w:szCs w:val="18"/>
          <w:color w:val="auto"/>
        </w:rPr>
        <w:t>Letters of Credit issued by such Issuing Bank during the period from and including the Closing Date to but excluding the later of the date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termination of the last of the Revolving Commitments and the date on which there ceases to be any LC Exposure, as well as such Issuing Bank’s standard fees and commissions with respect to the issuance, amendment, cancellation, negotiation, transfer, presentment, renewal or</w:t>
      </w:r>
    </w:p>
    <w:p>
      <w:pPr>
        <w:spacing w:after="0" w:line="236" w:lineRule="auto"/>
        <w:rPr>
          <w:sz w:val="20"/>
          <w:szCs w:val="20"/>
          <w:color w:val="auto"/>
        </w:rPr>
      </w:pPr>
      <w:r>
        <w:rPr>
          <w:rFonts w:ascii="Arial" w:cs="Arial" w:eastAsia="Arial" w:hAnsi="Arial"/>
          <w:sz w:val="18"/>
          <w:szCs w:val="18"/>
          <w:color w:val="auto"/>
        </w:rPr>
        <w:t>extension of any Letter of Credit or processing of drawings thereunder. Unless otherwise specified above, participation fees and fronting fees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accrued through and including the last day of March, June, September and December of each year shall be payable on the third (3rd) Business Day following such last day, commencing on the first such date to occur after the Closing Date; provided that all such fees shall be</w:t>
      </w:r>
    </w:p>
    <w:p>
      <w:pPr>
        <w:spacing w:after="0" w:line="236" w:lineRule="auto"/>
        <w:rPr>
          <w:sz w:val="20"/>
          <w:szCs w:val="20"/>
          <w:color w:val="auto"/>
        </w:rPr>
      </w:pPr>
      <w:r>
        <w:rPr>
          <w:rFonts w:ascii="Arial" w:cs="Arial" w:eastAsia="Arial" w:hAnsi="Arial"/>
          <w:sz w:val="18"/>
          <w:szCs w:val="18"/>
          <w:color w:val="auto"/>
        </w:rPr>
        <w:t>payable on the date on which the last of the Revolving Commitments terminate and any such fees accruing after the date on which the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Commitments terminate shall be payable on demand. Any other fees payable to the Issuing Bank pursuant to this paragraph shall be payable within ten (10) days after demand. All participation fees and fronting fees shall be computed on the basis of a year of 360 days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shall be payable for the actual number of days elapsed (including the first day but excluding the last day).</w:t>
      </w:r>
    </w:p>
    <w:p>
      <w:pPr>
        <w:spacing w:after="0" w:line="173" w:lineRule="exact"/>
        <w:rPr>
          <w:sz w:val="20"/>
          <w:szCs w:val="20"/>
          <w:color w:val="auto"/>
        </w:rPr>
      </w:pPr>
    </w:p>
    <w:p>
      <w:pPr>
        <w:jc w:val="both"/>
        <w:ind w:firstLine="1304"/>
        <w:spacing w:after="0" w:line="212" w:lineRule="auto"/>
        <w:tabs>
          <w:tab w:leader="none" w:pos="193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Applicable Borrower agrees to pay to the Administrative Agent, for the account of each Revolving Lender, a utilization fee (the “</w:t>
      </w:r>
      <w:r>
        <w:rPr>
          <w:rFonts w:ascii="Arial" w:cs="Arial" w:eastAsia="Arial" w:hAnsi="Arial"/>
          <w:sz w:val="20"/>
          <w:szCs w:val="20"/>
          <w:u w:val="single" w:color="auto"/>
          <w:color w:val="auto"/>
        </w:rPr>
        <w:t>Utilization Fee</w:t>
      </w:r>
      <w:r>
        <w:rPr>
          <w:rFonts w:ascii="Arial" w:cs="Arial" w:eastAsia="Arial" w:hAnsi="Arial"/>
          <w:sz w:val="20"/>
          <w:szCs w:val="20"/>
          <w:color w:val="auto"/>
        </w:rPr>
        <w:t>”) which shall accrue at the Applicable Utilization Fee Rate on the daily Dollar Amount of the Revolving Loans and LC Exposure of such Revolving Lender during the period from and including the Closing Date to but excluding the date on which the last of the Revolving Commitments (or Extended Revolving Commitments) of such Revolving Lender terminates. Accrued Utilization Fees shall be payable in arrears on the last Business Day of March, June, September and December of each year and on the date on which the last of the Revolving Commitments terminate, commencing on the first such date to occur after the Closing Date. All Utilization Fees shall be computed on the basis of a year of 360 days and shall be payable for the actual number of days elapsed (including the first day but excluding the last day).</w:t>
      </w:r>
    </w:p>
    <w:p>
      <w:pPr>
        <w:spacing w:after="0" w:line="170" w:lineRule="exact"/>
        <w:rPr>
          <w:rFonts w:ascii="Arial" w:cs="Arial" w:eastAsia="Arial" w:hAnsi="Arial"/>
          <w:sz w:val="20"/>
          <w:szCs w:val="20"/>
          <w:color w:val="auto"/>
        </w:rPr>
      </w:pPr>
    </w:p>
    <w:p>
      <w:pPr>
        <w:ind w:right="20" w:firstLine="1304"/>
        <w:spacing w:after="0" w:line="236" w:lineRule="auto"/>
        <w:tabs>
          <w:tab w:leader="none" w:pos="193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its own account, fees payable in the amounts and at the times separately agreed upon between the Borrowers and the Administrative Agent.</w:t>
      </w:r>
    </w:p>
    <w:p>
      <w:pPr>
        <w:spacing w:after="0" w:line="155" w:lineRule="exact"/>
        <w:rPr>
          <w:rFonts w:ascii="Arial" w:cs="Arial" w:eastAsia="Arial" w:hAnsi="Arial"/>
          <w:sz w:val="20"/>
          <w:szCs w:val="20"/>
          <w:color w:val="auto"/>
        </w:rPr>
      </w:pPr>
    </w:p>
    <w:p>
      <w:pPr>
        <w:ind w:firstLine="1304"/>
        <w:spacing w:after="0" w:line="236" w:lineRule="auto"/>
        <w:tabs>
          <w:tab w:leader="none" w:pos="193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Borrowers agree to pay to the Collateral Agent, for its own account, fees payable in the amounts and at the times separately agreed upon between the Borrowers and the Collateral Agent.</w:t>
      </w:r>
    </w:p>
    <w:p>
      <w:pPr>
        <w:spacing w:after="0" w:line="168" w:lineRule="exact"/>
        <w:rPr>
          <w:rFonts w:ascii="Arial" w:cs="Arial" w:eastAsia="Arial" w:hAnsi="Arial"/>
          <w:sz w:val="20"/>
          <w:szCs w:val="20"/>
          <w:color w:val="auto"/>
        </w:rPr>
      </w:pPr>
    </w:p>
    <w:p>
      <w:pPr>
        <w:jc w:val="both"/>
        <w:ind w:firstLine="1304"/>
        <w:spacing w:after="0" w:line="239" w:lineRule="auto"/>
        <w:tabs>
          <w:tab w:leader="none" w:pos="193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a Repricing Event with respect to the Initial Term Loans occurs prior to the six-month anniversary of the Closing Date, the Applicable Borrower agrees to pay a premium equal to 1.00% of the principal amount of the Initial Term Loans subject to such Repricing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agreed that any prepayment premium with respect to a Repricing Event payable pursuant to this clause (f) shall also apply to any required assignment pursuant to Section 9.02(d) by a Non-Consenting Lender in connection with any amendment described in Section 2.24 that occurs prior to the six-month anniversary of the Closing Date.</w:t>
      </w:r>
    </w:p>
    <w:p>
      <w:pPr>
        <w:spacing w:after="0" w:line="170" w:lineRule="exact"/>
        <w:rPr>
          <w:rFonts w:ascii="Arial" w:cs="Arial" w:eastAsia="Arial" w:hAnsi="Arial"/>
          <w:sz w:val="18"/>
          <w:szCs w:val="18"/>
          <w:color w:val="auto"/>
        </w:rPr>
      </w:pPr>
    </w:p>
    <w:p>
      <w:pPr>
        <w:ind w:right="20" w:firstLine="1304"/>
        <w:spacing w:after="0" w:line="229" w:lineRule="auto"/>
        <w:tabs>
          <w:tab w:leader="none" w:pos="1932"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Dollars and immediately available funds, to the Administrative Agent (or to the Issuing Banks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Collateral Agent, in the case of fees payable to them) for distribution, in the case of commitment fees and participation fees, to the applicable Revolving Lenders. Fees paid shall not be refundable under any circumstances.</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Interest.</w:t>
      </w:r>
    </w:p>
    <w:p>
      <w:pPr>
        <w:spacing w:after="0" w:line="189" w:lineRule="exact"/>
        <w:rPr>
          <w:sz w:val="20"/>
          <w:szCs w:val="20"/>
          <w:color w:val="auto"/>
        </w:rPr>
      </w:pPr>
    </w:p>
    <w:p>
      <w:pPr>
        <w:ind w:firstLine="1304"/>
        <w:spacing w:after="0" w:line="229" w:lineRule="auto"/>
        <w:tabs>
          <w:tab w:leader="none" w:pos="193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Loans comprising each ABR Borrowing (including each Swingline Loan) shall bear interest at the Alternate Base Rate plus the Applicable Margin.</w:t>
      </w:r>
    </w:p>
    <w:p>
      <w:pPr>
        <w:spacing w:after="0" w:line="168" w:lineRule="exact"/>
        <w:rPr>
          <w:rFonts w:ascii="Arial" w:cs="Arial" w:eastAsia="Arial" w:hAnsi="Arial"/>
          <w:sz w:val="20"/>
          <w:szCs w:val="20"/>
          <w:color w:val="auto"/>
        </w:rPr>
      </w:pPr>
    </w:p>
    <w:p>
      <w:pPr>
        <w:jc w:val="both"/>
        <w:ind w:firstLine="1304"/>
        <w:spacing w:after="0" w:line="252" w:lineRule="auto"/>
        <w:tabs>
          <w:tab w:leader="none" w:pos="193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0000FF"/>
        </w:rPr>
        <w:t>(i)</w:t>
      </w:r>
      <w:r>
        <w:rPr>
          <w:rFonts w:ascii="Arial" w:cs="Arial" w:eastAsia="Arial" w:hAnsi="Arial"/>
          <w:sz w:val="18"/>
          <w:szCs w:val="18"/>
          <w:color w:val="0000FF"/>
        </w:rPr>
        <w:t xml:space="preserve"> </w:t>
      </w:r>
      <w:r>
        <w:rPr>
          <w:rFonts w:ascii="Arial" w:cs="Arial" w:eastAsia="Arial" w:hAnsi="Arial"/>
          <w:sz w:val="18"/>
          <w:szCs w:val="18"/>
          <w:color w:val="000000"/>
        </w:rPr>
        <w:t>The Loans comprising each Eurocurrency Borrowing shall bear interest at the Eurocurrency Rate</w:t>
      </w:r>
      <w:r>
        <w:rPr>
          <w:rFonts w:ascii="Arial" w:cs="Arial" w:eastAsia="Arial" w:hAnsi="Arial"/>
          <w:sz w:val="18"/>
          <w:szCs w:val="18"/>
          <w:color w:val="0000FF"/>
        </w:rPr>
        <w:t xml:space="preserve"> for the Interest </w:t>
      </w:r>
      <w:r>
        <w:rPr>
          <w:rFonts w:ascii="Arial" w:cs="Arial" w:eastAsia="Arial" w:hAnsi="Arial"/>
          <w:sz w:val="18"/>
          <w:szCs w:val="18"/>
          <w:u w:val="single" w:color="auto"/>
          <w:color w:val="0000FF"/>
        </w:rPr>
        <w:t>Period in effect for such Borrowing plus the Applicable Margin and (ii) the Loans comprising each USD Term SOFR Borrowing shall bear interest at the USD Adjusted Term SOFR</w:t>
      </w:r>
      <w:r>
        <w:rPr>
          <w:rFonts w:ascii="Arial" w:cs="Arial" w:eastAsia="Arial" w:hAnsi="Arial"/>
          <w:sz w:val="18"/>
          <w:szCs w:val="18"/>
          <w:color w:val="0000FF"/>
        </w:rPr>
        <w:t xml:space="preserve"> </w:t>
      </w:r>
      <w:r>
        <w:rPr>
          <w:rFonts w:ascii="Arial" w:cs="Arial" w:eastAsia="Arial" w:hAnsi="Arial"/>
          <w:sz w:val="18"/>
          <w:szCs w:val="18"/>
          <w:color w:val="000000"/>
        </w:rPr>
        <w:t>for the Interest Period in effect for such Borrowing plus the Applicable Margin.</w:t>
      </w:r>
    </w:p>
    <w:p>
      <w:pPr>
        <w:spacing w:after="0" w:line="158" w:lineRule="exact"/>
        <w:rPr>
          <w:rFonts w:ascii="Arial" w:cs="Arial" w:eastAsia="Arial" w:hAnsi="Arial"/>
          <w:sz w:val="18"/>
          <w:szCs w:val="18"/>
          <w:color w:val="auto"/>
        </w:rPr>
      </w:pPr>
    </w:p>
    <w:p>
      <w:pPr>
        <w:ind w:firstLine="1304"/>
        <w:spacing w:after="0" w:line="236" w:lineRule="auto"/>
        <w:tabs>
          <w:tab w:leader="none" w:pos="1997"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Loans comprising each RFR Borrowing shall bear interest at the Daily Simple RFR for the Interest Period in effect for such Borrowing plus the Applicable Margin.</w:t>
      </w:r>
    </w:p>
    <w:p>
      <w:pPr>
        <w:spacing w:after="0" w:line="155" w:lineRule="exact"/>
        <w:rPr>
          <w:rFonts w:ascii="Arial" w:cs="Arial" w:eastAsia="Arial" w:hAnsi="Arial"/>
          <w:sz w:val="20"/>
          <w:szCs w:val="20"/>
          <w:color w:val="auto"/>
        </w:rPr>
      </w:pPr>
    </w:p>
    <w:p>
      <w:pPr>
        <w:jc w:val="both"/>
        <w:ind w:firstLine="1304"/>
        <w:spacing w:after="0" w:line="229" w:lineRule="auto"/>
        <w:tabs>
          <w:tab w:leader="none" w:pos="1932" w:val="left"/>
        </w:tabs>
        <w:numPr>
          <w:ilvl w:val="0"/>
          <w:numId w:val="185"/>
        </w:numPr>
        <w:rPr>
          <w:rFonts w:ascii="Arial" w:cs="Arial" w:eastAsia="Arial" w:hAnsi="Arial"/>
          <w:sz w:val="19"/>
          <w:szCs w:val="19"/>
          <w:color w:val="auto"/>
        </w:rPr>
      </w:pPr>
      <w:r>
        <w:rPr>
          <w:rFonts w:ascii="Arial" w:cs="Arial" w:eastAsia="Arial" w:hAnsi="Arial"/>
          <w:sz w:val="19"/>
          <w:szCs w:val="19"/>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2.13 or (ii) in the case of any other amount, 2% plus the rate applicable to ABR Loans as provided in paragraph (a) of this Section 2.13.</w:t>
      </w:r>
    </w:p>
    <w:p>
      <w:pPr>
        <w:spacing w:after="0" w:line="172" w:lineRule="exact"/>
        <w:rPr>
          <w:rFonts w:ascii="Arial" w:cs="Arial" w:eastAsia="Arial" w:hAnsi="Arial"/>
          <w:sz w:val="19"/>
          <w:szCs w:val="19"/>
          <w:color w:val="auto"/>
        </w:rPr>
      </w:pPr>
    </w:p>
    <w:p>
      <w:pPr>
        <w:jc w:val="both"/>
        <w:ind w:firstLine="1304"/>
        <w:spacing w:after="0" w:line="225" w:lineRule="auto"/>
        <w:tabs>
          <w:tab w:leader="none" w:pos="193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Revolving Loans, upon termination of the applicable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(d) of this Section 2.13 shall be payable on demand, (ii) in the event of any repayment or prepayment of any Loan of any Class (other than a prepayment of an ABR Revolving Loan prior to the end of the Availability Period), accrued interest on the principal amount repaid or prepaid shall be payable on the date of such repayment or prepayment and (iii) in the event of any conversion of any Eurocurrency Loan</w:t>
      </w:r>
      <w:r>
        <w:rPr>
          <w:rFonts w:ascii="Arial" w:cs="Arial" w:eastAsia="Arial" w:hAnsi="Arial"/>
          <w:sz w:val="19"/>
          <w:szCs w:val="19"/>
          <w:u w:val="single" w:color="auto"/>
          <w:color w:val="0000FF"/>
        </w:rPr>
        <w:t>, USD Term SOFR Loan</w:t>
      </w:r>
      <w:r>
        <w:rPr>
          <w:rFonts w:ascii="Arial" w:cs="Arial" w:eastAsia="Arial" w:hAnsi="Arial"/>
          <w:sz w:val="19"/>
          <w:szCs w:val="19"/>
          <w:color w:val="auto"/>
        </w:rPr>
        <w:t xml:space="preserve"> or RFR Loan prior to the end of the current Interest Period therefor, accrued interest on such Loan shall be payable on the effective date of such conversion.</w:t>
      </w:r>
    </w:p>
    <w:p>
      <w:pPr>
        <w:spacing w:after="0" w:line="159" w:lineRule="exact"/>
        <w:rPr>
          <w:rFonts w:ascii="Arial" w:cs="Arial" w:eastAsia="Arial" w:hAnsi="Arial"/>
          <w:sz w:val="19"/>
          <w:szCs w:val="19"/>
          <w:color w:val="auto"/>
        </w:rPr>
      </w:pPr>
    </w:p>
    <w:p>
      <w:pPr>
        <w:jc w:val="both"/>
        <w:ind w:firstLine="1304"/>
        <w:spacing w:after="0" w:line="214" w:lineRule="auto"/>
        <w:tabs>
          <w:tab w:leader="none" w:pos="193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for Borrowings denominated in Pounds Sterling, interest shall be computed on the basis of a year of 365 days, and in each case shall be payable for the actual number of days elapsed (including the first day but excluding the last day). The applicable Alternate Base Rate, </w:t>
      </w:r>
      <w:r>
        <w:rPr>
          <w:rFonts w:ascii="Arial" w:cs="Arial" w:eastAsia="Arial" w:hAnsi="Arial"/>
          <w:sz w:val="20"/>
          <w:szCs w:val="20"/>
          <w:u w:val="single" w:color="auto"/>
          <w:color w:val="0000FF"/>
        </w:rPr>
        <w:t>USD</w:t>
      </w:r>
      <w:r>
        <w:rPr>
          <w:rFonts w:ascii="Arial" w:cs="Arial" w:eastAsia="Arial" w:hAnsi="Arial"/>
          <w:sz w:val="20"/>
          <w:szCs w:val="20"/>
          <w:color w:val="auto"/>
        </w:rPr>
        <w:t xml:space="preserve"> Adjusted </w:t>
      </w:r>
      <w:r>
        <w:rPr>
          <w:rFonts w:ascii="Arial" w:cs="Arial" w:eastAsia="Arial" w:hAnsi="Arial"/>
          <w:sz w:val="20"/>
          <w:szCs w:val="20"/>
          <w:color w:val="FF0000"/>
          <w:strike w:val="1"/>
        </w:rPr>
        <w:t>LIBO Rate, LIBO Rate</w:t>
      </w:r>
      <w:r>
        <w:rPr>
          <w:rFonts w:ascii="Arial" w:cs="Arial" w:eastAsia="Arial" w:hAnsi="Arial"/>
          <w:sz w:val="20"/>
          <w:szCs w:val="20"/>
          <w:u w:val="single" w:color="auto"/>
          <w:color w:val="0000FF"/>
        </w:rPr>
        <w:t>Term SOFR, USD Term SOFR</w:t>
      </w:r>
      <w:r>
        <w:rPr>
          <w:rFonts w:ascii="Arial" w:cs="Arial" w:eastAsia="Arial" w:hAnsi="Arial"/>
          <w:sz w:val="20"/>
          <w:szCs w:val="20"/>
          <w:color w:val="auto"/>
        </w:rPr>
        <w:t>, Adjusted EURIBOR Rate, EURIBOR Rate or Daily Simple RFR shall be determined by the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6343015</wp:posOffset>
            </wp:positionH>
            <wp:positionV relativeFrom="paragraph">
              <wp:posOffset>-3463290</wp:posOffset>
            </wp:positionV>
            <wp:extent cx="7880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15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6"/>
          <w:szCs w:val="16"/>
          <w:u w:val="single" w:color="auto"/>
          <w:color w:val="auto"/>
        </w:rPr>
        <w:t>Benchmark Replacement Setting.</w:t>
      </w:r>
    </w:p>
    <w:p>
      <w:pPr>
        <w:spacing w:after="0" w:line="175" w:lineRule="exact"/>
        <w:rPr>
          <w:sz w:val="20"/>
          <w:szCs w:val="20"/>
          <w:color w:val="auto"/>
        </w:rPr>
      </w:pPr>
    </w:p>
    <w:p>
      <w:pPr>
        <w:jc w:val="both"/>
        <w:ind w:left="80" w:firstLine="1215"/>
        <w:spacing w:after="0" w:line="239" w:lineRule="auto"/>
        <w:rPr>
          <w:sz w:val="20"/>
          <w:szCs w:val="20"/>
          <w:color w:val="auto"/>
        </w:rPr>
      </w:pPr>
      <w:r>
        <w:rPr>
          <w:rFonts w:ascii="Arial" w:cs="Arial" w:eastAsia="Arial" w:hAnsi="Arial"/>
          <w:sz w:val="19"/>
          <w:szCs w:val="19"/>
          <w:color w:val="FF0000"/>
          <w:strike w:val="1"/>
        </w:rPr>
        <w:t>On March 5, 2021 the Financial Conduct Authority (“</w:t>
      </w:r>
      <w:r>
        <w:rPr>
          <w:rFonts w:ascii="Arial" w:cs="Arial" w:eastAsia="Arial" w:hAnsi="Arial"/>
          <w:sz w:val="19"/>
          <w:szCs w:val="19"/>
          <w:u w:val="single" w:color="auto"/>
          <w:color w:val="FF0000"/>
          <w:strike w:val="1"/>
        </w:rPr>
        <w:t>FCA</w:t>
      </w:r>
      <w:r>
        <w:rPr>
          <w:rFonts w:ascii="Arial" w:cs="Arial" w:eastAsia="Arial" w:hAnsi="Arial"/>
          <w:sz w:val="19"/>
          <w:szCs w:val="19"/>
          <w:color w:val="FF0000"/>
          <w:strike w:val="1"/>
        </w:rPr>
        <w:t>”), the regulatory supervisor of USD LIBOR’s administrator (“</w:t>
      </w:r>
      <w:r>
        <w:rPr>
          <w:rFonts w:ascii="Arial" w:cs="Arial" w:eastAsia="Arial" w:hAnsi="Arial"/>
          <w:sz w:val="19"/>
          <w:szCs w:val="19"/>
          <w:u w:val="single" w:color="auto"/>
          <w:color w:val="FF0000"/>
          <w:strike w:val="1"/>
        </w:rPr>
        <w:t>IBA</w:t>
      </w:r>
      <w:r>
        <w:rPr>
          <w:rFonts w:ascii="Arial" w:cs="Arial" w:eastAsia="Arial" w:hAnsi="Arial"/>
          <w:sz w:val="19"/>
          <w:szCs w:val="19"/>
          <w:color w:val="FF0000"/>
          <w:strike w:val="1"/>
        </w:rPr>
        <w:t xml:space="preserve">”), announced in a public statement the future cessation or loss of representativeness of overnight/Spot Next, 1-month, 3-month, 6-month and 12- month USD LIBOR tenor settings. </w:t>
      </w:r>
      <w:r>
        <w:rPr>
          <w:rFonts w:ascii="Arial" w:cs="Arial" w:eastAsia="Arial" w:hAnsi="Arial"/>
          <w:sz w:val="19"/>
          <w:szCs w:val="19"/>
          <w:color w:val="000000"/>
          <w:strike w:val="1"/>
        </w:rPr>
        <w:t>Notwithstanding anything to the contrary herein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3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any other Loan Document (and any Swap Agreement shall be deemed not to be a “Loan Document” for purposes of this Section 2.14):</w:t>
      </w:r>
    </w:p>
    <w:p>
      <w:pPr>
        <w:spacing w:after="0" w:line="198" w:lineRule="exact"/>
        <w:rPr>
          <w:sz w:val="20"/>
          <w:szCs w:val="20"/>
          <w:color w:val="auto"/>
        </w:rPr>
      </w:pPr>
    </w:p>
    <w:p>
      <w:pPr>
        <w:ind w:left="1940" w:hanging="636"/>
        <w:spacing w:after="0"/>
        <w:tabs>
          <w:tab w:leader="none" w:pos="1940" w:val="left"/>
        </w:tabs>
        <w:numPr>
          <w:ilvl w:val="0"/>
          <w:numId w:val="18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[Reserved].</w:t>
      </w:r>
    </w:p>
    <w:p>
      <w:pPr>
        <w:spacing w:after="0" w:line="188" w:lineRule="exact"/>
        <w:rPr>
          <w:rFonts w:ascii="Arial" w:cs="Arial" w:eastAsia="Arial" w:hAnsi="Arial"/>
          <w:sz w:val="20"/>
          <w:szCs w:val="20"/>
          <w:u w:val="single" w:color="auto"/>
          <w:color w:val="0000FF"/>
        </w:rPr>
      </w:pPr>
    </w:p>
    <w:p>
      <w:pPr>
        <w:jc w:val="both"/>
        <w:ind w:firstLine="1304"/>
        <w:spacing w:after="0" w:line="235" w:lineRule="auto"/>
        <w:tabs>
          <w:tab w:leader="none" w:pos="1932" w:val="left"/>
        </w:tabs>
        <w:numPr>
          <w:ilvl w:val="0"/>
          <w:numId w:val="186"/>
        </w:numPr>
        <w:rPr>
          <w:rFonts w:ascii="Arial" w:cs="Arial" w:eastAsia="Arial" w:hAnsi="Arial"/>
          <w:sz w:val="18"/>
          <w:szCs w:val="18"/>
          <w:u w:val="single" w:color="auto"/>
          <w:color w:val="0000FF"/>
        </w:rPr>
      </w:pPr>
      <w:r>
        <w:rPr>
          <w:rFonts w:ascii="Arial" w:cs="Arial" w:eastAsia="Arial" w:hAnsi="Arial"/>
          <w:sz w:val="18"/>
          <w:szCs w:val="18"/>
          <w:color w:val="FF0000"/>
          <w:strike w:val="1"/>
        </w:rPr>
        <w:t xml:space="preserve">(a) </w:t>
      </w:r>
      <w:r>
        <w:rPr>
          <w:rFonts w:ascii="Arial" w:cs="Arial" w:eastAsia="Arial" w:hAnsi="Arial"/>
          <w:sz w:val="18"/>
          <w:szCs w:val="18"/>
          <w:u w:val="single" w:color="auto"/>
          <w:color w:val="000000"/>
          <w:strike w:val="1"/>
        </w:rPr>
        <w:t>Replacing</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USD LIBOR</w:t>
      </w:r>
      <w:r>
        <w:rPr>
          <w:rFonts w:ascii="Arial" w:cs="Arial" w:eastAsia="Arial" w:hAnsi="Arial"/>
          <w:sz w:val="18"/>
          <w:szCs w:val="18"/>
          <w:color w:val="FF0000"/>
          <w:strike w:val="1"/>
        </w:rPr>
        <w:t>. On the earlier of (i) the date that all USD Available Tenors of USD LIBOR have either permanently or indefinitely ceased to be provided by IBA or have been announced by the FCA pursuant to public statement or publication of information to be no longer representative and (ii) the USD Early Opt-in Effective Date, if the then-current USD Benchmark is USD LIBOR, the USD Benchmark Replacement will replace such USD Benchmark for all purposes hereunder and under any Loan Document in respect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any setting of such USD Benchmark on such day and all subsequent settings without any amendment to, or further action or consent of any other party to this Agreement or any other Loan Document. If the USD Benchmark Replacement is USD Daily Simple SOFR, all interest</w:t>
      </w:r>
    </w:p>
    <w:p>
      <w:pPr>
        <w:spacing w:after="0" w:line="224" w:lineRule="auto"/>
        <w:tabs>
          <w:tab w:leader="none" w:pos="4480" w:val="left"/>
        </w:tabs>
        <w:rPr>
          <w:sz w:val="20"/>
          <w:szCs w:val="20"/>
          <w:color w:val="auto"/>
        </w:rPr>
      </w:pPr>
      <w:r>
        <w:rPr>
          <w:rFonts w:ascii="Arial" w:cs="Arial" w:eastAsia="Arial" w:hAnsi="Arial"/>
          <w:sz w:val="20"/>
          <w:szCs w:val="20"/>
          <w:color w:val="FF0000"/>
          <w:strike w:val="1"/>
        </w:rPr>
        <w:t>payments will be payable on a quarterly basis.(b)</w:t>
      </w:r>
      <w:r>
        <w:rPr>
          <w:sz w:val="20"/>
          <w:szCs w:val="20"/>
          <w:color w:val="auto"/>
        </w:rPr>
        <w:tab/>
      </w:r>
      <w:r>
        <w:rPr>
          <w:rFonts w:ascii="Arial" w:cs="Arial" w:eastAsia="Arial" w:hAnsi="Arial"/>
          <w:sz w:val="19"/>
          <w:szCs w:val="19"/>
          <w:u w:val="single" w:color="auto"/>
          <w:color w:val="FF0000"/>
          <w:strike w:val="1"/>
        </w:rPr>
        <w:t xml:space="preserve">Replacing Future </w:t>
      </w:r>
      <w:r>
        <w:rPr>
          <w:rFonts w:ascii="Arial" w:cs="Arial" w:eastAsia="Arial" w:hAnsi="Arial"/>
          <w:sz w:val="19"/>
          <w:szCs w:val="19"/>
          <w:color w:val="000000"/>
          <w:strike w:val="1"/>
        </w:rPr>
        <w:t>USD Benchmarks. Upon the occurrence of a USD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-7620</wp:posOffset>
            </wp:positionV>
            <wp:extent cx="9848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Transition Event, the USD Benchmark Replacement will replace the then-current USD Benchmark for all purposes hereunder and under any Loan Document in respect of any such USD Benchmark setting at or after 5:00 p.m. on the fifth (5</w:t>
      </w:r>
      <w:r>
        <w:rPr>
          <w:rFonts w:ascii="Arial" w:cs="Arial" w:eastAsia="Arial" w:hAnsi="Arial"/>
          <w:sz w:val="11"/>
          <w:szCs w:val="11"/>
          <w:color w:val="auto"/>
        </w:rPr>
        <w:t>th</w:t>
      </w:r>
      <w:r>
        <w:rPr>
          <w:rFonts w:ascii="Arial" w:cs="Arial" w:eastAsia="Arial" w:hAnsi="Arial"/>
          <w:sz w:val="18"/>
          <w:szCs w:val="18"/>
          <w:color w:val="auto"/>
        </w:rPr>
        <w:t>) Business Day after the date notice of</w:t>
      </w:r>
    </w:p>
    <w:p>
      <w:pPr>
        <w:spacing w:after="0" w:line="236" w:lineRule="auto"/>
        <w:rPr>
          <w:sz w:val="20"/>
          <w:szCs w:val="20"/>
          <w:color w:val="auto"/>
        </w:rPr>
      </w:pPr>
      <w:r>
        <w:rPr>
          <w:rFonts w:ascii="Arial" w:cs="Arial" w:eastAsia="Arial" w:hAnsi="Arial"/>
          <w:sz w:val="18"/>
          <w:szCs w:val="18"/>
          <w:color w:val="auto"/>
        </w:rPr>
        <w:t>such USD Benchmark Replacement is provided to the Lenders without any amendment to, or further action or consent of any other party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Agreement or any other Loan Document so long as the Administrative Agent has not received, by such time, written notice of objection to such USD Benchmark Replacement from Lenders comprising the Required Lenders. At any time that the administrator of any then-current</w:t>
      </w:r>
    </w:p>
    <w:p>
      <w:pPr>
        <w:spacing w:after="0" w:line="236" w:lineRule="auto"/>
        <w:rPr>
          <w:sz w:val="20"/>
          <w:szCs w:val="20"/>
          <w:color w:val="auto"/>
        </w:rPr>
      </w:pPr>
      <w:r>
        <w:rPr>
          <w:rFonts w:ascii="Arial" w:cs="Arial" w:eastAsia="Arial" w:hAnsi="Arial"/>
          <w:sz w:val="18"/>
          <w:szCs w:val="18"/>
          <w:color w:val="auto"/>
        </w:rPr>
        <w:t>USD Benchmark has permanently or indefinitely ceased to provide such USD Benchmark or such USD Benchmark has been announced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regulatory supervisor for the administrator of such USD Benchmark pursuant to public statement or publication of information to be no longer representative and will not be restored, the Applicable Borrower may revoke any request for a borrowing of, conversion to or</w:t>
      </w:r>
    </w:p>
    <w:p>
      <w:pPr>
        <w:spacing w:after="0" w:line="236" w:lineRule="auto"/>
        <w:rPr>
          <w:sz w:val="20"/>
          <w:szCs w:val="20"/>
          <w:color w:val="auto"/>
        </w:rPr>
      </w:pPr>
      <w:r>
        <w:rPr>
          <w:rFonts w:ascii="Arial" w:cs="Arial" w:eastAsia="Arial" w:hAnsi="Arial"/>
          <w:sz w:val="18"/>
          <w:szCs w:val="18"/>
          <w:color w:val="auto"/>
        </w:rPr>
        <w:t>continuation of Loans to be made, converted or continued that would bear interest by reference to such USD Benchmark until the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receipt of notice from the Administrative Agent that a USD Benchmark Replacement has replaced such USD Benchmark, and, failing that, the Applicable Borrower will be deemed to have converted any such request into a request for a borrowing of or conversion to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ABR Loans. During the period referenced in the foregoing sentence, if a component of ABR is based upon the USD Benchmark, such component will not be used in any determination of ABR.</w:t>
      </w:r>
    </w:p>
    <w:p>
      <w:pPr>
        <w:spacing w:after="0" w:line="156" w:lineRule="exact"/>
        <w:rPr>
          <w:sz w:val="20"/>
          <w:szCs w:val="20"/>
          <w:color w:val="auto"/>
        </w:rPr>
      </w:pPr>
    </w:p>
    <w:p>
      <w:pPr>
        <w:jc w:val="both"/>
        <w:ind w:firstLine="1304"/>
        <w:spacing w:after="0" w:line="229" w:lineRule="auto"/>
        <w:tabs>
          <w:tab w:leader="none" w:pos="1934"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USD Benchmark Replacement Conforming Changes</w:t>
      </w:r>
      <w:r>
        <w:rPr>
          <w:rFonts w:ascii="Arial" w:cs="Arial" w:eastAsia="Arial" w:hAnsi="Arial"/>
          <w:sz w:val="19"/>
          <w:szCs w:val="19"/>
          <w:color w:val="auto"/>
        </w:rPr>
        <w:t>. In connection with the implementation and administration of any USD Benchmark Replacement, the Administrative Agent, with the consent of Holdings (not be unreasonably withheld), will have the right to make USD Benchmark Replacement Conforming Changes from time to time and, notwithstanding anything to the contrary herein or in any other Loan Document, any amendments implementing such USD Benchmark Replacement Conforming Changes will become effective without any further action or consent of any other party to this Agreement.</w:t>
      </w:r>
    </w:p>
    <w:p>
      <w:pPr>
        <w:spacing w:after="0" w:line="172"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Holdings and the Lenders of (i) the implementation of any USD Benchmark Replacement and (ii) the effectiveness of any USD Benchmark Replacement Conforming Changes. For the avoidance of doubt, any notice required to be delivered by the Administrative Agent as set forth in this Section 2.14 may be provided, at the option of the Administrative Agent with the consent of Holdings (not to be unreasonably withheld), in one or more notices and may be delivered together with, or as part of any amendment which implements any USD Benchmark Replacement or USD Benchmark Replacement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event, circumstance or date and any decision to take or refrain from taking any action, will be conclusive and binding absent manifest error and may be made in its or their sole discretion and without consent from any other party hereto, except, in each case, as expressly</w:t>
      </w:r>
    </w:p>
    <w:p>
      <w:pPr>
        <w:spacing w:after="0"/>
        <w:rPr>
          <w:sz w:val="20"/>
          <w:szCs w:val="20"/>
          <w:color w:val="auto"/>
        </w:rPr>
      </w:pPr>
      <w:r>
        <w:rPr>
          <w:rFonts w:ascii="Arial" w:cs="Arial" w:eastAsia="Arial" w:hAnsi="Arial"/>
          <w:sz w:val="20"/>
          <w:szCs w:val="20"/>
          <w:color w:val="auto"/>
        </w:rPr>
        <w:t>required pursuant to this Section 2.14.</w:t>
      </w:r>
    </w:p>
    <w:p>
      <w:pPr>
        <w:spacing w:after="0" w:line="173" w:lineRule="exact"/>
        <w:rPr>
          <w:sz w:val="20"/>
          <w:szCs w:val="20"/>
          <w:color w:val="auto"/>
        </w:rPr>
      </w:pPr>
    </w:p>
    <w:p>
      <w:pPr>
        <w:jc w:val="both"/>
        <w:ind w:firstLine="1304"/>
        <w:spacing w:after="0" w:line="215" w:lineRule="auto"/>
        <w:tabs>
          <w:tab w:leader="none" w:pos="1934"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Unavailability of Tenor of USD Benchmark</w:t>
      </w:r>
      <w:r>
        <w:rPr>
          <w:rFonts w:ascii="Arial" w:cs="Arial" w:eastAsia="Arial" w:hAnsi="Arial"/>
          <w:sz w:val="20"/>
          <w:szCs w:val="20"/>
          <w:color w:val="auto"/>
        </w:rPr>
        <w:t xml:space="preserve">. At any time (including in connection with the implementation of any USD Benchmark Replacement), (i) if any then-current USD Benchmark is a term rate (including USD Term SOFR </w:t>
      </w:r>
      <w:r>
        <w:rPr>
          <w:rFonts w:ascii="Arial" w:cs="Arial" w:eastAsia="Arial" w:hAnsi="Arial"/>
          <w:sz w:val="20"/>
          <w:szCs w:val="20"/>
          <w:color w:val="FF0000"/>
          <w:strike w:val="1"/>
        </w:rPr>
        <w:t>or USD LIBOR</w:t>
      </w:r>
      <w:r>
        <w:rPr>
          <w:rFonts w:ascii="Arial" w:cs="Arial" w:eastAsia="Arial" w:hAnsi="Arial"/>
          <w:sz w:val="20"/>
          <w:szCs w:val="20"/>
          <w:u w:val="single" w:color="auto"/>
          <w:color w:val="0000FF"/>
        </w:rPr>
        <w:t>Reference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Rate</w:t>
      </w:r>
      <w:r>
        <w:rPr>
          <w:rFonts w:ascii="Arial" w:cs="Arial" w:eastAsia="Arial" w:hAnsi="Arial"/>
          <w:sz w:val="20"/>
          <w:szCs w:val="20"/>
          <w:color w:val="000000"/>
        </w:rPr>
        <w:t>), then the Administrative Agent may remove any tenor of such USD Benchmark that is unavailable or non-representative for USD</w:t>
      </w:r>
      <w:r>
        <w:rPr>
          <w:rFonts w:ascii="Arial" w:cs="Arial" w:eastAsia="Arial" w:hAnsi="Arial"/>
          <w:sz w:val="20"/>
          <w:szCs w:val="20"/>
          <w:color w:val="0000FF"/>
        </w:rPr>
        <w:t xml:space="preserve"> </w:t>
      </w:r>
      <w:r>
        <w:rPr>
          <w:rFonts w:ascii="Arial" w:cs="Arial" w:eastAsia="Arial" w:hAnsi="Arial"/>
          <w:sz w:val="20"/>
          <w:szCs w:val="20"/>
          <w:color w:val="000000"/>
        </w:rPr>
        <w:t>Benchmark (including USD Benchmark Replacement) settings and (ii) the Administrative Agent may reinstate any such previously removed tenor for USD Benchmark (including USD Benchmark Replacement) settings.</w:t>
      </w:r>
    </w:p>
    <w:p>
      <w:pPr>
        <w:spacing w:after="0" w:line="171" w:lineRule="exact"/>
        <w:rPr>
          <w:rFonts w:ascii="Arial" w:cs="Arial" w:eastAsia="Arial" w:hAnsi="Arial"/>
          <w:sz w:val="20"/>
          <w:szCs w:val="20"/>
          <w:color w:val="auto"/>
        </w:rPr>
      </w:pPr>
    </w:p>
    <w:p>
      <w:pPr>
        <w:jc w:val="both"/>
        <w:ind w:firstLine="1304"/>
        <w:spacing w:after="0" w:line="234" w:lineRule="auto"/>
        <w:tabs>
          <w:tab w:leader="none" w:pos="1939"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The Administrative Agent does not warrant or accept any responsibility for, and shall not have any liability with respect to (i) the administration, submission or </w:t>
      </w:r>
      <w:r>
        <w:rPr>
          <w:rFonts w:ascii="Arial" w:cs="Arial" w:eastAsia="Arial" w:hAnsi="Arial"/>
          <w:sz w:val="18"/>
          <w:szCs w:val="18"/>
          <w:u w:val="single" w:color="auto"/>
          <w:color w:val="0000FF"/>
        </w:rPr>
        <w:t>calculation on</w:t>
      </w:r>
      <w:r>
        <w:rPr>
          <w:rFonts w:ascii="Arial" w:cs="Arial" w:eastAsia="Arial" w:hAnsi="Arial"/>
          <w:sz w:val="18"/>
          <w:szCs w:val="18"/>
          <w:color w:val="auto"/>
        </w:rPr>
        <w:t xml:space="preserve"> any other matter related to the </w:t>
      </w:r>
      <w:r>
        <w:rPr>
          <w:rFonts w:ascii="Arial" w:cs="Arial" w:eastAsia="Arial" w:hAnsi="Arial"/>
          <w:sz w:val="18"/>
          <w:szCs w:val="18"/>
          <w:color w:val="FF0000"/>
          <w:strike w:val="1"/>
        </w:rPr>
        <w:t>London interbank offered rate or</w:t>
      </w:r>
      <w:r>
        <w:rPr>
          <w:rFonts w:ascii="Arial" w:cs="Arial" w:eastAsia="Arial" w:hAnsi="Arial"/>
          <w:sz w:val="18"/>
          <w:szCs w:val="18"/>
          <w:color w:val="auto"/>
        </w:rPr>
        <w:t xml:space="preserve"> </w:t>
      </w:r>
      <w:r>
        <w:rPr>
          <w:rFonts w:ascii="Arial" w:cs="Arial" w:eastAsia="Arial" w:hAnsi="Arial"/>
          <w:sz w:val="18"/>
          <w:szCs w:val="18"/>
          <w:color w:val="FF0000"/>
          <w:strike w:val="1"/>
        </w:rPr>
        <w:t>other</w:t>
      </w:r>
      <w:r>
        <w:rPr>
          <w:rFonts w:ascii="Arial" w:cs="Arial" w:eastAsia="Arial" w:hAnsi="Arial"/>
          <w:sz w:val="18"/>
          <w:szCs w:val="18"/>
          <w:u w:val="single" w:color="auto"/>
          <w:color w:val="0000FF"/>
        </w:rPr>
        <w:t>USD Term SOFR Reference Rate, USD Adjusted Term SOFR or USD Term SOFR or any component definition thereof or</w:t>
      </w:r>
      <w:r>
        <w:rPr>
          <w:rFonts w:ascii="Arial" w:cs="Arial" w:eastAsia="Arial" w:hAnsi="Arial"/>
          <w:sz w:val="18"/>
          <w:szCs w:val="18"/>
          <w:color w:val="FF0000"/>
        </w:rPr>
        <w:t xml:space="preserve"> </w:t>
      </w:r>
      <w:r>
        <w:rPr>
          <w:rFonts w:ascii="Arial" w:cs="Arial" w:eastAsia="Arial" w:hAnsi="Arial"/>
          <w:sz w:val="18"/>
          <w:szCs w:val="18"/>
          <w:color w:val="000000"/>
        </w:rPr>
        <w:t>rates in the</w:t>
      </w:r>
      <w:r>
        <w:rPr>
          <w:rFonts w:ascii="Arial" w:cs="Arial" w:eastAsia="Arial" w:hAnsi="Arial"/>
          <w:sz w:val="18"/>
          <w:szCs w:val="18"/>
          <w:color w:val="FF0000"/>
        </w:rPr>
        <w:t xml:space="preserve"> </w:t>
      </w:r>
      <w:r>
        <w:rPr>
          <w:rFonts w:ascii="Arial" w:cs="Arial" w:eastAsia="Arial" w:hAnsi="Arial"/>
          <w:sz w:val="18"/>
          <w:szCs w:val="18"/>
          <w:color w:val="000000"/>
        </w:rPr>
        <w:t xml:space="preserve">definition </w:t>
      </w:r>
      <w:r>
        <w:rPr>
          <w:rFonts w:ascii="Arial" w:cs="Arial" w:eastAsia="Arial" w:hAnsi="Arial"/>
          <w:sz w:val="18"/>
          <w:szCs w:val="18"/>
          <w:color w:val="FF0000"/>
          <w:strike w:val="1"/>
        </w:rPr>
        <w:t>of “Eurocurrency” or with respect to</w:t>
      </w:r>
      <w:r>
        <w:rPr>
          <w:rFonts w:ascii="Arial" w:cs="Arial" w:eastAsia="Arial" w:hAnsi="Arial"/>
          <w:sz w:val="18"/>
          <w:szCs w:val="18"/>
          <w:u w:val="single" w:color="auto"/>
          <w:color w:val="0000FF"/>
        </w:rPr>
        <w:t>thereof, or</w:t>
      </w:r>
      <w:r>
        <w:rPr>
          <w:rFonts w:ascii="Arial" w:cs="Arial" w:eastAsia="Arial" w:hAnsi="Arial"/>
          <w:sz w:val="18"/>
          <w:szCs w:val="18"/>
          <w:color w:val="000000"/>
        </w:rPr>
        <w:t xml:space="preserve"> any alternative </w:t>
      </w:r>
      <w:r>
        <w:rPr>
          <w:rFonts w:ascii="Arial" w:cs="Arial" w:eastAsia="Arial" w:hAnsi="Arial"/>
          <w:sz w:val="18"/>
          <w:szCs w:val="18"/>
          <w:color w:val="FF0000"/>
        </w:rPr>
        <w:t>or</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successor </w:t>
      </w:r>
      <w:r>
        <w:rPr>
          <w:rFonts w:ascii="Arial" w:cs="Arial" w:eastAsia="Arial" w:hAnsi="Arial"/>
          <w:sz w:val="18"/>
          <w:szCs w:val="18"/>
          <w:color w:val="FF0000"/>
        </w:rPr>
        <w:t>rate thereto,</w:t>
      </w:r>
      <w:r>
        <w:rPr>
          <w:rFonts w:ascii="Arial" w:cs="Arial" w:eastAsia="Arial" w:hAnsi="Arial"/>
          <w:sz w:val="18"/>
          <w:szCs w:val="18"/>
          <w:color w:val="000000"/>
        </w:rPr>
        <w:t xml:space="preserve"> or replacement rate thereof (including, without limitation any USD Benchmark Replacement implemented hereunder), (ii) the composition or characteristics of any such USD Benchmark Replacement, including whether it is similar to, or produces the same value or economic equivalence to </w:t>
      </w:r>
      <w:r>
        <w:rPr>
          <w:rFonts w:ascii="Arial" w:cs="Arial" w:eastAsia="Arial" w:hAnsi="Arial"/>
          <w:sz w:val="18"/>
          <w:szCs w:val="18"/>
          <w:color w:val="FF0000"/>
          <w:strike w:val="1"/>
        </w:rPr>
        <w:t>USD LIBOR or any</w:t>
      </w:r>
      <w:r>
        <w:rPr>
          <w:rFonts w:ascii="Arial" w:cs="Arial" w:eastAsia="Arial" w:hAnsi="Arial"/>
          <w:sz w:val="18"/>
          <w:szCs w:val="18"/>
          <w:color w:val="000000"/>
        </w:rPr>
        <w:t xml:space="preserve"> </w:t>
      </w:r>
      <w:r>
        <w:rPr>
          <w:rFonts w:ascii="Arial" w:cs="Arial" w:eastAsia="Arial" w:hAnsi="Arial"/>
          <w:sz w:val="18"/>
          <w:szCs w:val="18"/>
          <w:color w:val="FF0000"/>
          <w:strike w:val="1"/>
        </w:rPr>
        <w:t>other USD Benchmark or have the same volume or liquidity as did</w:t>
      </w:r>
      <w:r>
        <w:rPr>
          <w:rFonts w:ascii="Arial" w:cs="Arial" w:eastAsia="Arial" w:hAnsi="Arial"/>
          <w:sz w:val="18"/>
          <w:szCs w:val="18"/>
          <w:u w:val="single" w:color="auto"/>
          <w:color w:val="0000FF"/>
        </w:rPr>
        <w:t>the USD Term SOFR Reference Rate, USD Adjusted Term SOFR or</w:t>
      </w:r>
      <w:r>
        <w:rPr>
          <w:rFonts w:ascii="Arial" w:cs="Arial" w:eastAsia="Arial" w:hAnsi="Arial"/>
          <w:sz w:val="18"/>
          <w:szCs w:val="18"/>
          <w:color w:val="FF0000"/>
        </w:rPr>
        <w:t xml:space="preserve"> </w:t>
      </w:r>
      <w:r>
        <w:rPr>
          <w:rFonts w:ascii="Arial" w:cs="Arial" w:eastAsia="Arial" w:hAnsi="Arial"/>
          <w:sz w:val="18"/>
          <w:szCs w:val="18"/>
          <w:color w:val="000000"/>
        </w:rPr>
        <w:t>USD</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or any other USD Benchmark, (iii) any actions or use of its discretion or other decisions or determinations made with</w:t>
      </w:r>
      <w:r>
        <w:rPr>
          <w:rFonts w:ascii="Arial" w:cs="Arial" w:eastAsia="Arial" w:hAnsi="Arial"/>
          <w:sz w:val="18"/>
          <w:szCs w:val="18"/>
          <w:color w:val="FF0000"/>
        </w:rPr>
        <w:t xml:space="preserve"> </w:t>
      </w:r>
      <w:r>
        <w:rPr>
          <w:rFonts w:ascii="Arial" w:cs="Arial" w:eastAsia="Arial" w:hAnsi="Arial"/>
          <w:sz w:val="18"/>
          <w:szCs w:val="18"/>
          <w:color w:val="000000"/>
        </w:rPr>
        <w:t>respect to any matters covered by this Section 2.14 including, without limitation, whether or not a USD Benchmark Transition Event has occurred, the removal or lack thereof of unavailable or non-representative tenors, the implementation or lack thereof of any USD Benchmark Replacement Conforming Changes, the delivery or non-delivery of any notices required by clause (d) above or otherwise in accordance herewith, and (iv) the effect of any of the foregoing provisions of this Section 2.14.</w:t>
      </w:r>
    </w:p>
    <w:p>
      <w:pPr>
        <w:spacing w:after="0" w:line="170" w:lineRule="exact"/>
        <w:rPr>
          <w:rFonts w:ascii="Arial" w:cs="Arial" w:eastAsia="Arial" w:hAnsi="Arial"/>
          <w:sz w:val="18"/>
          <w:szCs w:val="18"/>
          <w:color w:val="auto"/>
        </w:rPr>
      </w:pPr>
    </w:p>
    <w:p>
      <w:pPr>
        <w:jc w:val="both"/>
        <w:ind w:firstLine="1304"/>
        <w:spacing w:after="0" w:line="234" w:lineRule="auto"/>
        <w:tabs>
          <w:tab w:leader="none" w:pos="1932"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Alternate Currency Benchmark Replacement</w:t>
      </w:r>
      <w:r>
        <w:rPr>
          <w:rFonts w:ascii="Arial" w:cs="Arial" w:eastAsia="Arial" w:hAnsi="Arial"/>
          <w:sz w:val="18"/>
          <w:szCs w:val="18"/>
          <w:color w:val="auto"/>
        </w:rPr>
        <w:t xml:space="preserve">. Notwithstanding anything to the contrary herein or in any other Loan Document, upon the occurrence of an Alternate Currency Benchmark Transition Event or an Alternate Currency Early Opt-in Election, as applicable, the Administrative Agent and Holdings may amend this Agreement to replace the Eurocurrency Rate applicable to an Alternate Currency or Daily Simple RFR with an Alternate Currency Benchmark Replacement. Any such amendment with respect to an Alternate Currency Benchmark Transition Event will become effective at 5:00 p.m. on the fifth (5th) Business Day after the Administrative Agent has posted such proposed amendment to all Lenders so long as the Administrative Agent has not received, by such time, written notice of objection to such amendment from Lenders comprising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Eurocurrency Rate applicable to an Alternate Currency or Daily Simple RFR is replaced with an Alternate Currency SOFR-Based Rate, Lenders shall only be entitled to object to the Alternate Currency Benchmark Replacement Adjustments with respect thereto. Any such amendment with respect to an Alternate Currency Early Opt-in Election will become effective on the date that Lenders comprising the Required Lenders of each Class have delivered to the Administrative Agent written notice that such Required Lenders accept such amendment. No replacement of the Eurocurrency Rate applicable to an Alternate Currency or Daily Simple RFR with an Alternate Currency Benchmark Replacement pursuant to this Section 2.14 will occur prior to the applicable Alternate Currency Benchmark Transition Start Date.</w:t>
      </w:r>
    </w:p>
    <w:p>
      <w:pPr>
        <w:spacing w:after="0" w:line="157" w:lineRule="exact"/>
        <w:rPr>
          <w:rFonts w:ascii="Arial" w:cs="Arial" w:eastAsia="Arial" w:hAnsi="Arial"/>
          <w:sz w:val="18"/>
          <w:szCs w:val="18"/>
          <w:color w:val="auto"/>
        </w:rPr>
      </w:pPr>
    </w:p>
    <w:p>
      <w:pPr>
        <w:ind w:firstLine="1304"/>
        <w:spacing w:after="0" w:line="236" w:lineRule="auto"/>
        <w:tabs>
          <w:tab w:leader="none" w:pos="1932"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Alternate Currency Benchmark Replacement Conforming Changes</w:t>
      </w:r>
      <w:r>
        <w:rPr>
          <w:rFonts w:ascii="Arial" w:cs="Arial" w:eastAsia="Arial" w:hAnsi="Arial"/>
          <w:sz w:val="20"/>
          <w:szCs w:val="20"/>
          <w:color w:val="auto"/>
        </w:rPr>
        <w:t>. In connection with the implementation of an Alternate Currency Benchmark Replacement,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-3241675</wp:posOffset>
            </wp:positionV>
            <wp:extent cx="1447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14478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-3241675</wp:posOffset>
            </wp:positionV>
            <wp:extent cx="6572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657225" cy="8255"/>
                    </a:xfrm>
                    <a:prstGeom prst="rect">
                      <a:avLst/>
                    </a:prstGeom>
                    <a:noFill/>
                  </pic:spPr>
                </pic:pic>
              </a:graphicData>
            </a:graphic>
          </wp:anchor>
        </w:drawing>
        <w:drawing>
          <wp:anchor simplePos="0" relativeHeight="251657728" behindDoc="1" locked="0" layoutInCell="0" allowOverlap="1">
            <wp:simplePos x="0" y="0"/>
            <wp:positionH relativeFrom="column">
              <wp:posOffset>1473200</wp:posOffset>
            </wp:positionH>
            <wp:positionV relativeFrom="paragraph">
              <wp:posOffset>-3267710</wp:posOffset>
            </wp:positionV>
            <wp:extent cx="292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29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Administrative Agent, with the consent of Holdings (not be unreasonably withheld), will have the right to make Alternate Currency Benchmark Replacement Conforming Changes from time to time and, notwithstanding anything to the contrary herein or in any other Loan</w:t>
      </w:r>
    </w:p>
    <w:p>
      <w:pPr>
        <w:spacing w:after="0" w:line="227" w:lineRule="auto"/>
        <w:rPr>
          <w:sz w:val="20"/>
          <w:szCs w:val="20"/>
          <w:color w:val="auto"/>
        </w:rPr>
      </w:pPr>
      <w:r>
        <w:rPr>
          <w:rFonts w:ascii="Arial" w:cs="Arial" w:eastAsia="Arial" w:hAnsi="Arial"/>
          <w:sz w:val="20"/>
          <w:szCs w:val="20"/>
          <w:color w:val="auto"/>
        </w:rPr>
        <w:t>Document, any amendments implementing such Alternate Currency Benchmark Replacement Conforming Changes will become effective without any further action or consent of any other party to this Agreement.</w:t>
      </w:r>
    </w:p>
    <w:p>
      <w:pPr>
        <w:spacing w:after="0" w:line="156" w:lineRule="exact"/>
        <w:rPr>
          <w:sz w:val="20"/>
          <w:szCs w:val="20"/>
          <w:color w:val="auto"/>
        </w:rPr>
      </w:pPr>
    </w:p>
    <w:p>
      <w:pPr>
        <w:jc w:val="both"/>
        <w:ind w:firstLine="1304"/>
        <w:spacing w:after="0" w:line="237" w:lineRule="auto"/>
        <w:tabs>
          <w:tab w:leader="none" w:pos="194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The Administrative Agent will promptly notify Holdings and the Lenders of (i) any occurrence of an Alternate Currency Benchmark Transition Event or an Alternate Currency Early Opt-in Election, as applicable, and its related Alternate Currency Benchmark Replacement Date and Alternate Currency Benchmark Transition Start Date, (ii) the implementation of any Alternate Currency Benchmark Replacement, (iii) the effectiveness of any Alternate Currency Benchmark Replacement Conforming Changes and (iv) the commencement or conclusion of any Alternate Currency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58" w:lineRule="exact"/>
        <w:rPr>
          <w:rFonts w:ascii="Arial" w:cs="Arial" w:eastAsia="Arial" w:hAnsi="Arial"/>
          <w:sz w:val="18"/>
          <w:szCs w:val="18"/>
          <w:color w:val="auto"/>
        </w:rPr>
      </w:pPr>
    </w:p>
    <w:p>
      <w:pPr>
        <w:jc w:val="both"/>
        <w:ind w:firstLine="1304"/>
        <w:spacing w:after="0" w:line="232" w:lineRule="auto"/>
        <w:tabs>
          <w:tab w:leader="none" w:pos="194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Upon Holdings receipt of notice of the commencement of (i) an Alternate Currency Benchmark Unavailability Period with respect to the Eurocurrency Rate applicable to an Alternate Currency, any Borrower may revoke a request made by such Borrower for a Eurocurrency Borrowing denominated in such Alternate Currency of, conversion to or continuation of Eurocurrency Loans denominated in such Alternate Currency to be made, converted or continued during any Alternate Currency Benchmark Unavailability Period with respect to the Eurocurrency Rate applicable to such Alternate Currency and, failing that, any Eurocurrency Borrowing denominated in such Alternate Currency shall be ineffective and (ii) an Alternate Currency Benchmark Unavailability Period with respect to Daily Simple RFR, any Borrower may revoke a request made by such Borrower for an RFR Borrowing of, conversion to or continuation of RFR Loans to be made, converted or continued during any Alternate Currency Benchmark Unavailability Period with respect to the Daily Simple RFR and, failing that, any RFR Borrowing shall be ineffective. Furthermore, if any Eurocurrency Loan in any Alternate Currency or RFR Loan is outstanding on the date of Holdings’ receipt of notice of the commencement of an Alternate Currency Benchmark Unavailability Period with respect to the Eurocurrency Rate applicable to such Eurocurrency Loan or Daily Simple RFR, as applicable, then such Loan shall, on the last day of the Interest Period applicable to such Loan (or the next succeeding Business Day if such day is not a Business Day), at the Borrower’s election prior to such day: (A) be prepaid by the Applicable Borrower on such day or (B) be converted by the Administrative Agent to, and (subject to the remainder of this subclause (B)) shall constitute, an ABR Loan denominated in Dollars (in an amount equal to the Dollar Equivalent of such Alternate Currency) on such day (it being understood and agreed that if the Applicable Borrower does not so prepay such Loan on such day by 12:00 p.m. (New York City time) the Administrative Agent is authorized to effect such conversion of such Eurocurrency Loan or RFR Loan, as applicable, into an ABR Loan denominated in Dollars), and, in the case of such subclause (B), upon any subsequent implementation of an Alternate Currency Benchmark Replacement in respect of such Alternate Currency pursuant to this Section 2.10, such ABR Loan denominated in Dollars shall then be converted by the Administrative Agent to, and shall constitute, a Eurocurrency Loan denominated in such original Alternate Currency or RFR Loan denominated in such original Alternate Currency, as applicable (in an amount equal to the Alternate Currency Equivalent of such Alternate Currency) on the day of such implementation, giving effect to such Alternate Currency Benchmark Replacement in respect of such Alternate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357" w:lineRule="exact"/>
        <w:rPr>
          <w:sz w:val="20"/>
          <w:szCs w:val="20"/>
          <w:color w:val="auto"/>
        </w:rPr>
      </w:pPr>
    </w:p>
    <w:p>
      <w:pPr>
        <w:jc w:val="both"/>
        <w:ind w:firstLine="1304"/>
        <w:spacing w:after="0" w:line="220" w:lineRule="auto"/>
        <w:tabs>
          <w:tab w:leader="none" w:pos="1932"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Tax Matters</w:t>
      </w:r>
      <w:r>
        <w:rPr>
          <w:rFonts w:ascii="Arial" w:cs="Arial" w:eastAsia="Arial" w:hAnsi="Arial"/>
          <w:sz w:val="20"/>
          <w:szCs w:val="20"/>
          <w:color w:val="auto"/>
        </w:rPr>
        <w:t>. At the Borrower’s request, the Administrative Agent and the Borrower shall use commercially reasonable efforts to satisfy any applicable guidance of the Internal Revenue Service, in a manner that is not adverse to the Lenders that is intended to prevent any Benchmark Transition Event from resulting in a deemed exchange of any Loan under this Agreement for purposes of Treasury Regulation Section 1.1001-3.</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p>
    <w:p>
      <w:pPr>
        <w:spacing w:after="0" w:line="189" w:lineRule="exact"/>
        <w:rPr>
          <w:sz w:val="20"/>
          <w:szCs w:val="20"/>
          <w:color w:val="auto"/>
        </w:rPr>
      </w:pPr>
    </w:p>
    <w:p>
      <w:pPr>
        <w:ind w:left="1940" w:hanging="636"/>
        <w:spacing w:after="0"/>
        <w:tabs>
          <w:tab w:leader="none" w:pos="19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188" w:lineRule="exact"/>
        <w:rPr>
          <w:rFonts w:ascii="Arial" w:cs="Arial" w:eastAsia="Arial" w:hAnsi="Arial"/>
          <w:sz w:val="20"/>
          <w:szCs w:val="20"/>
          <w:color w:val="auto"/>
        </w:rPr>
      </w:pPr>
    </w:p>
    <w:p>
      <w:pPr>
        <w:jc w:val="both"/>
        <w:ind w:left="660" w:right="20" w:firstLine="1292"/>
        <w:spacing w:after="0" w:line="223" w:lineRule="auto"/>
        <w:tabs>
          <w:tab w:leader="none" w:pos="2602"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Eurocurrency Rate) or any Issuing Bank;</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603"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68" w:lineRule="exact"/>
        <w:rPr>
          <w:rFonts w:ascii="Arial" w:cs="Arial" w:eastAsia="Arial" w:hAnsi="Arial"/>
          <w:sz w:val="20"/>
          <w:szCs w:val="20"/>
          <w:color w:val="auto"/>
        </w:rPr>
      </w:pPr>
    </w:p>
    <w:p>
      <w:pPr>
        <w:jc w:val="both"/>
        <w:ind w:left="660" w:firstLine="1292"/>
        <w:spacing w:after="0" w:line="220" w:lineRule="auto"/>
        <w:tabs>
          <w:tab w:leader="none" w:pos="2604" w:val="left"/>
        </w:tabs>
        <w:numPr>
          <w:ilvl w:val="1"/>
          <w:numId w:val="191"/>
        </w:numPr>
        <w:rPr>
          <w:rFonts w:ascii="Arial" w:cs="Arial" w:eastAsia="Arial" w:hAnsi="Arial"/>
          <w:sz w:val="20"/>
          <w:szCs w:val="20"/>
          <w:color w:val="auto"/>
        </w:rPr>
      </w:pPr>
      <w:r>
        <w:rPr>
          <w:rFonts w:ascii="Arial" w:cs="Arial" w:eastAsia="Arial" w:hAnsi="Arial"/>
          <w:sz w:val="20"/>
          <w:szCs w:val="20"/>
          <w:color w:val="auto"/>
        </w:rPr>
        <w:t>subject the Administrative Agent, any Lender or any Issuing Bank to any Taxes (other than (A) Indemnified Taxes, (B) Other Taxes and (C) Excluded Taxes (including any change in the rate of Excluded Taxes)) with respect to this Agreement, any Loan made by it or any Letter of Credit or participation therein, or its deposits, reserves, other liabilities or capital attributable thereto;</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the result of any of the foregoing shall be to increase the cost to the Administrative Agent or such Lender of making or maintaining any Loan or of maintaining its obligation to make any such Loan (including, without limitation, pursuant to any conversion of any Borrowing</w:t>
      </w:r>
    </w:p>
    <w:p>
      <w:pPr>
        <w:spacing w:after="0" w:line="226" w:lineRule="auto"/>
        <w:rPr>
          <w:sz w:val="20"/>
          <w:szCs w:val="20"/>
          <w:color w:val="auto"/>
        </w:rPr>
      </w:pPr>
      <w:r>
        <w:rPr>
          <w:rFonts w:ascii="Arial" w:cs="Arial" w:eastAsia="Arial" w:hAnsi="Arial"/>
          <w:sz w:val="18"/>
          <w:szCs w:val="18"/>
          <w:color w:val="auto"/>
        </w:rPr>
        <w:t>denominated in an Agreed Currency into a Borrowing denominated in any other Agreed Currency) or to increase the cost to the Administrative Agent, such Lender or such Issuing Bank of participating in, issuing or maintaining any Letter of Credit (including, without</w:t>
      </w:r>
    </w:p>
    <w:p>
      <w:pPr>
        <w:spacing w:after="0" w:line="236" w:lineRule="auto"/>
        <w:rPr>
          <w:sz w:val="20"/>
          <w:szCs w:val="20"/>
          <w:color w:val="auto"/>
        </w:rPr>
      </w:pPr>
      <w:r>
        <w:rPr>
          <w:rFonts w:ascii="Arial" w:cs="Arial" w:eastAsia="Arial" w:hAnsi="Arial"/>
          <w:sz w:val="18"/>
          <w:szCs w:val="18"/>
          <w:color w:val="auto"/>
        </w:rPr>
        <w:t>limitation, pursuant to any conversion of any Borrowing denominated in an Agreed Currency into a Borrowing denominated in any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Agreed Currency) or to reduce the amount of any sum received or receivable by the Administrative Agent, such Lender or such Issuing Bank hereunder, whether of principal, interest or otherwise (including, without limitation, pursuant to any conversion of any Borrowing</w:t>
      </w:r>
    </w:p>
    <w:p>
      <w:pPr>
        <w:spacing w:after="0" w:line="236" w:lineRule="auto"/>
        <w:rPr>
          <w:sz w:val="20"/>
          <w:szCs w:val="20"/>
          <w:color w:val="auto"/>
        </w:rPr>
      </w:pPr>
      <w:r>
        <w:rPr>
          <w:rFonts w:ascii="Arial" w:cs="Arial" w:eastAsia="Arial" w:hAnsi="Arial"/>
          <w:sz w:val="18"/>
          <w:szCs w:val="18"/>
          <w:color w:val="auto"/>
        </w:rPr>
        <w:t>denominated in an Agreed Currency into a Borrowing denominated in any other Agreed Currency), then the Applicable Borrower will pay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Administrative Agent, such Lender or such Issuing Bank, as the case may be, such additional amount or amounts as will compensate such Lender or such Issuing Bank, as the case may be, for such additional costs incurred or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-198120</wp:posOffset>
            </wp:positionV>
            <wp:extent cx="311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6" w:lineRule="exact"/>
        <w:rPr>
          <w:sz w:val="20"/>
          <w:szCs w:val="20"/>
          <w:color w:val="auto"/>
        </w:rPr>
      </w:pPr>
    </w:p>
    <w:p>
      <w:pPr>
        <w:jc w:val="both"/>
        <w:ind w:firstLine="1304"/>
        <w:spacing w:after="0" w:line="235" w:lineRule="auto"/>
        <w:tabs>
          <w:tab w:leader="none" w:pos="193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or liquidity requirements has or would have the effect of reducing the rate of return on such Lender’s or Issuing Banks’s capital or on the capital of such Lender’s or Issuing Bank’s holding company, if any, as a consequence of this Agreement or the Loans made by, or participations in Letters of Credit held by such Lender, or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357" w:lineRule="exact"/>
        <w:rPr>
          <w:sz w:val="20"/>
          <w:szCs w:val="20"/>
          <w:color w:val="auto"/>
        </w:rPr>
      </w:pPr>
    </w:p>
    <w:p>
      <w:pPr>
        <w:jc w:val="both"/>
        <w:ind w:firstLine="1304"/>
        <w:spacing w:after="0" w:line="236" w:lineRule="auto"/>
        <w:tabs>
          <w:tab w:leader="none" w:pos="193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certificate of a Lender or Issuing Bank setting forth, in reasonable detail, the basis and calculation of the amount or amounts necessary to compensate such Lender or Issuing Bank or its holding company, as the case may be, as specified in paragraph (a) or</w:t>
      </w:r>
    </w:p>
    <w:p>
      <w:pPr>
        <w:jc w:val="both"/>
        <w:ind w:firstLine="8"/>
        <w:spacing w:after="0" w:line="217" w:lineRule="auto"/>
        <w:tabs>
          <w:tab w:leader="none" w:pos="281" w:val="left"/>
        </w:tabs>
        <w:numPr>
          <w:ilvl w:val="0"/>
          <w:numId w:val="194"/>
        </w:numPr>
        <w:rPr>
          <w:rFonts w:ascii="Arial" w:cs="Arial" w:eastAsia="Arial" w:hAnsi="Arial"/>
          <w:sz w:val="20"/>
          <w:szCs w:val="20"/>
          <w:color w:val="auto"/>
        </w:rPr>
      </w:pPr>
      <w:r>
        <w:rPr>
          <w:rFonts w:ascii="Arial" w:cs="Arial" w:eastAsia="Arial" w:hAnsi="Arial"/>
          <w:sz w:val="20"/>
          <w:szCs w:val="20"/>
          <w:color w:val="auto"/>
        </w:rPr>
        <w:t>of this Section 2.15 shall be delivered to the Applicable Borrower and shall be conclusive absent manifest error. The Applicable Borrower shall pay such Lender or Issuing Bank, as the case may be, the amount shown as due on any such certificate within ten (10) days after receipt thereof.</w:t>
      </w:r>
    </w:p>
    <w:p>
      <w:pPr>
        <w:spacing w:after="0" w:line="170" w:lineRule="exact"/>
        <w:rPr>
          <w:rFonts w:ascii="Arial" w:cs="Arial" w:eastAsia="Arial" w:hAnsi="Arial"/>
          <w:sz w:val="20"/>
          <w:szCs w:val="20"/>
          <w:color w:val="auto"/>
        </w:rPr>
      </w:pPr>
    </w:p>
    <w:p>
      <w:pPr>
        <w:jc w:val="both"/>
        <w:ind w:firstLine="1304"/>
        <w:spacing w:after="0" w:line="225" w:lineRule="auto"/>
        <w:tabs>
          <w:tab w:leader="none" w:pos="1932" w:val="left"/>
        </w:tabs>
        <w:numPr>
          <w:ilvl w:val="1"/>
          <w:numId w:val="194"/>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any Issuing Bank to demand compensation pursuant to this Section 2.15 shall not constitute a waiver of such Lender’s or such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Borrower shall not be required to compensate a Lender or Issuing Bank pursuant to this Section 2.15 for any increased costs or reductions incurred more than 180 days prior to the date that such Lender or Issuing Bank, as the case may be, notifies the Applicable Borrower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Change in Law giving rise to such increased costs or reductions is retroactive, then the 180-day period referred to above shall be extended to include the period of retroactive effect thereof.</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6"/>
          <w:szCs w:val="16"/>
          <w:u w:val="single" w:color="auto"/>
          <w:color w:val="auto"/>
        </w:rPr>
        <w:t>Break Funding Payments.</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the event of (a) the payment of any principal of any 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auto"/>
        </w:rPr>
        <w:t xml:space="preserve"> or RFR Loan other than on the last day of an Interest Period applicable thereto (including as a result of an Event of Default or as a result of any prepayment pursuant to</w:t>
      </w:r>
    </w:p>
    <w:p>
      <w:pPr>
        <w:spacing w:after="0" w:line="226" w:lineRule="auto"/>
        <w:rPr>
          <w:sz w:val="20"/>
          <w:szCs w:val="20"/>
          <w:color w:val="auto"/>
        </w:rPr>
      </w:pPr>
      <w:r>
        <w:rPr>
          <w:rFonts w:ascii="Arial" w:cs="Arial" w:eastAsia="Arial" w:hAnsi="Arial"/>
          <w:sz w:val="18"/>
          <w:szCs w:val="18"/>
          <w:color w:val="auto"/>
        </w:rPr>
        <w:t>Section 2.11), (b) the conversion of any 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auto"/>
        </w:rPr>
        <w:t xml:space="preserve"> or RFR Loan other than on the last day of the Interest Period applicable thereto, (c) the failure to borrow, convert, continue or prepay any 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auto"/>
        </w:rPr>
        <w:t xml:space="preserve"> or RFR Loan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the date specified in any notice delivered pursuant hereto (regardless of whether such notice may be revoked under Section 2.11(a) and is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revoked in accordance therewith) or (d) the assignment of any 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auto"/>
        </w:rPr>
        <w:t xml:space="preserve"> or RFR Loan other than on the last day of the Interest Period applicable thereto as a result of a request by the Applicable Borrower pursuant to Section 2.20, then, in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event the Applicable Borrower shall compensate each Lender for the loss, cost and expense attributable to such event. Such loss, cost or</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expense to any Lender shall be deemed to include an amount determined by such Lender to be the excess, if any, of (i) the amount of interest which would have accrued or has been payable on the principal amount of such Loan had such event not occurred, at the Eurocurrency Rate</w:t>
      </w:r>
      <w:r>
        <w:rPr>
          <w:rFonts w:ascii="Arial" w:cs="Arial" w:eastAsia="Arial" w:hAnsi="Arial"/>
          <w:sz w:val="16"/>
          <w:szCs w:val="16"/>
          <w:u w:val="single" w:color="auto"/>
          <w:color w:val="0000FF"/>
        </w:rPr>
        <w:t>,</w:t>
      </w:r>
    </w:p>
    <w:p>
      <w:pPr>
        <w:spacing w:after="0" w:line="223" w:lineRule="auto"/>
        <w:rPr>
          <w:sz w:val="20"/>
          <w:szCs w:val="20"/>
          <w:color w:val="auto"/>
        </w:rPr>
      </w:pPr>
      <w:r>
        <w:rPr>
          <w:rFonts w:ascii="Arial" w:cs="Arial" w:eastAsia="Arial" w:hAnsi="Arial"/>
          <w:sz w:val="19"/>
          <w:szCs w:val="19"/>
          <w:u w:val="single" w:color="auto"/>
          <w:color w:val="0000FF"/>
        </w:rPr>
        <w:t>USD Adjusted Term SOFR</w:t>
      </w:r>
      <w:r>
        <w:rPr>
          <w:rFonts w:ascii="Arial" w:cs="Arial" w:eastAsia="Arial" w:hAnsi="Arial"/>
          <w:sz w:val="19"/>
          <w:szCs w:val="19"/>
          <w:color w:val="0000FF"/>
        </w:rPr>
        <w:t xml:space="preserve"> </w:t>
      </w:r>
      <w:r>
        <w:rPr>
          <w:rFonts w:ascii="Arial" w:cs="Arial" w:eastAsia="Arial" w:hAnsi="Arial"/>
          <w:sz w:val="19"/>
          <w:szCs w:val="19"/>
          <w:color w:val="000000"/>
        </w:rPr>
        <w:t>or Daily Simple RFR, as applicable, that would have been applicable to such Loan (but not the Applicable</w:t>
      </w:r>
    </w:p>
    <w:p>
      <w:pPr>
        <w:spacing w:after="0" w:line="226" w:lineRule="auto"/>
        <w:rPr>
          <w:sz w:val="20"/>
          <w:szCs w:val="20"/>
          <w:color w:val="auto"/>
        </w:rPr>
      </w:pPr>
      <w:r>
        <w:rPr>
          <w:rFonts w:ascii="Arial" w:cs="Arial" w:eastAsia="Arial" w:hAnsi="Arial"/>
          <w:sz w:val="18"/>
          <w:szCs w:val="18"/>
          <w:color w:val="auto"/>
        </w:rPr>
        <w:t>Margin applicable thereto), for the period from the date of such event to the last day of the then current Interest Period therefor (or, in the case of a failure to borrow, convert or continue, for the period that would have been the Interest Period for such Loan), over (ii) the amount of</w:t>
      </w:r>
    </w:p>
    <w:p>
      <w:pPr>
        <w:spacing w:after="0" w:line="236" w:lineRule="auto"/>
        <w:rPr>
          <w:sz w:val="20"/>
          <w:szCs w:val="20"/>
          <w:color w:val="auto"/>
        </w:rPr>
      </w:pPr>
      <w:r>
        <w:rPr>
          <w:rFonts w:ascii="Arial" w:cs="Arial" w:eastAsia="Arial" w:hAnsi="Arial"/>
          <w:sz w:val="18"/>
          <w:szCs w:val="18"/>
          <w:color w:val="auto"/>
        </w:rPr>
        <w:t>interest which would accrue on such principal amount for such period at the interest rate which such Lender would bid were it to bid, at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commencement of such period, for deposits in the relevant currency of a comparable amount and period from other banks in the eurocurrency market or other applicable market. A certificate of any Lender setting forth any amount or amounts that such Lender is entitled to receive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pursuant to this Section 2.16, and setting forth in reasonable detail the calculations used by such Lender to determine such amount or amounts, shall be delivered to the Applicable Borrower and shall be conclusive absent manifest error. The Applicable Borrower shall pay</w:t>
      </w:r>
    </w:p>
    <w:p>
      <w:pPr>
        <w:spacing w:after="0" w:line="236" w:lineRule="auto"/>
        <w:rPr>
          <w:sz w:val="20"/>
          <w:szCs w:val="20"/>
          <w:color w:val="auto"/>
        </w:rPr>
      </w:pPr>
      <w:r>
        <w:rPr>
          <w:rFonts w:ascii="Arial" w:cs="Arial" w:eastAsia="Arial" w:hAnsi="Arial"/>
          <w:sz w:val="18"/>
          <w:szCs w:val="18"/>
          <w:color w:val="auto"/>
        </w:rPr>
        <w:t xml:space="preserve">such Lender the amount shown as due on any such certificate within ten (10) days after receipt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Applicable Borrower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not be required to compensate a Lender pursuant to this Section 2.16 for any amounts under this Section 2.16 incurred more than 180 days prior to the date that such Lender notifies the Applicable Borrower of such amount and of such Lender’s intention to claim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compensation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3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Taxes.</w:t>
      </w:r>
    </w:p>
    <w:p>
      <w:pPr>
        <w:spacing w:after="0" w:line="175" w:lineRule="exact"/>
        <w:rPr>
          <w:sz w:val="20"/>
          <w:szCs w:val="20"/>
          <w:color w:val="auto"/>
        </w:rPr>
      </w:pPr>
    </w:p>
    <w:p>
      <w:pPr>
        <w:jc w:val="both"/>
        <w:ind w:firstLine="1304"/>
        <w:spacing w:after="0" w:line="237" w:lineRule="auto"/>
        <w:tabs>
          <w:tab w:leader="none" w:pos="193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payments by or on account of any obligation of any Loan Party under any Loan Document shall to the extent permitted by applicable Legal Requirements be made free and clear of and without deduction or withholding for any Taxes. If an applicable withholding agent shall be required to deduct or withhold any Taxes from such payments, then (i) if such Taxes are Indemnified Taxes or Other Taxes, the sum payable by the applicable Loan Party shall be increased by the amount necessary so that after all required deductions or withholdings (including deductions and withholdings applicable to additional sums payable under this Section 2.17) each Agent and Lender receives an amount equal to the sum it would have received had no such deductions or withholdings of Indemnified Taxes or Other Taxes been made, (ii) the withholding agent shall be entitled to make such deductions or withholdings and (iii) the withholding agent shall pay the full amount deducted to the relevant Governmental Authority in accordance with applicable Legal Requirements.</w:t>
      </w:r>
    </w:p>
    <w:p>
      <w:pPr>
        <w:spacing w:after="0" w:line="173" w:lineRule="exact"/>
        <w:rPr>
          <w:rFonts w:ascii="Arial" w:cs="Arial" w:eastAsia="Arial" w:hAnsi="Arial"/>
          <w:sz w:val="18"/>
          <w:szCs w:val="18"/>
          <w:color w:val="auto"/>
        </w:rPr>
      </w:pPr>
    </w:p>
    <w:p>
      <w:pPr>
        <w:ind w:firstLine="1304"/>
        <w:spacing w:after="0" w:line="269" w:lineRule="auto"/>
        <w:tabs>
          <w:tab w:leader="none" w:pos="193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addition, the Loan Parties shall timely pay any Other Taxes to the relevant Governmental Authority in accordance with applicable Legal Requirements or, at the option of the Administrative Agent, timely reimburse it for the payment of any Other Taxes.</w:t>
      </w:r>
    </w:p>
    <w:p>
      <w:pPr>
        <w:spacing w:after="0" w:line="143" w:lineRule="exact"/>
        <w:rPr>
          <w:rFonts w:ascii="Arial" w:cs="Arial" w:eastAsia="Arial" w:hAnsi="Arial"/>
          <w:sz w:val="18"/>
          <w:szCs w:val="18"/>
          <w:color w:val="auto"/>
        </w:rPr>
      </w:pPr>
    </w:p>
    <w:p>
      <w:pPr>
        <w:jc w:val="both"/>
        <w:ind w:firstLine="1304"/>
        <w:spacing w:after="0" w:line="221" w:lineRule="auto"/>
        <w:tabs>
          <w:tab w:leader="none" w:pos="193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Each Borrower and each Loan Party with respect to any Loans made to such Borrower shall jointly and severally indemnify each Agent and each Lender, within ten (10) days after written demand therefor, for the full amount of any Indemnified Taxes and Other Taxes paid by such Agent or such Lender with respect to any Loans made to such Borrower (including Indemnified Taxes and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Loan Parties shall not be required to indemnify any Agent or Lender pursuant to this Section 2.17(c) for any interest, penalties or expenses to the extent resulting from such Agent’s or such Lender’s failure to notify the Loan Parties of such possible indemnification claim within 120 days after such Agent or such Lender, as applicable, receives written notice from the applicable Governmental Authority of the specific Tax assessment or deficiency claim giving rise to such indemnification claim. A certificate setting forth in reasonable detail the basis for and calculation of such payment or liability delivered to the Applicable Borrower by a Lender or Agent or by the Administrative Agent on its own behalf or on behalf of a Lender or Agent, shall be conclusive absent manifest error.</w:t>
      </w:r>
    </w:p>
    <w:p>
      <w:pPr>
        <w:spacing w:after="0" w:line="177" w:lineRule="exact"/>
        <w:rPr>
          <w:rFonts w:ascii="Arial" w:cs="Arial" w:eastAsia="Arial" w:hAnsi="Arial"/>
          <w:sz w:val="19"/>
          <w:szCs w:val="19"/>
          <w:color w:val="auto"/>
        </w:rPr>
      </w:pPr>
    </w:p>
    <w:p>
      <w:pPr>
        <w:jc w:val="both"/>
        <w:ind w:firstLine="1304"/>
        <w:spacing w:after="0" w:line="218" w:lineRule="auto"/>
        <w:tabs>
          <w:tab w:leader="none" w:pos="193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(if the applicable Governmental Authority makes such receipts readily available to the applicable Loan Party), a copy of the return reporting such payment or other evidence of such payment reasonably satisfactory to the Administrative Agent.</w:t>
      </w:r>
    </w:p>
    <w:p>
      <w:pPr>
        <w:spacing w:after="0" w:line="157" w:lineRule="exact"/>
        <w:rPr>
          <w:rFonts w:ascii="Arial" w:cs="Arial" w:eastAsia="Arial" w:hAnsi="Arial"/>
          <w:sz w:val="20"/>
          <w:szCs w:val="20"/>
          <w:color w:val="auto"/>
        </w:rPr>
      </w:pPr>
    </w:p>
    <w:p>
      <w:pPr>
        <w:jc w:val="both"/>
        <w:ind w:firstLine="1304"/>
        <w:spacing w:after="0" w:line="238" w:lineRule="auto"/>
        <w:tabs>
          <w:tab w:leader="none" w:pos="193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any payments under this Agreement or any other Loan Document shall deliver to the Borrowers (with a copy to the Administrative Agent), at the time(s) and in the manner(s) reasonably requested by such Borrower or the Administrative Agent, such properly completed and executed documentation as will permit such payments to be made without withholding or at a reduced rate of withholding. In addition, any Lender, if reasonably requested by a Borrower or the Administrative Agent, shall deliver such other documentation prescribed by applicable Legal Requirements or reasonably requested by such Borrower or the Administrative Agent as will enable such Borrower or the Administrative Agent to determine whether or not such Lender is subject to backup withholding or information reporting. Each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Administrative Agent agrees that if any documentation it previously delivered pursuant to this Section 2.17(e) (including any of the specific forms described below) has expired or become obsolete or inaccurate in any respect, it shall promptly update such documentation or notify</w:t>
      </w:r>
    </w:p>
    <w:p>
      <w:pPr>
        <w:spacing w:after="0" w:line="235" w:lineRule="auto"/>
        <w:rPr>
          <w:sz w:val="20"/>
          <w:szCs w:val="20"/>
          <w:color w:val="auto"/>
        </w:rPr>
      </w:pPr>
      <w:r>
        <w:rPr>
          <w:rFonts w:ascii="Arial" w:cs="Arial" w:eastAsia="Arial" w:hAnsi="Arial"/>
          <w:sz w:val="18"/>
          <w:szCs w:val="18"/>
          <w:color w:val="auto"/>
        </w:rPr>
        <w:t>the Applicable Borrower and the Administrative Agent in writing of its legal ineligibility to do so. Notwithstanding anything to the contrary</w:t>
      </w:r>
    </w:p>
    <w:p>
      <w:pPr>
        <w:spacing w:after="0" w:line="226" w:lineRule="auto"/>
        <w:rPr>
          <w:sz w:val="20"/>
          <w:szCs w:val="20"/>
          <w:color w:val="auto"/>
        </w:rPr>
      </w:pPr>
      <w:r>
        <w:rPr>
          <w:rFonts w:ascii="Arial" w:cs="Arial" w:eastAsia="Arial" w:hAnsi="Arial"/>
          <w:sz w:val="18"/>
          <w:szCs w:val="18"/>
          <w:color w:val="auto"/>
        </w:rPr>
        <w:t>in the preceding three sentences, the completion, execution and submission of such documentation with respect to any Tax imposed by any jurisdiction other than the United States, Ireland or Luxembourg, or, in each case, any political subdivision thereof, shall not be required if 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sz w:val="20"/>
          <w:szCs w:val="20"/>
          <w:color w:val="auto"/>
        </w:rPr>
      </w:pPr>
    </w:p>
    <w:p>
      <w:pPr>
        <w:ind w:left="2600" w:hanging="648"/>
        <w:spacing w:after="0"/>
        <w:tabs>
          <w:tab w:leader="none" w:pos="260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188" w:lineRule="exact"/>
        <w:rPr>
          <w:rFonts w:ascii="Arial" w:cs="Arial" w:eastAsia="Arial" w:hAnsi="Arial"/>
          <w:sz w:val="20"/>
          <w:szCs w:val="20"/>
          <w:color w:val="auto"/>
        </w:rPr>
      </w:pPr>
    </w:p>
    <w:p>
      <w:pPr>
        <w:jc w:val="both"/>
        <w:ind w:left="1300" w:firstLine="1300"/>
        <w:spacing w:after="0" w:line="220" w:lineRule="auto"/>
        <w:tabs>
          <w:tab w:leader="none" w:pos="3235" w:val="left"/>
        </w:tabs>
        <w:numPr>
          <w:ilvl w:val="1"/>
          <w:numId w:val="196"/>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eligible to do so, deliver to such U.S. Borrower and the Administrative Agent on or prior to the date on which such Foreign Lender becomes a Lender under this Agreement (and from time to time thereafter upon the reasonable request of such U.S. Borrower or the Administrative Agent), two duly executed copies of whichever of the following is applicable:</w:t>
      </w:r>
    </w:p>
    <w:p>
      <w:pPr>
        <w:spacing w:after="0" w:line="169" w:lineRule="exact"/>
        <w:rPr>
          <w:sz w:val="20"/>
          <w:szCs w:val="20"/>
          <w:color w:val="auto"/>
        </w:rPr>
      </w:pPr>
    </w:p>
    <w:p>
      <w:pPr>
        <w:ind w:left="1300" w:right="20" w:firstLine="652"/>
        <w:spacing w:after="0" w:line="229" w:lineRule="auto"/>
        <w:tabs>
          <w:tab w:leader="none" w:pos="258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IRS Form W-8BEN or W-8BEN-E;</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IRS Form W-8ECI;</w:t>
      </w:r>
    </w:p>
    <w:p>
      <w:pPr>
        <w:spacing w:after="0" w:line="188" w:lineRule="exact"/>
        <w:rPr>
          <w:rFonts w:ascii="Arial" w:cs="Arial" w:eastAsia="Arial" w:hAnsi="Arial"/>
          <w:sz w:val="20"/>
          <w:szCs w:val="20"/>
          <w:color w:val="auto"/>
        </w:rPr>
      </w:pPr>
    </w:p>
    <w:p>
      <w:pPr>
        <w:jc w:val="both"/>
        <w:ind w:left="1300" w:firstLine="652"/>
        <w:spacing w:after="0" w:line="214" w:lineRule="auto"/>
        <w:tabs>
          <w:tab w:leader="none" w:pos="258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G-1</w:t>
      </w:r>
      <w:r>
        <w:rPr>
          <w:rFonts w:ascii="Arial" w:cs="Arial" w:eastAsia="Arial" w:hAnsi="Arial"/>
          <w:sz w:val="20"/>
          <w:szCs w:val="20"/>
          <w:color w:val="auto"/>
        </w:rPr>
        <w:t xml:space="preserve"> to the effect that such Foreign Lender is not a “bank” within the meaning of Section 881(c)(3)(A) of the Code, a “10-percent shareholder” of such U.S. Borrower within the meaning of Section 881(c)(3)(B) of the Code, or a “controlled foreign corporation” related to such U.S. Borrower as described in Section 881(c)(3)(C) of the Code and that no payment under any Loan Document is effectively connected with such Foreign Lender’s conduct of a U.S. trade or business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 or W-8BEN-E; or</w:t>
      </w:r>
    </w:p>
    <w:p>
      <w:pPr>
        <w:spacing w:after="0" w:line="157" w:lineRule="exact"/>
        <w:rPr>
          <w:rFonts w:ascii="Arial" w:cs="Arial" w:eastAsia="Arial" w:hAnsi="Arial"/>
          <w:sz w:val="20"/>
          <w:szCs w:val="20"/>
          <w:color w:val="auto"/>
        </w:rPr>
      </w:pPr>
    </w:p>
    <w:p>
      <w:pPr>
        <w:jc w:val="both"/>
        <w:ind w:left="1300" w:firstLine="652"/>
        <w:spacing w:after="0" w:line="225" w:lineRule="auto"/>
        <w:tabs>
          <w:tab w:leader="none" w:pos="259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of payments made to it under the Loan Documents, executed copies of IRS Form W-8IMY, accompanied by IRS Form W-8ECI, IRS Form W-8BEN or W-8BEN-E, a U.S. Tax Compliance Certificate substantially in the form of </w:t>
      </w:r>
      <w:r>
        <w:rPr>
          <w:rFonts w:ascii="Arial" w:cs="Arial" w:eastAsia="Arial" w:hAnsi="Arial"/>
          <w:sz w:val="19"/>
          <w:szCs w:val="19"/>
          <w:u w:val="single" w:color="auto"/>
          <w:color w:val="auto"/>
        </w:rPr>
        <w:t>Exhibit G-2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G-3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G-4</w:t>
      </w:r>
      <w:r>
        <w:rPr>
          <w:rFonts w:ascii="Arial" w:cs="Arial" w:eastAsia="Arial" w:hAnsi="Arial"/>
          <w:sz w:val="19"/>
          <w:szCs w:val="19"/>
          <w:color w:val="auto"/>
        </w:rPr>
        <w:t xml:space="preserve"> on behalf of each such direct and indirect partner(s);</w:t>
      </w:r>
    </w:p>
    <w:p>
      <w:pPr>
        <w:spacing w:after="0" w:line="172" w:lineRule="exact"/>
        <w:rPr>
          <w:rFonts w:ascii="Arial" w:cs="Arial" w:eastAsia="Arial" w:hAnsi="Arial"/>
          <w:sz w:val="19"/>
          <w:szCs w:val="19"/>
          <w:color w:val="auto"/>
        </w:rPr>
      </w:pPr>
    </w:p>
    <w:p>
      <w:pPr>
        <w:jc w:val="both"/>
        <w:ind w:left="1300" w:firstLine="1300"/>
        <w:spacing w:after="0" w:line="220" w:lineRule="auto"/>
        <w:tabs>
          <w:tab w:leader="none" w:pos="3238"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eligible to do so, deliver to such U.S. Borrower and the Administrative Agent (in such number of copies as shall be requested by the recipient) on or prior to the date on which such Foreign Lender becomes a Lender under this Agreement (and from time to time thereafter upon the reasonable request of such U.S.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357"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or the Administrative Agent), executed copies of any other form prescribed by applicable Legal Requirements as a basis for claiming exemption from or a reduction in U.S. federal withholding Tax, duly completed, together with such supplementary</w:t>
      </w:r>
    </w:p>
    <w:p>
      <w:pPr>
        <w:ind w:left="180"/>
        <w:spacing w:after="0" w:line="227" w:lineRule="auto"/>
        <w:rPr>
          <w:sz w:val="20"/>
          <w:szCs w:val="20"/>
          <w:color w:val="auto"/>
        </w:rPr>
      </w:pPr>
      <w:r>
        <w:rPr>
          <w:rFonts w:ascii="Arial" w:cs="Arial" w:eastAsia="Arial" w:hAnsi="Arial"/>
          <w:sz w:val="20"/>
          <w:szCs w:val="20"/>
          <w:color w:val="auto"/>
        </w:rPr>
        <w:t>documentation as may be prescribed by applicable Legal Requirements to permit such U.S. Borrower or the Administrative Agent to determine the withholding or deduction required to be made (if any); and</w:t>
      </w:r>
    </w:p>
    <w:p>
      <w:pPr>
        <w:spacing w:after="0" w:line="156" w:lineRule="exact"/>
        <w:rPr>
          <w:sz w:val="20"/>
          <w:szCs w:val="20"/>
          <w:color w:val="auto"/>
        </w:rPr>
      </w:pPr>
    </w:p>
    <w:p>
      <w:pPr>
        <w:jc w:val="both"/>
        <w:ind w:left="180" w:firstLine="1300"/>
        <w:spacing w:after="0" w:line="223" w:lineRule="auto"/>
        <w:tabs>
          <w:tab w:leader="none" w:pos="2118" w:val="left"/>
        </w:tabs>
        <w:numPr>
          <w:ilvl w:val="1"/>
          <w:numId w:val="198"/>
        </w:numPr>
        <w:rPr>
          <w:rFonts w:ascii="Arial" w:cs="Arial" w:eastAsia="Arial" w:hAnsi="Arial"/>
          <w:sz w:val="19"/>
          <w:szCs w:val="19"/>
          <w:color w:val="auto"/>
        </w:rPr>
      </w:pPr>
      <w:r>
        <w:rPr>
          <w:rFonts w:ascii="Arial" w:cs="Arial" w:eastAsia="Arial" w:hAnsi="Arial"/>
          <w:sz w:val="19"/>
          <w:szCs w:val="19"/>
          <w:color w:val="auto"/>
        </w:rPr>
        <w:t>if a payment made to the Administrative Agent or a Lender under any Loan Document would be subject to United States federal withholding Tax imposed by FATCA if the Administrative Agent or such Lender were to fail to comply with the applicable reporting requirements of FATCA (including those contained in Section 1471(b) or 1472(b) of the Code, as applicable), the Administrative Agent or such Lender shall deliver to Borrower and the Administrative Agent at the time or times prescribed by Legal Requirements and at such time or times reasonably requested by the Borrowers or the Administrative Agent such documentation prescribed by applicable Legal Requirements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the Administrative Agent or such Lender has complied with the Administrative Agent or such Lender’s obligations under FATCA or to determine the amount to deduct and withhold from such payment. Solely for purposes of this Section 2.17(e)(i)(C), “FATCA” shall include any amendments made to FATCA after the date of this Agreement.</w:t>
      </w:r>
    </w:p>
    <w:p>
      <w:pPr>
        <w:spacing w:after="0" w:line="155" w:lineRule="exact"/>
        <w:rPr>
          <w:rFonts w:ascii="Arial" w:cs="Arial" w:eastAsia="Arial" w:hAnsi="Arial"/>
          <w:sz w:val="19"/>
          <w:szCs w:val="19"/>
          <w:color w:val="auto"/>
        </w:rPr>
      </w:pPr>
    </w:p>
    <w:p>
      <w:pPr>
        <w:jc w:val="both"/>
        <w:ind w:left="-460" w:firstLine="1292"/>
        <w:spacing w:after="0" w:line="218" w:lineRule="auto"/>
        <w:tabs>
          <w:tab w:leader="none" w:pos="1483" w:val="left"/>
        </w:tabs>
        <w:numPr>
          <w:ilvl w:val="0"/>
          <w:numId w:val="19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each Lender that is a U.S. Person shall deliver to such U.S. Borrower and the Administrative Agent, on or prior to the date on which such Person becomes a party to this Agreement (and from time to time thereafter upon the reasonable request of such U.S. Borrower or the Administrative Agent), two properly completed and duly executed copies of IRS Form W-9 or any successor form, certifying that such Person is exempt from United States federal backup withholding Tax.</w:t>
      </w:r>
    </w:p>
    <w:p>
      <w:pPr>
        <w:spacing w:after="0" w:line="170" w:lineRule="exact"/>
        <w:rPr>
          <w:rFonts w:ascii="Arial" w:cs="Arial" w:eastAsia="Arial" w:hAnsi="Arial"/>
          <w:sz w:val="20"/>
          <w:szCs w:val="20"/>
          <w:color w:val="auto"/>
        </w:rPr>
      </w:pPr>
    </w:p>
    <w:p>
      <w:pPr>
        <w:jc w:val="both"/>
        <w:ind w:left="-460" w:firstLine="1292"/>
        <w:spacing w:after="0" w:line="221" w:lineRule="auto"/>
        <w:tabs>
          <w:tab w:leader="none" w:pos="148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On or prior to the date on which it becomes a party to this Agreement, the Administrative Agent shall deliver to the U.S. Borrower either (1) two properly completed and duly signed copies of IRS Form W-9 certifying that the Administrative Agent is a U.S. Person that is exempt from U.S. federal backup withholding or (2) (x) with respect to payments received for the account of a Lender, two properly completed and duly signed copies of IRS Form W-8IMY evidencing the Administrative Agent’s agreement to be treated as a U.S. Person for U.S. federal withholding tax purposes and assuming primary responsibility for U.S. federal income tax withholding and (y) with respect to payments received for the Administrative Agent’s own account, two properly completed and duly signed copies of IRS Form W-8ECI. The Administrative Agent shall, whenever a lapse in time or change in circumstances renders any such documentation expired, obsolete or inaccurate in any respect, deliver promptly to the U.S. Borrower updated versions of the documentation described in the preceding sentence (or any new documentation reasonably requested by the U.S.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furnish updated documentation to the extent it is not legally eligible to do so as a result of a Change in Law after the date hereof, in which event the Administrative Agent will promptly notify the U.S. Borrower of such ineligibility.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0120"/>
          </w:cols>
          <w:pgMar w:left="1440" w:top="1440" w:right="339" w:bottom="1440" w:gutter="0" w:footer="0" w:header="0"/>
        </w:sectPr>
      </w:pPr>
    </w:p>
    <w:bookmarkStart w:id="283" w:name="page284"/>
    <w:bookmarkEnd w:id="283"/>
    <w:p>
      <w:pPr>
        <w:spacing w:after="0" w:line="357" w:lineRule="exact"/>
        <w:rPr>
          <w:sz w:val="20"/>
          <w:szCs w:val="20"/>
          <w:color w:val="auto"/>
        </w:rPr>
      </w:pPr>
    </w:p>
    <w:p>
      <w:pPr>
        <w:jc w:val="both"/>
        <w:ind w:left="660" w:firstLine="1292"/>
        <w:spacing w:after="0" w:line="220" w:lineRule="auto"/>
        <w:tabs>
          <w:tab w:leader="none" w:pos="2593" w:val="left"/>
        </w:tabs>
        <w:numPr>
          <w:ilvl w:val="1"/>
          <w:numId w:val="20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any Lender that is an Irish Qualifying Lender solely on account of being an Irish Treaty Lender shall provide a self-certification form (a “Form 8-3-6. Interest”) to any Borrower that is tax resident in Ireland, which is to make a payment of interest under this Agreement to which that Irish Treaty Lender is entitled (with a copy to the Administrative Agent).</w:t>
      </w:r>
    </w:p>
    <w:p>
      <w:pPr>
        <w:spacing w:after="0" w:line="155" w:lineRule="exact"/>
        <w:rPr>
          <w:rFonts w:ascii="Arial" w:cs="Arial" w:eastAsia="Arial" w:hAnsi="Arial"/>
          <w:sz w:val="20"/>
          <w:szCs w:val="20"/>
          <w:color w:val="auto"/>
        </w:rPr>
      </w:pPr>
    </w:p>
    <w:p>
      <w:pPr>
        <w:ind w:left="660" w:firstLine="1292"/>
        <w:spacing w:after="0" w:line="236" w:lineRule="auto"/>
        <w:tabs>
          <w:tab w:leader="none" w:pos="2592" w:val="left"/>
        </w:tabs>
        <w:numPr>
          <w:ilvl w:val="1"/>
          <w:numId w:val="200"/>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2.17(e), no Lender shall be required to provide any documentation pursuant to this Section 2.17(e) that such Lender is not legally eligible to provide.</w:t>
      </w:r>
    </w:p>
    <w:p>
      <w:pPr>
        <w:spacing w:after="0" w:line="168" w:lineRule="exact"/>
        <w:rPr>
          <w:rFonts w:ascii="Arial" w:cs="Arial" w:eastAsia="Arial" w:hAnsi="Arial"/>
          <w:sz w:val="20"/>
          <w:szCs w:val="20"/>
          <w:color w:val="auto"/>
        </w:rPr>
      </w:pPr>
    </w:p>
    <w:p>
      <w:pPr>
        <w:jc w:val="both"/>
        <w:ind w:firstLine="1304"/>
        <w:spacing w:after="0" w:line="233" w:lineRule="auto"/>
        <w:tabs>
          <w:tab w:leader="none" w:pos="193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If the Administrative Agent or a Lender determines, in its sole discretion exercised in good faith, that it has received a refund of any Taxes as to which it has been indemnified by any Borrower or any Guarantor, as the case may be, or with respect to which any Borrower or any Guarantor, as the case may be, has paid additional amounts pursuant to this Section 2.17, it shall pay over such refund to such Borrower or such Guarantor (but only to the extent of indemnity payments made, or additional amounts paid, by such Borrower or such Guarantor under this Section 2.17 with respect to the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Borrower or Guarantor, as the case may be, upon the request of the Administrative Agent or such Lender, agrees to repay the amount paid over to such Borrower or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Administrative Agent or a Lender be required to pay any amount to any Borrower or any Guarantor pursuant to this paragraph (f)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2.17 shall not be construed to require the Administrative Agent or any Lender to make available its Tax returns (or any other information relating to its Taxes that it deems confidential) to any Borrower, any Guarantor or any other Person.</w:t>
      </w:r>
    </w:p>
    <w:p>
      <w:pPr>
        <w:spacing w:after="0" w:line="159" w:lineRule="exact"/>
        <w:rPr>
          <w:rFonts w:ascii="Arial" w:cs="Arial" w:eastAsia="Arial" w:hAnsi="Arial"/>
          <w:sz w:val="18"/>
          <w:szCs w:val="18"/>
          <w:color w:val="auto"/>
        </w:rPr>
      </w:pPr>
    </w:p>
    <w:p>
      <w:pPr>
        <w:jc w:val="both"/>
        <w:ind w:firstLine="1304"/>
        <w:spacing w:after="0" w:line="223" w:lineRule="auto"/>
        <w:tabs>
          <w:tab w:leader="none" w:pos="193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within 10 days after demand therefor, for (i) any Indemnified Taxes and Other Taxes attributable to such Lender (but only to the extent that any Loan Party has not already indemnified the Administrative Agent for such Indemnified Taxes and Other Taxes and without limiting or expanding the obligation of the Loan Parties to do so), (ii) any Taxes attributable to such Lender's failure to comply with the provisions of Section 9.04(c)(ii) relating to the maintenance of a Participant Register, and (iii) any Excluded Taxes attributable to such Lender, in each case, that are paid or payable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56" w:lineRule="exact"/>
        <w:rPr>
          <w:rFonts w:ascii="Arial" w:cs="Arial" w:eastAsia="Arial" w:hAnsi="Arial"/>
          <w:sz w:val="19"/>
          <w:szCs w:val="19"/>
          <w:color w:val="auto"/>
        </w:rPr>
      </w:pPr>
    </w:p>
    <w:p>
      <w:pPr>
        <w:jc w:val="both"/>
        <w:ind w:firstLine="1304"/>
        <w:spacing w:after="0" w:line="227" w:lineRule="auto"/>
        <w:tabs>
          <w:tab w:leader="none" w:pos="1932"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 Every Revolving Lender under any Revolving Loans, Extended Revolving Loans or Incremental Revolving Loans, as applicable, advanced to a Borrower that is tax resident in Ireland shall on or prior to the day on which such Revolving Lender becomes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357" w:lineRule="exact"/>
        <w:rPr>
          <w:sz w:val="20"/>
          <w:szCs w:val="20"/>
          <w:color w:val="auto"/>
        </w:rPr>
      </w:pPr>
    </w:p>
    <w:p>
      <w:pPr>
        <w:spacing w:after="0" w:line="223" w:lineRule="auto"/>
        <w:rPr>
          <w:sz w:val="20"/>
          <w:szCs w:val="20"/>
          <w:color w:val="auto"/>
        </w:rPr>
      </w:pPr>
      <w:r>
        <w:rPr>
          <w:rFonts w:ascii="Arial" w:cs="Arial" w:eastAsia="Arial" w:hAnsi="Arial"/>
          <w:sz w:val="19"/>
          <w:szCs w:val="19"/>
          <w:color w:val="auto"/>
        </w:rPr>
        <w:t xml:space="preserve">Revolving Lender under this Agreement, provide a confirmation in the form attached at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Irish Qualifying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Confirmation</w:t>
      </w:r>
      <w:r>
        <w:rPr>
          <w:rFonts w:ascii="Arial" w:cs="Arial" w:eastAsia="Arial" w:hAnsi="Arial"/>
          <w:sz w:val="19"/>
          <w:szCs w:val="19"/>
          <w:color w:val="auto"/>
        </w:rPr>
        <w:t>”). Each such Revolving Lender that becomes a Revolving Lender after the date of this Agreement shall provide, in any</w:t>
      </w:r>
    </w:p>
    <w:p>
      <w:pPr>
        <w:spacing w:after="0" w:line="236" w:lineRule="auto"/>
        <w:rPr>
          <w:sz w:val="20"/>
          <w:szCs w:val="20"/>
          <w:color w:val="auto"/>
        </w:rPr>
      </w:pPr>
      <w:r>
        <w:rPr>
          <w:rFonts w:ascii="Arial" w:cs="Arial" w:eastAsia="Arial" w:hAnsi="Arial"/>
          <w:sz w:val="18"/>
          <w:szCs w:val="18"/>
          <w:color w:val="auto"/>
        </w:rPr>
        <w:t>Assignment and Assumption which it executes on becoming a Revolving Lender, and each party that becomes a Participant with respect to</w:t>
      </w:r>
    </w:p>
    <w:p>
      <w:pPr>
        <w:spacing w:after="0" w:line="226" w:lineRule="auto"/>
        <w:rPr>
          <w:sz w:val="20"/>
          <w:szCs w:val="20"/>
          <w:color w:val="auto"/>
        </w:rPr>
      </w:pPr>
      <w:r>
        <w:rPr>
          <w:rFonts w:ascii="Arial" w:cs="Arial" w:eastAsia="Arial" w:hAnsi="Arial"/>
          <w:sz w:val="18"/>
          <w:szCs w:val="18"/>
          <w:color w:val="auto"/>
        </w:rPr>
        <w:t>the Revolving Loans, Extended Revolving Loans or Incremental Revolving Loans, as applicable, advanced to a Borrower that is tax resident in Ireland after the date of this Agreement shall provide, upon becoming a Participant, for the benefit of each Foreign Loan Party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 Irish Qualifying Lender Confirmation.</w:t>
      </w:r>
    </w:p>
    <w:p>
      <w:pPr>
        <w:spacing w:after="0" w:line="173" w:lineRule="exact"/>
        <w:rPr>
          <w:sz w:val="20"/>
          <w:szCs w:val="20"/>
          <w:color w:val="auto"/>
        </w:rPr>
      </w:pPr>
    </w:p>
    <w:p>
      <w:pPr>
        <w:jc w:val="both"/>
        <w:ind w:left="660" w:firstLine="1292"/>
        <w:spacing w:after="0" w:line="214" w:lineRule="auto"/>
        <w:tabs>
          <w:tab w:leader="none" w:pos="260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a Revolving Lender or Participant, as the case may be, fails to provide an Irish Qualifying Lender Confirmation in accordance with this Section 2.17(h), then such Revolving Lender or Participant, as the case may be, shall be treated for the purposes of this Agreement (including by each Foreign Loan Party) as if it is not an Irish Qualifying Lender until such time as it provides an Irish Qualifying Lender Confirmation to the Administrative Agent (and the Administrative Agent, upon receipt of such Irish Qualifying Lender Confirmation, shall inform each Foreign Loan Party). For the avoidance of doubt, an Assignment and Assumption or participation, as the case may be, shall not be invalidated by any failure of a Revolving Lender or Participant, as the case may be, to comply with this Section 2.17(h).</w:t>
      </w:r>
    </w:p>
    <w:p>
      <w:pPr>
        <w:spacing w:after="0" w:line="157" w:lineRule="exact"/>
        <w:rPr>
          <w:rFonts w:ascii="Arial" w:cs="Arial" w:eastAsia="Arial" w:hAnsi="Arial"/>
          <w:sz w:val="20"/>
          <w:szCs w:val="20"/>
          <w:color w:val="auto"/>
        </w:rPr>
      </w:pPr>
    </w:p>
    <w:p>
      <w:pPr>
        <w:jc w:val="both"/>
        <w:ind w:left="660" w:firstLine="1292"/>
        <w:spacing w:after="0" w:line="217" w:lineRule="auto"/>
        <w:tabs>
          <w:tab w:leader="none" w:pos="260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Each Revolving Lender or Participant required to provide an Irish Qualifying Lender Confirmation in accordance with this Section 2.17(h), as the case may be, shall promptly notify the Administrative Agent if there has been a change in any of the details provided in the Irish Qualifying Lender Confirmation (excluding, for the avoidance of doubt, any Change in Law) and provide an updated Irish Qualifying Lender Confirmation at that time and shall, for as long as it is Revolving Lender or Participant, as the case may be, at the reasonable written request by or on behalf of a Borrower that is tax resident in Ireland, provide an updated Irish Qualifying Lender Confirmation.</w:t>
      </w:r>
    </w:p>
    <w:p>
      <w:pPr>
        <w:spacing w:after="0" w:line="156" w:lineRule="exact"/>
        <w:rPr>
          <w:rFonts w:ascii="Arial" w:cs="Arial" w:eastAsia="Arial" w:hAnsi="Arial"/>
          <w:sz w:val="20"/>
          <w:szCs w:val="20"/>
          <w:color w:val="auto"/>
        </w:rPr>
      </w:pPr>
    </w:p>
    <w:p>
      <w:pPr>
        <w:jc w:val="both"/>
        <w:ind w:left="660" w:firstLine="1292"/>
        <w:spacing w:after="0" w:line="239" w:lineRule="auto"/>
        <w:tabs>
          <w:tab w:leader="none" w:pos="2604"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Lender and Participant shall, upon written request from a Borrower that is tax resident in Ireland, provide such details as are necessary to enable such Borrower to comply with its reporting obligations under Section 891A, 891E, 891F and 891G of the TCA and any other applicable automatic exchange of information obligations.</w:t>
      </w:r>
    </w:p>
    <w:p>
      <w:pPr>
        <w:spacing w:after="0" w:line="157" w:lineRule="exact"/>
        <w:rPr>
          <w:sz w:val="20"/>
          <w:szCs w:val="20"/>
          <w:color w:val="auto"/>
        </w:rPr>
      </w:pPr>
    </w:p>
    <w:p>
      <w:pPr>
        <w:ind w:right="40" w:firstLine="648"/>
        <w:spacing w:after="0" w:line="257" w:lineRule="auto"/>
        <w:rPr>
          <w:sz w:val="20"/>
          <w:szCs w:val="20"/>
          <w:color w:val="auto"/>
        </w:rPr>
      </w:pPr>
      <w:r>
        <w:rPr>
          <w:rFonts w:ascii="Arial" w:cs="Arial" w:eastAsia="Arial" w:hAnsi="Arial"/>
          <w:sz w:val="19"/>
          <w:szCs w:val="19"/>
          <w:color w:val="auto"/>
        </w:rPr>
        <w:t>For the avoidance of doubt, for purposes of this Section 2.17(h), (1) the term “Revolving Lender” shall include any Issuing Bank and any Swingline Lender and (2) the term “Revolving Loan” shall include any Letter of Credit and any Swingline Loan.</w:t>
      </w:r>
    </w:p>
    <w:p>
      <w:pPr>
        <w:spacing w:after="0" w:line="153" w:lineRule="exact"/>
        <w:rPr>
          <w:sz w:val="20"/>
          <w:szCs w:val="20"/>
          <w:color w:val="auto"/>
        </w:rPr>
      </w:pPr>
    </w:p>
    <w:p>
      <w:pPr>
        <w:ind w:left="660" w:right="480" w:firstLine="644"/>
        <w:spacing w:after="0" w:line="452" w:lineRule="auto"/>
        <w:tabs>
          <w:tab w:leader="none" w:pos="1954"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For purposes of this Section 2.17, the term “Lender” shall include any Swingline Lender and any Issuing Bank. Section 2.18 </w:t>
      </w:r>
      <w:r>
        <w:rPr>
          <w:rFonts w:ascii="Arial" w:cs="Arial" w:eastAsia="Arial" w:hAnsi="Arial"/>
          <w:sz w:val="19"/>
          <w:szCs w:val="19"/>
          <w:u w:val="single" w:color="auto"/>
          <w:color w:val="auto"/>
        </w:rPr>
        <w:t>Payments Generally; Allocations of Proceeds; Pro Rata Treatment; Sharing of Set-offs.</w:t>
      </w:r>
    </w:p>
    <w:p>
      <w:pPr>
        <w:spacing w:after="0" w:line="1" w:lineRule="exact"/>
        <w:rPr>
          <w:sz w:val="20"/>
          <w:szCs w:val="20"/>
          <w:color w:val="auto"/>
        </w:rPr>
      </w:pPr>
    </w:p>
    <w:p>
      <w:pPr>
        <w:jc w:val="both"/>
        <w:ind w:firstLine="1304"/>
        <w:spacing w:after="0" w:line="214" w:lineRule="auto"/>
        <w:tabs>
          <w:tab w:leader="none" w:pos="1934" w:val="left"/>
        </w:tabs>
        <w:numPr>
          <w:ilvl w:val="0"/>
          <w:numId w:val="204"/>
        </w:numPr>
        <w:rPr>
          <w:rFonts w:ascii="Arial" w:cs="Arial" w:eastAsia="Arial" w:hAnsi="Arial"/>
          <w:sz w:val="20"/>
          <w:szCs w:val="20"/>
          <w:color w:val="auto"/>
        </w:rPr>
      </w:pPr>
      <w:r>
        <w:rPr>
          <w:rFonts w:ascii="Arial" w:cs="Arial" w:eastAsia="Arial" w:hAnsi="Arial"/>
          <w:sz w:val="20"/>
          <w:szCs w:val="20"/>
          <w:color w:val="auto"/>
        </w:rPr>
        <w:t>Each Applicable Borrower shall make each payment required to be made by it hereunder (whether of principal, interest, fees, or reimbursement of LC Disbursements or of amounts payable under Section 2.15, 2.16 or 2.17, or otherwise) prior to (i) in the case of payments denominated in Dollars, 1:00 p.m., New York City time and (ii) in the case of payments denominated in a Foreign Currency, 1:00 p.m., Local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such payments shall be made (i) in the same currency in which the applicable Credit Event was made and (ii) to the Administrative Agent at the address specified in Section 9.01(a)(ii) or such other office as the Administrative Agent may hereafter designate in writing as such to the</w:t>
      </w:r>
    </w:p>
    <w:p>
      <w:pPr>
        <w:spacing w:after="0" w:line="235" w:lineRule="auto"/>
        <w:rPr>
          <w:sz w:val="20"/>
          <w:szCs w:val="20"/>
          <w:color w:val="auto"/>
        </w:rPr>
      </w:pPr>
      <w:r>
        <w:rPr>
          <w:rFonts w:ascii="Arial" w:cs="Arial" w:eastAsia="Arial" w:hAnsi="Arial"/>
          <w:sz w:val="18"/>
          <w:szCs w:val="18"/>
          <w:color w:val="auto"/>
        </w:rPr>
        <w:t>other parties hereto, or, in the case of a Credit Event denominated in a Foreign Currency, the Administrative Agent’s Eurocurrency Payment</w:t>
      </w:r>
    </w:p>
    <w:p>
      <w:pPr>
        <w:spacing w:after="0" w:line="226" w:lineRule="auto"/>
        <w:rPr>
          <w:sz w:val="20"/>
          <w:szCs w:val="20"/>
          <w:color w:val="auto"/>
        </w:rPr>
      </w:pPr>
      <w:r>
        <w:rPr>
          <w:rFonts w:ascii="Arial" w:cs="Arial" w:eastAsia="Arial" w:hAnsi="Arial"/>
          <w:sz w:val="18"/>
          <w:szCs w:val="18"/>
          <w:color w:val="auto"/>
        </w:rPr>
        <w:t>Office for such currency, except payments to be made directly to the applicable Issuing Bank or Swingline Lender as expressly provided herein and except that payments pursuant to Sections 2.15, 2.16, 2.17 and 9.03 shall be made directly to the Persons entitled thereto. The</w:t>
      </w:r>
    </w:p>
    <w:p>
      <w:pPr>
        <w:spacing w:after="0" w:line="236" w:lineRule="auto"/>
        <w:rPr>
          <w:sz w:val="20"/>
          <w:szCs w:val="20"/>
          <w:color w:val="auto"/>
        </w:rPr>
      </w:pPr>
      <w:r>
        <w:rPr>
          <w:rFonts w:ascii="Arial" w:cs="Arial" w:eastAsia="Arial" w:hAnsi="Arial"/>
          <w:sz w:val="18"/>
          <w:szCs w:val="18"/>
          <w:color w:val="auto"/>
        </w:rPr>
        <w:t>Administrative Agent shall distribute any such payments denominated in the same currency received by it for the account of any other Person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appropriate recipient promptly following receipt thereof. If any payment hereunder shall be due on a day that is not a Business Day, the date for payment shall be extended to the next succeeding Business Day, and, in the case of any payment accruing interest, interest thereon</w:t>
      </w:r>
    </w:p>
    <w:p>
      <w:pPr>
        <w:spacing w:after="0" w:line="236" w:lineRule="auto"/>
        <w:rPr>
          <w:sz w:val="20"/>
          <w:szCs w:val="20"/>
          <w:color w:val="auto"/>
        </w:rPr>
      </w:pPr>
      <w:r>
        <w:rPr>
          <w:rFonts w:ascii="Arial" w:cs="Arial" w:eastAsia="Arial" w:hAnsi="Arial"/>
          <w:sz w:val="18"/>
          <w:szCs w:val="18"/>
          <w:color w:val="auto"/>
        </w:rPr>
        <w:t>shall be payable for the period of such extension. Notwithstanding the foregoing provisions of this Section 2.18, if, after the making of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Event in any Foreign Currency, currency control or exchange regulations are imposed in the country which issues such currency with the result that the type of currency in which the Credit Event was made (the “Original Currency”) no longer exists or the Applicable</w:t>
      </w:r>
    </w:p>
    <w:p>
      <w:pPr>
        <w:spacing w:after="0" w:line="236" w:lineRule="auto"/>
        <w:rPr>
          <w:sz w:val="20"/>
          <w:szCs w:val="20"/>
          <w:color w:val="auto"/>
        </w:rPr>
      </w:pPr>
      <w:r>
        <w:rPr>
          <w:rFonts w:ascii="Arial" w:cs="Arial" w:eastAsia="Arial" w:hAnsi="Arial"/>
          <w:sz w:val="18"/>
          <w:szCs w:val="18"/>
          <w:color w:val="auto"/>
        </w:rPr>
        <w:t>Borrower is not able to make payment to the Administrative Agent for the account of the applicable Lenders in such Original Currency, then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all payments to be made by the Applicable Borrower hereunder in such currency shall instead be made when due in Dollars in an amount equal to the Dollar Amount (as of the date of repayment) of such payment due, it being the intention of the parties hereto that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Borrower takes all risks of the imposition of any such currency control or exchange regulations.</w:t>
      </w:r>
    </w:p>
    <w:p>
      <w:pPr>
        <w:spacing w:after="0" w:line="173" w:lineRule="exact"/>
        <w:rPr>
          <w:sz w:val="20"/>
          <w:szCs w:val="20"/>
          <w:color w:val="auto"/>
        </w:rPr>
      </w:pPr>
    </w:p>
    <w:p>
      <w:pPr>
        <w:jc w:val="both"/>
        <w:ind w:firstLine="1304"/>
        <w:spacing w:after="0" w:line="231" w:lineRule="auto"/>
        <w:tabs>
          <w:tab w:leader="none" w:pos="19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or the Collateral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Applicable Borrower) or (B) a mandatory prepayment (which shall be applied in accordance with Section 2.11) or (ii) after an Event of Default has occurred and is continuing and the Administrative Agent so elects or the Required Lenders so direct, such funds shall be applied, subject to the provisions of any Intercreditor Agreement,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the Collateral Agent and any Issuing Bank from the Borrowers,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or expense reimbursements then due to the Lenders (in their capacities as such) from the Borrowers,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(including post-petition interest, whether or not an allowed claim in any Insolvency or Liquidation Proceeding) then due and payable on the Loans ratably,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repay principal on the Loans and unreimbursed LC Disbursements, to pay an amount to the Administrative Agent equal to one hundred two percent (102%) of the aggregate undrawn face amount of all outstanding Letters of Credit, to be held as cash collateral for such Obligations, and any other amounts owing with respect to any Secured Obligations constituting Swap Obligations and/or Cash Management Agreements ratably;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amounts which would otherwise be applied to cash collateralize outstanding Letters of Credit shall, unless all Revolving Loans and Swingline Loans have been paid in full, instead be utilized to repay such outstandings, and </w:t>
      </w:r>
      <w:r>
        <w:rPr>
          <w:rFonts w:ascii="Arial" w:cs="Arial" w:eastAsia="Arial" w:hAnsi="Arial"/>
          <w:sz w:val="18"/>
          <w:szCs w:val="18"/>
          <w:u w:val="single" w:color="auto"/>
          <w:color w:val="auto"/>
        </w:rPr>
        <w:t>fifth</w:t>
      </w:r>
      <w:r>
        <w:rPr>
          <w:rFonts w:ascii="Arial" w:cs="Arial" w:eastAsia="Arial" w:hAnsi="Arial"/>
          <w:sz w:val="18"/>
          <w:szCs w:val="18"/>
          <w:color w:val="auto"/>
        </w:rPr>
        <w:t>, to the payment of any other Secured Obligation due to any Secured Party by the Borrowers. Notwithstanding anything to the contrary contained in this Agreement, unless so directed by the Applicable Borrower, or unless a Default is in existence, none of the Administrative Agent or any Lender shall apply any payment which it receives to any Eurocurrency Loan</w:t>
      </w:r>
      <w:r>
        <w:rPr>
          <w:rFonts w:ascii="Arial" w:cs="Arial" w:eastAsia="Arial" w:hAnsi="Arial"/>
          <w:sz w:val="18"/>
          <w:szCs w:val="18"/>
          <w:u w:val="single" w:color="auto"/>
          <w:color w:val="0000FF"/>
        </w:rPr>
        <w:t>, USD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Term SOFR Loan</w:t>
      </w:r>
      <w:r>
        <w:rPr>
          <w:rFonts w:ascii="Arial" w:cs="Arial" w:eastAsia="Arial" w:hAnsi="Arial"/>
          <w:sz w:val="18"/>
          <w:szCs w:val="18"/>
          <w:color w:val="0000FF"/>
        </w:rPr>
        <w:t xml:space="preserve"> </w:t>
      </w:r>
      <w:r>
        <w:rPr>
          <w:rFonts w:ascii="Arial" w:cs="Arial" w:eastAsia="Arial" w:hAnsi="Arial"/>
          <w:sz w:val="18"/>
          <w:szCs w:val="18"/>
          <w:color w:val="000000"/>
        </w:rPr>
        <w:t>or RFR Loan, except (a) on the expiration date of the Interest Period or maturity date (as applicable) applicable to any such</w:t>
      </w:r>
      <w:r>
        <w:rPr>
          <w:rFonts w:ascii="Arial" w:cs="Arial" w:eastAsia="Arial" w:hAnsi="Arial"/>
          <w:sz w:val="18"/>
          <w:szCs w:val="18"/>
          <w:color w:val="0000FF"/>
        </w:rPr>
        <w:t xml:space="preserve"> </w:t>
      </w:r>
      <w:r>
        <w:rPr>
          <w:rFonts w:ascii="Arial" w:cs="Arial" w:eastAsia="Arial" w:hAnsi="Arial"/>
          <w:sz w:val="18"/>
          <w:szCs w:val="18"/>
          <w:color w:val="000000"/>
        </w:rPr>
        <w:t>Eurocurrency Loan</w:t>
      </w:r>
      <w:r>
        <w:rPr>
          <w:rFonts w:ascii="Arial" w:cs="Arial" w:eastAsia="Arial" w:hAnsi="Arial"/>
          <w:sz w:val="18"/>
          <w:szCs w:val="18"/>
          <w:u w:val="single" w:color="auto"/>
          <w:color w:val="0000FF"/>
        </w:rPr>
        <w:t>, USD Term SOFR Loan</w:t>
      </w:r>
      <w:r>
        <w:rPr>
          <w:rFonts w:ascii="Arial" w:cs="Arial" w:eastAsia="Arial" w:hAnsi="Arial"/>
          <w:sz w:val="18"/>
          <w:szCs w:val="18"/>
          <w:color w:val="000000"/>
        </w:rPr>
        <w:t xml:space="preserve"> or RFR Loan or (b) in the event, and only to the extent, that there are no outstanding ABR Loans of the same Class and, in any event, the Applicable Borrower shall pay the break funding payment required in accordance with Section 2.16.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357"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the Collateral Agent and the Lenders shall have the continuing and exclusive right to apply and reverse and reapply any and all such received proceeds and payments to any portion of the Secured Obligations.</w:t>
      </w:r>
    </w:p>
    <w:p>
      <w:pPr>
        <w:spacing w:after="0" w:line="169" w:lineRule="exact"/>
        <w:rPr>
          <w:sz w:val="20"/>
          <w:szCs w:val="20"/>
          <w:color w:val="auto"/>
        </w:rPr>
      </w:pPr>
    </w:p>
    <w:p>
      <w:pPr>
        <w:jc w:val="both"/>
        <w:ind w:firstLine="1304"/>
        <w:spacing w:after="0" w:line="233" w:lineRule="auto"/>
        <w:tabs>
          <w:tab w:leader="none" w:pos="193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except as provided in Section 2.26, to Holdings or any Subsidiary thereof (as to which the provisions of this paragraph shall apply) and (iii) nothing in this Section 2.18(c) shall be construed to limit the applicability of Section 2.18(b) in the circumstances where Section 2.18(b)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61" w:lineRule="exact"/>
        <w:rPr>
          <w:rFonts w:ascii="Arial" w:cs="Arial" w:eastAsia="Arial" w:hAnsi="Arial"/>
          <w:sz w:val="18"/>
          <w:szCs w:val="18"/>
          <w:color w:val="auto"/>
        </w:rPr>
      </w:pPr>
    </w:p>
    <w:p>
      <w:pPr>
        <w:jc w:val="both"/>
        <w:ind w:firstLine="1304"/>
        <w:spacing w:after="0" w:line="235" w:lineRule="auto"/>
        <w:tabs>
          <w:tab w:leader="none" w:pos="193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Applicable Borrower prior to the date on which any payment is due to the Administrative Agent for the account of the relevant Lenders or Issuing Banks hereunder that the Applicable Borrower will not make such payment, the Administrative Agent may assume that the Applicable Borrower has made such payment on such date in accordance herewith and may, in reliance upon such assumption, distribute to the relevant Lenders or Issuing Bank, as the case may be, the amount due. In such event, if the Applicable Borrower has not in fact made such payment, then each of the relevant Lenders or Issuing Bank, as the case may be,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w:t>
      </w:r>
    </w:p>
    <w:p>
      <w:pPr>
        <w:spacing w:after="0" w:line="173" w:lineRule="exact"/>
        <w:rPr>
          <w:rFonts w:ascii="Arial" w:cs="Arial" w:eastAsia="Arial" w:hAnsi="Arial"/>
          <w:sz w:val="18"/>
          <w:szCs w:val="18"/>
          <w:color w:val="auto"/>
        </w:rPr>
      </w:pPr>
    </w:p>
    <w:p>
      <w:pPr>
        <w:jc w:val="both"/>
        <w:ind w:firstLine="1304"/>
        <w:spacing w:after="0" w:line="226" w:lineRule="auto"/>
        <w:tabs>
          <w:tab w:leader="none" w:pos="193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Subject to Section 2.26,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any Issuing Bank to satisfy such Lender’s obligations to it under this Section 2.18 until all such unsatisfied obligations are fully paid and/or (ii) hold any such amounts in a segregated account as cash collateral for, and application to, any future funding obligations of such Lender under any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357" w:lineRule="exact"/>
        <w:rPr>
          <w:sz w:val="20"/>
          <w:szCs w:val="20"/>
          <w:color w:val="auto"/>
        </w:rPr>
      </w:pPr>
    </w:p>
    <w:p>
      <w:pPr>
        <w:spacing w:after="0"/>
        <w:rPr>
          <w:sz w:val="20"/>
          <w:szCs w:val="20"/>
          <w:color w:val="auto"/>
        </w:rPr>
      </w:pPr>
      <w:r>
        <w:rPr>
          <w:rFonts w:ascii="Arial" w:cs="Arial" w:eastAsia="Arial" w:hAnsi="Arial"/>
          <w:sz w:val="19"/>
          <w:szCs w:val="19"/>
          <w:color w:val="auto"/>
        </w:rPr>
        <w:t>Section 2.18; in the case of each of clauses (i) and (ii) above, in any order as determined by the Administrative Agent in its discretion.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p>
    <w:p>
      <w:pPr>
        <w:spacing w:after="0" w:line="189" w:lineRule="exact"/>
        <w:rPr>
          <w:sz w:val="20"/>
          <w:szCs w:val="20"/>
          <w:color w:val="auto"/>
        </w:rPr>
      </w:pPr>
    </w:p>
    <w:p>
      <w:pPr>
        <w:jc w:val="both"/>
        <w:ind w:firstLine="1304"/>
        <w:spacing w:after="0" w:line="237" w:lineRule="auto"/>
        <w:tabs>
          <w:tab w:leader="none" w:pos="19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if any Applicable Borrower is required to pay any additional amount or indemnification payment to any Lender or any Governmental Authority for the account of any Lender pursuant to Section 2.17 or if any Lender delivers a notice pursuant to Section 2.25,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or avoid such illegality under Section 2.25 and (ii) would not subject such Lender to any material unreimbursed cost or expense and would not otherwise be materially disadvantageous to such Lender. The Applicable Borrower hereby agrees to pay all reasonable costs and expenses incurred by any Lender in connection with any such designation or assignment.</w:t>
      </w:r>
    </w:p>
    <w:p>
      <w:pPr>
        <w:spacing w:after="0" w:line="160" w:lineRule="exact"/>
        <w:rPr>
          <w:rFonts w:ascii="Arial" w:cs="Arial" w:eastAsia="Arial" w:hAnsi="Arial"/>
          <w:sz w:val="18"/>
          <w:szCs w:val="18"/>
          <w:color w:val="auto"/>
        </w:rPr>
      </w:pPr>
    </w:p>
    <w:p>
      <w:pPr>
        <w:jc w:val="both"/>
        <w:ind w:firstLine="1304"/>
        <w:spacing w:after="0" w:line="233" w:lineRule="auto"/>
        <w:tabs>
          <w:tab w:leader="none" w:pos="19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If (i) any Lender requests compensation under Section 2.15, (ii) the Applicable Borrower is required to pay any additional amount to any Lender or any Governmental Authority for the account of any Lender pursuant to Section 2.17 or if any Lender delivers a notice pursuant to Section 2.25, or (iii) any Lender becomes a Defaulting Lender, then the Applicable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Applicable Borrower shall have received the prior written consent of the Administrative Agent (and if a Revolving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(including any amounts under Sections 2.12 and 2.16 but subject to Section 2.26(a)), from the assignee (to the extent of such outstanding principal and accrued interest and fees) or the Applicable Borrower (in the case of all other amounts including the fees set forth in Section 2.12, which shall be payable and calculated as if the Applicable Borrower were making a prepayment to such assigning Lender), (iii) in the case of any such assignment resulting from a claim for compensation under Section 2.15 or payments required to be made pursuant to Section 2.17, such assignment will result in a reduction in such compensation or payments and (iv) such assignment does not conflict with applicable law.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8"/>
          <w:szCs w:val="18"/>
          <w:u w:val="single" w:color="auto"/>
          <w:color w:val="auto"/>
        </w:rPr>
        <w:t>Incremental Credit Extensions.</w:t>
      </w:r>
    </w:p>
    <w:p>
      <w:pPr>
        <w:spacing w:after="0" w:line="175" w:lineRule="exact"/>
        <w:rPr>
          <w:sz w:val="20"/>
          <w:szCs w:val="20"/>
          <w:color w:val="auto"/>
        </w:rPr>
      </w:pPr>
    </w:p>
    <w:p>
      <w:pPr>
        <w:ind w:left="1940" w:hanging="636"/>
        <w:spacing w:after="0"/>
        <w:tabs>
          <w:tab w:leader="none" w:pos="19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Borrower may, by written notice to the Administrative Agent from time to time after the Closing Date, request</w:t>
      </w:r>
    </w:p>
    <w:p>
      <w:pPr>
        <w:spacing w:after="0" w:line="11" w:lineRule="exact"/>
        <w:rPr>
          <w:rFonts w:ascii="Arial" w:cs="Arial" w:eastAsia="Arial" w:hAnsi="Arial"/>
          <w:sz w:val="18"/>
          <w:szCs w:val="18"/>
          <w:color w:val="auto"/>
        </w:rPr>
      </w:pPr>
    </w:p>
    <w:p>
      <w:pPr>
        <w:jc w:val="both"/>
        <w:ind w:firstLine="8"/>
        <w:spacing w:after="0" w:line="212" w:lineRule="auto"/>
        <w:tabs>
          <w:tab w:leader="none" w:pos="24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commitments to provide Term Loans of the same Tranche as any outstanding Term Loans (a “</w:t>
      </w:r>
      <w:r>
        <w:rPr>
          <w:rFonts w:ascii="Arial" w:cs="Arial" w:eastAsia="Arial" w:hAnsi="Arial"/>
          <w:sz w:val="20"/>
          <w:szCs w:val="20"/>
          <w:u w:val="single" w:color="auto"/>
          <w:color w:val="auto"/>
        </w:rPr>
        <w:t>Term Loan Increase</w:t>
      </w:r>
      <w:r>
        <w:rPr>
          <w:rFonts w:ascii="Arial" w:cs="Arial" w:eastAsia="Arial" w:hAnsi="Arial"/>
          <w:sz w:val="20"/>
          <w:szCs w:val="20"/>
          <w:color w:val="auto"/>
        </w:rPr>
        <w:t>”), (ii) commitments to provide term Loans of a new Tranche denominated in an Agreed Currency (“</w:t>
      </w:r>
      <w:r>
        <w:rPr>
          <w:rFonts w:ascii="Arial" w:cs="Arial" w:eastAsia="Arial" w:hAnsi="Arial"/>
          <w:sz w:val="20"/>
          <w:szCs w:val="20"/>
          <w:u w:val="single" w:color="auto"/>
          <w:color w:val="auto"/>
        </w:rPr>
        <w:t>Other Term Loan Commitments</w:t>
      </w:r>
      <w:r>
        <w:rPr>
          <w:rFonts w:ascii="Arial" w:cs="Arial" w:eastAsia="Arial" w:hAnsi="Arial"/>
          <w:sz w:val="20"/>
          <w:szCs w:val="20"/>
          <w:color w:val="auto"/>
        </w:rPr>
        <w:t>” and collectively with any Term Loan Increase, “</w:t>
      </w:r>
      <w:r>
        <w:rPr>
          <w:rFonts w:ascii="Arial" w:cs="Arial" w:eastAsia="Arial" w:hAnsi="Arial"/>
          <w:sz w:val="20"/>
          <w:szCs w:val="20"/>
          <w:u w:val="single" w:color="auto"/>
          <w:color w:val="auto"/>
        </w:rPr>
        <w:t>Incremental Term Loan Commitments</w:t>
      </w:r>
      <w:r>
        <w:rPr>
          <w:rFonts w:ascii="Arial" w:cs="Arial" w:eastAsia="Arial" w:hAnsi="Arial"/>
          <w:sz w:val="20"/>
          <w:szCs w:val="20"/>
          <w:color w:val="auto"/>
        </w:rPr>
        <w:t>”), (iii) increases in the amount of Initial Revolving Commitments or then outstanding Other Revolving Loan Commitments (a “</w:t>
      </w:r>
      <w:r>
        <w:rPr>
          <w:rFonts w:ascii="Arial" w:cs="Arial" w:eastAsia="Arial" w:hAnsi="Arial"/>
          <w:sz w:val="20"/>
          <w:szCs w:val="20"/>
          <w:u w:val="single" w:color="auto"/>
          <w:color w:val="auto"/>
        </w:rPr>
        <w:t>Revolving Commitment Increase</w:t>
      </w:r>
      <w:r>
        <w:rPr>
          <w:rFonts w:ascii="Arial" w:cs="Arial" w:eastAsia="Arial" w:hAnsi="Arial"/>
          <w:sz w:val="20"/>
          <w:szCs w:val="20"/>
          <w:color w:val="auto"/>
        </w:rPr>
        <w:t>”) or (iv) commitments to provide revolving Loans of a new Tranche available in one or more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Currencies (“</w:t>
      </w:r>
      <w:r>
        <w:rPr>
          <w:rFonts w:ascii="Arial" w:cs="Arial" w:eastAsia="Arial" w:hAnsi="Arial"/>
          <w:sz w:val="18"/>
          <w:szCs w:val="18"/>
          <w:u w:val="single" w:color="auto"/>
          <w:color w:val="auto"/>
        </w:rPr>
        <w:t>Other Revolving Loan Commitments</w:t>
      </w:r>
      <w:r>
        <w:rPr>
          <w:rFonts w:ascii="Arial" w:cs="Arial" w:eastAsia="Arial" w:hAnsi="Arial"/>
          <w:sz w:val="18"/>
          <w:szCs w:val="18"/>
          <w:color w:val="auto"/>
        </w:rPr>
        <w:t>” and collectively with any Revolving Commitment Increase, “</w:t>
      </w:r>
      <w:r>
        <w:rPr>
          <w:rFonts w:ascii="Arial" w:cs="Arial" w:eastAsia="Arial" w:hAnsi="Arial"/>
          <w:sz w:val="18"/>
          <w:szCs w:val="18"/>
          <w:u w:val="single" w:color="auto"/>
          <w:color w:val="auto"/>
        </w:rPr>
        <w:t>Incremental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in each case from one or more Incremental Term Lenders and/or Incremental Revolving Lenders (which, in each case, may</w:t>
      </w:r>
    </w:p>
    <w:p>
      <w:pPr>
        <w:spacing w:after="0" w:line="235" w:lineRule="auto"/>
        <w:rPr>
          <w:sz w:val="20"/>
          <w:szCs w:val="20"/>
          <w:color w:val="auto"/>
        </w:rPr>
      </w:pPr>
      <w:r>
        <w:rPr>
          <w:rFonts w:ascii="Arial" w:cs="Arial" w:eastAsia="Arial" w:hAnsi="Arial"/>
          <w:sz w:val="18"/>
          <w:szCs w:val="18"/>
          <w:color w:val="auto"/>
        </w:rPr>
        <w:t>include any existing Lender or any other bank or other financial institution (any such other bank or other financial institution, an “</w:t>
      </w:r>
      <w:r>
        <w:rPr>
          <w:rFonts w:ascii="Arial" w:cs="Arial" w:eastAsia="Arial" w:hAnsi="Arial"/>
          <w:sz w:val="18"/>
          <w:szCs w:val="18"/>
          <w:u w:val="single" w:color="auto"/>
          <w:color w:val="auto"/>
        </w:rPr>
        <w:t>Additional</w:t>
      </w:r>
    </w:p>
    <w:p>
      <w:pPr>
        <w:spacing w:after="0" w:line="226" w:lineRule="auto"/>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but shall be required to be Persons which would qualify as assignees of a Lender in accordance with Section 9.04) willing to provide such Incremental Term Loans and/or Incremental Revolving Commitments, as the case may be, in their own discretion. For the</w:t>
      </w:r>
    </w:p>
    <w:p>
      <w:pPr>
        <w:spacing w:after="0" w:line="236" w:lineRule="auto"/>
        <w:rPr>
          <w:sz w:val="20"/>
          <w:szCs w:val="20"/>
          <w:color w:val="auto"/>
        </w:rPr>
      </w:pPr>
      <w:r>
        <w:rPr>
          <w:rFonts w:ascii="Arial" w:cs="Arial" w:eastAsia="Arial" w:hAnsi="Arial"/>
          <w:sz w:val="18"/>
          <w:szCs w:val="18"/>
          <w:color w:val="auto"/>
        </w:rPr>
        <w:t>avoidance of doubt, with respect to any Incremental Loans incurred by a Borrower that is organized in Ireland, each Incremental Lender shall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comply with the requirements of Section 2.17, including the provision of an Irish Qualifying Lender Confirmation substantially in the form of Exhibit H (pursuant to which such Incremental Lender shall acknowledge that if it is not an Irish Qualifying Lender it will not be grossed</w:t>
      </w:r>
    </w:p>
    <w:p>
      <w:pPr>
        <w:spacing w:after="0" w:line="236" w:lineRule="auto"/>
        <w:rPr>
          <w:sz w:val="20"/>
          <w:szCs w:val="20"/>
          <w:color w:val="auto"/>
        </w:rPr>
      </w:pPr>
      <w:r>
        <w:rPr>
          <w:rFonts w:ascii="Arial" w:cs="Arial" w:eastAsia="Arial" w:hAnsi="Arial"/>
          <w:sz w:val="18"/>
          <w:szCs w:val="18"/>
          <w:color w:val="auto"/>
        </w:rPr>
        <w:t>up for any Irish withholding Tax applicable under relevant law as of the date such Incremental Lender becomes a party with respect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Incremental Loans). Each notice provided pursuant to this Section 2.20 shall set forth (i) the type and amount of the Incremental Term Loan Commitments and/or Incremental Revolving Commitments being requested (which shall be in minimum increments of $1,000,000 and a</w:t>
      </w:r>
    </w:p>
    <w:p>
      <w:pPr>
        <w:spacing w:after="0" w:line="224" w:lineRule="auto"/>
        <w:rPr>
          <w:sz w:val="20"/>
          <w:szCs w:val="20"/>
          <w:color w:val="auto"/>
        </w:rPr>
      </w:pPr>
      <w:r>
        <w:rPr>
          <w:rFonts w:ascii="Arial" w:cs="Arial" w:eastAsia="Arial" w:hAnsi="Arial"/>
          <w:sz w:val="19"/>
          <w:szCs w:val="19"/>
          <w:color w:val="auto"/>
        </w:rPr>
        <w:t>minimum amount of $10,000,000), (ii) the date on which such Incremental Term Loan Commitments and/or Incremental Revolving</w:t>
      </w:r>
    </w:p>
    <w:p>
      <w:pPr>
        <w:spacing w:after="0" w:line="226" w:lineRule="auto"/>
        <w:rPr>
          <w:sz w:val="20"/>
          <w:szCs w:val="20"/>
          <w:color w:val="auto"/>
        </w:rPr>
      </w:pPr>
      <w:r>
        <w:rPr>
          <w:rFonts w:ascii="Arial" w:cs="Arial" w:eastAsia="Arial" w:hAnsi="Arial"/>
          <w:sz w:val="18"/>
          <w:szCs w:val="18"/>
          <w:color w:val="auto"/>
        </w:rPr>
        <w:t>Commitments are requested to become effective, (iii) in the case of Other Term Loan Commitments or Other Revolving Loan Commitments, the Agreed Currency or Agreed Currencies and (iv) whether such Incremental Commitments constitute a Term Loan Increase, Other Term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Loan Commitments, a Revolving Commitment Increase or Other Revolving Loan Commitments.</w:t>
      </w:r>
    </w:p>
    <w:p>
      <w:pPr>
        <w:spacing w:after="0" w:line="173" w:lineRule="exact"/>
        <w:rPr>
          <w:sz w:val="20"/>
          <w:szCs w:val="20"/>
          <w:color w:val="auto"/>
        </w:rPr>
      </w:pPr>
    </w:p>
    <w:p>
      <w:pPr>
        <w:jc w:val="both"/>
        <w:ind w:firstLine="1304"/>
        <w:spacing w:after="0" w:line="231" w:lineRule="auto"/>
        <w:tabs>
          <w:tab w:leader="none" w:pos="193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(A) The Applicable Borrower and each Incremental Lender shall execute and deliver to the Administrative Agent an Incremental Amendment and such other documentation as the Administrative Agent shall reasonably specify to evidence the Incremental Commitment of such Incremental Lender. Each Incremental Amendment providing for Incremental Term Loans shall specify the terms of the applicable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final maturity date of any Other Term Loans (excluding (x) Term A Facilities and</w:t>
      </w:r>
    </w:p>
    <w:p>
      <w:pPr>
        <w:spacing w:after="0" w:line="2" w:lineRule="exact"/>
        <w:rPr>
          <w:rFonts w:ascii="Arial" w:cs="Arial" w:eastAsia="Arial" w:hAnsi="Arial"/>
          <w:sz w:val="18"/>
          <w:szCs w:val="18"/>
          <w:color w:val="auto"/>
        </w:rPr>
      </w:pPr>
    </w:p>
    <w:p>
      <w:pPr>
        <w:ind w:left="300" w:hanging="292"/>
        <w:spacing w:after="0" w:line="234" w:lineRule="auto"/>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customary “bridge loan” facilities with a tenor of no longer than one year (provided that such facilities automatically convert or exchange</w:t>
      </w:r>
    </w:p>
    <w:p>
      <w:pPr>
        <w:spacing w:after="0" w:line="235" w:lineRule="auto"/>
        <w:rPr>
          <w:sz w:val="20"/>
          <w:szCs w:val="20"/>
          <w:color w:val="auto"/>
        </w:rPr>
      </w:pPr>
      <w:r>
        <w:rPr>
          <w:rFonts w:ascii="Arial" w:cs="Arial" w:eastAsia="Arial" w:hAnsi="Arial"/>
          <w:sz w:val="18"/>
          <w:szCs w:val="18"/>
          <w:color w:val="auto"/>
        </w:rPr>
        <w:t>into long-term debt otherwise meeting the requirements of this clause (i)) shall be no earlier than the Latest Maturity Date of any Class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 Loans, (ii) such Class of Other Term Loans shall be denominated in an Agreed Currency, (iii) the Weighted Average Life to Maturity of any Other Term Loans (excluding (x) Term A Facilities and (y) customary “bridge loan” facilities with a tenor of no longer than one year</w:t>
      </w:r>
    </w:p>
    <w:p>
      <w:pPr>
        <w:spacing w:after="0" w:line="236" w:lineRule="auto"/>
        <w:rPr>
          <w:sz w:val="20"/>
          <w:szCs w:val="20"/>
          <w:color w:val="auto"/>
        </w:rPr>
      </w:pPr>
      <w:r>
        <w:rPr>
          <w:rFonts w:ascii="Arial" w:cs="Arial" w:eastAsia="Arial" w:hAnsi="Arial"/>
          <w:sz w:val="18"/>
          <w:szCs w:val="18"/>
          <w:color w:val="auto"/>
        </w:rPr>
        <w:t>(provided that such facilities automatically convert or exchange into long-term debt otherwise meeting the requirements of this clause (iii))</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shall be no shorter than the remaining Weighted Average Life to Maturity of the Class of Term Loans with the Latest Maturity Date, (iv) with respect to any Other Term Loans made on or after the Closing Date, the Effective Yield of any Other Term Loans may be less than or exceed</w:t>
      </w:r>
    </w:p>
    <w:p>
      <w:pPr>
        <w:spacing w:after="0" w:line="235" w:lineRule="auto"/>
        <w:rPr>
          <w:sz w:val="20"/>
          <w:szCs w:val="20"/>
          <w:color w:val="auto"/>
        </w:rPr>
      </w:pPr>
      <w:r>
        <w:rPr>
          <w:rFonts w:ascii="Arial" w:cs="Arial" w:eastAsia="Arial" w:hAnsi="Arial"/>
          <w:sz w:val="18"/>
          <w:szCs w:val="18"/>
          <w:color w:val="auto"/>
        </w:rPr>
        <w:t xml:space="preserve">the Effective Yield then applicable to the Initial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Other Term Loans that are secured by Liens on</w:t>
      </w:r>
    </w:p>
    <w:p>
      <w:pPr>
        <w:spacing w:after="0" w:line="226" w:lineRule="auto"/>
        <w:rPr>
          <w:sz w:val="20"/>
          <w:szCs w:val="20"/>
          <w:color w:val="auto"/>
        </w:rPr>
      </w:pPr>
      <w:r>
        <w:rPr>
          <w:rFonts w:ascii="Arial" w:cs="Arial" w:eastAsia="Arial" w:hAnsi="Arial"/>
          <w:sz w:val="18"/>
          <w:szCs w:val="18"/>
          <w:color w:val="auto"/>
        </w:rPr>
        <w:t xml:space="preserve">Collateral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Liens securing the Initial Term Loans made prior to the date that is 24 months after the Closing Date (other than Term A Facilities) the Effective Yield of which exceeds the Effective Yield then applicable to the Initial Term Loans,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Margin for the Initial Term Loans is increased (to the extent necessary) such that the Effective Yield thereof is not less than the Effective Yield of such Other Term Loans minus 0.50%, (v) the covenants and events of default of any Other Term Loans shall be reasonably</w:t>
      </w:r>
    </w:p>
    <w:p>
      <w:pPr>
        <w:spacing w:after="0" w:line="236" w:lineRule="auto"/>
        <w:rPr>
          <w:sz w:val="20"/>
          <w:szCs w:val="20"/>
          <w:color w:val="auto"/>
        </w:rPr>
      </w:pPr>
      <w:r>
        <w:rPr>
          <w:rFonts w:ascii="Arial" w:cs="Arial" w:eastAsia="Arial" w:hAnsi="Arial"/>
          <w:sz w:val="18"/>
          <w:szCs w:val="18"/>
          <w:color w:val="auto"/>
        </w:rPr>
        <w:t>acceptable to the Administrative Agent or shall not, when taken as a whole, be materially more favorable to the lenders or holders thereof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than the relevant terms applicable to the Initial Term Loans then outstanding unless such terms are added for the benefit of the Lenders of the Term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Other Term Loans shall have mandatory prepayment requirements in amounts that are less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than or equal to those required under Section 2.11(c);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Term A Facilities may be subject to (x) the Financial Covenant set forth in Section 6.12(a) or (y) one or more financial maintenance covenants (and related events of default)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such covenants shall be included for the benefit of the Revolving Commitments) and (vi) the terms of Incremental Term Loans under a Term Loan Increase shall be the same as the terms of the Term Loans of the Tranche that the Term Loan Increase is increasing (other than upfront</w:t>
      </w:r>
    </w:p>
    <w:p>
      <w:pPr>
        <w:spacing w:after="0" w:line="236" w:lineRule="auto"/>
        <w:rPr>
          <w:sz w:val="20"/>
          <w:szCs w:val="20"/>
          <w:color w:val="auto"/>
        </w:rPr>
      </w:pPr>
      <w:r>
        <w:rPr>
          <w:rFonts w:ascii="Arial" w:cs="Arial" w:eastAsia="Arial" w:hAnsi="Arial"/>
          <w:sz w:val="18"/>
          <w:szCs w:val="18"/>
          <w:color w:val="auto"/>
        </w:rPr>
        <w:t xml:space="preserve">fees and/or original issue discount). The Incremental Term Loans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in right of payment with the Initial Term</w:t>
      </w:r>
    </w:p>
    <w:p>
      <w:pPr>
        <w:spacing w:after="0" w:line="226" w:lineRule="auto"/>
        <w:rPr>
          <w:sz w:val="20"/>
          <w:szCs w:val="20"/>
          <w:color w:val="auto"/>
        </w:rPr>
      </w:pPr>
      <w:r>
        <w:rPr>
          <w:rFonts w:ascii="Arial" w:cs="Arial" w:eastAsia="Arial" w:hAnsi="Arial"/>
          <w:sz w:val="18"/>
          <w:szCs w:val="18"/>
          <w:color w:val="auto"/>
        </w:rPr>
        <w:t xml:space="preserve">Loans, shall be unsecured or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to the Initial Term Loans and shall not be (x) secured by any property or assets of Holdings or any Subsidiary other than the Collateral or (y) guaranteed by Holdings or any of its Subsidiaries other than any</w:t>
      </w:r>
    </w:p>
    <w:p>
      <w:pPr>
        <w:spacing w:after="0" w:line="224" w:lineRule="auto"/>
        <w:rPr>
          <w:sz w:val="20"/>
          <w:szCs w:val="20"/>
          <w:color w:val="auto"/>
        </w:rPr>
      </w:pPr>
      <w:r>
        <w:rPr>
          <w:rFonts w:ascii="Arial" w:cs="Arial" w:eastAsia="Arial" w:hAnsi="Arial"/>
          <w:sz w:val="19"/>
          <w:szCs w:val="19"/>
          <w:color w:val="auto"/>
        </w:rPr>
        <w:t xml:space="preserve">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Incremental Term Loans are unsecured or secured on a junior basis to the Initial Term Loans, such</w:t>
      </w:r>
    </w:p>
    <w:p>
      <w:pPr>
        <w:ind w:right="20"/>
        <w:spacing w:after="0" w:line="220" w:lineRule="auto"/>
        <w:rPr>
          <w:sz w:val="20"/>
          <w:szCs w:val="20"/>
          <w:color w:val="auto"/>
        </w:rPr>
      </w:pPr>
      <w:r>
        <w:rPr>
          <w:rFonts w:ascii="Arial" w:cs="Arial" w:eastAsia="Arial" w:hAnsi="Arial"/>
          <w:sz w:val="20"/>
          <w:szCs w:val="20"/>
          <w:color w:val="auto"/>
        </w:rPr>
        <w:t>Incremental Term Loans will be established as a separate Tranche from the Term Loans. In the case of any junior lien Incremental Term Loans, such Indebtedness shall be subject to the terms of a First-Second Lien Intercreditor Agreement.</w:t>
      </w:r>
    </w:p>
    <w:p>
      <w:pPr>
        <w:spacing w:after="0" w:line="170" w:lineRule="exact"/>
        <w:rPr>
          <w:sz w:val="20"/>
          <w:szCs w:val="20"/>
          <w:color w:val="auto"/>
        </w:rPr>
      </w:pPr>
    </w:p>
    <w:p>
      <w:pPr>
        <w:jc w:val="both"/>
        <w:ind w:firstLine="1304"/>
        <w:spacing w:after="0" w:line="232" w:lineRule="auto"/>
        <w:tabs>
          <w:tab w:leader="none" w:pos="166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Each Incremental Amendment providing for Incremental Revolving Commitments shall specify the terms of the applicable Incremental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final maturity date of any Other Revolving Loans shall be no earlier than the Latest Maturity Date of any Class of Revolving Loans, (ii) such Class of Other Revolving Loans shall be denominated in one or more Agreed Currencies, (iii) such Other Revolving Loans may have mandatory commitment reduction terms that are not identical to the Initial Revolving Loans, (iv) the covenants and events of default of any Other Revolving Loans shall be reasonably acceptable to the Administrative Agent or shall not, when taken as a whole, be materially more favorable to the lenders or holders thereof than the relevant terms applicable to the Initial Revolving Loans unless such terms are added for the benefit of the Lenders of the Initial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Other Revolving Loans may benefit from one or more financial maintenance covenants (and related events of default) (provided that such covenants shall be included for the benefit of the Initial Revolving Loans) and (iv) the terms of Incremental Revolving Loans under a Revolving Commitment Increase shall be the same as the terms of the Revolving Loans of the Tranche that the Revolving Commitment Increase is increasing (other than upfront fees and/or original issue discount). The Incremental Revolving Loans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Initial Revolving Loans, shall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Revolving Loans and shall not be (x) secured by any property or assets of Holdings or any Subsidiary other than the Collateral or (y) guaranteed by Holdings or any of its Subsidiaries other than any Guarantor. The Incremental Revolving Loans shall be subject to the provisions of Section 2.05(d) and 2.06(k) to the extent dealing with Swingline Loans and Letters of Credit which mature or expire after a Maturity Date when there exists Incremental Revolving Commitments with a longer Maturity Date. Upon the effectiveness of any Incremental Amendment with respect to Incremental Revolving Commitments, all Swingline Loans and Letters of Credit shall be participated on a pro rata basis by all Revolving Lenders in accordance with their Revolving Credit Exposure existing on such date.</w:t>
      </w:r>
    </w:p>
    <w:p>
      <w:pPr>
        <w:spacing w:after="0" w:line="178" w:lineRule="exact"/>
        <w:rPr>
          <w:sz w:val="20"/>
          <w:szCs w:val="20"/>
          <w:color w:val="auto"/>
        </w:rPr>
      </w:pPr>
    </w:p>
    <w:p>
      <w:pPr>
        <w:jc w:val="both"/>
        <w:ind w:firstLine="1304"/>
        <w:spacing w:after="0" w:line="225" w:lineRule="auto"/>
        <w:tabs>
          <w:tab w:leader="none" w:pos="1934"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Subject to Section 2.19, each Lender may, at its option, make any Loan available to the Applicable Borrower or an Additional Borrower by causing any foreign or domestic branch or Affiliate of such Lender to make such Loan (in which case such branch or Affiliate shall be treated as the “Lender” with respect to such Loan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exercise of such option shall not affect the obligation of the Applicable Borrower or such Additional Borrower to repay such Loan in accordance with the terms of this Agreement, (y) if the respective branch or Affiliate is a Foreign Lender, the same shall comply with the requirements of Section 2.17, and (z) with respect to any Revolving Loans advanced to an Additional Borrower that is tax resident in Ireland, the Affiliate, whether or not a Foreign Lender, shall comply with the requirements of Section 2.17.</w:t>
      </w:r>
    </w:p>
    <w:p>
      <w:pPr>
        <w:spacing w:after="0" w:line="159" w:lineRule="exact"/>
        <w:rPr>
          <w:rFonts w:ascii="Arial" w:cs="Arial" w:eastAsia="Arial" w:hAnsi="Arial"/>
          <w:sz w:val="19"/>
          <w:szCs w:val="19"/>
          <w:color w:val="auto"/>
        </w:rPr>
      </w:pPr>
    </w:p>
    <w:p>
      <w:pPr>
        <w:ind w:left="1940" w:hanging="636"/>
        <w:spacing w:after="0"/>
        <w:tabs>
          <w:tab w:leader="none" w:pos="19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Notwithstanding the foregoing, no Incremental Commitment shall become effective under this Section 2.20 unless</w:t>
      </w:r>
    </w:p>
    <w:p>
      <w:pPr>
        <w:spacing w:after="0" w:line="11" w:lineRule="exact"/>
        <w:rPr>
          <w:rFonts w:ascii="Arial" w:cs="Arial" w:eastAsia="Arial" w:hAnsi="Arial"/>
          <w:sz w:val="18"/>
          <w:szCs w:val="18"/>
          <w:color w:val="auto"/>
        </w:rPr>
      </w:pPr>
    </w:p>
    <w:p>
      <w:pPr>
        <w:ind w:left="240" w:hanging="232"/>
        <w:spacing w:after="0"/>
        <w:tabs>
          <w:tab w:leader="none" w:pos="24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at the time that any such Incremental Commitment is made (and after giving effect thereto), (A) no Event of Default shall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tranche of Incremental Term Loans is used to finance a Limited Condition Transaction and to the extent the Incremental Term Lenders participating in such tranche of Incremental Term Loans agree, the foregoing clause (A) shall be tested solely</w:t>
      </w:r>
    </w:p>
    <w:p>
      <w:pPr>
        <w:spacing w:after="0" w:line="235" w:lineRule="auto"/>
        <w:rPr>
          <w:sz w:val="20"/>
          <w:szCs w:val="20"/>
          <w:color w:val="auto"/>
        </w:rPr>
      </w:pPr>
      <w:r>
        <w:rPr>
          <w:rFonts w:ascii="Arial" w:cs="Arial" w:eastAsia="Arial" w:hAnsi="Arial"/>
          <w:sz w:val="18"/>
          <w:szCs w:val="18"/>
          <w:color w:val="auto"/>
        </w:rPr>
        <w:t>as of the LCT Test Date, and (B) the representations and warranties of the Applicable Borrower set forth in this Agreement shall be true and</w:t>
      </w:r>
    </w:p>
    <w:p>
      <w:pPr>
        <w:spacing w:after="0" w:line="226" w:lineRule="auto"/>
        <w:rPr>
          <w:sz w:val="20"/>
          <w:szCs w:val="20"/>
          <w:color w:val="auto"/>
        </w:rPr>
      </w:pPr>
      <w:r>
        <w:rPr>
          <w:rFonts w:ascii="Arial" w:cs="Arial" w:eastAsia="Arial" w:hAnsi="Arial"/>
          <w:sz w:val="18"/>
          <w:szCs w:val="18"/>
          <w:color w:val="auto"/>
        </w:rPr>
        <w:t xml:space="preserve">correct in all material respects (other than to the extent qualified by materiality or “Material Adverse Effect”, in which case, such representations and warranties shall be true and correct);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tranche of Incremental Term Loans is used to</w:t>
      </w:r>
    </w:p>
    <w:p>
      <w:pPr>
        <w:spacing w:after="0" w:line="236" w:lineRule="auto"/>
        <w:rPr>
          <w:sz w:val="20"/>
          <w:szCs w:val="20"/>
          <w:color w:val="auto"/>
        </w:rPr>
      </w:pPr>
      <w:r>
        <w:rPr>
          <w:rFonts w:ascii="Arial" w:cs="Arial" w:eastAsia="Arial" w:hAnsi="Arial"/>
          <w:sz w:val="18"/>
          <w:szCs w:val="18"/>
          <w:color w:val="auto"/>
        </w:rPr>
        <w:t>finance a Limited Condition Transaction, the foregoing clause (B) shall be limited to the Specified Representations at the discretion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Incremental Lenders, (ii) the aggregate principal amount of all Incremental Term Loan Commitments and Incremental Revolving Commitments established under this Agreement, together with any Alternative Incremental Facility Indebtedness incurred and any Permitted</w:t>
      </w:r>
    </w:p>
    <w:p>
      <w:pPr>
        <w:spacing w:after="0" w:line="236" w:lineRule="auto"/>
        <w:rPr>
          <w:sz w:val="20"/>
          <w:szCs w:val="20"/>
          <w:color w:val="auto"/>
        </w:rPr>
      </w:pPr>
      <w:r>
        <w:rPr>
          <w:rFonts w:ascii="Arial" w:cs="Arial" w:eastAsia="Arial" w:hAnsi="Arial"/>
          <w:sz w:val="18"/>
          <w:szCs w:val="18"/>
          <w:color w:val="auto"/>
        </w:rPr>
        <w:t>Refinancing Indebtedness in respect thereof, shall not exceed, as of any date of determination, the sum of (A) the greater of $1,160,000,000</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100% of Consolidated EBITDA for the Test Period most recently ended on or prior to the date of such determination (the “</w:t>
      </w:r>
      <w:r>
        <w:rPr>
          <w:rFonts w:ascii="Arial" w:cs="Arial" w:eastAsia="Arial" w:hAnsi="Arial"/>
          <w:sz w:val="18"/>
          <w:szCs w:val="18"/>
          <w:u w:val="single" w:color="auto"/>
          <w:color w:val="auto"/>
        </w:rPr>
        <w:t>Fixed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amount equal to the sum of all voluntary prepayments of Term Loans, Revolving Loans and Alternative</w:t>
      </w:r>
    </w:p>
    <w:p>
      <w:pPr>
        <w:spacing w:after="0" w:line="236" w:lineRule="auto"/>
        <w:rPr>
          <w:sz w:val="20"/>
          <w:szCs w:val="20"/>
          <w:color w:val="auto"/>
        </w:rPr>
      </w:pPr>
      <w:r>
        <w:rPr>
          <w:rFonts w:ascii="Arial" w:cs="Arial" w:eastAsia="Arial" w:hAnsi="Arial"/>
          <w:sz w:val="18"/>
          <w:szCs w:val="18"/>
          <w:color w:val="auto"/>
        </w:rPr>
        <w:t xml:space="preserve">Incremental Facility Indebtedness that is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Lien on the Collateral securing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Revolving Loans and Alternative Incremental Facility Indebtedness in the form of revolving loans, such prepayment is accompanied by a permanent reduction in the revolving commitments therefore (the “</w:t>
      </w:r>
      <w:r>
        <w:rPr>
          <w:rFonts w:ascii="Arial" w:cs="Arial" w:eastAsia="Arial" w:hAnsi="Arial"/>
          <w:sz w:val="18"/>
          <w:szCs w:val="18"/>
          <w:u w:val="single" w:color="auto"/>
          <w:color w:val="auto"/>
        </w:rPr>
        <w:t>Prepayment Incremental Amount</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(C) an unlimited amount so long as (1) in the case of any Indebtedness secured by a Lien on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Lien on the Collateral securing the Obligations, the First Lien Net Leverage Ratio, determined on a Pro Forma Basis for the most recently ended Test Period prior to such date, would not exceed 5.00:1.00, (2) in the case of any Indebtedness secured by the Collateral on a junior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lien basis relative to the Liens on such Collateral securing the Obligations, the Secured Net Leverage Ratio, determined on a Pro Forma Basis for the most recently ended Test Period prior to such date, would not exceed 5.25:1.00, and (3) in the case of unsecured Indebtedness, either</w:t>
      </w:r>
    </w:p>
    <w:p>
      <w:pPr>
        <w:spacing w:after="0" w:line="1" w:lineRule="exact"/>
        <w:rPr>
          <w:sz w:val="20"/>
          <w:szCs w:val="20"/>
          <w:color w:val="auto"/>
        </w:rPr>
      </w:pPr>
    </w:p>
    <w:p>
      <w:pPr>
        <w:jc w:val="both"/>
        <w:ind w:firstLine="8"/>
        <w:spacing w:after="0" w:line="231" w:lineRule="auto"/>
        <w:tabs>
          <w:tab w:leader="none" w:pos="28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(the amount pursuant to this clause (C), the “</w:t>
      </w:r>
      <w:r>
        <w:rPr>
          <w:rFonts w:ascii="Arial" w:cs="Arial" w:eastAsia="Arial" w:hAnsi="Arial"/>
          <w:sz w:val="18"/>
          <w:szCs w:val="18"/>
          <w:u w:val="single" w:color="auto"/>
          <w:color w:val="auto"/>
        </w:rPr>
        <w:t>Incurrence-Based Incremental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for the avoidance of doubt, if, as part of the same transaction or series of related transactions, the Applicable Borrower incurs Indebtedness pursuant to the Incurrence-Based Incremental Amount and substantially concurrently also incurs Indebtedness (x) pursuant to the Fixed Incremental Amount and/or the Prepayment Incremental Amount or (y) otherwise constituting a Fixed Amount, then the First Lien Net Leverage Ratio, Secured Net Leverage Ratio and/or Total Net Leverage Ratio, as applicable, will be calculated with respect to such incurrence pursuant to the Incurrence-Based Incremental Amount without regard to any such substantially concurrent incurrence of Indebtedness under the Fixed Incremental Amount, Prepayment Incremental Amount or any other Fixed Amount, (ii) the Applicable Borrower may elect to use the Incurrence-Based Incremental Amount regardless of whether there is capacity under the Fixed Incremental Amount and/or the Prepayment Incremental Amount, and if any Incremental Loans may be incurred under the Incurrence-Based Incremental Amount, the Fixed Incremental Amount or the Prepayment Incremental Amount and the Applicable Borrower does not make an election, the Applicable Borrower shall be deemed to have incurred such Incremental Loans under the Incurrence-Based Incremental Amount and (iii) if at any time after any Borrower has incurred Incremental Loans under the Fixed Incremental Amount and/or the Prepayment Incremental Amount, any portion of such Incremental Loans could then be incurred under the Incurrence-Based Incremental Amount, such amounts shall automatically be reclassified to the Incurrence-Based Incremental Amount (the sum of the Fixed Incremental Amount, the Prepayment Incremental Amount and the Incurrence-Based Incremental Amount, after giving effect to any reclassification, the “</w:t>
      </w:r>
      <w:r>
        <w:rPr>
          <w:rFonts w:ascii="Arial" w:cs="Arial" w:eastAsia="Arial" w:hAnsi="Arial"/>
          <w:sz w:val="18"/>
          <w:szCs w:val="18"/>
          <w:u w:val="single" w:color="auto"/>
          <w:color w:val="auto"/>
        </w:rPr>
        <w:t>Maximum 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The Administrative Agent shall promptly notify each Lender as to the effectiveness of each Incremental Amendment. Each of the parties hereto hereby agrees that, upon the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Incremental Amendment, this Agreement shall be amended to the extent (but only to the extent) necessary to reflect the existence and terms of the Incremental Commitments (including any mechanical or other amendments necessary to reflect the establishment of the</w:t>
      </w:r>
    </w:p>
    <w:p>
      <w:pPr>
        <w:spacing w:after="0" w:line="222" w:lineRule="auto"/>
        <w:rPr>
          <w:sz w:val="20"/>
          <w:szCs w:val="20"/>
          <w:color w:val="auto"/>
        </w:rPr>
      </w:pPr>
      <w:r>
        <w:rPr>
          <w:rFonts w:ascii="Arial" w:cs="Arial" w:eastAsia="Arial" w:hAnsi="Arial"/>
          <w:sz w:val="19"/>
          <w:szCs w:val="19"/>
          <w:color w:val="auto"/>
        </w:rPr>
        <w:t>Incremental Revolving Commitments) evidenced thereby. Any such deemed amendment may be memorialized in writing by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Administrative Agent with the Applicable Borrower’s consent (not to be unreasonably withheld, delayed or conditioned) and furnished to the other parties hereto.</w:t>
      </w:r>
    </w:p>
    <w:p>
      <w:pPr>
        <w:spacing w:after="0" w:line="170" w:lineRule="exact"/>
        <w:rPr>
          <w:sz w:val="20"/>
          <w:szCs w:val="20"/>
          <w:color w:val="auto"/>
        </w:rPr>
      </w:pPr>
    </w:p>
    <w:p>
      <w:pPr>
        <w:jc w:val="both"/>
        <w:ind w:firstLine="1304"/>
        <w:spacing w:after="0" w:line="234" w:lineRule="auto"/>
        <w:tabs>
          <w:tab w:leader="none" w:pos="193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Incremental Amendment may, without the consent of any Agents (unless it directly adversely amends or modifies the rights or duties of any Agent) or Lenders, effect such amendments to this Agreement and the other Loan Documents as may be necessary or appropriate, in the reasonable opinion of the Administrative Agent and the Applicable Borrower, to effect the provisions of this Section 2.20 (including without limitation, (i) the addition of customary letter of credit, swingline and Defaulting Lender provisions with respect to any Incremental Revolving Lenders, (ii) the addition of a class vote of the Incremental Revolving Lenders for acceleration, waiver and amendment with respect to any particular Class of Incremental Revolving Loans), (iii) in the case of a Term Loan Increase, modifications to the amortization payment amount and/or the Applicable Margin of the applicable Tranche of Term Loans to provide that the then outstanding Term Loans and the Incremental Term Loans are fungible, (iv) to reset the terms of a Repricing Event to give effect to Incremental Term Loan Commitments and (iv) to implement any additional covenants applicable to the Incremental Loans and Incremental Commitments that, pursuant to this Section 2.20, may be applied to the then existing Loans and Commitments. The Applicable Borrower will use the proceeds of the Incremental Loans for general corporate purposes (including loans and other Investments in Holdings and its Subsidiaries as permitted herein, Permitted Acquisitions and Investments). Incremental Loans may be made by any existing Lender (but no existing Lender will have any obligation to make or provide any portion of any Incremental Loan) or by any other bank or other financial institution. No Lender shall be obligated to provide any Incremental Loans unless it so agrees.</w:t>
      </w:r>
    </w:p>
    <w:p>
      <w:pPr>
        <w:spacing w:after="0" w:line="158" w:lineRule="exact"/>
        <w:rPr>
          <w:rFonts w:ascii="Arial" w:cs="Arial" w:eastAsia="Arial" w:hAnsi="Arial"/>
          <w:sz w:val="18"/>
          <w:szCs w:val="18"/>
          <w:color w:val="auto"/>
        </w:rPr>
      </w:pPr>
    </w:p>
    <w:p>
      <w:pPr>
        <w:ind w:left="1940" w:hanging="636"/>
        <w:spacing w:after="0"/>
        <w:tabs>
          <w:tab w:leader="none" w:pos="194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This Section 2.20 shall supersede any provisions in Section 2.18 or 9.02 to the contrary.</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6"/>
          <w:szCs w:val="16"/>
          <w:u w:val="single" w:color="auto"/>
          <w:color w:val="auto"/>
        </w:rPr>
        <w:t>Judgment Currency.</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If for the purposes of obtaining judgment in any court it is necessary to convert a sum due from an Applicable Borrower hereunder in the currency expressed to be payable herein (the “specified currency”) into another currency, the parties hereto agree, to the fullest extent that</w:t>
      </w:r>
    </w:p>
    <w:p>
      <w:pPr>
        <w:spacing w:after="0" w:line="223" w:lineRule="auto"/>
        <w:rPr>
          <w:sz w:val="20"/>
          <w:szCs w:val="20"/>
          <w:color w:val="auto"/>
        </w:rPr>
      </w:pPr>
      <w:r>
        <w:rPr>
          <w:rFonts w:ascii="Arial" w:cs="Arial" w:eastAsia="Arial" w:hAnsi="Arial"/>
          <w:sz w:val="19"/>
          <w:szCs w:val="19"/>
          <w:color w:val="auto"/>
        </w:rPr>
        <w:t>they may effectively do so, that the rate of exchange used shall be that at which in accordance with normal banking procedures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could purchase the specified currency with such other currency at the Administrative Agent’s main New York City office on the Business Day preceding that on which final, non-appealable judgment is given. The obligations of the Applicable Borrower and</w:t>
      </w:r>
    </w:p>
    <w:p>
      <w:pPr>
        <w:spacing w:after="0" w:line="224" w:lineRule="auto"/>
        <w:rPr>
          <w:sz w:val="20"/>
          <w:szCs w:val="20"/>
          <w:color w:val="auto"/>
        </w:rPr>
      </w:pPr>
      <w:r>
        <w:rPr>
          <w:rFonts w:ascii="Arial" w:cs="Arial" w:eastAsia="Arial" w:hAnsi="Arial"/>
          <w:sz w:val="19"/>
          <w:szCs w:val="19"/>
          <w:color w:val="auto"/>
        </w:rPr>
        <w:t>any Additional Borrower in respect of any sum due to any Lender or the Administrative Agent hereunder shall, notwithstanding any</w:t>
      </w:r>
    </w:p>
    <w:p>
      <w:pPr>
        <w:spacing w:after="0" w:line="226" w:lineRule="auto"/>
        <w:rPr>
          <w:sz w:val="20"/>
          <w:szCs w:val="20"/>
          <w:color w:val="auto"/>
        </w:rPr>
      </w:pPr>
      <w:r>
        <w:rPr>
          <w:rFonts w:ascii="Arial" w:cs="Arial" w:eastAsia="Arial" w:hAnsi="Arial"/>
          <w:sz w:val="18"/>
          <w:szCs w:val="18"/>
          <w:color w:val="auto"/>
        </w:rPr>
        <w:t>judgment in a currency other than the specified currency, be discharged only to the extent that on the Business Day following receipt by such Lender or the Administrative Agent (as the case may be) of any sum adjudged to be so due in such other currency such Lender or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(as the case may be) may in accordance with normal, reasonable banking procedures purchase the specified currency with such other currency. If the amount of the specified currency so purchased is less than the sum originally due to such Lender or the</w:t>
      </w:r>
    </w:p>
    <w:p>
      <w:pPr>
        <w:spacing w:after="0" w:line="224" w:lineRule="auto"/>
        <w:rPr>
          <w:sz w:val="20"/>
          <w:szCs w:val="20"/>
          <w:color w:val="auto"/>
        </w:rPr>
      </w:pPr>
      <w:r>
        <w:rPr>
          <w:rFonts w:ascii="Arial" w:cs="Arial" w:eastAsia="Arial" w:hAnsi="Arial"/>
          <w:sz w:val="19"/>
          <w:szCs w:val="19"/>
          <w:color w:val="auto"/>
        </w:rPr>
        <w:t>Administrative Agent, as the case may be, in the specified currency, the Applicable Borrower agrees, to the fullest extent that it may</w:t>
      </w:r>
    </w:p>
    <w:p>
      <w:pPr>
        <w:spacing w:after="0" w:line="255" w:lineRule="auto"/>
        <w:rPr>
          <w:sz w:val="20"/>
          <w:szCs w:val="20"/>
          <w:color w:val="auto"/>
        </w:rPr>
      </w:pPr>
      <w:r>
        <w:rPr>
          <w:rFonts w:ascii="Arial" w:cs="Arial" w:eastAsia="Arial" w:hAnsi="Arial"/>
          <w:sz w:val="16"/>
          <w:szCs w:val="16"/>
          <w:color w:val="auto"/>
        </w:rPr>
        <w:t>effectively do so, as a separate obligation and notwithstanding any such judgment, to indemnify such Lender or the Administrative Agent, as the case may be, against such loss, and if the amount of the specified currency so purchased exceeds (a) the sum originally due to any Lender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Agent, as the case may be, in the specified currency and (b) any amounts shared with other Lenders as a result of allocations of such excess as a disproportionate payment to such Lender under Section 2.18, such Lender or the Administrative Agent, as the case may be, agrees to</w:t>
      </w:r>
    </w:p>
    <w:p>
      <w:pPr>
        <w:spacing w:after="0"/>
        <w:rPr>
          <w:sz w:val="20"/>
          <w:szCs w:val="20"/>
          <w:color w:val="auto"/>
        </w:rPr>
      </w:pPr>
      <w:r>
        <w:rPr>
          <w:rFonts w:ascii="Arial" w:cs="Arial" w:eastAsia="Arial" w:hAnsi="Arial"/>
          <w:sz w:val="20"/>
          <w:szCs w:val="20"/>
          <w:color w:val="auto"/>
        </w:rPr>
        <w:t>remit such excess to the Borrowers.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2.22</w:t>
      </w:r>
      <w:r>
        <w:rPr>
          <w:sz w:val="20"/>
          <w:szCs w:val="20"/>
          <w:color w:val="auto"/>
        </w:rPr>
        <w:tab/>
      </w:r>
      <w:r>
        <w:rPr>
          <w:rFonts w:ascii="Arial" w:cs="Arial" w:eastAsia="Arial" w:hAnsi="Arial"/>
          <w:sz w:val="16"/>
          <w:szCs w:val="16"/>
          <w:u w:val="single" w:color="auto"/>
          <w:color w:val="auto"/>
        </w:rPr>
        <w:t>Extensions of Loans and Commitments.</w:t>
      </w:r>
    </w:p>
    <w:p>
      <w:pPr>
        <w:spacing w:after="0" w:line="175" w:lineRule="exact"/>
        <w:rPr>
          <w:sz w:val="20"/>
          <w:szCs w:val="20"/>
          <w:color w:val="auto"/>
        </w:rPr>
      </w:pPr>
    </w:p>
    <w:p>
      <w:pPr>
        <w:jc w:val="both"/>
        <w:ind w:firstLine="1304"/>
        <w:spacing w:after="0" w:line="223" w:lineRule="auto"/>
        <w:tabs>
          <w:tab w:leader="none" w:pos="193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pursuant to one or more offers (each, an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w:t>
      </w:r>
      <w:r>
        <w:rPr>
          <w:rFonts w:ascii="Arial" w:cs="Arial" w:eastAsia="Arial" w:hAnsi="Arial"/>
          <w:sz w:val="19"/>
          <w:szCs w:val="19"/>
          <w:color w:val="auto"/>
        </w:rPr>
        <w:t>”) made from time to time by the Applicable Borrower to (i) all Term Lenders of Term Loans of any Tranche with a like Maturity Date, and/or (ii) all Incremental Revolving Lenders with a like Maturity Date, in each case on a pro rata basis (based on the aggregate outstanding principal amount of the respective Loans or the aggregate amount of the Commitments with the same Maturity Date, as the case may be, and using Dollar Amounts in the case of any amounts denominated in an Agreed Currency other than Dollars) and on the same terms to each such Lender, the Applicable Borrower may from time to time offer to extend the Maturity Date for any such Loans and otherwise modify the terms of such Loans and/or Commitments pursuant to the terms of the relevant Extension Offer (including by increasing the interest rate or fees payable in respect of such Loans and/or Commitments (and related outstandings) (each, an “</w:t>
      </w:r>
      <w:r>
        <w:rPr>
          <w:rFonts w:ascii="Arial" w:cs="Arial" w:eastAsia="Arial" w:hAnsi="Arial"/>
          <w:sz w:val="19"/>
          <w:szCs w:val="19"/>
          <w:u w:val="single" w:color="auto"/>
          <w:color w:val="auto"/>
        </w:rPr>
        <w:t>Extension</w:t>
      </w:r>
      <w:r>
        <w:rPr>
          <w:rFonts w:ascii="Arial" w:cs="Arial" w:eastAsia="Arial" w:hAnsi="Arial"/>
          <w:sz w:val="19"/>
          <w:szCs w:val="19"/>
          <w:color w:val="auto"/>
        </w:rPr>
        <w:t>”), and each group of Loans or Commitments, as applicable, in each case of a given Tranche as so extended, as well as the original Loans and Commitments of the original respective Tranche (in each case not so extended), shall (for the avoidance of doubt) be part of a single Tranche; and any Extended Loans shall constitute a separate Class of Loans from the Class of Loans from which they were converted, so long as the following terms are satisfied:</w:t>
      </w:r>
    </w:p>
    <w:p>
      <w:pPr>
        <w:spacing w:after="0" w:line="155" w:lineRule="exact"/>
        <w:rPr>
          <w:rFonts w:ascii="Arial" w:cs="Arial" w:eastAsia="Arial" w:hAnsi="Arial"/>
          <w:sz w:val="19"/>
          <w:szCs w:val="19"/>
          <w:color w:val="auto"/>
        </w:rPr>
      </w:pPr>
    </w:p>
    <w:p>
      <w:pPr>
        <w:ind w:left="2600" w:hanging="648"/>
        <w:spacing w:after="0"/>
        <w:tabs>
          <w:tab w:leader="none" w:pos="2600" w:val="left"/>
        </w:tabs>
        <w:numPr>
          <w:ilvl w:val="1"/>
          <w:numId w:val="21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660" w:firstLine="1292"/>
        <w:spacing w:after="0" w:line="231" w:lineRule="auto"/>
        <w:tabs>
          <w:tab w:leader="none" w:pos="2603"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except as to interest rates, fees, amortization, final maturity date, premium, required prepayment dates and participation in prepayments (which shall, subject to the succeeding clauses (iii), (iv), (v), and (vi), be determined by the Applicable Borrower and set forth in the relevant Extension Offer), the Loans of any Term Lender extended pursuant to any Extension (“</w:t>
      </w:r>
      <w:r>
        <w:rPr>
          <w:rFonts w:ascii="Arial" w:cs="Arial" w:eastAsia="Arial" w:hAnsi="Arial"/>
          <w:sz w:val="19"/>
          <w:szCs w:val="19"/>
          <w:u w:val="single" w:color="auto"/>
          <w:color w:val="auto"/>
        </w:rPr>
        <w:t>Extended Term Loans</w:t>
      </w:r>
      <w:r>
        <w:rPr>
          <w:rFonts w:ascii="Arial" w:cs="Arial" w:eastAsia="Arial" w:hAnsi="Arial"/>
          <w:sz w:val="19"/>
          <w:szCs w:val="19"/>
          <w:color w:val="auto"/>
        </w:rPr>
        <w:t>”) shall have the same terms as the Tranche of Loans subject to such Extension Offer;</w:t>
      </w:r>
    </w:p>
    <w:p>
      <w:pPr>
        <w:spacing w:after="0" w:line="171" w:lineRule="exact"/>
        <w:rPr>
          <w:rFonts w:ascii="Arial" w:cs="Arial" w:eastAsia="Arial" w:hAnsi="Arial"/>
          <w:sz w:val="19"/>
          <w:szCs w:val="19"/>
          <w:color w:val="auto"/>
        </w:rPr>
      </w:pPr>
    </w:p>
    <w:p>
      <w:pPr>
        <w:jc w:val="both"/>
        <w:ind w:left="660" w:firstLine="1292"/>
        <w:spacing w:after="0" w:line="233" w:lineRule="auto"/>
        <w:tabs>
          <w:tab w:leader="none" w:pos="260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except as to interest rates, fees and final maturity (which shall, subject to the requirements of this Section 2.22, be determined by the Applicable Borrower and set forth in the relevant Extension Offer), the Revolving Commitment, the Incremental Revolving Commitment or Other Refinancing Revolving Commitment of any Revolving Lender (an “</w:t>
      </w:r>
      <w:r>
        <w:rPr>
          <w:rFonts w:ascii="Arial" w:cs="Arial" w:eastAsia="Arial" w:hAnsi="Arial"/>
          <w:sz w:val="18"/>
          <w:szCs w:val="18"/>
          <w:u w:val="single" w:color="auto"/>
          <w:color w:val="auto"/>
        </w:rPr>
        <w:t>Extending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Lender</w:t>
      </w:r>
      <w:r>
        <w:rPr>
          <w:rFonts w:ascii="Arial" w:cs="Arial" w:eastAsia="Arial" w:hAnsi="Arial"/>
          <w:sz w:val="18"/>
          <w:szCs w:val="18"/>
          <w:color w:val="auto"/>
        </w:rPr>
        <w:t>”) extended pursuant to an Extension (an “</w:t>
      </w:r>
      <w:r>
        <w:rPr>
          <w:rFonts w:ascii="Arial" w:cs="Arial" w:eastAsia="Arial" w:hAnsi="Arial"/>
          <w:sz w:val="18"/>
          <w:szCs w:val="18"/>
          <w:u w:val="single" w:color="auto"/>
          <w:color w:val="auto"/>
        </w:rPr>
        <w:t>Extended Revolving Commitment</w:t>
      </w:r>
      <w:r>
        <w:rPr>
          <w:rFonts w:ascii="Arial" w:cs="Arial" w:eastAsia="Arial" w:hAnsi="Arial"/>
          <w:sz w:val="18"/>
          <w:szCs w:val="18"/>
          <w:color w:val="auto"/>
        </w:rPr>
        <w:t xml:space="preserve">”), and the related outstanding, shall be a Revolving Commitment, Incremental Revolving Commitment or Other Refinancing Revolving Commitment (or related outstandings, as the case may be) with the same terms as the original Revolving Commitments of the same Class, the Incremental Revolving Commitments or Other Refinancing Revolving Commitments (and related outstandings);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subject to the provisions of Sections 2.05(d) and 2.06(k) to the extent dealing with Letters of Credit and Swingline Loans which mature or expire after a Maturity Date when there exist Extended Revolving Commitments with a longer Maturity Date, all Letters of Credit and Swingline Loans shall be participated in on a pro rata basis by all Lenders with Revolving Commitments and Incremental Revolving Commitments in accordance with their pro rata share of the aggregate Revolving Commitments and Incremental Revolving Commitments (and except as provided in Sections 2.05(d) and 2.06(k), without giving effect to changes thereto on an earlier Maturity Date with respect to Swingline Loans and Letters of Credit theretofore incurred or issued;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 of the Issuing Banks to issue Letters of Credit can only be extended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appropriate Issuing Banks’s consent) and all borrowings under Revolving Commitments of such Class and any related Incremental Revolving Commitments or Extended Revolving Commitments and repayments thereunder shall be made on a pro rata basis (except</w:t>
      </w:r>
    </w:p>
    <w:p>
      <w:pPr>
        <w:spacing w:after="0" w:line="236" w:lineRule="auto"/>
        <w:rPr>
          <w:sz w:val="20"/>
          <w:szCs w:val="20"/>
          <w:color w:val="auto"/>
        </w:rPr>
      </w:pPr>
      <w:r>
        <w:rPr>
          <w:rFonts w:ascii="Arial" w:cs="Arial" w:eastAsia="Arial" w:hAnsi="Arial"/>
          <w:sz w:val="18"/>
          <w:szCs w:val="18"/>
          <w:color w:val="auto"/>
        </w:rPr>
        <w:t>for (A) payments of interest and fees at different rates on Extended Revolving Commitments (and related outstandings) and (B)</w:t>
      </w:r>
    </w:p>
    <w:p>
      <w:pPr>
        <w:spacing w:after="0" w:line="215" w:lineRule="auto"/>
        <w:rPr>
          <w:sz w:val="20"/>
          <w:szCs w:val="20"/>
          <w:color w:val="auto"/>
        </w:rPr>
      </w:pPr>
      <w:r>
        <w:rPr>
          <w:rFonts w:ascii="Arial" w:cs="Arial" w:eastAsia="Arial" w:hAnsi="Arial"/>
          <w:sz w:val="19"/>
          <w:szCs w:val="19"/>
          <w:color w:val="auto"/>
        </w:rPr>
        <w:t>repayments required upon the Maturity Date for the non-extending Revolving Commitments of the same Class, or any related Incremental Revolving Commitments or Extended Revolving Commitments) and (y) at no time shall there be Revolving</w:t>
      </w:r>
    </w:p>
    <w:p>
      <w:pPr>
        <w:spacing w:after="0" w:line="222" w:lineRule="auto"/>
        <w:rPr>
          <w:sz w:val="20"/>
          <w:szCs w:val="20"/>
          <w:color w:val="auto"/>
        </w:rPr>
      </w:pPr>
      <w:r>
        <w:rPr>
          <w:rFonts w:ascii="Arial" w:cs="Arial" w:eastAsia="Arial" w:hAnsi="Arial"/>
          <w:sz w:val="19"/>
          <w:szCs w:val="19"/>
          <w:color w:val="auto"/>
        </w:rPr>
        <w:t>Commitments, Extended Revolving Commitments, Incremental Revolving Commitments and/or Other Refinancing Revolving</w:t>
      </w:r>
    </w:p>
    <w:p>
      <w:pPr>
        <w:spacing w:after="0" w:line="220" w:lineRule="auto"/>
        <w:rPr>
          <w:sz w:val="20"/>
          <w:szCs w:val="20"/>
          <w:color w:val="auto"/>
        </w:rPr>
      </w:pPr>
      <w:r>
        <w:rPr>
          <w:rFonts w:ascii="Arial" w:cs="Arial" w:eastAsia="Arial" w:hAnsi="Arial"/>
          <w:sz w:val="20"/>
          <w:szCs w:val="20"/>
          <w:color w:val="auto"/>
        </w:rPr>
        <w:t>Commitments hereunder (including Extended Revolving Commitments and any original Revolving Commitments) which have more than three different Maturity Dates;</w:t>
      </w:r>
    </w:p>
    <w:p>
      <w:pPr>
        <w:spacing w:after="0" w:line="170" w:lineRule="exact"/>
        <w:rPr>
          <w:sz w:val="20"/>
          <w:szCs w:val="20"/>
          <w:color w:val="auto"/>
        </w:rPr>
      </w:pPr>
    </w:p>
    <w:p>
      <w:pPr>
        <w:ind w:firstLine="1292"/>
        <w:spacing w:after="0" w:line="236" w:lineRule="auto"/>
        <w:tabs>
          <w:tab w:leader="none" w:pos="193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final maturity date for any Extended Term Loans shall be no earlier than the then Maturity Date for the Tranche of Loans so extended;</w:t>
      </w:r>
    </w:p>
    <w:p>
      <w:pPr>
        <w:spacing w:after="0" w:line="155" w:lineRule="exact"/>
        <w:rPr>
          <w:rFonts w:ascii="Arial" w:cs="Arial" w:eastAsia="Arial" w:hAnsi="Arial"/>
          <w:sz w:val="20"/>
          <w:szCs w:val="20"/>
          <w:color w:val="auto"/>
        </w:rPr>
      </w:pPr>
    </w:p>
    <w:p>
      <w:pPr>
        <w:ind w:firstLine="1292"/>
        <w:spacing w:after="0" w:line="236" w:lineRule="auto"/>
        <w:tabs>
          <w:tab w:leader="none" w:pos="1932"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Weighted Average Life to Maturity of any Extended Term Loans shall be no shorter than the remaining Weighted Average Life to Maturity of the Tranche of Term Loans extended thereby;</w:t>
      </w:r>
    </w:p>
    <w:p>
      <w:pPr>
        <w:spacing w:after="0" w:line="168" w:lineRule="exact"/>
        <w:rPr>
          <w:rFonts w:ascii="Arial" w:cs="Arial" w:eastAsia="Arial" w:hAnsi="Arial"/>
          <w:sz w:val="20"/>
          <w:szCs w:val="20"/>
          <w:color w:val="auto"/>
        </w:rPr>
      </w:pPr>
    </w:p>
    <w:p>
      <w:pPr>
        <w:jc w:val="both"/>
        <w:ind w:firstLine="1292"/>
        <w:spacing w:after="0" w:line="223" w:lineRule="auto"/>
        <w:tabs>
          <w:tab w:leader="none" w:pos="193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any Extended Term Loans may participate on a pro rata basis or a less than pro rata basis (but not greater than a pro rata basis) with the existing Tranches of Term Loans mandatory repayments or prepayments hereunder, in each case as specified in the respective Extension Offer;</w:t>
      </w:r>
    </w:p>
    <w:p>
      <w:pPr>
        <w:spacing w:after="0" w:line="168" w:lineRule="exact"/>
        <w:rPr>
          <w:rFonts w:ascii="Arial" w:cs="Arial" w:eastAsia="Arial" w:hAnsi="Arial"/>
          <w:sz w:val="20"/>
          <w:szCs w:val="20"/>
          <w:color w:val="auto"/>
        </w:rPr>
      </w:pPr>
    </w:p>
    <w:p>
      <w:pPr>
        <w:jc w:val="both"/>
        <w:ind w:firstLine="1292"/>
        <w:spacing w:after="0" w:line="212" w:lineRule="auto"/>
        <w:tabs>
          <w:tab w:leader="none" w:pos="193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if the aggregate principal amount of applicable Term Loans (calculated on the face amount thereof) or Revolving Commitments, as the case may be, in respect of which applicable Term Lenders or Revolving Lenders, as the case may be, shall have accepted the relevant Extension Offer shall exceed the maximum aggregate principal amount of applicable Term Loans or Revolving Commitments, as the case may be, offered to be extended by the Applicable Borrower pursuant to such Extension Offer, then the applicable Term Loans or Revolving Loans, as the case may be, of the applicable Term Lenders or Revolving Lenders, as the case may be, shall be extended rateably up to such maximum amount based on the respective principal amounts (but not to exceed actual holdings of record) with respect to which such Term Lenders or Revolving Lenders, as the case may be, have accepted such Extension Offer;</w:t>
      </w:r>
    </w:p>
    <w:p>
      <w:pPr>
        <w:spacing w:after="0" w:line="170" w:lineRule="exact"/>
        <w:rPr>
          <w:rFonts w:ascii="Arial" w:cs="Arial" w:eastAsia="Arial" w:hAnsi="Arial"/>
          <w:sz w:val="20"/>
          <w:szCs w:val="20"/>
          <w:color w:val="auto"/>
        </w:rPr>
      </w:pPr>
    </w:p>
    <w:p>
      <w:pPr>
        <w:ind w:left="1940" w:hanging="648"/>
        <w:spacing w:after="0"/>
        <w:tabs>
          <w:tab w:leader="none" w:pos="19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all documentation in respect of such Extension shall be consistent with the foregoing,</w:t>
      </w:r>
    </w:p>
    <w:p>
      <w:pPr>
        <w:spacing w:after="0" w:line="188" w:lineRule="exact"/>
        <w:rPr>
          <w:rFonts w:ascii="Arial" w:cs="Arial" w:eastAsia="Arial" w:hAnsi="Arial"/>
          <w:sz w:val="20"/>
          <w:szCs w:val="20"/>
          <w:color w:val="auto"/>
        </w:rPr>
      </w:pPr>
    </w:p>
    <w:p>
      <w:pPr>
        <w:jc w:val="both"/>
        <w:ind w:firstLine="1292"/>
        <w:spacing w:after="0" w:line="212" w:lineRule="auto"/>
        <w:tabs>
          <w:tab w:leader="none" w:pos="193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Extension shall not become effective unless, on the proposed effective date of the Extension, (x) the Applicable Borrower shall deliver to the Administrative Agent one or more legal opinions reasonably satisfactory to the Administrative Agent and a certificate of an authorized officer of each Loan Party dated the applicable date of the Extension and executed by an authorized officer of such Loan Party certifying and attaching the resolutions adopted by such Loan Party approving or consenting to such Extension and (y) the conditions set forth in Section 4.02 shall be satisfied (with all references therein to any Credit Event being deemed to be references to the Extension on the applicable date of the Extension) and the Administrative Agent shall have received a certificate to that effect dated the applicable date of the Extension and executed by a Financial Officer of Holdings;</w:t>
      </w:r>
    </w:p>
    <w:p>
      <w:pPr>
        <w:spacing w:after="0" w:line="168" w:lineRule="exact"/>
        <w:rPr>
          <w:rFonts w:ascii="Arial" w:cs="Arial" w:eastAsia="Arial" w:hAnsi="Arial"/>
          <w:sz w:val="20"/>
          <w:szCs w:val="20"/>
          <w:color w:val="auto"/>
        </w:rPr>
      </w:pPr>
    </w:p>
    <w:p>
      <w:pPr>
        <w:ind w:left="1920" w:hanging="628"/>
        <w:spacing w:after="0"/>
        <w:tabs>
          <w:tab w:leader="none" w:pos="19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applicable Minimum Extension Condition shall be satisfied unless waived by the Applicable Borrower;</w:t>
      </w: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0580"/>
          </w:cols>
          <w:pgMar w:left="980" w:top="1440" w:right="339" w:bottom="1440" w:gutter="0" w:footer="0" w:header="0"/>
        </w:sectPr>
      </w:pPr>
    </w:p>
    <w:bookmarkStart w:id="294" w:name="page295"/>
    <w:bookmarkEnd w:id="294"/>
    <w:p>
      <w:pPr>
        <w:spacing w:after="0" w:line="357" w:lineRule="exact"/>
        <w:rPr>
          <w:sz w:val="20"/>
          <w:szCs w:val="20"/>
          <w:color w:val="auto"/>
        </w:rPr>
      </w:pPr>
    </w:p>
    <w:p>
      <w:pPr>
        <w:ind w:left="2580" w:hanging="628"/>
        <w:spacing w:after="0"/>
        <w:tabs>
          <w:tab w:leader="none" w:pos="258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the Minimum Tranche Amount shall be satisfied unless waived by the Administrative Agent.</w:t>
      </w:r>
    </w:p>
    <w:p>
      <w:pPr>
        <w:spacing w:after="0" w:line="175"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an Applicable Borrower pursuant to this Section 2.22, (i) such Extensions shall not constitute voluntary or mandatory payments or prepayments for purposes of Section 2.11 and (ii) no Extension Offer is required to be in any minimum amount or any minimum increment;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Applicable Borrower may at its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to consummating any such Extension that a minimum amount (to be determined and specified in the relevant Extension Offer in Borrowers’ sole discretion and may be waived by Applicable Borrower) of Loans or Commitments of any or all applicable Tranches and Classes be tendered and (B) no Tranche of Extended Loans or Extended Commitments shall be in an amount (taking the Dollar Amount of any amounts denominated in Agreed Currencies other than Dollars) of less than $2,500,000 (the “</w:t>
      </w:r>
      <w:r>
        <w:rPr>
          <w:rFonts w:ascii="Arial" w:cs="Arial" w:eastAsia="Arial" w:hAnsi="Arial"/>
          <w:sz w:val="19"/>
          <w:szCs w:val="19"/>
          <w:u w:val="single" w:color="auto"/>
          <w:color w:val="auto"/>
        </w:rPr>
        <w:t>Minimum Tranche Amount</w:t>
      </w:r>
      <w:r>
        <w:rPr>
          <w:rFonts w:ascii="Arial" w:cs="Arial" w:eastAsia="Arial" w:hAnsi="Arial"/>
          <w:sz w:val="19"/>
          <w:szCs w:val="19"/>
          <w:color w:val="auto"/>
        </w:rPr>
        <w:t>”), unless such Minimum Tranche Amount is waived by the Administrative Agent. Subject to compliance with the terms of this Section 2.22, the Administrative Agent, the Issuing Banks and the Lenders hereby consent to the Extensions and the other transactions contemplated by this Section 2.22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 2.22.</w:t>
      </w:r>
    </w:p>
    <w:p>
      <w:pPr>
        <w:spacing w:after="0" w:line="180" w:lineRule="exact"/>
        <w:rPr>
          <w:rFonts w:ascii="Arial" w:cs="Arial" w:eastAsia="Arial" w:hAnsi="Arial"/>
          <w:sz w:val="19"/>
          <w:szCs w:val="19"/>
          <w:color w:val="auto"/>
        </w:rPr>
      </w:pPr>
    </w:p>
    <w:p>
      <w:pPr>
        <w:jc w:val="both"/>
        <w:ind w:firstLine="1304"/>
        <w:spacing w:after="0" w:line="234" w:lineRule="auto"/>
        <w:tabs>
          <w:tab w:leader="none" w:pos="193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No consent of any Lender, Issuing Bank or the Administrative Agent, the Collateral Agent shall be required to effectuate any Extension, other than the consent of each Lender agreeing to such Extension with respect to one or more of its Loans of any Class, Revolving Commitments or any Class and/or Other Refinancing Loans (or a portion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the Issuing Banks and the Swingline Lender shall be required to effect an Extension of Revolving Commitments. All Extended Loans and all obligations in respect thereof shall be Secured Obligations under this Agreement and the other Loan Documents that are secured by all or a portion of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lien basis with all other applicable Obligations under this Agreement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Extended Loans rank junior in right of security with any other Obligations, such Extended Loans will be subject to the terms of a First-Second Lien Intercreditor Agreement. The Lenders hereby irrevocably authorize the Administrative Agent to enter into amendments to this Agreement and the other Loan Documents with the Borrowers as may be necessary in order to establish new Tranches or sub-tranches in respect of Term Loans or Revolving Commitments so extended and such other amendments as may be necessary or appropriate in the reasonable opinion of the Administrative Agent and the Applicable Borrower in connection with the establishment of such new Tranches or subtranches, in each case on terms consistent with this Section 2.22 (each an “</w:t>
      </w:r>
      <w:r>
        <w:rPr>
          <w:rFonts w:ascii="Arial" w:cs="Arial" w:eastAsia="Arial" w:hAnsi="Arial"/>
          <w:sz w:val="18"/>
          <w:szCs w:val="18"/>
          <w:u w:val="single" w:color="auto"/>
          <w:color w:val="auto"/>
        </w:rPr>
        <w:t>Extension Amendment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4"/>
        <w:spacing w:after="0" w:line="216" w:lineRule="auto"/>
        <w:tabs>
          <w:tab w:leader="none" w:pos="1932"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In connection with any Extension, the Applicable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2.22.</w:t>
      </w:r>
    </w:p>
    <w:p>
      <w:pPr>
        <w:spacing w:after="0" w:line="171" w:lineRule="exact"/>
        <w:rPr>
          <w:rFonts w:ascii="Arial" w:cs="Arial" w:eastAsia="Arial" w:hAnsi="Arial"/>
          <w:sz w:val="20"/>
          <w:szCs w:val="20"/>
          <w:color w:val="auto"/>
        </w:rPr>
      </w:pPr>
    </w:p>
    <w:p>
      <w:pPr>
        <w:ind w:left="1940" w:hanging="636"/>
        <w:spacing w:after="0"/>
        <w:tabs>
          <w:tab w:leader="none" w:pos="1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Lender shall be required to accept an Extension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3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6"/>
          <w:szCs w:val="16"/>
          <w:u w:val="single" w:color="auto"/>
          <w:color w:val="auto"/>
        </w:rPr>
        <w:t>Loan Repurchases.</w:t>
      </w:r>
    </w:p>
    <w:p>
      <w:pPr>
        <w:spacing w:after="0" w:line="175" w:lineRule="exact"/>
        <w:rPr>
          <w:sz w:val="20"/>
          <w:szCs w:val="20"/>
          <w:color w:val="auto"/>
        </w:rPr>
      </w:pPr>
    </w:p>
    <w:p>
      <w:pPr>
        <w:jc w:val="both"/>
        <w:ind w:firstLine="1304"/>
        <w:spacing w:after="0" w:line="218" w:lineRule="auto"/>
        <w:tabs>
          <w:tab w:leader="none" w:pos="193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Subject to the terms and conditions set forth or referred to below, a Purchasing Borrower Party may from time to time, at its discretion, conduct modified Dutch auctions in order to purchase its Term Loans of one or more Classes (as determined by the Purchasing Borrower Party) (each, a “</w:t>
      </w:r>
      <w:r>
        <w:rPr>
          <w:rFonts w:ascii="Arial" w:cs="Arial" w:eastAsia="Arial" w:hAnsi="Arial"/>
          <w:sz w:val="20"/>
          <w:szCs w:val="20"/>
          <w:u w:val="single" w:color="auto"/>
          <w:color w:val="auto"/>
        </w:rPr>
        <w:t>Purchase Offer</w:t>
      </w:r>
      <w:r>
        <w:rPr>
          <w:rFonts w:ascii="Arial" w:cs="Arial" w:eastAsia="Arial" w:hAnsi="Arial"/>
          <w:sz w:val="20"/>
          <w:szCs w:val="20"/>
          <w:color w:val="auto"/>
        </w:rPr>
        <w:t>”), each such Purchase Offer to be managed exclusively by the Administrative Agent (or such other financial institution chosen by the Purchasing Borrower Party) (in such capacity, the “</w:t>
      </w:r>
      <w:r>
        <w:rPr>
          <w:rFonts w:ascii="Arial" w:cs="Arial" w:eastAsia="Arial" w:hAnsi="Arial"/>
          <w:sz w:val="20"/>
          <w:szCs w:val="20"/>
          <w:u w:val="single" w:color="auto"/>
          <w:color w:val="auto"/>
        </w:rPr>
        <w:t>Auction Manager</w:t>
      </w:r>
      <w:r>
        <w:rPr>
          <w:rFonts w:ascii="Arial" w:cs="Arial" w:eastAsia="Arial" w:hAnsi="Arial"/>
          <w:sz w:val="20"/>
          <w:szCs w:val="20"/>
          <w:color w:val="auto"/>
        </w:rPr>
        <w:t>”), so long as the following conditions are satisfied:</w:t>
      </w:r>
    </w:p>
    <w:p>
      <w:pPr>
        <w:spacing w:after="0" w:line="170" w:lineRule="exact"/>
        <w:rPr>
          <w:rFonts w:ascii="Arial" w:cs="Arial" w:eastAsia="Arial" w:hAnsi="Arial"/>
          <w:sz w:val="20"/>
          <w:szCs w:val="20"/>
          <w:color w:val="auto"/>
        </w:rPr>
      </w:pPr>
    </w:p>
    <w:p>
      <w:pPr>
        <w:ind w:left="660" w:firstLine="1292"/>
        <w:spacing w:after="0" w:line="229" w:lineRule="auto"/>
        <w:tabs>
          <w:tab w:leader="none" w:pos="2602" w:val="left"/>
        </w:tabs>
        <w:numPr>
          <w:ilvl w:val="1"/>
          <w:numId w:val="221"/>
        </w:numPr>
        <w:rPr>
          <w:rFonts w:ascii="Arial" w:cs="Arial" w:eastAsia="Arial" w:hAnsi="Arial"/>
          <w:sz w:val="20"/>
          <w:szCs w:val="20"/>
          <w:color w:val="auto"/>
        </w:rPr>
      </w:pPr>
      <w:r>
        <w:rPr>
          <w:rFonts w:ascii="Arial" w:cs="Arial" w:eastAsia="Arial" w:hAnsi="Arial"/>
          <w:sz w:val="20"/>
          <w:szCs w:val="20"/>
          <w:color w:val="auto"/>
        </w:rPr>
        <w:t>each Purchase Offer shall be conducted in accordance with the procedures, terms and conditions set forth in this Section 2.23 and the Auction Procedures;</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603" w:val="left"/>
        </w:tabs>
        <w:numPr>
          <w:ilvl w:val="1"/>
          <w:numId w:val="221"/>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on the date of the delivery of each notice of an auction and at the time of (and immediately after giving effect to) the purchase of any Term Loans in connection with any Purchase Offer);</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604"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principal amount (calculated on the face amount thereof) of each and all Classes of Term Loans that the Purchasing Borrower Party offers to purchase in any such Purchase Offer shall be no less than U.S. $10,000,000 (unless another amount is agreed to by the Administrative Agent) (across all such Classes);</w:t>
      </w:r>
    </w:p>
    <w:p>
      <w:pPr>
        <w:spacing w:after="0" w:line="168" w:lineRule="exact"/>
        <w:rPr>
          <w:rFonts w:ascii="Arial" w:cs="Arial" w:eastAsia="Arial" w:hAnsi="Arial"/>
          <w:sz w:val="20"/>
          <w:szCs w:val="20"/>
          <w:color w:val="auto"/>
        </w:rPr>
      </w:pPr>
    </w:p>
    <w:p>
      <w:pPr>
        <w:ind w:left="2580" w:hanging="628"/>
        <w:spacing w:after="0"/>
        <w:tabs>
          <w:tab w:leader="none" w:pos="2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660" w:firstLine="1292"/>
        <w:spacing w:after="0" w:line="220" w:lineRule="auto"/>
        <w:tabs>
          <w:tab w:leader="none" w:pos="2592" w:val="left"/>
        </w:tabs>
        <w:numPr>
          <w:ilvl w:val="1"/>
          <w:numId w:val="221"/>
        </w:numPr>
        <w:rPr>
          <w:rFonts w:ascii="Arial" w:cs="Arial" w:eastAsia="Arial" w:hAnsi="Arial"/>
          <w:sz w:val="20"/>
          <w:szCs w:val="20"/>
          <w:color w:val="auto"/>
        </w:rPr>
      </w:pPr>
      <w:r>
        <w:rPr>
          <w:rFonts w:ascii="Arial" w:cs="Arial" w:eastAsia="Arial" w:hAnsi="Arial"/>
          <w:sz w:val="20"/>
          <w:szCs w:val="20"/>
          <w:color w:val="auto"/>
        </w:rPr>
        <w:t>the aggregate principal amount (calculated on the face amount thereof) of all Term Loans of the applicable Class or Classes so purchased by the Purchasing Borrower Party shall automatically be cancelled and retired by the Purchasing Borrower Party on the settlement date of the relevant purchase (and may not be resold), and in no event shall the Purchasing Borrower Party be entitled to any vote hereunder in connection with such Term Loans;</w:t>
      </w:r>
    </w:p>
    <w:p>
      <w:pPr>
        <w:spacing w:after="0" w:line="155" w:lineRule="exact"/>
        <w:rPr>
          <w:rFonts w:ascii="Arial" w:cs="Arial" w:eastAsia="Arial" w:hAnsi="Arial"/>
          <w:sz w:val="20"/>
          <w:szCs w:val="20"/>
          <w:color w:val="auto"/>
        </w:rPr>
      </w:pPr>
    </w:p>
    <w:p>
      <w:pPr>
        <w:ind w:left="2580" w:hanging="628"/>
        <w:spacing w:after="0"/>
        <w:tabs>
          <w:tab w:leader="none" w:pos="2580" w:val="left"/>
        </w:tabs>
        <w:numPr>
          <w:ilvl w:val="1"/>
          <w:numId w:val="221"/>
        </w:numPr>
        <w:rPr>
          <w:rFonts w:ascii="Arial" w:cs="Arial" w:eastAsia="Arial" w:hAnsi="Arial"/>
          <w:sz w:val="20"/>
          <w:szCs w:val="20"/>
          <w:color w:val="auto"/>
        </w:rPr>
      </w:pPr>
      <w:r>
        <w:rPr>
          <w:rFonts w:ascii="Arial" w:cs="Arial" w:eastAsia="Arial" w:hAnsi="Arial"/>
          <w:sz w:val="20"/>
          <w:szCs w:val="20"/>
          <w:color w:val="auto"/>
        </w:rPr>
        <w:t>no more than one Purchase Offer with respect to any Class may be ongoing at any one time;</w:t>
      </w:r>
    </w:p>
    <w:p>
      <w:pPr>
        <w:spacing w:after="0" w:line="188" w:lineRule="exact"/>
        <w:rPr>
          <w:rFonts w:ascii="Arial" w:cs="Arial" w:eastAsia="Arial" w:hAnsi="Arial"/>
          <w:sz w:val="20"/>
          <w:szCs w:val="20"/>
          <w:color w:val="auto"/>
        </w:rPr>
      </w:pPr>
    </w:p>
    <w:p>
      <w:pPr>
        <w:ind w:left="660" w:firstLine="1292"/>
        <w:spacing w:after="0" w:line="236" w:lineRule="auto"/>
        <w:tabs>
          <w:tab w:leader="none" w:pos="2593" w:val="left"/>
        </w:tabs>
        <w:numPr>
          <w:ilvl w:val="1"/>
          <w:numId w:val="221"/>
        </w:numPr>
        <w:rPr>
          <w:rFonts w:ascii="Arial" w:cs="Arial" w:eastAsia="Arial" w:hAnsi="Arial"/>
          <w:sz w:val="20"/>
          <w:szCs w:val="20"/>
          <w:color w:val="auto"/>
        </w:rPr>
      </w:pPr>
      <w:r>
        <w:rPr>
          <w:rFonts w:ascii="Arial" w:cs="Arial" w:eastAsia="Arial" w:hAnsi="Arial"/>
          <w:sz w:val="20"/>
          <w:szCs w:val="20"/>
          <w:color w:val="auto"/>
        </w:rPr>
        <w:t>any Purchase Offer with respect to any Class shall be offered to all Term Lenders holding Term Loans of such Class on a pro rata basis; and</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no purchase of any Term Loans shall be made from the proceeds of any Revolving Loan or Swingline Loan.</w:t>
      </w:r>
    </w:p>
    <w:p>
      <w:pPr>
        <w:spacing w:after="0" w:line="211" w:lineRule="exact"/>
        <w:rPr>
          <w:rFonts w:ascii="Arial" w:cs="Arial" w:eastAsia="Arial" w:hAnsi="Arial"/>
          <w:sz w:val="18"/>
          <w:szCs w:val="18"/>
          <w:color w:val="auto"/>
        </w:rPr>
      </w:pPr>
    </w:p>
    <w:p>
      <w:pPr>
        <w:jc w:val="both"/>
        <w:ind w:firstLine="1304"/>
        <w:spacing w:after="0" w:line="235" w:lineRule="auto"/>
        <w:tabs>
          <w:tab w:leader="none" w:pos="19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Purchasing Borrower Party must terminate any Purchase Offer if it fails to satisfy one or more of the conditions set forth above which are required to be met at the time which otherwise would have been the time of purchase of Term Loans pursuant to such Purchase Offer. If the Purchasing Borrower Party commences any Purchase Offer (and all relevant requirements set forth above which are required to be satisfied at the time of the commencement of such Purchase Offer have in fact been satisfied), and if at such time of commencement the Purchasing Borrower Party reasonably believes that all required conditions set forth above which are required to be satisfied at the time of the consummation of such Purchase Offer shall be satisfied, then the Purchasing Borrower Party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any Class or Classes made by the Purchasing Borrower Party pursuant to this Section 2.23, (x) the Purchasing Borrower Party shall pay on the settlement date of each such purchase all accrued and unpaid interest (except to the extent otherwise set forth in the relevant offering</w:t>
      </w:r>
    </w:p>
    <w:p>
      <w:pPr>
        <w:spacing w:after="0" w:line="235" w:lineRule="auto"/>
        <w:rPr>
          <w:sz w:val="20"/>
          <w:szCs w:val="20"/>
          <w:color w:val="auto"/>
        </w:rPr>
      </w:pPr>
      <w:r>
        <w:rPr>
          <w:rFonts w:ascii="Arial" w:cs="Arial" w:eastAsia="Arial" w:hAnsi="Arial"/>
          <w:sz w:val="18"/>
          <w:szCs w:val="18"/>
          <w:color w:val="auto"/>
        </w:rPr>
        <w:t>documents), if any, on the purchased Term Loans of the applicable Class or Classes up to the settlement date of such purchase, (y) such</w:t>
      </w:r>
    </w:p>
    <w:p>
      <w:pPr>
        <w:spacing w:after="0" w:line="255" w:lineRule="auto"/>
        <w:rPr>
          <w:sz w:val="20"/>
          <w:szCs w:val="20"/>
          <w:color w:val="auto"/>
        </w:rPr>
      </w:pPr>
      <w:r>
        <w:rPr>
          <w:rFonts w:ascii="Arial" w:cs="Arial" w:eastAsia="Arial" w:hAnsi="Arial"/>
          <w:sz w:val="16"/>
          <w:szCs w:val="16"/>
          <w:color w:val="auto"/>
        </w:rPr>
        <w:t>purchases (and the payments made by the Purchasing Borrower Party and the cancellation of the purchased Loans, in each case in connection therewith) shall not constitute voluntary or mandatory payments or prepayments for purposes of Section 2.11 hereof and (z) such purchases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Initial Term Loans shall be made on a pro rata basis between the two Tranches of Initial Term Loans.</w:t>
      </w:r>
    </w:p>
    <w:p>
      <w:pPr>
        <w:spacing w:after="0" w:line="173" w:lineRule="exact"/>
        <w:rPr>
          <w:sz w:val="20"/>
          <w:szCs w:val="20"/>
          <w:color w:val="auto"/>
        </w:rPr>
      </w:pPr>
    </w:p>
    <w:p>
      <w:pPr>
        <w:jc w:val="both"/>
        <w:ind w:firstLine="1304"/>
        <w:spacing w:after="0" w:line="235" w:lineRule="auto"/>
        <w:tabs>
          <w:tab w:leader="none" w:pos="193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hereby consent to the Purchase Offers and the other transactions effected pursuant to and in accordance with the terms of this Section 2.23;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herein, no Lender shall have an obligation to participate in any such Purchase Offer. For the avoidance of doubt, it is understood and agreed that the provisions of Sections 2.11, 2.12, 2.16, 2.18 and 9.04 will not apply to the purchases of Term Loans pursuant to Purchase Offers made pursuant to and in accordance with the provisions of this Section 2.23. The Auction Manager acting in its capacity as such hereunder shall be entitled to the benefits of the provisions of Article VIII and Section 9.03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74" w:lineRule="exact"/>
        <w:rPr>
          <w:rFonts w:ascii="Arial" w:cs="Arial" w:eastAsia="Arial" w:hAnsi="Arial"/>
          <w:sz w:val="18"/>
          <w:szCs w:val="18"/>
          <w:color w:val="auto"/>
        </w:rPr>
      </w:pPr>
    </w:p>
    <w:p>
      <w:pPr>
        <w:ind w:left="1940" w:hanging="636"/>
        <w:spacing w:after="0"/>
        <w:tabs>
          <w:tab w:leader="none" w:pos="19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This Section 2.23 shall supersede any provisions in Section 2.18 or 9.02 to the contrary.</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2.24</w:t>
      </w:r>
      <w:r>
        <w:rPr>
          <w:sz w:val="20"/>
          <w:szCs w:val="20"/>
          <w:color w:val="auto"/>
        </w:rPr>
        <w:tab/>
      </w:r>
      <w:r>
        <w:rPr>
          <w:rFonts w:ascii="Arial" w:cs="Arial" w:eastAsia="Arial" w:hAnsi="Arial"/>
          <w:sz w:val="18"/>
          <w:szCs w:val="18"/>
          <w:u w:val="single" w:color="auto"/>
          <w:color w:val="auto"/>
        </w:rPr>
        <w:t>Refinancing Amendment.</w:t>
      </w:r>
    </w:p>
    <w:p>
      <w:pPr>
        <w:spacing w:after="0" w:line="17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At any time after the Closing Date, the Applicable Borrower may obtain, from any Lender or any Refinancing Lender, Credit Agreement Refinancing Indebtedness in respect of all or any portion of the Loans or Commitments of the Applicable Borrower then</w:t>
      </w:r>
    </w:p>
    <w:p>
      <w:pPr>
        <w:spacing w:after="0" w:line="226" w:lineRule="auto"/>
        <w:rPr>
          <w:sz w:val="20"/>
          <w:szCs w:val="20"/>
          <w:color w:val="auto"/>
        </w:rPr>
      </w:pPr>
      <w:r>
        <w:rPr>
          <w:rFonts w:ascii="Arial" w:cs="Arial" w:eastAsia="Arial" w:hAnsi="Arial"/>
          <w:sz w:val="18"/>
          <w:szCs w:val="18"/>
          <w:color w:val="auto"/>
        </w:rPr>
        <w:t xml:space="preserve">outstanding under this Agreement, in the form of Other Refinancing Loans or Other Refinancing Commitments in each case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Credit Agreement Refinancing Indebtedness (i) will rank pari passu or, other than in the case of</w:t>
      </w:r>
    </w:p>
    <w:p>
      <w:pPr>
        <w:spacing w:after="0" w:line="224" w:lineRule="auto"/>
        <w:rPr>
          <w:sz w:val="20"/>
          <w:szCs w:val="20"/>
          <w:color w:val="auto"/>
        </w:rPr>
      </w:pPr>
      <w:r>
        <w:rPr>
          <w:rFonts w:ascii="Arial" w:cs="Arial" w:eastAsia="Arial" w:hAnsi="Arial"/>
          <w:sz w:val="19"/>
          <w:szCs w:val="19"/>
          <w:color w:val="auto"/>
        </w:rPr>
        <w:t>Other Refinancing Revolving Commitments and Other Refinancing Revolving Loans, junior in right of payment and of security with the</w:t>
      </w:r>
    </w:p>
    <w:p>
      <w:pPr>
        <w:spacing w:after="0" w:line="226" w:lineRule="auto"/>
        <w:rPr>
          <w:sz w:val="20"/>
          <w:szCs w:val="20"/>
          <w:color w:val="auto"/>
        </w:rPr>
      </w:pPr>
      <w:r>
        <w:rPr>
          <w:rFonts w:ascii="Arial" w:cs="Arial" w:eastAsia="Arial" w:hAnsi="Arial"/>
          <w:sz w:val="18"/>
          <w:szCs w:val="18"/>
          <w:color w:val="auto"/>
        </w:rPr>
        <w:t xml:space="preserve">other Loans and Commitments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Credit Agreement Refinancing Indebtedness ranks junior in right of security with any other Loans or Commitments hereunder, such Credit Agreement Refinancing Indebtedness will be subject to the terms of a First-</w:t>
      </w:r>
    </w:p>
    <w:p>
      <w:pPr>
        <w:spacing w:after="0" w:line="236" w:lineRule="auto"/>
        <w:rPr>
          <w:sz w:val="20"/>
          <w:szCs w:val="20"/>
          <w:color w:val="auto"/>
        </w:rPr>
      </w:pPr>
      <w:r>
        <w:rPr>
          <w:rFonts w:ascii="Arial" w:cs="Arial" w:eastAsia="Arial" w:hAnsi="Arial"/>
          <w:sz w:val="18"/>
          <w:szCs w:val="18"/>
          <w:color w:val="auto"/>
        </w:rPr>
        <w:t>Second Lien Intercreditor Agreement, (ii) will have such maturity dates, pricing, interest rate margins, rate floors, discounts, premiums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optional prepayment or redemption terms as may be agreed by the Applicable Borrower and the Lenders thereof; and (iii) will otherwise comply with the proviso to the definition of “Credit Agreement Refinancing Indebtedness”;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Person that provides</w:t>
      </w:r>
    </w:p>
    <w:p>
      <w:pPr>
        <w:spacing w:after="0" w:line="224" w:lineRule="auto"/>
        <w:rPr>
          <w:sz w:val="20"/>
          <w:szCs w:val="20"/>
          <w:color w:val="auto"/>
        </w:rPr>
      </w:pPr>
      <w:r>
        <w:rPr>
          <w:rFonts w:ascii="Arial" w:cs="Arial" w:eastAsia="Arial" w:hAnsi="Arial"/>
          <w:sz w:val="19"/>
          <w:szCs w:val="19"/>
          <w:color w:val="auto"/>
        </w:rPr>
        <w:t>any Credit Agreement Refinancing Indebtedness in the form of Other Refinancing Revolving Loans or Other Refinancing Revolving</w:t>
      </w:r>
    </w:p>
    <w:p>
      <w:pPr>
        <w:spacing w:after="0" w:line="215" w:lineRule="auto"/>
        <w:rPr>
          <w:sz w:val="20"/>
          <w:szCs w:val="20"/>
          <w:color w:val="auto"/>
        </w:rPr>
      </w:pPr>
      <w:r>
        <w:rPr>
          <w:rFonts w:ascii="Arial" w:cs="Arial" w:eastAsia="Arial" w:hAnsi="Arial"/>
          <w:sz w:val="19"/>
          <w:szCs w:val="19"/>
          <w:color w:val="auto"/>
        </w:rPr>
        <w:t>Commitments to an Additional Borrower that is organized in Ireland shall comply with the requirements of Section 2.17, including the provision of an Irish Qualifying Lender Confirmation substantially in the form of Exhibit H (pursuant to which such Person shall</w:t>
      </w:r>
    </w:p>
    <w:p>
      <w:pPr>
        <w:spacing w:after="0" w:line="226" w:lineRule="auto"/>
        <w:rPr>
          <w:sz w:val="20"/>
          <w:szCs w:val="20"/>
          <w:color w:val="auto"/>
        </w:rPr>
      </w:pPr>
      <w:r>
        <w:rPr>
          <w:rFonts w:ascii="Arial" w:cs="Arial" w:eastAsia="Arial" w:hAnsi="Arial"/>
          <w:sz w:val="18"/>
          <w:szCs w:val="18"/>
          <w:color w:val="auto"/>
        </w:rPr>
        <w:t>acknowledge that if it is not an Irish Qualifying Lender it will not be grossed up for any Irish withholding Tax applicable under relevant law as of the date such Person provides such Credit Agreement Refinancing Indebtedness). Any Other Refinancing Loans or Other Refinancing</w:t>
      </w:r>
    </w:p>
    <w:p>
      <w:pPr>
        <w:spacing w:after="0" w:line="236" w:lineRule="auto"/>
        <w:rPr>
          <w:sz w:val="20"/>
          <w:szCs w:val="20"/>
          <w:color w:val="auto"/>
        </w:rPr>
      </w:pPr>
      <w:r>
        <w:rPr>
          <w:rFonts w:ascii="Arial" w:cs="Arial" w:eastAsia="Arial" w:hAnsi="Arial"/>
          <w:sz w:val="18"/>
          <w:szCs w:val="18"/>
          <w:color w:val="auto"/>
        </w:rPr>
        <w:t>Commitments, as applicable, may participate on a pro rata basis or on a less than pro rata basis (but not on a greater than pro rata basis) in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any mandatory prepayments hereunder, as specified in the applicable Refinancing Amendment. The effectiveness of any Refinancing Amendment shall be subject to the satisfaction on the date thereof of each of the conditions set forth in Section 4.02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reasonably requested by the Administrative Agent at its option, receipt by the Administrative Agent of legal opinions, board resolutions, officers’ certificates and/or reaffirmation agreements generally consistent with those delivered on the Closing Date pursuant to Sections</w:t>
      </w:r>
    </w:p>
    <w:p>
      <w:pPr>
        <w:spacing w:after="0" w:line="235" w:lineRule="auto"/>
        <w:rPr>
          <w:sz w:val="20"/>
          <w:szCs w:val="20"/>
          <w:color w:val="auto"/>
        </w:rPr>
      </w:pPr>
      <w:r>
        <w:rPr>
          <w:rFonts w:ascii="Arial" w:cs="Arial" w:eastAsia="Arial" w:hAnsi="Arial"/>
          <w:sz w:val="18"/>
          <w:szCs w:val="18"/>
          <w:color w:val="auto"/>
        </w:rPr>
        <w:t>4.01(b), (e) and (g) (other than changes to such legal opinions resulting from a change in law, change in fact or change to counsel’s form of</w:t>
      </w:r>
    </w:p>
    <w:p>
      <w:pPr>
        <w:spacing w:after="0" w:line="226" w:lineRule="auto"/>
        <w:rPr>
          <w:sz w:val="20"/>
          <w:szCs w:val="20"/>
          <w:color w:val="auto"/>
        </w:rPr>
      </w:pPr>
      <w:r>
        <w:rPr>
          <w:rFonts w:ascii="Arial" w:cs="Arial" w:eastAsia="Arial" w:hAnsi="Arial"/>
          <w:sz w:val="18"/>
          <w:szCs w:val="18"/>
          <w:color w:val="auto"/>
        </w:rPr>
        <w:t>opinion reasonably satisfactory to the Administrative Agent). Each Tranche of Credit Agreement Refinancing Indebtedness pursuant to this Section 2.24 shall be in an aggregate principal amount that is not less than $5,000,000 (unless such Credit Agreement Refinancing</w:t>
      </w:r>
    </w:p>
    <w:p>
      <w:pPr>
        <w:spacing w:after="0" w:line="236" w:lineRule="auto"/>
        <w:rPr>
          <w:sz w:val="20"/>
          <w:szCs w:val="20"/>
          <w:color w:val="auto"/>
        </w:rPr>
      </w:pPr>
      <w:r>
        <w:rPr>
          <w:rFonts w:ascii="Arial" w:cs="Arial" w:eastAsia="Arial" w:hAnsi="Arial"/>
          <w:sz w:val="18"/>
          <w:szCs w:val="18"/>
          <w:color w:val="auto"/>
        </w:rPr>
        <w:t>Indebtedness is incurred to refinance all outstanding Loans with respect to a Tranche). The Administrative Agent shall promptly notify each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Lender and the Collateral Agent as to the effectiveness of each Refinancing Amendment. Each of the parties hereto hereby agrees that, upon the effectiveness of any Refinancing Amendment, this Agreement shall be deemed amended and restated or amended to the extent (but only</w:t>
      </w:r>
    </w:p>
    <w:p>
      <w:pPr>
        <w:spacing w:after="0" w:line="235" w:lineRule="auto"/>
        <w:rPr>
          <w:sz w:val="20"/>
          <w:szCs w:val="20"/>
          <w:color w:val="auto"/>
        </w:rPr>
      </w:pPr>
      <w:r>
        <w:rPr>
          <w:rFonts w:ascii="Arial" w:cs="Arial" w:eastAsia="Arial" w:hAnsi="Arial"/>
          <w:sz w:val="18"/>
          <w:szCs w:val="18"/>
          <w:color w:val="auto"/>
        </w:rPr>
        <w:t>to the extent) necessary to reflect the existence and terms of the Credit Agreement Refinancing Indebtedness incurred pursuant thereto</w:t>
      </w:r>
    </w:p>
    <w:p>
      <w:pPr>
        <w:spacing w:after="0" w:line="226" w:lineRule="auto"/>
        <w:rPr>
          <w:sz w:val="20"/>
          <w:szCs w:val="20"/>
          <w:color w:val="auto"/>
        </w:rPr>
      </w:pPr>
      <w:r>
        <w:rPr>
          <w:rFonts w:ascii="Arial" w:cs="Arial" w:eastAsia="Arial" w:hAnsi="Arial"/>
          <w:sz w:val="18"/>
          <w:szCs w:val="18"/>
          <w:color w:val="auto"/>
        </w:rPr>
        <w:t>(including any amendments necessary to treat the Loans and Commitments subject thereto as Other Refinancing Term Loans and/or Other Refinancing Term Commitments). Any Refinancing Amendment may, without the consent of any other Lenders or any Agents (unless it</w:t>
      </w:r>
    </w:p>
    <w:p>
      <w:pPr>
        <w:spacing w:after="0" w:line="236" w:lineRule="auto"/>
        <w:rPr>
          <w:sz w:val="20"/>
          <w:szCs w:val="20"/>
          <w:color w:val="auto"/>
        </w:rPr>
      </w:pPr>
      <w:r>
        <w:rPr>
          <w:rFonts w:ascii="Arial" w:cs="Arial" w:eastAsia="Arial" w:hAnsi="Arial"/>
          <w:sz w:val="18"/>
          <w:szCs w:val="18"/>
          <w:color w:val="auto"/>
        </w:rPr>
        <w:t>directly adversely amends or modifies the rights or duties of any Agent), effect such amendments to this Agreement and the other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Documents as may be necessary or appropriate, in the reasonable opinion of the Administrative Agent and the Applicable Borrower, to effect the provisions of this Section 2.24 (including without limitation, the addition of customary Defaulting Lender provisions with respect to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Lenders providing Other Refinancing Revolving Loans and Other Refinancing Revolving Commitments). This Section 2.24 shall supersede any provisions in Section 2.18 or 9.02 to the contrary.</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2.25</w:t>
      </w:r>
      <w:r>
        <w:rPr>
          <w:sz w:val="20"/>
          <w:szCs w:val="20"/>
          <w:color w:val="auto"/>
        </w:rPr>
        <w:tab/>
      </w:r>
      <w:r>
        <w:rPr>
          <w:rFonts w:ascii="Arial" w:cs="Arial" w:eastAsia="Arial" w:hAnsi="Arial"/>
          <w:sz w:val="19"/>
          <w:szCs w:val="19"/>
          <w:u w:val="single" w:color="auto"/>
          <w:color w:val="auto"/>
        </w:rPr>
        <w:t>Illegality.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Lender determines that any law has made it unlawful, or that any Governmental Authority has asserted that it is unlawful, for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Lender or its applicable lending office to make, maintain or fund Loans whose interest is determined by reference to the Eurocurrency Rate</w:t>
      </w:r>
      <w:r>
        <w:rPr>
          <w:rFonts w:ascii="Arial" w:cs="Arial" w:eastAsia="Arial" w:hAnsi="Arial"/>
          <w:sz w:val="18"/>
          <w:szCs w:val="18"/>
          <w:u w:val="single" w:color="auto"/>
          <w:color w:val="0000FF"/>
        </w:rPr>
        <w:t>, USD Term SOFR, USD Adjusted Term SOFR, USD Term SOFR Reference Rate</w:t>
      </w:r>
      <w:r>
        <w:rPr>
          <w:rFonts w:ascii="Arial" w:cs="Arial" w:eastAsia="Arial" w:hAnsi="Arial"/>
          <w:sz w:val="18"/>
          <w:szCs w:val="18"/>
          <w:color w:val="auto"/>
        </w:rPr>
        <w:t xml:space="preserve"> or Daily Simple RFR with respect to any Agreed</w:t>
      </w:r>
    </w:p>
    <w:p>
      <w:pPr>
        <w:spacing w:after="0" w:line="236" w:lineRule="auto"/>
        <w:rPr>
          <w:sz w:val="20"/>
          <w:szCs w:val="20"/>
          <w:color w:val="auto"/>
        </w:rPr>
      </w:pPr>
      <w:r>
        <w:rPr>
          <w:rFonts w:ascii="Arial" w:cs="Arial" w:eastAsia="Arial" w:hAnsi="Arial"/>
          <w:sz w:val="18"/>
          <w:szCs w:val="18"/>
          <w:color w:val="auto"/>
        </w:rPr>
        <w:t>Currency, or to determine or charge interest rates based upon the Eurocurrency Rate</w:t>
      </w:r>
      <w:r>
        <w:rPr>
          <w:rFonts w:ascii="Arial" w:cs="Arial" w:eastAsia="Arial" w:hAnsi="Arial"/>
          <w:sz w:val="18"/>
          <w:szCs w:val="18"/>
          <w:u w:val="single" w:color="auto"/>
          <w:color w:val="0000FF"/>
        </w:rPr>
        <w:t>, USD Term SOFR, USD Adjusted Term SOFR, USD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u w:val="single" w:color="auto"/>
          <w:color w:val="0000FF"/>
        </w:rPr>
        <w:t>Term SOFR Reference Rate</w:t>
      </w:r>
      <w:r>
        <w:rPr>
          <w:rFonts w:ascii="Arial" w:cs="Arial" w:eastAsia="Arial" w:hAnsi="Arial"/>
          <w:sz w:val="18"/>
          <w:szCs w:val="18"/>
          <w:color w:val="0000FF"/>
        </w:rPr>
        <w:t xml:space="preserve"> </w:t>
      </w:r>
      <w:r>
        <w:rPr>
          <w:rFonts w:ascii="Arial" w:cs="Arial" w:eastAsia="Arial" w:hAnsi="Arial"/>
          <w:sz w:val="18"/>
          <w:szCs w:val="18"/>
          <w:color w:val="000000"/>
        </w:rPr>
        <w:t>or Daily Simple RFR with respect to any Agreed Currency, or any Governmental Authority has imposed</w:t>
      </w:r>
      <w:r>
        <w:rPr>
          <w:rFonts w:ascii="Arial" w:cs="Arial" w:eastAsia="Arial" w:hAnsi="Arial"/>
          <w:sz w:val="18"/>
          <w:szCs w:val="18"/>
          <w:color w:val="0000FF"/>
        </w:rPr>
        <w:t xml:space="preserve"> </w:t>
      </w:r>
      <w:r>
        <w:rPr>
          <w:rFonts w:ascii="Arial" w:cs="Arial" w:eastAsia="Arial" w:hAnsi="Arial"/>
          <w:sz w:val="18"/>
          <w:szCs w:val="18"/>
          <w:color w:val="000000"/>
        </w:rPr>
        <w:t>material restrictions on the authority of such Lender to purchase or sell, or to take deposits of, any Agreed Currency in the London interbank</w:t>
      </w:r>
    </w:p>
    <w:p>
      <w:pPr>
        <w:spacing w:after="0" w:line="224" w:lineRule="auto"/>
        <w:rPr>
          <w:sz w:val="20"/>
          <w:szCs w:val="20"/>
          <w:color w:val="auto"/>
        </w:rPr>
      </w:pPr>
      <w:r>
        <w:rPr>
          <w:rFonts w:ascii="Arial" w:cs="Arial" w:eastAsia="Arial" w:hAnsi="Arial"/>
          <w:sz w:val="19"/>
          <w:szCs w:val="19"/>
          <w:color w:val="auto"/>
        </w:rPr>
        <w:t>market, then, on notice thereof by such Lender to the Applicable Borrower through the Administrative Agent, (i) any obligation of such</w:t>
      </w:r>
    </w:p>
    <w:p>
      <w:pPr>
        <w:spacing w:after="0" w:line="245" w:lineRule="auto"/>
        <w:rPr>
          <w:sz w:val="20"/>
          <w:szCs w:val="20"/>
          <w:color w:val="auto"/>
        </w:rPr>
      </w:pPr>
      <w:r>
        <w:rPr>
          <w:rFonts w:ascii="Arial" w:cs="Arial" w:eastAsia="Arial" w:hAnsi="Arial"/>
          <w:sz w:val="16"/>
          <w:szCs w:val="16"/>
          <w:color w:val="auto"/>
        </w:rPr>
        <w:t>Lender to make or continue Eurocurrency Loans</w:t>
      </w:r>
      <w:r>
        <w:rPr>
          <w:rFonts w:ascii="Arial" w:cs="Arial" w:eastAsia="Arial" w:hAnsi="Arial"/>
          <w:sz w:val="16"/>
          <w:szCs w:val="16"/>
          <w:color w:val="0000FF"/>
        </w:rPr>
        <w:t>, USD Term SOFR Loans</w:t>
      </w:r>
      <w:r>
        <w:rPr>
          <w:rFonts w:ascii="Arial" w:cs="Arial" w:eastAsia="Arial" w:hAnsi="Arial"/>
          <w:sz w:val="16"/>
          <w:szCs w:val="16"/>
          <w:color w:val="auto"/>
        </w:rPr>
        <w:t xml:space="preserve"> or RFR Loans in such Agreed Currency or to convert ABR Loans to Eurocurrency Loans</w:t>
      </w:r>
      <w:r>
        <w:rPr>
          <w:rFonts w:ascii="Arial" w:cs="Arial" w:eastAsia="Arial" w:hAnsi="Arial"/>
          <w:sz w:val="16"/>
          <w:szCs w:val="16"/>
          <w:u w:val="single" w:color="auto"/>
          <w:color w:val="0000FF"/>
        </w:rPr>
        <w:t>, USD Term SOFR Loans</w:t>
      </w:r>
      <w:r>
        <w:rPr>
          <w:sz w:val="1"/>
          <w:szCs w:val="1"/>
          <w:color w:val="auto"/>
        </w:rPr>
        <w:drawing>
          <wp:inline distT="0" distB="0" distL="0" distR="0">
            <wp:extent cx="34290" cy="10477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6"/>
          <w:szCs w:val="16"/>
          <w:color w:val="auto"/>
        </w:rPr>
        <w:t>or RFR Loans in such Agreed Currency shall be suspended and (ii) if such notice asserts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-127000</wp:posOffset>
            </wp:positionV>
            <wp:extent cx="12744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19"/>
          <w:szCs w:val="19"/>
          <w:color w:val="auto"/>
        </w:rPr>
        <w:t xml:space="preserve">illegality of such Lender making or maintaining ABR Loans the interest rate on which is determined by reference to the </w:t>
      </w:r>
      <w:r>
        <w:rPr>
          <w:rFonts w:ascii="Arial" w:cs="Arial" w:eastAsia="Arial" w:hAnsi="Arial"/>
          <w:sz w:val="19"/>
          <w:szCs w:val="19"/>
          <w:color w:val="FF0000"/>
          <w:strike w:val="1"/>
        </w:rPr>
        <w:t>Eurocurrency</w:t>
      </w:r>
    </w:p>
    <w:p>
      <w:pPr>
        <w:spacing w:after="0" w:line="226" w:lineRule="auto"/>
        <w:rPr>
          <w:sz w:val="20"/>
          <w:szCs w:val="20"/>
          <w:color w:val="auto"/>
        </w:rPr>
      </w:pPr>
      <w:r>
        <w:rPr>
          <w:rFonts w:ascii="Arial" w:cs="Arial" w:eastAsia="Arial" w:hAnsi="Arial"/>
          <w:sz w:val="18"/>
          <w:szCs w:val="18"/>
          <w:color w:val="FF0000"/>
          <w:strike w:val="1"/>
        </w:rPr>
        <w:t>Rate</w:t>
      </w:r>
      <w:r>
        <w:rPr>
          <w:rFonts w:ascii="Arial" w:cs="Arial" w:eastAsia="Arial" w:hAnsi="Arial"/>
          <w:sz w:val="18"/>
          <w:szCs w:val="18"/>
          <w:u w:val="single" w:color="auto"/>
          <w:color w:val="0000FF"/>
        </w:rPr>
        <w:t>USD Adjusted Term SOFR</w:t>
      </w:r>
      <w:r>
        <w:rPr>
          <w:rFonts w:ascii="Arial" w:cs="Arial" w:eastAsia="Arial" w:hAnsi="Arial"/>
          <w:sz w:val="18"/>
          <w:szCs w:val="18"/>
          <w:color w:val="FF0000"/>
        </w:rPr>
        <w:t xml:space="preserve"> </w:t>
      </w:r>
      <w:r>
        <w:rPr>
          <w:rFonts w:ascii="Arial" w:cs="Arial" w:eastAsia="Arial" w:hAnsi="Arial"/>
          <w:sz w:val="18"/>
          <w:szCs w:val="18"/>
          <w:color w:val="000000"/>
        </w:rPr>
        <w:t>component of the Alternate Base Rate, the interest rate on which ABR Loans of such Lender shall, if</w:t>
      </w:r>
      <w:r>
        <w:rPr>
          <w:rFonts w:ascii="Arial" w:cs="Arial" w:eastAsia="Arial" w:hAnsi="Arial"/>
          <w:sz w:val="18"/>
          <w:szCs w:val="18"/>
          <w:color w:val="FF0000"/>
        </w:rPr>
        <w:t xml:space="preserve"> </w:t>
      </w:r>
      <w:r>
        <w:rPr>
          <w:rFonts w:ascii="Arial" w:cs="Arial" w:eastAsia="Arial" w:hAnsi="Arial"/>
          <w:sz w:val="18"/>
          <w:szCs w:val="18"/>
          <w:color w:val="000000"/>
        </w:rPr>
        <w:t xml:space="preserve">necessary to avoid such illegality, be determined by the Administrative Agent without reference to the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USD Adjusted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0000FF"/>
        </w:rPr>
        <w:t>Term SOFR</w:t>
      </w:r>
      <w:r>
        <w:rPr>
          <w:rFonts w:ascii="Arial" w:cs="Arial" w:eastAsia="Arial" w:hAnsi="Arial"/>
          <w:sz w:val="18"/>
          <w:szCs w:val="18"/>
          <w:color w:val="0000FF"/>
        </w:rPr>
        <w:t xml:space="preserve"> </w:t>
      </w:r>
      <w:r>
        <w:rPr>
          <w:rFonts w:ascii="Arial" w:cs="Arial" w:eastAsia="Arial" w:hAnsi="Arial"/>
          <w:sz w:val="18"/>
          <w:szCs w:val="18"/>
          <w:color w:val="000000"/>
        </w:rPr>
        <w:t>component of the Alternate Base Rate. Upon receipt of such notice, (x) the Applicable Borrower shall, upon demand from such</w:t>
      </w:r>
      <w:r>
        <w:rPr>
          <w:rFonts w:ascii="Arial" w:cs="Arial" w:eastAsia="Arial" w:hAnsi="Arial"/>
          <w:sz w:val="18"/>
          <w:szCs w:val="18"/>
          <w:color w:val="0000FF"/>
        </w:rPr>
        <w:t xml:space="preserve"> </w:t>
      </w:r>
      <w:r>
        <w:rPr>
          <w:rFonts w:ascii="Arial" w:cs="Arial" w:eastAsia="Arial" w:hAnsi="Arial"/>
          <w:sz w:val="18"/>
          <w:szCs w:val="18"/>
          <w:color w:val="000000"/>
        </w:rPr>
        <w:t>Lender (with a copy to the Administrative Agent), prepay or, if applicable, convert all 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000000"/>
        </w:rPr>
        <w:t xml:space="preserve"> or RFR</w:t>
      </w:r>
    </w:p>
    <w:p>
      <w:pPr>
        <w:spacing w:after="0" w:line="236" w:lineRule="auto"/>
        <w:rPr>
          <w:sz w:val="20"/>
          <w:szCs w:val="20"/>
          <w:color w:val="auto"/>
        </w:rPr>
      </w:pPr>
      <w:r>
        <w:rPr>
          <w:rFonts w:ascii="Arial" w:cs="Arial" w:eastAsia="Arial" w:hAnsi="Arial"/>
          <w:sz w:val="18"/>
          <w:szCs w:val="18"/>
          <w:color w:val="auto"/>
        </w:rPr>
        <w:t>Loans in such Agreed Currency of such Lender to ABR Loans (the interest rate on which ABR Loans of such Lender shall, if necessary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avoid such illegality, be determined by the Administrative Agent without reference to the </w:t>
      </w:r>
      <w:r>
        <w:rPr>
          <w:rFonts w:ascii="Arial" w:cs="Arial" w:eastAsia="Arial" w:hAnsi="Arial"/>
          <w:sz w:val="18"/>
          <w:szCs w:val="18"/>
          <w:color w:val="FF0000"/>
          <w:strike w:val="1"/>
        </w:rPr>
        <w:t>Eurocurrency Rate</w:t>
      </w:r>
      <w:r>
        <w:rPr>
          <w:rFonts w:ascii="Arial" w:cs="Arial" w:eastAsia="Arial" w:hAnsi="Arial"/>
          <w:sz w:val="18"/>
          <w:szCs w:val="18"/>
          <w:u w:val="single" w:color="auto"/>
          <w:color w:val="0000FF"/>
        </w:rPr>
        <w:t>USD Adjusted Term SOFR</w:t>
      </w:r>
      <w:r>
        <w:rPr>
          <w:rFonts w:ascii="Arial" w:cs="Arial" w:eastAsia="Arial" w:hAnsi="Arial"/>
          <w:sz w:val="18"/>
          <w:szCs w:val="18"/>
          <w:color w:val="auto"/>
        </w:rPr>
        <w:t xml:space="preserve"> component of the Alternate Base Rate), either on the last day of the Interest Period therefor, if such Lender may lawfully continue to maintain</w:t>
      </w:r>
    </w:p>
    <w:p>
      <w:pPr>
        <w:spacing w:after="0" w:line="236" w:lineRule="auto"/>
        <w:rPr>
          <w:sz w:val="20"/>
          <w:szCs w:val="20"/>
          <w:color w:val="auto"/>
        </w:rPr>
      </w:pPr>
      <w:r>
        <w:rPr>
          <w:rFonts w:ascii="Arial" w:cs="Arial" w:eastAsia="Arial" w:hAnsi="Arial"/>
          <w:sz w:val="18"/>
          <w:szCs w:val="18"/>
          <w:color w:val="auto"/>
        </w:rPr>
        <w:t>such Eurocurrency Loans</w:t>
      </w:r>
      <w:r>
        <w:rPr>
          <w:rFonts w:ascii="Arial" w:cs="Arial" w:eastAsia="Arial" w:hAnsi="Arial"/>
          <w:sz w:val="18"/>
          <w:szCs w:val="18"/>
          <w:u w:val="single" w:color="auto"/>
          <w:color w:val="0000FF"/>
        </w:rPr>
        <w:t>, USD Term SOFR Loans</w:t>
      </w:r>
      <w:r>
        <w:rPr>
          <w:rFonts w:ascii="Arial" w:cs="Arial" w:eastAsia="Arial" w:hAnsi="Arial"/>
          <w:sz w:val="18"/>
          <w:szCs w:val="18"/>
          <w:color w:val="auto"/>
        </w:rPr>
        <w:t xml:space="preserve"> or RFR Loans to such day, or immediately, if such Lender may not lawfully continue to</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maintain such Eurocurrency Loans</w:t>
      </w:r>
      <w:r>
        <w:rPr>
          <w:rFonts w:ascii="Arial" w:cs="Arial" w:eastAsia="Arial" w:hAnsi="Arial"/>
          <w:sz w:val="20"/>
          <w:szCs w:val="20"/>
          <w:u w:val="single" w:color="auto"/>
          <w:color w:val="0000FF"/>
        </w:rPr>
        <w:t>, USD Term SOFR Loans</w:t>
      </w:r>
      <w:r>
        <w:rPr>
          <w:rFonts w:ascii="Arial" w:cs="Arial" w:eastAsia="Arial" w:hAnsi="Arial"/>
          <w:sz w:val="20"/>
          <w:szCs w:val="20"/>
          <w:color w:val="auto"/>
        </w:rPr>
        <w:t xml:space="preserve"> or RFR Loans and (y) if such notice asserts the illegality of such Lender determining or charging interest rates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Eurocurrency Rate</w:t>
      </w:r>
      <w:r>
        <w:rPr>
          <w:rFonts w:ascii="Arial" w:cs="Arial" w:eastAsia="Arial" w:hAnsi="Arial"/>
          <w:sz w:val="18"/>
          <w:szCs w:val="18"/>
          <w:u w:val="single" w:color="auto"/>
          <w:color w:val="0000FF"/>
        </w:rPr>
        <w:t>, USD Term SOFR, USD Adjusted Term SOFR or USD Term SOFR Reference Rate</w:t>
      </w:r>
      <w:r>
        <w:rPr>
          <w:rFonts w:ascii="Arial" w:cs="Arial" w:eastAsia="Arial" w:hAnsi="Arial"/>
          <w:sz w:val="18"/>
          <w:szCs w:val="18"/>
          <w:color w:val="auto"/>
        </w:rPr>
        <w:t xml:space="preserve"> , the Administrative Agent shall during the period of such suspension compute the Alternate Base Rate applicable to such Lender without reference to the </w:t>
      </w:r>
      <w:r>
        <w:rPr>
          <w:rFonts w:ascii="Arial" w:cs="Arial" w:eastAsia="Arial" w:hAnsi="Arial"/>
          <w:sz w:val="18"/>
          <w:szCs w:val="18"/>
          <w:color w:val="FF0000"/>
          <w:strike w:val="1"/>
        </w:rPr>
        <w:t>Eurocurrency</w:t>
      </w:r>
    </w:p>
    <w:p>
      <w:pPr>
        <w:spacing w:after="0" w:line="235" w:lineRule="auto"/>
        <w:rPr>
          <w:sz w:val="20"/>
          <w:szCs w:val="20"/>
          <w:color w:val="auto"/>
        </w:rPr>
      </w:pPr>
      <w:r>
        <w:rPr>
          <w:rFonts w:ascii="Arial" w:cs="Arial" w:eastAsia="Arial" w:hAnsi="Arial"/>
          <w:sz w:val="18"/>
          <w:szCs w:val="18"/>
          <w:color w:val="FF0000"/>
          <w:strike w:val="1"/>
        </w:rPr>
        <w:t>Rate</w:t>
      </w:r>
      <w:r>
        <w:rPr>
          <w:rFonts w:ascii="Arial" w:cs="Arial" w:eastAsia="Arial" w:hAnsi="Arial"/>
          <w:sz w:val="18"/>
          <w:szCs w:val="18"/>
          <w:u w:val="single" w:color="auto"/>
          <w:color w:val="0000FF"/>
        </w:rPr>
        <w:t>USD Adjusted Term SOFR</w:t>
      </w:r>
      <w:r>
        <w:rPr>
          <w:rFonts w:ascii="Arial" w:cs="Arial" w:eastAsia="Arial" w:hAnsi="Arial"/>
          <w:sz w:val="18"/>
          <w:szCs w:val="18"/>
          <w:color w:val="FF0000"/>
        </w:rPr>
        <w:t xml:space="preserve"> </w:t>
      </w:r>
      <w:r>
        <w:rPr>
          <w:rFonts w:ascii="Arial" w:cs="Arial" w:eastAsia="Arial" w:hAnsi="Arial"/>
          <w:sz w:val="18"/>
          <w:szCs w:val="18"/>
          <w:color w:val="000000"/>
        </w:rPr>
        <w:t>component thereof until the Administrative Agent is advised in writing by such Lender that it is no longer</w:t>
      </w:r>
    </w:p>
    <w:p>
      <w:pPr>
        <w:spacing w:after="0" w:line="255" w:lineRule="auto"/>
        <w:rPr>
          <w:sz w:val="20"/>
          <w:szCs w:val="20"/>
          <w:color w:val="auto"/>
        </w:rPr>
      </w:pPr>
      <w:r>
        <w:rPr>
          <w:rFonts w:ascii="Arial" w:cs="Arial" w:eastAsia="Arial" w:hAnsi="Arial"/>
          <w:sz w:val="16"/>
          <w:szCs w:val="16"/>
          <w:color w:val="auto"/>
        </w:rPr>
        <w:t>illegal for such Lender to determine or charge interest rates based upon the Eurocurrency Rate</w:t>
      </w:r>
      <w:r>
        <w:rPr>
          <w:rFonts w:ascii="Arial" w:cs="Arial" w:eastAsia="Arial" w:hAnsi="Arial"/>
          <w:sz w:val="16"/>
          <w:szCs w:val="16"/>
          <w:u w:val="single" w:color="auto"/>
          <w:color w:val="0000FF"/>
        </w:rPr>
        <w:t>, USD Term SOFR, USD Adjusted Term SOFR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 USD Term SOFR Reference Rate</w:t>
      </w:r>
      <w:r>
        <w:rPr>
          <w:rFonts w:ascii="Arial" w:cs="Arial" w:eastAsia="Arial" w:hAnsi="Arial"/>
          <w:sz w:val="16"/>
          <w:szCs w:val="16"/>
          <w:color w:val="000000"/>
        </w:rPr>
        <w:t>. Upon any such prepayment or conversion, the Applicable Borrower shall also pay accrued interest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amount so prepaid or converted.</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2.26</w:t>
      </w:r>
      <w:r>
        <w:rPr>
          <w:sz w:val="20"/>
          <w:szCs w:val="20"/>
          <w:color w:val="auto"/>
        </w:rPr>
        <w:tab/>
      </w:r>
      <w:r>
        <w:rPr>
          <w:rFonts w:ascii="Arial" w:cs="Arial" w:eastAsia="Arial" w:hAnsi="Arial"/>
          <w:sz w:val="18"/>
          <w:szCs w:val="18"/>
          <w:u w:val="single" w:color="auto"/>
          <w:color w:val="auto"/>
        </w:rPr>
        <w:t>Defaulting Lenders.</w:t>
      </w:r>
    </w:p>
    <w:p>
      <w:pPr>
        <w:spacing w:after="0" w:line="175" w:lineRule="exact"/>
        <w:rPr>
          <w:sz w:val="20"/>
          <w:szCs w:val="20"/>
          <w:color w:val="auto"/>
        </w:rPr>
      </w:pPr>
    </w:p>
    <w:p>
      <w:pPr>
        <w:ind w:firstLine="1304"/>
        <w:spacing w:after="0" w:line="257" w:lineRule="auto"/>
        <w:tabs>
          <w:tab w:leader="none" w:pos="1934" w:val="left"/>
        </w:tabs>
        <w:numPr>
          <w:ilvl w:val="0"/>
          <w:numId w:val="22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53" w:lineRule="exact"/>
        <w:rPr>
          <w:rFonts w:ascii="Arial" w:cs="Arial" w:eastAsia="Arial" w:hAnsi="Arial"/>
          <w:sz w:val="19"/>
          <w:szCs w:val="19"/>
          <w:color w:val="auto"/>
        </w:rPr>
      </w:pPr>
    </w:p>
    <w:p>
      <w:pPr>
        <w:ind w:left="660" w:firstLine="1292"/>
        <w:spacing w:after="0" w:line="229" w:lineRule="auto"/>
        <w:tabs>
          <w:tab w:leader="none" w:pos="2602" w:val="left"/>
        </w:tabs>
        <w:numPr>
          <w:ilvl w:val="1"/>
          <w:numId w:val="223"/>
        </w:numPr>
        <w:rPr>
          <w:rFonts w:ascii="Arial" w:cs="Arial" w:eastAsia="Arial" w:hAnsi="Arial"/>
          <w:sz w:val="20"/>
          <w:szCs w:val="20"/>
          <w:color w:val="auto"/>
        </w:rPr>
      </w:pPr>
      <w:r>
        <w:rPr>
          <w:rFonts w:ascii="Arial" w:cs="Arial" w:eastAsia="Arial" w:hAnsi="Arial"/>
          <w:sz w:val="20"/>
          <w:szCs w:val="20"/>
          <w:color w:val="auto"/>
        </w:rPr>
        <w:t>such Defaulting Lender’s right to approve or disapprove any amendment, waiver or consent with respect to this Agreement shall be restricted as set forth in the definition of “Required Lenders”.</w:t>
      </w:r>
    </w:p>
    <w:p>
      <w:pPr>
        <w:spacing w:after="0" w:line="168" w:lineRule="exact"/>
        <w:rPr>
          <w:rFonts w:ascii="Arial" w:cs="Arial" w:eastAsia="Arial" w:hAnsi="Arial"/>
          <w:sz w:val="20"/>
          <w:szCs w:val="20"/>
          <w:color w:val="auto"/>
        </w:rPr>
      </w:pPr>
    </w:p>
    <w:p>
      <w:pPr>
        <w:ind w:firstLine="1304"/>
        <w:spacing w:after="0" w:line="236" w:lineRule="auto"/>
        <w:tabs>
          <w:tab w:leader="none" w:pos="1932" w:val="left"/>
        </w:tabs>
        <w:numPr>
          <w:ilvl w:val="0"/>
          <w:numId w:val="223"/>
        </w:numPr>
        <w:rPr>
          <w:rFonts w:ascii="Arial" w:cs="Arial" w:eastAsia="Arial" w:hAnsi="Arial"/>
          <w:sz w:val="20"/>
          <w:szCs w:val="20"/>
          <w:color w:val="auto"/>
        </w:rPr>
      </w:pPr>
      <w:r>
        <w:rPr>
          <w:rFonts w:ascii="Arial" w:cs="Arial" w:eastAsia="Arial" w:hAnsi="Arial"/>
          <w:sz w:val="20"/>
          <w:szCs w:val="20"/>
          <w:color w:val="auto"/>
        </w:rPr>
        <w:t>Notwithstanding any provision of this Agreement to the contrary, if any Revolving Lender becomes a Defaulting Lender, then the following provisions shall apply for so long as such Revolving Lender is a Defaulting Lender:</w:t>
      </w:r>
    </w:p>
    <w:p>
      <w:pPr>
        <w:spacing w:after="0" w:line="155" w:lineRule="exact"/>
        <w:rPr>
          <w:rFonts w:ascii="Arial" w:cs="Arial" w:eastAsia="Arial" w:hAnsi="Arial"/>
          <w:sz w:val="20"/>
          <w:szCs w:val="20"/>
          <w:color w:val="auto"/>
        </w:rPr>
      </w:pPr>
    </w:p>
    <w:p>
      <w:pPr>
        <w:ind w:left="660" w:right="20" w:firstLine="1292"/>
        <w:spacing w:after="0" w:line="236" w:lineRule="auto"/>
        <w:tabs>
          <w:tab w:leader="none" w:pos="2602" w:val="left"/>
        </w:tabs>
        <w:numPr>
          <w:ilvl w:val="1"/>
          <w:numId w:val="223"/>
        </w:numPr>
        <w:rPr>
          <w:rFonts w:ascii="Arial" w:cs="Arial" w:eastAsia="Arial" w:hAnsi="Arial"/>
          <w:sz w:val="20"/>
          <w:szCs w:val="20"/>
          <w:color w:val="auto"/>
        </w:rPr>
      </w:pPr>
      <w:r>
        <w:rPr>
          <w:rFonts w:ascii="Arial" w:cs="Arial" w:eastAsia="Arial" w:hAnsi="Arial"/>
          <w:sz w:val="20"/>
          <w:szCs w:val="20"/>
          <w:color w:val="auto"/>
        </w:rPr>
        <w:t>fees shall cease to accrue on the unfunded portion of the Revolving Commitment of such Defaulting Lender pursuant to Section 2.12(a);</w:t>
      </w:r>
    </w:p>
    <w:p>
      <w:pPr>
        <w:spacing w:after="0" w:line="168" w:lineRule="exact"/>
        <w:rPr>
          <w:rFonts w:ascii="Arial" w:cs="Arial" w:eastAsia="Arial" w:hAnsi="Arial"/>
          <w:sz w:val="20"/>
          <w:szCs w:val="20"/>
          <w:color w:val="auto"/>
        </w:rPr>
      </w:pPr>
    </w:p>
    <w:p>
      <w:pPr>
        <w:jc w:val="both"/>
        <w:ind w:left="660" w:firstLine="1292"/>
        <w:spacing w:after="0" w:line="239" w:lineRule="auto"/>
        <w:tabs>
          <w:tab w:leader="none" w:pos="260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unused Commitment and Revolving Credit Exposure of such Defaulting Lender shall not be included in determining whether the Required Lenders or Required Revolving Lenders or Majority in Interest of Revolving Lenders have taken or may take any action hereunder (including any consent to any amendment, waiver or other modification pursuant to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(ii) shall not apply to the vote of a Defaulting Lender in the case of an amendment, waiver or other modification requiring the consent of such Lender or each Lender affected thereby under Section 9.02;</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Revolving Lender becomes a Defaulting</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Lender then:</w:t>
      </w:r>
    </w:p>
    <w:p>
      <w:pPr>
        <w:spacing w:after="0" w:line="159" w:lineRule="exact"/>
        <w:rPr>
          <w:rFonts w:ascii="Arial" w:cs="Arial" w:eastAsia="Arial" w:hAnsi="Arial"/>
          <w:sz w:val="18"/>
          <w:szCs w:val="18"/>
          <w:color w:val="auto"/>
        </w:rPr>
      </w:pPr>
    </w:p>
    <w:p>
      <w:pPr>
        <w:jc w:val="both"/>
        <w:ind w:left="1300" w:firstLine="1300"/>
        <w:spacing w:after="0" w:line="223" w:lineRule="auto"/>
        <w:tabs>
          <w:tab w:leader="none" w:pos="3235" w:val="left"/>
        </w:tabs>
        <w:numPr>
          <w:ilvl w:val="2"/>
          <w:numId w:val="223"/>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all or any part of the Swingline Exposure of such Defaulting Lender shall be reallocated among the non-Defaulting Lenders in accordance with their respective Revolving Percentages (after giving effect to the reallocation provisions of Sections 2.05(d) and 2.06(k)) but only to the extent (A) the sum of all non-Defaulting Lenders’ Revolving Credit Exposures </w:t>
      </w:r>
      <w:r>
        <w:rPr>
          <w:rFonts w:ascii="Arial" w:cs="Arial" w:eastAsia="Arial" w:hAnsi="Arial"/>
          <w:sz w:val="19"/>
          <w:szCs w:val="19"/>
          <w:i w:val="1"/>
          <w:iCs w:val="1"/>
          <w:color w:val="auto"/>
        </w:rPr>
        <w:t>plus</w:t>
      </w:r>
      <w:r>
        <w:rPr>
          <w:rFonts w:ascii="Arial" w:cs="Arial" w:eastAsia="Arial" w:hAnsi="Arial"/>
          <w:sz w:val="19"/>
          <w:szCs w:val="19"/>
          <w:color w:val="auto"/>
        </w:rPr>
        <w:t xml:space="preserve"> such Defaulting Lender’s Swingline Exposure does not exceed the total of all non-Defaulting Lenders’ Revolving Commitments and (B) each non-Defaulting Lender’s Revolving Credit Exposure in respect of any Class does not exceed such non-Defaulting Lender’s Revolving Commitment in respect of such Class; and all or any part of the LC Exposure of such Defaulting Lender shall be reallocated among the non-Defaulting Lenders in accordance with their respective Revolving Percentages (after giving effect to the reallocation provisions of Sections 2.05(d) and 2.06(k)) but only to the extent (C) the sum of all non-Defaulting Lenders’ Revolving Credit Exposures </w:t>
      </w:r>
      <w:r>
        <w:rPr>
          <w:rFonts w:ascii="Arial" w:cs="Arial" w:eastAsia="Arial" w:hAnsi="Arial"/>
          <w:sz w:val="19"/>
          <w:szCs w:val="19"/>
          <w:i w:val="1"/>
          <w:iCs w:val="1"/>
          <w:color w:val="auto"/>
        </w:rPr>
        <w:t>plus</w:t>
      </w:r>
      <w:r>
        <w:rPr>
          <w:rFonts w:ascii="Arial" w:cs="Arial" w:eastAsia="Arial" w:hAnsi="Arial"/>
          <w:sz w:val="19"/>
          <w:szCs w:val="19"/>
          <w:color w:val="auto"/>
        </w:rPr>
        <w:t xml:space="preserve"> such Defaulting Lender’s LC Exposure does not exceed the total of all non-Defaulting Lenders’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357" w:lineRule="exact"/>
        <w:rPr>
          <w:sz w:val="20"/>
          <w:szCs w:val="20"/>
          <w:color w:val="auto"/>
        </w:rPr>
      </w:pPr>
    </w:p>
    <w:p>
      <w:pPr>
        <w:jc w:val="both"/>
        <w:ind w:left="1300" w:firstLine="1300"/>
        <w:spacing w:after="0" w:line="214" w:lineRule="auto"/>
        <w:tabs>
          <w:tab w:leader="none" w:pos="3238" w:val="left"/>
        </w:tabs>
        <w:numPr>
          <w:ilvl w:val="2"/>
          <w:numId w:val="224"/>
        </w:numPr>
        <w:rPr>
          <w:rFonts w:ascii="Arial" w:cs="Arial" w:eastAsia="Arial" w:hAnsi="Arial"/>
          <w:sz w:val="20"/>
          <w:szCs w:val="20"/>
          <w:color w:val="auto"/>
        </w:rPr>
      </w:pPr>
      <w:r>
        <w:rPr>
          <w:rFonts w:ascii="Arial" w:cs="Arial" w:eastAsia="Arial" w:hAnsi="Arial"/>
          <w:sz w:val="20"/>
          <w:szCs w:val="20"/>
          <w:color w:val="auto"/>
        </w:rPr>
        <w:t>if the reallocations described in clause (A) above cannot, or can only partially, be effected, the Applicable Borrower shall within one (1) Business Day following notice by the Administrative Agent (x) first, prepay such Swingline Exposure and (y) second, Cash Collateralize for the benefit of the applicable Issuing Bank only the Applicable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73" w:lineRule="exact"/>
        <w:rPr>
          <w:rFonts w:ascii="Arial" w:cs="Arial" w:eastAsia="Arial" w:hAnsi="Arial"/>
          <w:sz w:val="20"/>
          <w:szCs w:val="20"/>
          <w:color w:val="auto"/>
        </w:rPr>
      </w:pPr>
    </w:p>
    <w:p>
      <w:pPr>
        <w:jc w:val="both"/>
        <w:ind w:left="1300" w:firstLine="1300"/>
        <w:spacing w:after="0" w:line="220" w:lineRule="auto"/>
        <w:tabs>
          <w:tab w:leader="none" w:pos="3238" w:val="left"/>
        </w:tabs>
        <w:numPr>
          <w:ilvl w:val="2"/>
          <w:numId w:val="224"/>
        </w:numPr>
        <w:rPr>
          <w:rFonts w:ascii="Arial" w:cs="Arial" w:eastAsia="Arial" w:hAnsi="Arial"/>
          <w:sz w:val="20"/>
          <w:szCs w:val="20"/>
          <w:color w:val="auto"/>
        </w:rPr>
      </w:pPr>
      <w:r>
        <w:rPr>
          <w:rFonts w:ascii="Arial" w:cs="Arial" w:eastAsia="Arial" w:hAnsi="Arial"/>
          <w:sz w:val="20"/>
          <w:szCs w:val="20"/>
          <w:color w:val="auto"/>
        </w:rPr>
        <w:t>if the Applicable Borrower Cash Collateralizes any portion of such Defaulting Lender’s LC Exposure pursuant to clause (B) above, the Applicable Borrower shall not be required to pay any fees to such Defaulting Lender pursuant to Section 2.12(b) with respect to such Defaulting Lender’s LC Exposure during the period (and to the extent) such Defaulting Lender’s LC Exposure is Cash Collateralized;</w:t>
      </w:r>
    </w:p>
    <w:p>
      <w:pPr>
        <w:spacing w:after="0" w:line="155" w:lineRule="exact"/>
        <w:rPr>
          <w:rFonts w:ascii="Arial" w:cs="Arial" w:eastAsia="Arial" w:hAnsi="Arial"/>
          <w:sz w:val="20"/>
          <w:szCs w:val="20"/>
          <w:color w:val="auto"/>
        </w:rPr>
      </w:pPr>
    </w:p>
    <w:p>
      <w:pPr>
        <w:jc w:val="both"/>
        <w:ind w:left="1300" w:firstLine="1300"/>
        <w:spacing w:after="0" w:line="220" w:lineRule="auto"/>
        <w:tabs>
          <w:tab w:leader="none" w:pos="3235" w:val="left"/>
        </w:tabs>
        <w:numPr>
          <w:ilvl w:val="2"/>
          <w:numId w:val="224"/>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(A) above, then the fees payable to the Lenders pursuant to Section 2.12(a) and Section 2.12(b) shall be adjusted in accordance with such non-Defaulting Lenders’ Applicable Percentages (after giving effect to the reallocation provisions of Sections 2.05(d) and 2.06(k)); and</w:t>
      </w:r>
    </w:p>
    <w:p>
      <w:pPr>
        <w:spacing w:after="0" w:line="169" w:lineRule="exact"/>
        <w:rPr>
          <w:rFonts w:ascii="Arial" w:cs="Arial" w:eastAsia="Arial" w:hAnsi="Arial"/>
          <w:sz w:val="20"/>
          <w:szCs w:val="20"/>
          <w:color w:val="auto"/>
        </w:rPr>
      </w:pPr>
    </w:p>
    <w:p>
      <w:pPr>
        <w:jc w:val="both"/>
        <w:ind w:left="1300" w:firstLine="1300"/>
        <w:spacing w:after="0" w:line="218" w:lineRule="auto"/>
        <w:tabs>
          <w:tab w:leader="none" w:pos="3240" w:val="left"/>
        </w:tabs>
        <w:numPr>
          <w:ilvl w:val="2"/>
          <w:numId w:val="224"/>
        </w:numPr>
        <w:rPr>
          <w:rFonts w:ascii="Arial" w:cs="Arial" w:eastAsia="Arial" w:hAnsi="Arial"/>
          <w:sz w:val="20"/>
          <w:szCs w:val="20"/>
          <w:color w:val="auto"/>
        </w:rPr>
      </w:pPr>
      <w:r>
        <w:rPr>
          <w:rFonts w:ascii="Arial" w:cs="Arial" w:eastAsia="Arial" w:hAnsi="Arial"/>
          <w:sz w:val="20"/>
          <w:szCs w:val="20"/>
          <w:color w:val="auto"/>
        </w:rPr>
        <w:t>if all or any portion of such Defaulting Lender’s LC Exposure is neither reallocated nor Cash Collateralized pursuant to clause (A) or (B) above, then, without prejudice to any rights or remedies of the applicable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57" w:lineRule="exact"/>
        <w:rPr>
          <w:rFonts w:ascii="Arial" w:cs="Arial" w:eastAsia="Arial" w:hAnsi="Arial"/>
          <w:sz w:val="20"/>
          <w:szCs w:val="20"/>
          <w:color w:val="auto"/>
        </w:rPr>
      </w:pPr>
    </w:p>
    <w:p>
      <w:pPr>
        <w:jc w:val="both"/>
        <w:ind w:left="660" w:firstLine="1292"/>
        <w:spacing w:after="0" w:line="214" w:lineRule="auto"/>
        <w:tabs>
          <w:tab w:leader="none" w:pos="2593" w:val="left"/>
        </w:tabs>
        <w:numPr>
          <w:ilvl w:val="1"/>
          <w:numId w:val="225"/>
        </w:numPr>
        <w:rPr>
          <w:rFonts w:ascii="Arial" w:cs="Arial" w:eastAsia="Arial" w:hAnsi="Arial"/>
          <w:sz w:val="20"/>
          <w:szCs w:val="20"/>
          <w:color w:val="auto"/>
        </w:rPr>
      </w:pPr>
      <w:r>
        <w:rPr>
          <w:rFonts w:ascii="Arial" w:cs="Arial" w:eastAsia="Arial" w:hAnsi="Arial"/>
          <w:sz w:val="20"/>
          <w:szCs w:val="20"/>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Section 2.26(b)(iii), and participating interests in any such newly made Swingline Loan or any newly issued or increased Letter of Credit shall be allocated among non-Defaulting Lenders in a manner consistent with Section 2.26(b)(iii)(A) (and such Defaulting Lender shall not participate therein).</w:t>
      </w:r>
    </w:p>
    <w:p>
      <w:pPr>
        <w:spacing w:after="0" w:line="171" w:lineRule="exact"/>
        <w:rPr>
          <w:rFonts w:ascii="Arial" w:cs="Arial" w:eastAsia="Arial" w:hAnsi="Arial"/>
          <w:sz w:val="20"/>
          <w:szCs w:val="20"/>
          <w:color w:val="auto"/>
        </w:rPr>
      </w:pPr>
    </w:p>
    <w:p>
      <w:pPr>
        <w:jc w:val="both"/>
        <w:ind w:firstLine="1304"/>
        <w:spacing w:after="0" w:line="268" w:lineRule="auto"/>
        <w:tabs>
          <w:tab w:leader="none" w:pos="193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Defaulting Lender Cure. If a Lender ceases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take such actions as the Administrative Agent may determine to be necessary to cause the applicable Loans to be held pro rata by the applicable Lenders in accordance with the applicable Commitments, whereupon such Lender will cease to be a Defaulting Lender, the Swingline Exposure and LC Exposure of the Lenders shall be readjusted to reflect the inclusion of such Lender’s Commitment and on such date such Lender shall purchase at par such of the Revolving Loans of any Class (other than Swingline Loans) of the other Lenders as the Administrative Agent shall determine may be necessary in order for such Lender to hold such Loans in accordance with its Applicable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retroactively with respect to fees accrued or payments made by or on behalf of the Borrowers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Lender will constitute a waiver or release of any claim of any party hereunder arising from that Lender’s having been a Defaulting Lender.</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In order to induce the Administrative Agent, the Collateral Agent and the Lenders to enter into this Agreement on the Closing Date and to make each Loan or other extension of credit to be made hereunder on the Closing Date and on the date of each other</w:t>
      </w:r>
    </w:p>
    <w:p>
      <w:pPr>
        <w:spacing w:after="0" w:line="235" w:lineRule="auto"/>
        <w:rPr>
          <w:sz w:val="20"/>
          <w:szCs w:val="20"/>
          <w:color w:val="auto"/>
        </w:rPr>
      </w:pPr>
      <w:r>
        <w:rPr>
          <w:rFonts w:ascii="Arial" w:cs="Arial" w:eastAsia="Arial" w:hAnsi="Arial"/>
          <w:sz w:val="18"/>
          <w:szCs w:val="18"/>
          <w:color w:val="auto"/>
        </w:rPr>
        <w:t>Credit Event, each of the Loan Parties represents and warrants to the Administrative Agent, the Collateral Agent and Lenders that, (i) on the</w:t>
      </w:r>
    </w:p>
    <w:p>
      <w:pPr>
        <w:spacing w:after="0" w:line="219" w:lineRule="auto"/>
        <w:rPr>
          <w:sz w:val="20"/>
          <w:szCs w:val="20"/>
          <w:color w:val="auto"/>
        </w:rPr>
      </w:pPr>
      <w:r>
        <w:rPr>
          <w:rFonts w:ascii="Arial" w:cs="Arial" w:eastAsia="Arial" w:hAnsi="Arial"/>
          <w:sz w:val="18"/>
          <w:szCs w:val="18"/>
          <w:color w:val="auto"/>
        </w:rPr>
        <w:t>Closing Date (after giving effect to the Transactions), solely with respect to the Specified Representations, and (ii) on the date of each other</w:t>
      </w:r>
    </w:p>
    <w:p>
      <w:pPr>
        <w:spacing w:after="0"/>
        <w:rPr>
          <w:sz w:val="20"/>
          <w:szCs w:val="20"/>
          <w:color w:val="auto"/>
        </w:rPr>
      </w:pPr>
      <w:r>
        <w:rPr>
          <w:rFonts w:ascii="Arial" w:cs="Arial" w:eastAsia="Arial" w:hAnsi="Arial"/>
          <w:sz w:val="19"/>
          <w:szCs w:val="19"/>
          <w:color w:val="auto"/>
        </w:rPr>
        <w:t>Borrowing (other than as provided in Section 2.20), that each of the following statements are true and correct in all material respects:</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 Subsidiaries.</w:t>
      </w:r>
      <w:r>
        <w:rPr>
          <w:rFonts w:ascii="Arial" w:cs="Arial" w:eastAsia="Arial" w:hAnsi="Arial"/>
          <w:sz w:val="18"/>
          <w:szCs w:val="18"/>
          <w:color w:val="auto"/>
        </w:rPr>
        <w:t xml:space="preserve"> Each of Holdings and its Material Subsidiaries is duly organized or incorporated, as the case may be, and validly existing and (to the extent the concept is applicable in such jurisdiction) in good standing under</w:t>
      </w:r>
    </w:p>
    <w:p>
      <w:pPr>
        <w:spacing w:after="0" w:line="235" w:lineRule="auto"/>
        <w:rPr>
          <w:sz w:val="20"/>
          <w:szCs w:val="20"/>
          <w:color w:val="auto"/>
        </w:rPr>
      </w:pPr>
      <w:r>
        <w:rPr>
          <w:rFonts w:ascii="Arial" w:cs="Arial" w:eastAsia="Arial" w:hAnsi="Arial"/>
          <w:sz w:val="18"/>
          <w:szCs w:val="18"/>
          <w:color w:val="auto"/>
        </w:rPr>
        <w:t>the laws of the jurisdiction of its organization, has all requisite power and authority to carry on its business as now conducted and, except</w:t>
      </w:r>
    </w:p>
    <w:p>
      <w:pPr>
        <w:spacing w:after="0" w:line="226" w:lineRule="auto"/>
        <w:rPr>
          <w:sz w:val="20"/>
          <w:szCs w:val="20"/>
          <w:color w:val="auto"/>
        </w:rPr>
      </w:pPr>
      <w:r>
        <w:rPr>
          <w:rFonts w:ascii="Arial" w:cs="Arial" w:eastAsia="Arial" w:hAnsi="Arial"/>
          <w:sz w:val="18"/>
          <w:szCs w:val="18"/>
          <w:color w:val="auto"/>
        </w:rPr>
        <w:t>where the failure to do so, individually or in the aggregate, could not reasonably be expected to result in a Material Adverse Effect, is qualified to do business in, and (to the extent the concept is applicable in such jurisdiction) is in good standing in, every jurisdiction where</w:t>
      </w:r>
    </w:p>
    <w:p>
      <w:pPr>
        <w:spacing w:after="0" w:line="236" w:lineRule="auto"/>
        <w:rPr>
          <w:sz w:val="20"/>
          <w:szCs w:val="20"/>
          <w:color w:val="auto"/>
        </w:rPr>
      </w:pPr>
      <w:r>
        <w:rPr>
          <w:rFonts w:ascii="Arial" w:cs="Arial" w:eastAsia="Arial" w:hAnsi="Arial"/>
          <w:sz w:val="18"/>
          <w:szCs w:val="18"/>
          <w:color w:val="auto"/>
        </w:rPr>
        <w:t>such qualification is required. Schedule 3.01 hereto identifies each Subsidiary (other than Subsidiaries in respect of which Holdings and its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Subsidiaries own less than 50% of the Equity Interests thereof) as of the Closing Date, noting whether such Subsidiary is a Material Subsidiary, whether such Subsidiary is an Unrestricted Subsidiary, the jurisdiction of its incorporation or organization, as the case may be, the</w:t>
      </w:r>
    </w:p>
    <w:p>
      <w:pPr>
        <w:spacing w:after="0" w:line="235" w:lineRule="auto"/>
        <w:rPr>
          <w:sz w:val="20"/>
          <w:szCs w:val="20"/>
          <w:color w:val="auto"/>
        </w:rPr>
      </w:pPr>
      <w:r>
        <w:rPr>
          <w:rFonts w:ascii="Arial" w:cs="Arial" w:eastAsia="Arial" w:hAnsi="Arial"/>
          <w:sz w:val="18"/>
          <w:szCs w:val="18"/>
          <w:color w:val="auto"/>
        </w:rPr>
        <w:t>percentage of issued and outstanding shares of each class of its capital stock or other equity interests owned by Holdings and the other</w:t>
      </w:r>
    </w:p>
    <w:p>
      <w:pPr>
        <w:spacing w:after="0" w:line="226" w:lineRule="auto"/>
        <w:rPr>
          <w:sz w:val="20"/>
          <w:szCs w:val="20"/>
          <w:color w:val="auto"/>
        </w:rPr>
      </w:pPr>
      <w:r>
        <w:rPr>
          <w:rFonts w:ascii="Arial" w:cs="Arial" w:eastAsia="Arial" w:hAnsi="Arial"/>
          <w:sz w:val="18"/>
          <w:szCs w:val="18"/>
          <w:color w:val="auto"/>
        </w:rPr>
        <w:t>Subsidiaries and, if such percentage is not 100% (excluding directors’ qualifying shares as required by law), a description of each class issued and outstanding. All of the outstanding shares of capital stock and other equity interests of each Material Subsidiary are validly issued</w:t>
      </w:r>
    </w:p>
    <w:p>
      <w:pPr>
        <w:spacing w:after="0" w:line="236" w:lineRule="auto"/>
        <w:rPr>
          <w:sz w:val="20"/>
          <w:szCs w:val="20"/>
          <w:color w:val="auto"/>
        </w:rPr>
      </w:pPr>
      <w:r>
        <w:rPr>
          <w:rFonts w:ascii="Arial" w:cs="Arial" w:eastAsia="Arial" w:hAnsi="Arial"/>
          <w:sz w:val="18"/>
          <w:szCs w:val="18"/>
          <w:color w:val="auto"/>
        </w:rPr>
        <w:t>and outstanding and fully paid and non-assessable (as such term is determined under applicable law) and all such shares and other equity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interests owned by Holdings or another Material Subsidiary are owned, beneficially and of record, by Holdings or such Material Subsidiary free and clear of all Liens, other than Liens created under the Loan Documents and Liens permitted by Section 6.02. As of the Closing Date</w:t>
      </w:r>
    </w:p>
    <w:p>
      <w:pPr>
        <w:spacing w:after="0" w:line="236" w:lineRule="auto"/>
        <w:rPr>
          <w:sz w:val="20"/>
          <w:szCs w:val="20"/>
          <w:color w:val="auto"/>
        </w:rPr>
      </w:pPr>
      <w:r>
        <w:rPr>
          <w:rFonts w:ascii="Arial" w:cs="Arial" w:eastAsia="Arial" w:hAnsi="Arial"/>
          <w:sz w:val="18"/>
          <w:szCs w:val="18"/>
          <w:color w:val="auto"/>
        </w:rPr>
        <w:t>(and except pursuant to the Acquisition Agreement), there are no outstanding commitments or other obligations of any Material Subsidiary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issue, and no options, warrants or other rights of any Person to acquire, any shares of any class of capital stock or other equity interests of any Material Subsidiary.</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subject to the Legal Reservations, within each Loan Party’s corporate or other organizational powers and have been (or, except with respect to the Loan Documents executed by one or more Loan</w:t>
      </w:r>
    </w:p>
    <w:p>
      <w:pPr>
        <w:spacing w:after="0" w:line="235" w:lineRule="auto"/>
        <w:rPr>
          <w:sz w:val="20"/>
          <w:szCs w:val="20"/>
          <w:color w:val="auto"/>
        </w:rPr>
      </w:pPr>
      <w:r>
        <w:rPr>
          <w:rFonts w:ascii="Arial" w:cs="Arial" w:eastAsia="Arial" w:hAnsi="Arial"/>
          <w:sz w:val="18"/>
          <w:szCs w:val="18"/>
          <w:color w:val="auto"/>
        </w:rPr>
        <w:t>Parties on the Closing Date, will on or prior to the Closing Date be) duly authorized by all necessary corporate or other organizational actions</w:t>
      </w:r>
    </w:p>
    <w:p>
      <w:pPr>
        <w:spacing w:after="0" w:line="226" w:lineRule="auto"/>
        <w:rPr>
          <w:sz w:val="20"/>
          <w:szCs w:val="20"/>
          <w:color w:val="auto"/>
        </w:rPr>
      </w:pPr>
      <w:r>
        <w:rPr>
          <w:rFonts w:ascii="Arial" w:cs="Arial" w:eastAsia="Arial" w:hAnsi="Arial"/>
          <w:sz w:val="18"/>
          <w:szCs w:val="18"/>
          <w:color w:val="auto"/>
        </w:rPr>
        <w:t>and, if required, actions by shareholders, members or equity holders. The Loan Documents to which each Loan Party is a party have been duly executed and delivered by such Loan Party and, subject to the Legal Reservations, constitute a legal, valid and binding obligation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Loan Party and, subject to the Legal Reservations and the Perfection Requirements, enforceable in accordance with its terms, subject to</w:t>
      </w:r>
    </w:p>
    <w:p>
      <w:pPr>
        <w:spacing w:after="0" w:line="19" w:lineRule="exact"/>
        <w:rPr>
          <w:sz w:val="20"/>
          <w:szCs w:val="20"/>
          <w:color w:val="auto"/>
        </w:rPr>
      </w:pPr>
    </w:p>
    <w:p>
      <w:pPr>
        <w:ind w:left="240" w:hanging="232"/>
        <w:spacing w:after="0"/>
        <w:tabs>
          <w:tab w:leader="none" w:pos="2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applicable bankruptcy, insolvency, reorganization, moratorium or other laws affecting creditors’ rights generally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subject to general principles of equity, regardless of whether considered in a proceeding in equity or at law, and (ii) the effect of foreign laws, rules and regulations as they relate to pledges of Equity Interests in or Indebtedness owed by Foreign Subsidiaries (other than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those pledges and security interests made under the laws of the jurisdiction of formation of the applicable Foreign Subsidiary).</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such as have been obtained or made and are in full force and effect</w:t>
      </w:r>
    </w:p>
    <w:p>
      <w:pPr>
        <w:spacing w:after="0" w:line="235" w:lineRule="auto"/>
        <w:rPr>
          <w:sz w:val="20"/>
          <w:szCs w:val="20"/>
          <w:color w:val="auto"/>
        </w:rPr>
      </w:pPr>
      <w:r>
        <w:rPr>
          <w:rFonts w:ascii="Arial" w:cs="Arial" w:eastAsia="Arial" w:hAnsi="Arial"/>
          <w:sz w:val="18"/>
          <w:szCs w:val="18"/>
          <w:color w:val="auto"/>
        </w:rPr>
        <w:t>and except for (x) filings, notifications or registrations necessary to perfect Liens created pursuant to the Loan Documents and (y) consents,</w:t>
      </w:r>
    </w:p>
    <w:p>
      <w:pPr>
        <w:spacing w:after="0" w:line="226" w:lineRule="auto"/>
        <w:rPr>
          <w:sz w:val="20"/>
          <w:szCs w:val="20"/>
          <w:color w:val="auto"/>
        </w:rPr>
      </w:pPr>
      <w:r>
        <w:rPr>
          <w:rFonts w:ascii="Arial" w:cs="Arial" w:eastAsia="Arial" w:hAnsi="Arial"/>
          <w:sz w:val="18"/>
          <w:szCs w:val="18"/>
          <w:color w:val="auto"/>
        </w:rPr>
        <w:t>approvals, registrations, filings or other actions that will be obtained or made in connection with the Acquisition on or prior to the Closing Date, (b) will not violate any applicable law or regulation (except such non-compliance that, individually or in the aggregate, could not</w:t>
      </w:r>
    </w:p>
    <w:p>
      <w:pPr>
        <w:spacing w:after="0" w:line="236" w:lineRule="auto"/>
        <w:rPr>
          <w:sz w:val="20"/>
          <w:szCs w:val="20"/>
          <w:color w:val="auto"/>
        </w:rPr>
      </w:pPr>
      <w:r>
        <w:rPr>
          <w:rFonts w:ascii="Arial" w:cs="Arial" w:eastAsia="Arial" w:hAnsi="Arial"/>
          <w:sz w:val="18"/>
          <w:szCs w:val="18"/>
          <w:color w:val="auto"/>
        </w:rPr>
        <w:t>reasonably be expected to result in a Material Adverse Effect) or the charter, by-laws or other Organizational Documents of Holdings or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its Material Subsidiaries or any order of any Governmental Authority, (c) will not violate in any material respect or result in a default under any indenture, any material agreement or other material instrument (except such non-compliance that, individually or in the aggregate,</w:t>
      </w:r>
    </w:p>
    <w:p>
      <w:pPr>
        <w:spacing w:after="0" w:line="236" w:lineRule="auto"/>
        <w:rPr>
          <w:sz w:val="20"/>
          <w:szCs w:val="20"/>
          <w:color w:val="auto"/>
        </w:rPr>
      </w:pPr>
      <w:r>
        <w:rPr>
          <w:rFonts w:ascii="Arial" w:cs="Arial" w:eastAsia="Arial" w:hAnsi="Arial"/>
          <w:sz w:val="18"/>
          <w:szCs w:val="18"/>
          <w:color w:val="auto"/>
        </w:rPr>
        <w:t>could not reasonably be expected to result in a Material Adverse Effect) binding upon Holdings or any of its Material Subsidiaries or 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assets, or give rise to a right thereunder to require any payment to be made by Holdings or any of its Material Subsidiaries (other than the Indebtedness set forth on Schedule 3.03), and (d) will not result in the creation or imposition of any Lien on any asset of Holdings or any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its Material Subsidiaries, other than Liens created under the Loan Documents.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5" w:lineRule="auto"/>
        <w:tabs>
          <w:tab w:leader="none" w:pos="193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Holdings has heretofore furnished to the Lenders (i) the audited condensed consolidated balance sheet and statements of operations, changes in stockholders’ equity (deficit) and cash flows as of and for the fiscal years ended December 31, 2018, December 31, 2019 and December 31, 2020 for Target and its subsidiaries, and (ii) the audited consolidated balance sheet and statements of comprehensive loss, stockholders’ equity (loss) and cash flows as of and for the fiscal years ended December 31, 2018, December 31, 2019 and December 31, 2020 for the Group. Such financial statements present fairly, in all material respects, the financial position and results of operations and cash flows of Target and its subsidiaries and the financial position and results of operations and cash flows of the Group, as the case may be, as of such dates and for such periods in accordance with GAAP.</w:t>
      </w:r>
    </w:p>
    <w:p>
      <w:pPr>
        <w:spacing w:after="0" w:line="172" w:lineRule="exact"/>
        <w:rPr>
          <w:rFonts w:ascii="Arial" w:cs="Arial" w:eastAsia="Arial" w:hAnsi="Arial"/>
          <w:sz w:val="19"/>
          <w:szCs w:val="19"/>
          <w:color w:val="auto"/>
        </w:rPr>
      </w:pPr>
    </w:p>
    <w:p>
      <w:pPr>
        <w:ind w:right="20" w:firstLine="1304"/>
        <w:spacing w:after="0" w:line="236" w:lineRule="auto"/>
        <w:tabs>
          <w:tab w:leader="none" w:pos="1932" w:val="left"/>
        </w:tabs>
        <w:numPr>
          <w:ilvl w:val="0"/>
          <w:numId w:val="228"/>
        </w:numPr>
        <w:rPr>
          <w:rFonts w:ascii="Arial" w:cs="Arial" w:eastAsia="Arial" w:hAnsi="Arial"/>
          <w:sz w:val="20"/>
          <w:szCs w:val="20"/>
          <w:color w:val="auto"/>
        </w:rPr>
      </w:pPr>
      <w:r>
        <w:rPr>
          <w:rFonts w:ascii="Arial" w:cs="Arial" w:eastAsia="Arial" w:hAnsi="Arial"/>
          <w:sz w:val="20"/>
          <w:szCs w:val="20"/>
          <w:color w:val="auto"/>
        </w:rPr>
        <w:t>Since December 31, 2020, there has been no material adverse change in the business, operations or condition, financial or otherwise, of the Group, taken as a whole.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0" w:lineRule="auto"/>
        <w:tabs>
          <w:tab w:leader="none" w:pos="1934"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Each of Holdings and its Material Subsidiaries has good title to, or (to the knowledge of Holdings) valid leasehold interests in, all its real and personal property (excluding intellectual property, which is considered in Section 3.05(b)) material to its business, except for minor defects in title that do not interfere with its ability to conduct its business as currently conducted or to utilize such properties for their intended purposes.</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Each of Holdings and its Subsidiaries owns without restriction, free and clear of all Liens other than Permitted Liens, or is licensed to use, all trademarks, trade names, copyrights, patents and other intellectual property used in or necessary to the business of Holdings and its Subsidiaries, except as could not, individually or in the aggregate, reasonably be expected to have a Material Adverse Effect. All such intellectual property is, to the knowledge of Holdings, valid and enforceable and all registrations and applications for such intellectual property are,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knowledge of Holdings (to the extent such intellectual property is licensed from third parties), subsisting and have not expired or been abandoned except as could not, individually or in the aggregate, reasonably be expected to have a Material Adverse Effect. Except as set</w:t>
      </w:r>
    </w:p>
    <w:p>
      <w:pPr>
        <w:spacing w:after="0" w:line="235" w:lineRule="auto"/>
        <w:rPr>
          <w:sz w:val="20"/>
          <w:szCs w:val="20"/>
          <w:color w:val="auto"/>
        </w:rPr>
      </w:pPr>
      <w:r>
        <w:rPr>
          <w:rFonts w:ascii="Arial" w:cs="Arial" w:eastAsia="Arial" w:hAnsi="Arial"/>
          <w:sz w:val="18"/>
          <w:szCs w:val="18"/>
          <w:color w:val="auto"/>
        </w:rPr>
        <w:t>forth in Schedule 3.05 attached hereto, Holdings’ Annual Report on Form 20-F for the year ended December 31, 2020 and the Target’s</w:t>
      </w:r>
    </w:p>
    <w:p>
      <w:pPr>
        <w:jc w:val="both"/>
        <w:spacing w:after="0" w:line="226" w:lineRule="auto"/>
        <w:rPr>
          <w:sz w:val="20"/>
          <w:szCs w:val="20"/>
          <w:color w:val="auto"/>
        </w:rPr>
      </w:pPr>
      <w:r>
        <w:rPr>
          <w:rFonts w:ascii="Arial" w:cs="Arial" w:eastAsia="Arial" w:hAnsi="Arial"/>
          <w:sz w:val="18"/>
          <w:szCs w:val="18"/>
          <w:color w:val="auto"/>
        </w:rPr>
        <w:t>Annual Report on Form 10-K for the year ended December 31, 2020, no claim has been asserted or is pending by any Person challenging or questioning the use, scope, validity, effectiveness or ownership of any such intellectual property or alleging infringement, misappropriation,</w:t>
      </w:r>
    </w:p>
    <w:p>
      <w:pPr>
        <w:spacing w:after="0" w:line="236" w:lineRule="auto"/>
        <w:rPr>
          <w:sz w:val="20"/>
          <w:szCs w:val="20"/>
          <w:color w:val="auto"/>
        </w:rPr>
      </w:pPr>
      <w:r>
        <w:rPr>
          <w:rFonts w:ascii="Arial" w:cs="Arial" w:eastAsia="Arial" w:hAnsi="Arial"/>
          <w:sz w:val="18"/>
          <w:szCs w:val="18"/>
          <w:color w:val="auto"/>
        </w:rPr>
        <w:t>dilution or other violation by Holdings or any of its Subsidiaries of any intellectual property owned by any other Person, nor does Holdings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know of any valid basis for any such claim, except for such claims that, individually or in the aggregate, could not reasonably be expected to result in a Material Adverse Effect. Except as would not reasonably be expected to have, individually or in the aggregate, a Material Adverse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Effect, to the knowledge of Holdings, neither Holdings, its Subsidiaries, nor the operations of their businesses infringes upon, misappropriates, dilutes or otherwise violates any intellectual property of any Person.</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Litigation, Environmental and Labor Matters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18" w:lineRule="auto"/>
        <w:tabs>
          <w:tab w:leader="none" w:pos="1934"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3.06</w:t>
      </w:r>
      <w:r>
        <w:rPr>
          <w:rFonts w:ascii="Arial" w:cs="Arial" w:eastAsia="Arial" w:hAnsi="Arial"/>
          <w:sz w:val="20"/>
          <w:szCs w:val="20"/>
          <w:color w:val="auto"/>
        </w:rPr>
        <w:t xml:space="preserve"> hereto, Holdings’ Annual Report on Form 20-F for the year ended December 31, 2020 and the Target’s Annual Report on Form 10-K for the year ended December 31, 2020, there are no actions, suits, proceedings or investigations by or before any arbitrator or Governmental Authority pending against or, to the knowledge of Holdings, threatened against or affecting Holdings or any of its Subsidiaries that could reasonably be expected, individually or in the aggregate, to result in a Material Adverse Effect.</w:t>
      </w:r>
    </w:p>
    <w:p>
      <w:pPr>
        <w:spacing w:after="0" w:line="157" w:lineRule="exact"/>
        <w:rPr>
          <w:rFonts w:ascii="Arial" w:cs="Arial" w:eastAsia="Arial" w:hAnsi="Arial"/>
          <w:sz w:val="20"/>
          <w:szCs w:val="20"/>
          <w:color w:val="auto"/>
        </w:rPr>
      </w:pPr>
    </w:p>
    <w:p>
      <w:pPr>
        <w:jc w:val="both"/>
        <w:ind w:firstLine="1304"/>
        <w:spacing w:after="0" w:line="243" w:lineRule="auto"/>
        <w:tabs>
          <w:tab w:leader="none" w:pos="193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with respect to matters that, individually or in the aggregate,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received written notice of any pending or threatened claim with respect to any Environmental Liability or (iii) has knowledge of any existing facts or circumstances that would reasonably be expected to result in Holdings or any of its Subsidiaries becoming subject to any Environmental Liability.</w:t>
      </w:r>
    </w:p>
    <w:p>
      <w:pPr>
        <w:spacing w:after="0" w:line="167" w:lineRule="exact"/>
        <w:rPr>
          <w:rFonts w:ascii="Arial" w:cs="Arial" w:eastAsia="Arial" w:hAnsi="Arial"/>
          <w:sz w:val="18"/>
          <w:szCs w:val="18"/>
          <w:color w:val="auto"/>
        </w:rPr>
      </w:pPr>
    </w:p>
    <w:p>
      <w:pPr>
        <w:jc w:val="both"/>
        <w:ind w:firstLine="1304"/>
        <w:spacing w:after="0" w:line="215" w:lineRule="auto"/>
        <w:tabs>
          <w:tab w:leader="none" w:pos="1934" w:val="left"/>
        </w:tabs>
        <w:numPr>
          <w:ilvl w:val="0"/>
          <w:numId w:val="230"/>
        </w:numPr>
        <w:rPr>
          <w:rFonts w:ascii="Arial" w:cs="Arial" w:eastAsia="Arial" w:hAnsi="Arial"/>
          <w:sz w:val="20"/>
          <w:szCs w:val="20"/>
          <w:color w:val="auto"/>
        </w:rPr>
      </w:pPr>
      <w:r>
        <w:rPr>
          <w:rFonts w:ascii="Arial" w:cs="Arial" w:eastAsia="Arial" w:hAnsi="Arial"/>
          <w:sz w:val="20"/>
          <w:szCs w:val="20"/>
          <w:color w:val="auto"/>
        </w:rPr>
        <w:t>As of the Closing Date, there are no strikes, lockouts or slowdowns against Holdings or any of its Subsidiaries pending or, to the knowledge of Holdings, threatened that have resulted in, or could reasonably be expected to result in, a Material Adverse Effect. The hours worked by and payments made to employees of Holdings and its Subsidiaries have not been in violation of the Fair Labor Standards Act or any other applicable Federal, state, local or foreign law relating to such matters that has resulted in, or could reasonably be expected to result in, a Material Adverse Effect.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3.07</w:t>
      </w:r>
      <w:r>
        <w:rPr>
          <w:sz w:val="20"/>
          <w:szCs w:val="20"/>
          <w:color w:val="auto"/>
        </w:rPr>
        <w:tab/>
      </w:r>
      <w:r>
        <w:rPr>
          <w:rFonts w:ascii="Arial" w:cs="Arial" w:eastAsia="Arial" w:hAnsi="Arial"/>
          <w:sz w:val="19"/>
          <w:szCs w:val="19"/>
          <w:u w:val="single" w:color="auto"/>
          <w:color w:val="auto"/>
        </w:rPr>
        <w:t>Compliance with Laws and Agreements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Schedule 3.07 </w:t>
      </w:r>
      <w:r>
        <w:rPr>
          <w:rFonts w:ascii="Arial" w:cs="Arial" w:eastAsia="Arial" w:hAnsi="Arial"/>
          <w:sz w:val="19"/>
          <w:szCs w:val="19"/>
          <w:color w:val="auto"/>
        </w:rPr>
        <w:t>hereto, each of Holdings and its</w:t>
      </w:r>
    </w:p>
    <w:p>
      <w:pPr>
        <w:spacing w:after="0" w:line="226" w:lineRule="auto"/>
        <w:rPr>
          <w:sz w:val="20"/>
          <w:szCs w:val="20"/>
          <w:color w:val="auto"/>
        </w:rPr>
      </w:pPr>
      <w:r>
        <w:rPr>
          <w:rFonts w:ascii="Arial" w:cs="Arial" w:eastAsia="Arial" w:hAnsi="Arial"/>
          <w:sz w:val="18"/>
          <w:szCs w:val="18"/>
          <w:color w:val="auto"/>
        </w:rPr>
        <w:t>Subsidiaries is in compliance with all laws, regulations and orders of any Governmental Authority applicable to it or its property, operations or assets and all indentures, agreements and other instruments binding upon it or its property, except where such non-compliance would not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reasonably be expected to result, individually or in the aggregate, in a Material Adverse Effect.</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None of the Loan Parties is required to be registered as an “investment company” as defined in the Investment Company Act of 1940.</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as would not reasonably be expected to result in a Material Adverse Effect, each of Holdings and its Subsidiaries has timely filed or caused to be filed all Tax returns and reports required to have been filed by it and has paid or caused to be</w:t>
      </w:r>
    </w:p>
    <w:p>
      <w:pPr>
        <w:spacing w:after="0"/>
        <w:rPr>
          <w:sz w:val="20"/>
          <w:szCs w:val="20"/>
          <w:color w:val="auto"/>
        </w:rPr>
      </w:pPr>
      <w:r>
        <w:rPr>
          <w:rFonts w:ascii="Arial" w:cs="Arial" w:eastAsia="Arial" w:hAnsi="Arial"/>
          <w:sz w:val="20"/>
          <w:szCs w:val="20"/>
          <w:color w:val="auto"/>
        </w:rPr>
        <w:t>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Taxes required to have been paid by it, except Taxes that are being contested in good faith by appropriate proceedings diligently conducted and for which Holdings or such Subsidiary, as applicable, has set aside on its books adequate reserves in accordance with, and to</w:t>
      </w:r>
    </w:p>
    <w:p>
      <w:pPr>
        <w:spacing w:after="0"/>
        <w:rPr>
          <w:sz w:val="20"/>
          <w:szCs w:val="20"/>
          <w:color w:val="auto"/>
        </w:rPr>
      </w:pPr>
      <w:r>
        <w:rPr>
          <w:rFonts w:ascii="Arial" w:cs="Arial" w:eastAsia="Arial" w:hAnsi="Arial"/>
          <w:sz w:val="20"/>
          <w:szCs w:val="20"/>
          <w:color w:val="auto"/>
        </w:rPr>
        <w:t>the extent required by, applicable accounting principles.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Except as would not, either individually or in the aggregate, reasonably be expected to result in a Material Adverse Effect, (i) each Plan is in compliance in all material respects with the applicable provisions of ERISA and the Code and the regulations and published interpretations thereunder, and (ii) all contributions required to be made under the terms of any Plan as of the date of this Agreement have been timely made, or if not yet due, have been properly reflected on the most recent consolidated balance sheet filed or incorporated by reference in the Companies’ financial statements.</w:t>
      </w:r>
    </w:p>
    <w:p>
      <w:pPr>
        <w:spacing w:after="0" w:line="170"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231"/>
        </w:numPr>
        <w:rPr>
          <w:rFonts w:ascii="Arial" w:cs="Arial" w:eastAsia="Arial" w:hAnsi="Arial"/>
          <w:sz w:val="20"/>
          <w:szCs w:val="20"/>
          <w:color w:val="auto"/>
        </w:rPr>
      </w:pPr>
      <w:r>
        <w:rPr>
          <w:rFonts w:ascii="Arial" w:cs="Arial" w:eastAsia="Arial" w:hAnsi="Arial"/>
          <w:sz w:val="20"/>
          <w:szCs w:val="20"/>
          <w:color w:val="auto"/>
        </w:rPr>
        <w:t>(i) No ERISA Event has occurred or is reasonably expected to occur and (ii) none of the Loan Parties or any of their respective ERISA Affiliates has engaged in a transaction that is subject to Sections 4069 or 4212(c) of ERISA, except, with respect to each of the foregoing clauses of this Section 3.10(b), as would not, either individually or in the aggregate, reasonably be expected to result in a Material Adverse Effect.</w:t>
      </w:r>
    </w:p>
    <w:p>
      <w:pPr>
        <w:spacing w:after="0" w:line="155" w:lineRule="exact"/>
        <w:rPr>
          <w:rFonts w:ascii="Arial" w:cs="Arial" w:eastAsia="Arial" w:hAnsi="Arial"/>
          <w:sz w:val="20"/>
          <w:szCs w:val="20"/>
          <w:color w:val="auto"/>
        </w:rPr>
      </w:pPr>
    </w:p>
    <w:p>
      <w:pPr>
        <w:jc w:val="both"/>
        <w:ind w:firstLine="1304"/>
        <w:spacing w:after="0" w:line="220" w:lineRule="auto"/>
        <w:tabs>
          <w:tab w:leader="none" w:pos="1934"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To the knowledge of Holdings and the Borrowers, there has been no prohibited transaction (within the meaning of Section 406 of ERISA or Section 4975 of the Code) with respect to any Plan, other than a transaction that is exempt under a statutory or administrative exemption, except as would not, either individually or in the aggregate, reasonably be expected to result in a Material Adverse Effect.</w:t>
      </w:r>
    </w:p>
    <w:p>
      <w:pPr>
        <w:spacing w:after="0" w:line="169" w:lineRule="exact"/>
        <w:rPr>
          <w:rFonts w:ascii="Arial" w:cs="Arial" w:eastAsia="Arial" w:hAnsi="Arial"/>
          <w:sz w:val="20"/>
          <w:szCs w:val="20"/>
          <w:color w:val="auto"/>
        </w:rPr>
      </w:pPr>
    </w:p>
    <w:p>
      <w:pPr>
        <w:jc w:val="both"/>
        <w:ind w:firstLine="1304"/>
        <w:spacing w:after="0" w:line="246" w:lineRule="auto"/>
        <w:tabs>
          <w:tab w:leader="none" w:pos="19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Except where noncompliance or the incurrence of an obligation, in each case, would not reasonably be expected to result in a Material Adverse Effect, (i) each Non-U.S. Plan and each Irish Pension Scheme has been maintained in compliance with its terms and with the requirements of any and all applicable laws, statutes, rules, regulations and orders, and (ii) neither Holdings nor any Subsidiary has incurred any obligation in connection with the termination of or withdrawal from any Non-U.S. Plan or Irish Pension Scheme.</w:t>
      </w:r>
    </w:p>
    <w:p>
      <w:pPr>
        <w:spacing w:after="0" w:line="16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factual information and data contemporaneously furnished in writing by or on behalf of any Loan Party (other than projected financial information, pro forma financial information, budgets, estimates, information based on third-party</w:t>
      </w:r>
    </w:p>
    <w:p>
      <w:pPr>
        <w:spacing w:after="0" w:line="235" w:lineRule="auto"/>
        <w:rPr>
          <w:sz w:val="20"/>
          <w:szCs w:val="20"/>
          <w:color w:val="auto"/>
        </w:rPr>
      </w:pPr>
      <w:r>
        <w:rPr>
          <w:rFonts w:ascii="Arial" w:cs="Arial" w:eastAsia="Arial" w:hAnsi="Arial"/>
          <w:sz w:val="18"/>
          <w:szCs w:val="18"/>
          <w:color w:val="auto"/>
        </w:rPr>
        <w:t>reports and information of a general economic or industry nature) to the Administrative Agent, Collateral Agent or any Lender in connection</w:t>
      </w:r>
    </w:p>
    <w:p>
      <w:pPr>
        <w:spacing w:after="0" w:line="255" w:lineRule="auto"/>
        <w:rPr>
          <w:sz w:val="20"/>
          <w:szCs w:val="20"/>
          <w:color w:val="auto"/>
        </w:rPr>
      </w:pPr>
      <w:r>
        <w:rPr>
          <w:rFonts w:ascii="Arial" w:cs="Arial" w:eastAsia="Arial" w:hAnsi="Arial"/>
          <w:sz w:val="16"/>
          <w:szCs w:val="16"/>
          <w:color w:val="auto"/>
        </w:rPr>
        <w:t>with the transactions contemplated hereby and the negotiation of this Agreement as of the Closing Date when taken as a whole contains, as of the date of such statement, certificate or other information was furnished, any material misstatement of fact or omits to state any material fact</w:t>
      </w:r>
    </w:p>
    <w:p>
      <w:pPr>
        <w:spacing w:after="0" w:line="235" w:lineRule="auto"/>
        <w:rPr>
          <w:sz w:val="20"/>
          <w:szCs w:val="20"/>
          <w:color w:val="auto"/>
        </w:rPr>
      </w:pPr>
      <w:r>
        <w:rPr>
          <w:rFonts w:ascii="Arial" w:cs="Arial" w:eastAsia="Arial" w:hAnsi="Arial"/>
          <w:sz w:val="18"/>
          <w:szCs w:val="18"/>
          <w:color w:val="auto"/>
        </w:rPr>
        <w:t>necessary to make the statements therein (when taken as a whole), in the light of the circumstances under which they were made, not</w:t>
      </w:r>
    </w:p>
    <w:p>
      <w:pPr>
        <w:spacing w:after="0" w:line="215" w:lineRule="auto"/>
        <w:rPr>
          <w:sz w:val="20"/>
          <w:szCs w:val="20"/>
          <w:color w:val="auto"/>
        </w:rPr>
      </w:pPr>
      <w:r>
        <w:rPr>
          <w:rFonts w:ascii="Arial" w:cs="Arial" w:eastAsia="Arial" w:hAnsi="Arial"/>
          <w:sz w:val="19"/>
          <w:szCs w:val="19"/>
          <w:color w:val="auto"/>
        </w:rPr>
        <w:t>materially misleading. With respect to projected financial information and pro forma financial information furnished in writing by or on behalf of any Loan Party to the Administrative Agent on or prior to the Closing Date, the Collateral Agent or any Lender, Holdings</w:t>
      </w:r>
    </w:p>
    <w:p>
      <w:pPr>
        <w:spacing w:after="0" w:line="226" w:lineRule="auto"/>
        <w:rPr>
          <w:sz w:val="20"/>
          <w:szCs w:val="20"/>
          <w:color w:val="auto"/>
        </w:rPr>
      </w:pPr>
      <w:r>
        <w:rPr>
          <w:rFonts w:ascii="Arial" w:cs="Arial" w:eastAsia="Arial" w:hAnsi="Arial"/>
          <w:sz w:val="18"/>
          <w:szCs w:val="18"/>
          <w:color w:val="auto"/>
        </w:rPr>
        <w:t>represents that such information was prepared in good faith based upon assumptions believed to be reasonable at the time such information was furnished, it being understood that such projected financial information and pro forma financial information are subject to significant</w:t>
      </w:r>
    </w:p>
    <w:p>
      <w:pPr>
        <w:spacing w:after="0" w:line="236" w:lineRule="auto"/>
        <w:rPr>
          <w:sz w:val="20"/>
          <w:szCs w:val="20"/>
          <w:color w:val="auto"/>
        </w:rPr>
      </w:pPr>
      <w:r>
        <w:rPr>
          <w:rFonts w:ascii="Arial" w:cs="Arial" w:eastAsia="Arial" w:hAnsi="Arial"/>
          <w:sz w:val="18"/>
          <w:szCs w:val="18"/>
          <w:color w:val="auto"/>
        </w:rPr>
        <w:t>uncertainties and contingencies, many of which are beyond Holdings’ control, are not to be viewed as facts, that actual results during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period or periods covered by any such information may differ from the projected results and such differences may be material, and that no assurance can be given that any projection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357"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Loan have been used or will be used, whether directly or indirectly, for any purpose that entails a violation of any of the Regulations of the Board, including Regulation T, U or X.</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To the extent the U.S. Security Agreement has been executed and delivered by the</w:t>
      </w:r>
    </w:p>
    <w:p>
      <w:pPr>
        <w:spacing w:after="0" w:line="226" w:lineRule="auto"/>
        <w:rPr>
          <w:sz w:val="20"/>
          <w:szCs w:val="20"/>
          <w:color w:val="auto"/>
        </w:rPr>
      </w:pPr>
      <w:r>
        <w:rPr>
          <w:rFonts w:ascii="Arial" w:cs="Arial" w:eastAsia="Arial" w:hAnsi="Arial"/>
          <w:sz w:val="18"/>
          <w:szCs w:val="18"/>
          <w:color w:val="auto"/>
        </w:rPr>
        <w:t>parties thereto and is then in effect, the U.S. Security Agreement will create in favor of the Collateral Agent, for the benefit of the Secured Parties, a valid and enforceable security interest in the Collateral covered thereby and (i) when the Collateral constituting certificated</w:t>
      </w:r>
    </w:p>
    <w:p>
      <w:pPr>
        <w:spacing w:after="0" w:line="236" w:lineRule="auto"/>
        <w:rPr>
          <w:sz w:val="20"/>
          <w:szCs w:val="20"/>
          <w:color w:val="auto"/>
        </w:rPr>
      </w:pPr>
      <w:r>
        <w:rPr>
          <w:rFonts w:ascii="Arial" w:cs="Arial" w:eastAsia="Arial" w:hAnsi="Arial"/>
          <w:sz w:val="18"/>
          <w:szCs w:val="18"/>
          <w:color w:val="auto"/>
        </w:rPr>
        <w:t>securities (as defined in the UCC) is delivered to the Collateral Agent, together with instruments of transfer duly endorsed in blank, the Liens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the U.S. Security Agreement will constitute a fully perfected security interest in all right, title and interest of the pledgors thereunder in such Collateral, prior and superior in right to any other Person, (ii) when a copyright security agreement is executed and delivered to the</w:t>
      </w:r>
    </w:p>
    <w:p>
      <w:pPr>
        <w:spacing w:after="0" w:line="236" w:lineRule="auto"/>
        <w:rPr>
          <w:sz w:val="20"/>
          <w:szCs w:val="20"/>
          <w:color w:val="auto"/>
        </w:rPr>
      </w:pPr>
      <w:r>
        <w:rPr>
          <w:rFonts w:ascii="Arial" w:cs="Arial" w:eastAsia="Arial" w:hAnsi="Arial"/>
          <w:sz w:val="18"/>
          <w:szCs w:val="18"/>
          <w:color w:val="auto"/>
        </w:rPr>
        <w:t>Collateral Agent and recorded with the U.S. Copyright Office, (iii) when a trademark security agreement or a patent security agreement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executed and delivered to the Collateral Agent and recorded with the U.S. Patent and Trademark Office, and (iv) (x) when financing statements in appropriate form are filed in the applicable filing offices and (y) to the extent applicable, when the registration of particulars of</w:t>
      </w:r>
    </w:p>
    <w:p>
      <w:pPr>
        <w:spacing w:after="0" w:line="224" w:lineRule="auto"/>
        <w:rPr>
          <w:sz w:val="20"/>
          <w:szCs w:val="20"/>
          <w:color w:val="auto"/>
        </w:rPr>
      </w:pPr>
      <w:r>
        <w:rPr>
          <w:rFonts w:ascii="Arial" w:cs="Arial" w:eastAsia="Arial" w:hAnsi="Arial"/>
          <w:sz w:val="19"/>
          <w:szCs w:val="19"/>
          <w:color w:val="auto"/>
        </w:rPr>
        <w:t>the U.S. Security Agreement at the Companies Registration Office of Ireland under section 409 of the Companies Act and payment of</w:t>
      </w:r>
    </w:p>
    <w:p>
      <w:pPr>
        <w:spacing w:after="0" w:line="226" w:lineRule="auto"/>
        <w:rPr>
          <w:sz w:val="20"/>
          <w:szCs w:val="20"/>
          <w:color w:val="auto"/>
        </w:rPr>
      </w:pPr>
      <w:r>
        <w:rPr>
          <w:rFonts w:ascii="Arial" w:cs="Arial" w:eastAsia="Arial" w:hAnsi="Arial"/>
          <w:sz w:val="18"/>
          <w:szCs w:val="18"/>
          <w:color w:val="auto"/>
        </w:rPr>
        <w:t>associated fees have been made and paid, the security interest created under the U.S. Security Agreement will constitute a fully perfected or recorded security interest in all right, title and interest of the Loan Parties in the remaining Collateral covered by the U.S. Security Agreement</w:t>
      </w:r>
    </w:p>
    <w:p>
      <w:pPr>
        <w:spacing w:after="0" w:line="236" w:lineRule="auto"/>
        <w:rPr>
          <w:sz w:val="20"/>
          <w:szCs w:val="20"/>
          <w:color w:val="auto"/>
        </w:rPr>
      </w:pPr>
      <w:r>
        <w:rPr>
          <w:rFonts w:ascii="Arial" w:cs="Arial" w:eastAsia="Arial" w:hAnsi="Arial"/>
          <w:sz w:val="18"/>
          <w:szCs w:val="18"/>
          <w:color w:val="auto"/>
        </w:rPr>
        <w:t>to the extent perfection can be obtained by filing UCC financing statements or filings with the U.S. Copyright Office or the U.S. Patent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Trademark Office, prior and superior to the rights of any other Person, except for (x) Permitted Liens and (y) certain items of Collateral located in or otherwise subject to foreign law where the grant of a Lien or priority and perfection thereof in accordance with the UCC may</w:t>
      </w:r>
    </w:p>
    <w:p>
      <w:pPr>
        <w:spacing w:after="0" w:line="236" w:lineRule="auto"/>
        <w:rPr>
          <w:sz w:val="20"/>
          <w:szCs w:val="20"/>
          <w:color w:val="auto"/>
        </w:rPr>
      </w:pPr>
      <w:r>
        <w:rPr>
          <w:rFonts w:ascii="Arial" w:cs="Arial" w:eastAsia="Arial" w:hAnsi="Arial"/>
          <w:sz w:val="18"/>
          <w:szCs w:val="18"/>
          <w:color w:val="auto"/>
        </w:rPr>
        <w:t>not be recognized or enforceable. For the avoidance of doubt, no Loan Party shall be required to take any action other than pursuant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UCC or recordation with the U.S. Patent and Trademark Office or U.S. Copyright Office, as applicable, to perfect or record any security interest in Collateral constituting intellectual property (including the execution of any agreement, document or other instrument governed by</w:t>
      </w:r>
    </w:p>
    <w:p>
      <w:pPr>
        <w:spacing w:after="0" w:line="213" w:lineRule="auto"/>
        <w:rPr>
          <w:sz w:val="20"/>
          <w:szCs w:val="20"/>
          <w:color w:val="auto"/>
        </w:rPr>
      </w:pPr>
      <w:r>
        <w:rPr>
          <w:rFonts w:ascii="Arial" w:cs="Arial" w:eastAsia="Arial" w:hAnsi="Arial"/>
          <w:sz w:val="20"/>
          <w:szCs w:val="20"/>
          <w:color w:val="auto"/>
        </w:rPr>
        <w:t>the law of any jurisdiction other than the United States, any State thereof or the District of Columbia). As to any Collateral, the</w:t>
      </w:r>
    </w:p>
    <w:p>
      <w:pPr>
        <w:spacing w:after="0" w:line="220" w:lineRule="auto"/>
        <w:rPr>
          <w:sz w:val="20"/>
          <w:szCs w:val="20"/>
          <w:color w:val="auto"/>
        </w:rPr>
      </w:pPr>
      <w:r>
        <w:rPr>
          <w:rFonts w:ascii="Arial" w:cs="Arial" w:eastAsia="Arial" w:hAnsi="Arial"/>
          <w:sz w:val="20"/>
          <w:szCs w:val="20"/>
          <w:color w:val="auto"/>
        </w:rPr>
        <w:t>representations and the warranties with respect thereto contained in the relevant Collateral Documents shall be true and correct in all material respects.</w:t>
      </w:r>
    </w:p>
    <w:p>
      <w:pPr>
        <w:spacing w:after="0" w:line="170"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immediately after the consummation of the Transactions, Holdings and its Subsidiaries, on a consolidated basis, are Solvent.</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Compliance with Anti-Corruption Laws and Sanctions</w:t>
      </w:r>
      <w:r>
        <w:rPr>
          <w:rFonts w:ascii="Arial" w:cs="Arial" w:eastAsia="Arial" w:hAnsi="Arial"/>
          <w:sz w:val="18"/>
          <w:szCs w:val="18"/>
          <w:color w:val="auto"/>
        </w:rPr>
        <w:t>. Neither Holdings nor any of its Restricted Subsidiaries or, to the knowledge of Holdings and the Borrowers, any of their respective Affiliates over which any of the foregoing exercises management</w:t>
      </w:r>
    </w:p>
    <w:p>
      <w:pPr>
        <w:spacing w:after="0" w:line="226" w:lineRule="auto"/>
        <w:rPr>
          <w:sz w:val="20"/>
          <w:szCs w:val="20"/>
          <w:color w:val="auto"/>
        </w:rPr>
      </w:pPr>
      <w:r>
        <w:rPr>
          <w:rFonts w:ascii="Arial" w:cs="Arial" w:eastAsia="Arial" w:hAnsi="Arial"/>
          <w:sz w:val="18"/>
          <w:szCs w:val="18"/>
          <w:color w:val="auto"/>
        </w:rPr>
        <w:t>control (each, a “</w:t>
      </w:r>
      <w:r>
        <w:rPr>
          <w:rFonts w:ascii="Arial" w:cs="Arial" w:eastAsia="Arial" w:hAnsi="Arial"/>
          <w:sz w:val="18"/>
          <w:szCs w:val="18"/>
          <w:u w:val="single" w:color="auto"/>
          <w:color w:val="auto"/>
        </w:rPr>
        <w:t>Controlled Affiliate</w:t>
      </w:r>
      <w:r>
        <w:rPr>
          <w:rFonts w:ascii="Arial" w:cs="Arial" w:eastAsia="Arial" w:hAnsi="Arial"/>
          <w:sz w:val="18"/>
          <w:szCs w:val="18"/>
          <w:color w:val="auto"/>
        </w:rPr>
        <w:t>”): (i) is the target of Sanctions; (ii) is owned or controlled by, or acts on behalf of, any Person that is the target of Sanctions; (iii) is a Sanctioned Person; (iv) is operating from, organized or resident in a Sanctioned Country; or (v) to their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knowledge, has violated Anti-Corruption Laws or Sanctions in the past five years. Holdings, its Restricted Subsidiaries and their respective Controlled Affiliates will maintain in effect and enforce policies and procedures reasonably designed to promote and ensure compliance by</w:t>
      </w:r>
    </w:p>
    <w:p>
      <w:pPr>
        <w:spacing w:after="0" w:line="236" w:lineRule="auto"/>
        <w:rPr>
          <w:sz w:val="20"/>
          <w:szCs w:val="20"/>
          <w:color w:val="auto"/>
        </w:rPr>
      </w:pPr>
      <w:r>
        <w:rPr>
          <w:rFonts w:ascii="Arial" w:cs="Arial" w:eastAsia="Arial" w:hAnsi="Arial"/>
          <w:sz w:val="18"/>
          <w:szCs w:val="18"/>
          <w:color w:val="auto"/>
        </w:rPr>
        <w:t>Holding, its Restricted Subsidiaries, their respective Controlled Affiliates, and each of their respective directors, officers, employees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agents with Anti-Corruption Laws and Sanctions. Holdings will not, directly or knowingly, indirectly, use the proceeds of the Loans or Letters of Credit, or lend, contribute or otherwise make available such proceeds to any subsidiary, joint venture partner or other Person, (i) to</w:t>
      </w:r>
    </w:p>
    <w:p>
      <w:pPr>
        <w:spacing w:after="0" w:line="236" w:lineRule="auto"/>
        <w:rPr>
          <w:sz w:val="20"/>
          <w:szCs w:val="20"/>
          <w:color w:val="auto"/>
        </w:rPr>
      </w:pPr>
      <w:r>
        <w:rPr>
          <w:rFonts w:ascii="Arial" w:cs="Arial" w:eastAsia="Arial" w:hAnsi="Arial"/>
          <w:sz w:val="18"/>
          <w:szCs w:val="18"/>
          <w:color w:val="auto"/>
        </w:rPr>
        <w:t>fund any activities or business of or with a Sanctioned Person or in a Sanctioned Country or (ii) in any other manner that would result in a</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violation of Sanctions by any Person (including any Person participating in the Loans or Letters of Credit, whether as Administrative Agent, arranger,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Bank, Lender, underwriter, advisor, investor, or otherwise). No part of the proceeds of the Loans or Letters of Credit will be used, directly or, knowingly, indirectly, for any payments to any person, including any governmental official or employee, political party, official of a political</w:t>
      </w:r>
    </w:p>
    <w:p>
      <w:pPr>
        <w:spacing w:after="0" w:line="266" w:lineRule="auto"/>
        <w:rPr>
          <w:sz w:val="20"/>
          <w:szCs w:val="20"/>
          <w:color w:val="auto"/>
        </w:rPr>
      </w:pPr>
      <w:r>
        <w:rPr>
          <w:rFonts w:ascii="Arial" w:cs="Arial" w:eastAsia="Arial" w:hAnsi="Arial"/>
          <w:sz w:val="18"/>
          <w:szCs w:val="18"/>
          <w:color w:val="auto"/>
        </w:rPr>
        <w:t>party, candidate for political office, or anyone else acting in an official capacity, in order to obtain, retain or direct business or obtain any improper advantage, in violation of Anti-Corruption Laws, including the United States Foreign Corrupt Practices Act of 1977, as amended.</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No Irish Financial Assistance</w:t>
      </w:r>
      <w:r>
        <w:rPr>
          <w:rFonts w:ascii="Arial" w:cs="Arial" w:eastAsia="Arial" w:hAnsi="Arial"/>
          <w:sz w:val="18"/>
          <w:szCs w:val="18"/>
          <w:color w:val="auto"/>
        </w:rPr>
        <w:t>. None of the proceeds of the Term Loans made on the Closing Date and the financing which is the subject matter of the Loan Documents has been used, is being used or will be used at any time in any way which would</w:t>
      </w:r>
    </w:p>
    <w:p>
      <w:pPr>
        <w:ind w:right="20"/>
        <w:spacing w:after="0" w:line="226" w:lineRule="auto"/>
        <w:rPr>
          <w:sz w:val="20"/>
          <w:szCs w:val="20"/>
          <w:color w:val="auto"/>
        </w:rPr>
      </w:pPr>
      <w:r>
        <w:rPr>
          <w:rFonts w:ascii="Arial" w:cs="Arial" w:eastAsia="Arial" w:hAnsi="Arial"/>
          <w:sz w:val="18"/>
          <w:szCs w:val="18"/>
          <w:color w:val="auto"/>
        </w:rPr>
        <w:t>constitute unlawful “financial assistance” within the meaning of, and as prohibited by, Section 82 of the Companies Act (as from time to time amended, replaced or re-enacted, “</w:t>
      </w:r>
      <w:r>
        <w:rPr>
          <w:rFonts w:ascii="Arial" w:cs="Arial" w:eastAsia="Arial" w:hAnsi="Arial"/>
          <w:sz w:val="18"/>
          <w:szCs w:val="18"/>
          <w:u w:val="single" w:color="auto"/>
          <w:color w:val="auto"/>
        </w:rPr>
        <w:t>Section 82</w:t>
      </w:r>
      <w:r>
        <w:rPr>
          <w:rFonts w:ascii="Arial" w:cs="Arial" w:eastAsia="Arial" w:hAnsi="Arial"/>
          <w:sz w:val="18"/>
          <w:szCs w:val="18"/>
          <w:color w:val="auto"/>
        </w:rPr>
        <w:t>”) or which would result in the Loan Documents or the transactions thereby recorded (including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without limitation any guarantees and indemnities thereby created) contravening Section 82.</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Luxembourg Matters</w:t>
      </w:r>
      <w:r>
        <w:rPr>
          <w:rFonts w:ascii="Arial" w:cs="Arial" w:eastAsia="Arial" w:hAnsi="Arial"/>
          <w:sz w:val="19"/>
          <w:szCs w:val="19"/>
          <w:color w:val="auto"/>
        </w:rPr>
        <w:t>. Each Luxembourg Loan Party is in compliance with all requirements of the Luxembourg legislation and regulations on the domiciliation of companies, and in particular with the Luxembourg Act dated May 31, 1999 on the</w:t>
      </w:r>
    </w:p>
    <w:p>
      <w:pPr>
        <w:spacing w:after="0" w:line="236" w:lineRule="auto"/>
        <w:rPr>
          <w:sz w:val="20"/>
          <w:szCs w:val="20"/>
          <w:color w:val="auto"/>
        </w:rPr>
      </w:pPr>
      <w:r>
        <w:rPr>
          <w:rFonts w:ascii="Arial" w:cs="Arial" w:eastAsia="Arial" w:hAnsi="Arial"/>
          <w:sz w:val="18"/>
          <w:szCs w:val="18"/>
          <w:color w:val="auto"/>
        </w:rPr>
        <w:t>domiciliation of companies, as amended from time to time, except where failure to comply with any such requirement could not reasonably</w:t>
      </w:r>
    </w:p>
    <w:p>
      <w:pPr>
        <w:spacing w:after="0" w:line="226" w:lineRule="auto"/>
        <w:rPr>
          <w:sz w:val="20"/>
          <w:szCs w:val="20"/>
          <w:color w:val="auto"/>
        </w:rPr>
      </w:pPr>
      <w:r>
        <w:rPr>
          <w:rFonts w:ascii="Arial" w:cs="Arial" w:eastAsia="Arial" w:hAnsi="Arial"/>
          <w:sz w:val="18"/>
          <w:szCs w:val="18"/>
          <w:color w:val="auto"/>
        </w:rPr>
        <w:t>be expected to result in a Material Adverse Effect. No Luxembourg Loan Party is subject to bankruptcy (</w:t>
      </w:r>
      <w:r>
        <w:rPr>
          <w:rFonts w:ascii="Arial" w:cs="Arial" w:eastAsia="Arial" w:hAnsi="Arial"/>
          <w:sz w:val="18"/>
          <w:szCs w:val="18"/>
          <w:i w:val="1"/>
          <w:iCs w:val="1"/>
          <w:color w:val="auto"/>
        </w:rPr>
        <w:t>faillite</w:t>
      </w:r>
      <w:r>
        <w:rPr>
          <w:rFonts w:ascii="Arial" w:cs="Arial" w:eastAsia="Arial" w:hAnsi="Arial"/>
          <w:sz w:val="18"/>
          <w:szCs w:val="18"/>
          <w:color w:val="auto"/>
        </w:rPr>
        <w:t>), general settlement or composition with creditors (</w:t>
      </w:r>
      <w:r>
        <w:rPr>
          <w:rFonts w:ascii="Arial" w:cs="Arial" w:eastAsia="Arial" w:hAnsi="Arial"/>
          <w:sz w:val="18"/>
          <w:szCs w:val="18"/>
          <w:i w:val="1"/>
          <w:iCs w:val="1"/>
          <w:color w:val="auto"/>
        </w:rPr>
        <w:t>concordat préventif de faillite</w:t>
      </w:r>
      <w:r>
        <w:rPr>
          <w:rFonts w:ascii="Arial" w:cs="Arial" w:eastAsia="Arial" w:hAnsi="Arial"/>
          <w:sz w:val="18"/>
          <w:szCs w:val="18"/>
          <w:color w:val="auto"/>
        </w:rPr>
        <w:t>) controlled management (</w:t>
      </w:r>
      <w:r>
        <w:rPr>
          <w:rFonts w:ascii="Arial" w:cs="Arial" w:eastAsia="Arial" w:hAnsi="Arial"/>
          <w:sz w:val="18"/>
          <w:szCs w:val="18"/>
          <w:i w:val="1"/>
          <w:iCs w:val="1"/>
          <w:color w:val="auto"/>
        </w:rPr>
        <w:t>gestion contrôlée</w:t>
      </w:r>
      <w:r>
        <w:rPr>
          <w:rFonts w:ascii="Arial" w:cs="Arial" w:eastAsia="Arial" w:hAnsi="Arial"/>
          <w:sz w:val="18"/>
          <w:szCs w:val="18"/>
          <w:color w:val="auto"/>
        </w:rPr>
        <w:t>), reprieve from payment (</w:t>
      </w:r>
      <w:r>
        <w:rPr>
          <w:rFonts w:ascii="Arial" w:cs="Arial" w:eastAsia="Arial" w:hAnsi="Arial"/>
          <w:sz w:val="18"/>
          <w:szCs w:val="18"/>
          <w:i w:val="1"/>
          <w:iCs w:val="1"/>
          <w:color w:val="auto"/>
        </w:rPr>
        <w:t>sursis de</w:t>
      </w:r>
    </w:p>
    <w:p>
      <w:pPr>
        <w:spacing w:after="0" w:line="236" w:lineRule="auto"/>
        <w:rPr>
          <w:sz w:val="20"/>
          <w:szCs w:val="20"/>
          <w:color w:val="auto"/>
        </w:rPr>
      </w:pPr>
      <w:r>
        <w:rPr>
          <w:rFonts w:ascii="Arial" w:cs="Arial" w:eastAsia="Arial" w:hAnsi="Arial"/>
          <w:sz w:val="18"/>
          <w:szCs w:val="18"/>
          <w:i w:val="1"/>
          <w:iCs w:val="1"/>
          <w:color w:val="auto"/>
        </w:rPr>
        <w:t>paiement</w:t>
      </w:r>
      <w:r>
        <w:rPr>
          <w:rFonts w:ascii="Arial" w:cs="Arial" w:eastAsia="Arial" w:hAnsi="Arial"/>
          <w:sz w:val="18"/>
          <w:szCs w:val="18"/>
          <w:color w:val="auto"/>
        </w:rPr>
        <w:t>), judicial or voluntary liquidation (</w:t>
      </w:r>
      <w:r>
        <w:rPr>
          <w:rFonts w:ascii="Arial" w:cs="Arial" w:eastAsia="Arial" w:hAnsi="Arial"/>
          <w:sz w:val="18"/>
          <w:szCs w:val="18"/>
          <w:i w:val="1"/>
          <w:iCs w:val="1"/>
          <w:color w:val="auto"/>
        </w:rPr>
        <w:t>liquidation judiciaire ou volontaire</w:t>
      </w:r>
      <w:r>
        <w:rPr>
          <w:rFonts w:ascii="Arial" w:cs="Arial" w:eastAsia="Arial" w:hAnsi="Arial"/>
          <w:sz w:val="18"/>
          <w:szCs w:val="18"/>
          <w:color w:val="auto"/>
        </w:rPr>
        <w:t>), such other proceedings listed at Articles 13, items 2 to 12,</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14 of the Luxembourg Act dated December 19, 2002 on the Register of Commerce and Companies, on Accounting and on Annual Accounts of the Companies (as amended from time to time) (and which include foreign court decisions as to </w:t>
      </w:r>
      <w:r>
        <w:rPr>
          <w:rFonts w:ascii="Arial" w:cs="Arial" w:eastAsia="Arial" w:hAnsi="Arial"/>
          <w:sz w:val="18"/>
          <w:szCs w:val="18"/>
          <w:i w:val="1"/>
          <w:iCs w:val="1"/>
          <w:color w:val="auto"/>
        </w:rPr>
        <w:t>faillite</w:t>
      </w:r>
      <w:r>
        <w:rPr>
          <w:rFonts w:ascii="Arial" w:cs="Arial" w:eastAsia="Arial" w:hAnsi="Arial"/>
          <w:sz w:val="18"/>
          <w:szCs w:val="18"/>
          <w:color w:val="auto"/>
        </w:rPr>
        <w:t xml:space="preserve">, </w:t>
      </w:r>
      <w:r>
        <w:rPr>
          <w:rFonts w:ascii="Arial" w:cs="Arial" w:eastAsia="Arial" w:hAnsi="Arial"/>
          <w:sz w:val="18"/>
          <w:szCs w:val="18"/>
          <w:i w:val="1"/>
          <w:iCs w:val="1"/>
          <w:color w:val="auto"/>
        </w:rPr>
        <w:t>concordat</w:t>
      </w:r>
      <w:r>
        <w:rPr>
          <w:rFonts w:ascii="Arial" w:cs="Arial" w:eastAsia="Arial" w:hAnsi="Arial"/>
          <w:sz w:val="18"/>
          <w:szCs w:val="18"/>
          <w:color w:val="auto"/>
        </w:rPr>
        <w:t xml:space="preserve"> or analogous</w:t>
      </w:r>
    </w:p>
    <w:p>
      <w:pPr>
        <w:spacing w:after="0" w:line="236" w:lineRule="auto"/>
        <w:rPr>
          <w:sz w:val="20"/>
          <w:szCs w:val="20"/>
          <w:color w:val="auto"/>
        </w:rPr>
      </w:pPr>
      <w:r>
        <w:rPr>
          <w:rFonts w:ascii="Arial" w:cs="Arial" w:eastAsia="Arial" w:hAnsi="Arial"/>
          <w:sz w:val="18"/>
          <w:szCs w:val="18"/>
          <w:color w:val="auto"/>
        </w:rPr>
        <w:t>procedures according to Council Regulation (EC) N° 2015/848 of May 20, 2015 on insolvency proceedings as amended (the “</w:t>
      </w:r>
      <w:r>
        <w:rPr>
          <w:rFonts w:ascii="Arial" w:cs="Arial" w:eastAsia="Arial" w:hAnsi="Arial"/>
          <w:sz w:val="18"/>
          <w:szCs w:val="18"/>
          <w:u w:val="single" w:color="auto"/>
          <w:color w:val="auto"/>
        </w:rPr>
        <w:t>Insolvency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Regulation</w:t>
      </w:r>
      <w:r>
        <w:rPr>
          <w:rFonts w:ascii="Arial" w:cs="Arial" w:eastAsia="Arial" w:hAnsi="Arial"/>
          <w:sz w:val="18"/>
          <w:szCs w:val="18"/>
          <w:color w:val="auto"/>
        </w:rPr>
        <w:t>”)). No Luxembourg Loan Party is in a state of cessation of payments (</w:t>
      </w:r>
      <w:r>
        <w:rPr>
          <w:rFonts w:ascii="Arial" w:cs="Arial" w:eastAsia="Arial" w:hAnsi="Arial"/>
          <w:sz w:val="18"/>
          <w:szCs w:val="18"/>
          <w:i w:val="1"/>
          <w:iCs w:val="1"/>
          <w:color w:val="auto"/>
        </w:rPr>
        <w:t>cessation de paiements</w:t>
      </w:r>
      <w:r>
        <w:rPr>
          <w:rFonts w:ascii="Arial" w:cs="Arial" w:eastAsia="Arial" w:hAnsi="Arial"/>
          <w:sz w:val="18"/>
          <w:szCs w:val="18"/>
          <w:color w:val="auto"/>
        </w:rPr>
        <w:t>) and no Luxembourg Loan Party has lost its creditworthiness. No application has been made by any Luxembourg Loan Party or, as far as it is aware, by any other person for</w:t>
      </w:r>
    </w:p>
    <w:p>
      <w:pPr>
        <w:spacing w:after="0" w:line="224" w:lineRule="auto"/>
        <w:rPr>
          <w:sz w:val="20"/>
          <w:szCs w:val="20"/>
          <w:color w:val="auto"/>
        </w:rPr>
      </w:pPr>
      <w:r>
        <w:rPr>
          <w:rFonts w:ascii="Arial" w:cs="Arial" w:eastAsia="Arial" w:hAnsi="Arial"/>
          <w:sz w:val="19"/>
          <w:szCs w:val="19"/>
          <w:color w:val="auto"/>
        </w:rPr>
        <w:t xml:space="preserve">the appointment of a </w:t>
      </w:r>
      <w:r>
        <w:rPr>
          <w:rFonts w:ascii="Arial" w:cs="Arial" w:eastAsia="Arial" w:hAnsi="Arial"/>
          <w:sz w:val="19"/>
          <w:szCs w:val="19"/>
          <w:i w:val="1"/>
          <w:iCs w:val="1"/>
          <w:color w:val="auto"/>
        </w:rPr>
        <w:t>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juge commissaire</w:t>
      </w:r>
      <w:r>
        <w:rPr>
          <w:rFonts w:ascii="Arial" w:cs="Arial" w:eastAsia="Arial" w:hAnsi="Arial"/>
          <w:sz w:val="19"/>
          <w:szCs w:val="19"/>
          <w:color w:val="auto"/>
        </w:rPr>
        <w:t xml:space="preserve">, </w:t>
      </w:r>
      <w:r>
        <w:rPr>
          <w:rFonts w:ascii="Arial" w:cs="Arial" w:eastAsia="Arial" w:hAnsi="Arial"/>
          <w:sz w:val="19"/>
          <w:szCs w:val="19"/>
          <w:i w:val="1"/>
          <w:iCs w:val="1"/>
          <w:color w:val="auto"/>
        </w:rPr>
        <w:t>liquidateur</w:t>
      </w:r>
      <w:r>
        <w:rPr>
          <w:rFonts w:ascii="Arial" w:cs="Arial" w:eastAsia="Arial" w:hAnsi="Arial"/>
          <w:sz w:val="19"/>
          <w:szCs w:val="19"/>
          <w:color w:val="auto"/>
        </w:rPr>
        <w:t xml:space="preserve">, </w:t>
      </w:r>
      <w:r>
        <w:rPr>
          <w:rFonts w:ascii="Arial" w:cs="Arial" w:eastAsia="Arial" w:hAnsi="Arial"/>
          <w:sz w:val="19"/>
          <w:szCs w:val="19"/>
          <w:i w:val="1"/>
          <w:iCs w:val="1"/>
          <w:color w:val="auto"/>
        </w:rPr>
        <w:t>curateur</w:t>
      </w:r>
      <w:r>
        <w:rPr>
          <w:rFonts w:ascii="Arial" w:cs="Arial" w:eastAsia="Arial" w:hAnsi="Arial"/>
          <w:sz w:val="19"/>
          <w:szCs w:val="19"/>
          <w:color w:val="auto"/>
        </w:rPr>
        <w:t xml:space="preserve"> or similar officer pursuant to any insolvency or similar</w:t>
      </w:r>
    </w:p>
    <w:p>
      <w:pPr>
        <w:spacing w:after="0" w:line="226" w:lineRule="auto"/>
        <w:rPr>
          <w:sz w:val="20"/>
          <w:szCs w:val="20"/>
          <w:color w:val="auto"/>
        </w:rPr>
      </w:pPr>
      <w:r>
        <w:rPr>
          <w:rFonts w:ascii="Arial" w:cs="Arial" w:eastAsia="Arial" w:hAnsi="Arial"/>
          <w:sz w:val="18"/>
          <w:szCs w:val="18"/>
          <w:color w:val="auto"/>
        </w:rPr>
        <w:t>proceedings. No application has been made by any Luxembourg Loan Party for a voluntary or judicial winding up or liquidation. The head office (</w:t>
      </w:r>
      <w:r>
        <w:rPr>
          <w:rFonts w:ascii="Arial" w:cs="Arial" w:eastAsia="Arial" w:hAnsi="Arial"/>
          <w:sz w:val="18"/>
          <w:szCs w:val="18"/>
          <w:i w:val="1"/>
          <w:iCs w:val="1"/>
          <w:color w:val="auto"/>
        </w:rPr>
        <w:t>administration centrale</w:t>
      </w:r>
      <w:r>
        <w:rPr>
          <w:rFonts w:ascii="Arial" w:cs="Arial" w:eastAsia="Arial" w:hAnsi="Arial"/>
          <w:sz w:val="18"/>
          <w:szCs w:val="18"/>
          <w:color w:val="auto"/>
        </w:rPr>
        <w:t>), the place of effective management (</w:t>
      </w:r>
      <w:r>
        <w:rPr>
          <w:rFonts w:ascii="Arial" w:cs="Arial" w:eastAsia="Arial" w:hAnsi="Arial"/>
          <w:sz w:val="18"/>
          <w:szCs w:val="18"/>
          <w:i w:val="1"/>
          <w:iCs w:val="1"/>
          <w:color w:val="auto"/>
        </w:rPr>
        <w:t>siège de direction effective</w:t>
      </w:r>
      <w:r>
        <w:rPr>
          <w:rFonts w:ascii="Arial" w:cs="Arial" w:eastAsia="Arial" w:hAnsi="Arial"/>
          <w:sz w:val="18"/>
          <w:szCs w:val="18"/>
          <w:color w:val="auto"/>
        </w:rPr>
        <w:t>) and (for the purposes of the Insolvency</w:t>
      </w:r>
    </w:p>
    <w:p>
      <w:pPr>
        <w:spacing w:after="0" w:line="236" w:lineRule="auto"/>
        <w:rPr>
          <w:sz w:val="20"/>
          <w:szCs w:val="20"/>
          <w:color w:val="auto"/>
        </w:rPr>
      </w:pPr>
      <w:r>
        <w:rPr>
          <w:rFonts w:ascii="Arial" w:cs="Arial" w:eastAsia="Arial" w:hAnsi="Arial"/>
          <w:sz w:val="18"/>
          <w:szCs w:val="18"/>
          <w:color w:val="auto"/>
        </w:rPr>
        <w:t>Regulation) the center of main interests (</w:t>
      </w:r>
      <w:r>
        <w:rPr>
          <w:rFonts w:ascii="Arial" w:cs="Arial" w:eastAsia="Arial" w:hAnsi="Arial"/>
          <w:sz w:val="18"/>
          <w:szCs w:val="18"/>
          <w:i w:val="1"/>
          <w:iCs w:val="1"/>
          <w:color w:val="auto"/>
        </w:rPr>
        <w:t>centre des intérets principaux</w:t>
      </w:r>
      <w:r>
        <w:rPr>
          <w:rFonts w:ascii="Arial" w:cs="Arial" w:eastAsia="Arial" w:hAnsi="Arial"/>
          <w:sz w:val="18"/>
          <w:szCs w:val="18"/>
          <w:color w:val="auto"/>
        </w:rPr>
        <w:t>) of each Luxembourg Loan Party in Luxembourg is located at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place of its registered office </w:t>
      </w:r>
      <w:r>
        <w:rPr>
          <w:rFonts w:ascii="Arial" w:cs="Arial" w:eastAsia="Arial" w:hAnsi="Arial"/>
          <w:sz w:val="18"/>
          <w:szCs w:val="18"/>
          <w:i w:val="1"/>
          <w:iCs w:val="1"/>
          <w:color w:val="auto"/>
        </w:rPr>
        <w:t>(siège statutaire</w:t>
      </w:r>
      <w:r>
        <w:rPr>
          <w:rFonts w:ascii="Arial" w:cs="Arial" w:eastAsia="Arial" w:hAnsi="Arial"/>
          <w:sz w:val="18"/>
          <w:szCs w:val="18"/>
          <w:color w:val="auto"/>
        </w:rPr>
        <w:t>) in Luxembourg and it has no “establishment” (as that term is used in Article 2(10) of the Insolvency Regulation) in any other jurisdiction. In addition, each Luxembourg Loan Party is in compliance with any reporting requirements</w:t>
      </w:r>
    </w:p>
    <w:p>
      <w:pPr>
        <w:spacing w:after="0" w:line="236" w:lineRule="auto"/>
        <w:rPr>
          <w:sz w:val="20"/>
          <w:szCs w:val="20"/>
          <w:color w:val="auto"/>
        </w:rPr>
      </w:pPr>
      <w:r>
        <w:rPr>
          <w:rFonts w:ascii="Arial" w:cs="Arial" w:eastAsia="Arial" w:hAnsi="Arial"/>
          <w:sz w:val="18"/>
          <w:szCs w:val="18"/>
          <w:color w:val="auto"/>
        </w:rPr>
        <w:t>applicable to it pursuant to the Central Bank of Luxembourg regulation 2011/8 (as amended by regulation 2014/17) or the Regulation (EU)</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No 648/2012 of the European Parliament and of the Council of 4 July 2012 on OTC derivatives, central counterparties (CCPs) and trade repositories (TRs), as amended, except where the failure to do so, individually or in the aggregate, could not reasonably be expected to result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a Material Adverse Effect.</w:t>
      </w:r>
    </w:p>
    <w:p>
      <w:pPr>
        <w:spacing w:after="0" w:line="15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To the extent applicable, each Loan Party is in compliance, in all material respects, with (i) The Trading with the Enemy Act, 50 U.S.C. §§ 1701 </w:t>
      </w:r>
      <w:r>
        <w:rPr>
          <w:rFonts w:ascii="Arial" w:cs="Arial" w:eastAsia="Arial" w:hAnsi="Arial"/>
          <w:sz w:val="18"/>
          <w:szCs w:val="18"/>
          <w:i w:val="1"/>
          <w:iCs w:val="1"/>
          <w:color w:val="auto"/>
        </w:rPr>
        <w:t>et seq.</w:t>
      </w:r>
      <w:r>
        <w:rPr>
          <w:rFonts w:ascii="Arial" w:cs="Arial" w:eastAsia="Arial" w:hAnsi="Arial"/>
          <w:sz w:val="18"/>
          <w:szCs w:val="18"/>
          <w:color w:val="auto"/>
        </w:rPr>
        <w:t>, as amended, and each of the foreign assets control regulations of the United</w:t>
      </w:r>
    </w:p>
    <w:p>
      <w:pPr>
        <w:ind w:right="20"/>
        <w:spacing w:after="0" w:line="220" w:lineRule="auto"/>
        <w:rPr>
          <w:sz w:val="20"/>
          <w:szCs w:val="20"/>
          <w:color w:val="auto"/>
        </w:rPr>
      </w:pPr>
      <w:r>
        <w:rPr>
          <w:rFonts w:ascii="Arial" w:cs="Arial" w:eastAsia="Arial" w:hAnsi="Arial"/>
          <w:sz w:val="20"/>
          <w:szCs w:val="20"/>
          <w:color w:val="auto"/>
        </w:rPr>
        <w:t>States Treasury Department (31 CFR, Subtitle B, Chapter V, as amended) and any other enabling legislation or executive order relating thereto, and (ii)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35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IV</w:t>
      </w:r>
    </w:p>
    <w:p>
      <w:pPr>
        <w:spacing w:after="0" w:line="148" w:lineRule="exact"/>
        <w:rPr>
          <w:sz w:val="20"/>
          <w:szCs w:val="20"/>
          <w:color w:val="auto"/>
        </w:rPr>
      </w:pPr>
    </w:p>
    <w:p>
      <w:pPr>
        <w:ind w:left="5180"/>
        <w:spacing w:after="0"/>
        <w:rPr>
          <w:sz w:val="20"/>
          <w:szCs w:val="20"/>
          <w:color w:val="auto"/>
        </w:rPr>
      </w:pPr>
      <w:r>
        <w:rPr>
          <w:rFonts w:ascii="Arial" w:cs="Arial" w:eastAsia="Arial" w:hAnsi="Arial"/>
          <w:sz w:val="20"/>
          <w:szCs w:val="20"/>
          <w:u w:val="single" w:color="auto"/>
          <w:color w:val="auto"/>
        </w:rPr>
        <w:t>Conditions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9"/>
          <w:szCs w:val="19"/>
          <w:u w:val="single" w:color="auto"/>
          <w:color w:val="auto"/>
        </w:rPr>
        <w:t>Conditions Precedent to the Closing Date</w:t>
      </w:r>
      <w:r>
        <w:rPr>
          <w:rFonts w:ascii="Arial" w:cs="Arial" w:eastAsia="Arial" w:hAnsi="Arial"/>
          <w:sz w:val="19"/>
          <w:szCs w:val="19"/>
          <w:color w:val="auto"/>
        </w:rPr>
        <w:t>. The obligations of the Lenders to extend Loans in respect of the</w:t>
      </w:r>
    </w:p>
    <w:p>
      <w:pPr>
        <w:spacing w:after="0" w:line="220" w:lineRule="auto"/>
        <w:rPr>
          <w:sz w:val="20"/>
          <w:szCs w:val="20"/>
          <w:color w:val="auto"/>
        </w:rPr>
      </w:pPr>
      <w:r>
        <w:rPr>
          <w:rFonts w:ascii="Arial" w:cs="Arial" w:eastAsia="Arial" w:hAnsi="Arial"/>
          <w:sz w:val="20"/>
          <w:szCs w:val="20"/>
          <w:color w:val="auto"/>
        </w:rPr>
        <w:t>Commitments on the date of the first Borrowing hereunder are subject to the satisfaction of the following conditions precedent, subject to the next to last paragraph of this Section 4.01:</w:t>
      </w:r>
    </w:p>
    <w:p>
      <w:pPr>
        <w:spacing w:after="0" w:line="170" w:lineRule="exact"/>
        <w:rPr>
          <w:sz w:val="20"/>
          <w:szCs w:val="20"/>
          <w:color w:val="auto"/>
        </w:rPr>
      </w:pPr>
    </w:p>
    <w:p>
      <w:pPr>
        <w:jc w:val="both"/>
        <w:ind w:firstLine="1304"/>
        <w:spacing w:after="0" w:line="231" w:lineRule="auto"/>
        <w:tabs>
          <w:tab w:leader="none" w:pos="1934"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Execution</w:t>
      </w:r>
      <w:r>
        <w:rPr>
          <w:rFonts w:ascii="Arial" w:cs="Arial" w:eastAsia="Arial" w:hAnsi="Arial"/>
          <w:sz w:val="19"/>
          <w:szCs w:val="19"/>
          <w:color w:val="auto"/>
        </w:rPr>
        <w:t>. The Administrative Agent (or its counsel) shall have received (i) this Agreement, executed and delivered by a duly authorized officer of Holdings, each Borrower and each Guarantor, (ii) the U.S. Security Agreement, executed and delivered by a duly authorized officer of the U.S. Borrower and each Guarantor organized in the United States and (iii) each of the Foreign Security Documents, executed and delivered by a duly authorized officer of the Borrowers or Holdings (as appropriate).</w:t>
      </w:r>
    </w:p>
    <w:p>
      <w:pPr>
        <w:spacing w:after="0" w:line="171" w:lineRule="exact"/>
        <w:rPr>
          <w:rFonts w:ascii="Arial" w:cs="Arial" w:eastAsia="Arial" w:hAnsi="Arial"/>
          <w:sz w:val="19"/>
          <w:szCs w:val="19"/>
          <w:color w:val="auto"/>
        </w:rPr>
      </w:pPr>
    </w:p>
    <w:p>
      <w:pPr>
        <w:jc w:val="both"/>
        <w:ind w:firstLine="1304"/>
        <w:spacing w:after="0" w:line="232" w:lineRule="auto"/>
        <w:tabs>
          <w:tab w:leader="none" w:pos="193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and Necessary Consents</w:t>
      </w:r>
      <w:r>
        <w:rPr>
          <w:rFonts w:ascii="Arial" w:cs="Arial" w:eastAsia="Arial" w:hAnsi="Arial"/>
          <w:sz w:val="18"/>
          <w:szCs w:val="18"/>
          <w:color w:val="auto"/>
        </w:rPr>
        <w:t>. The Administrative Agent shall have received (i) a copy of the certificate of incorporation, memorandum of association or articles of incorporation and all applicable, if any, certificates of incorporation on a change of name or certificates of re-registration or other formation documents, including all amendments thereto, of each Loan Party as of the Closing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 (ii) a certificate of the secretary or assistant secretary or director of each Loan Party as of the Closing Date dated the Closing Date and certifying (A) that attached thereto is a true and complete copy of the by-laws (or similar governing documentation) of such Loan Party as in effect on the Closing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Loan Documents to which such Person is a party, (in the case of each Borrower) the borrowings hereunder, (in the case of each such Loan Party) the granting of the Liens contemplated to be granted by it under the Collateral Documents and (in the case of each Guarantor) the Guaranteeing of the Secured Obligations as contemplated by this Agreement, the Collateral Documents and other Loan Documents, and that such resolutions have not been 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and (iii) a certificate of another officer as to the incumbency and specimen signature of the secretary or assistant secretary (or manager or director, if applicable) executing the certificate pursuant to clause (ii) above.</w:t>
      </w:r>
    </w:p>
    <w:p>
      <w:pPr>
        <w:spacing w:after="0" w:line="158" w:lineRule="exact"/>
        <w:rPr>
          <w:rFonts w:ascii="Arial" w:cs="Arial" w:eastAsia="Arial" w:hAnsi="Arial"/>
          <w:sz w:val="18"/>
          <w:szCs w:val="18"/>
          <w:color w:val="auto"/>
        </w:rPr>
      </w:pPr>
    </w:p>
    <w:p>
      <w:pPr>
        <w:jc w:val="both"/>
        <w:ind w:firstLine="1304"/>
        <w:spacing w:after="0" w:line="220" w:lineRule="auto"/>
        <w:tabs>
          <w:tab w:leader="none" w:pos="1934"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KYC</w:t>
      </w:r>
      <w:r>
        <w:rPr>
          <w:rFonts w:ascii="Arial" w:cs="Arial" w:eastAsia="Arial" w:hAnsi="Arial"/>
          <w:sz w:val="20"/>
          <w:szCs w:val="20"/>
          <w:color w:val="auto"/>
        </w:rPr>
        <w:t>. To the extent requested at least 10 business days prior to the Closing Date, the Lenders shall have received all documentation and other information required by bank regulatory authorities under applicable “know-your-customer” and anti-money laundering rules and regulations, including the Patriot Act and, if applicable, the requirements of 31 C.F.R. § 1010.230, at least three business days prior to the Closing Date.</w:t>
      </w:r>
    </w:p>
    <w:p>
      <w:pPr>
        <w:spacing w:after="0" w:line="169" w:lineRule="exact"/>
        <w:rPr>
          <w:rFonts w:ascii="Arial" w:cs="Arial" w:eastAsia="Arial" w:hAnsi="Arial"/>
          <w:sz w:val="20"/>
          <w:szCs w:val="20"/>
          <w:color w:val="auto"/>
        </w:rPr>
      </w:pPr>
    </w:p>
    <w:p>
      <w:pPr>
        <w:ind w:left="1940" w:hanging="636"/>
        <w:spacing w:after="0"/>
        <w:tabs>
          <w:tab w:leader="none" w:pos="1940" w:val="left"/>
        </w:tabs>
        <w:numPr>
          <w:ilvl w:val="0"/>
          <w:numId w:val="232"/>
        </w:numPr>
        <w:rPr>
          <w:rFonts w:ascii="Arial" w:cs="Arial" w:eastAsia="Arial" w:hAnsi="Arial"/>
          <w:sz w:val="20"/>
          <w:szCs w:val="20"/>
          <w:color w:val="auto"/>
        </w:rPr>
      </w:pPr>
      <w:r>
        <w:rPr>
          <w:rFonts w:ascii="Arial" w:cs="Arial" w:eastAsia="Arial" w:hAnsi="Arial"/>
          <w:sz w:val="20"/>
          <w:szCs w:val="20"/>
          <w:u w:val="single" w:color="auto"/>
          <w:color w:val="auto"/>
        </w:rPr>
        <w:t>Additional Requirements for Foreign Subsidiary Guarantors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357" w:lineRule="exact"/>
        <w:rPr>
          <w:sz w:val="20"/>
          <w:szCs w:val="20"/>
          <w:color w:val="auto"/>
        </w:rPr>
      </w:pPr>
    </w:p>
    <w:p>
      <w:pPr>
        <w:jc w:val="both"/>
        <w:ind w:left="-460" w:firstLine="1292"/>
        <w:spacing w:after="0" w:line="223" w:lineRule="auto"/>
        <w:tabs>
          <w:tab w:leader="none" w:pos="1482"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in respect of each Luxembourg Loan Party, a manager’s certificate in a form satisfactory to the Administrative Agent, dated as of the Closing Date and signed by a manager of each such Luxembourg Loan Party, certifying, </w:t>
      </w:r>
      <w:r>
        <w:rPr>
          <w:rFonts w:ascii="Arial" w:cs="Arial" w:eastAsia="Arial" w:hAnsi="Arial"/>
          <w:sz w:val="20"/>
          <w:szCs w:val="20"/>
          <w:i w:val="1"/>
          <w:iCs w:val="1"/>
          <w:color w:val="auto"/>
        </w:rPr>
        <w:t>inter alia</w:t>
      </w:r>
      <w:r>
        <w:rPr>
          <w:rFonts w:ascii="Arial" w:cs="Arial" w:eastAsia="Arial" w:hAnsi="Arial"/>
          <w:sz w:val="20"/>
          <w:szCs w:val="20"/>
          <w:color w:val="auto"/>
        </w:rPr>
        <w:t>, the following items:</w:t>
      </w:r>
    </w:p>
    <w:p>
      <w:pPr>
        <w:spacing w:after="0" w:line="168" w:lineRule="exact"/>
        <w:rPr>
          <w:rFonts w:ascii="Arial" w:cs="Arial" w:eastAsia="Arial" w:hAnsi="Arial"/>
          <w:sz w:val="20"/>
          <w:szCs w:val="20"/>
          <w:color w:val="auto"/>
        </w:rPr>
      </w:pPr>
    </w:p>
    <w:p>
      <w:pPr>
        <w:ind w:left="2120" w:hanging="640"/>
        <w:spacing w:after="0"/>
        <w:tabs>
          <w:tab w:leader="none" w:pos="21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true, correct, complete and up-to-date copy of its articles of association;</w:t>
      </w:r>
    </w:p>
    <w:p>
      <w:pPr>
        <w:spacing w:after="0" w:line="175" w:lineRule="exact"/>
        <w:rPr>
          <w:rFonts w:ascii="Arial" w:cs="Arial" w:eastAsia="Arial" w:hAnsi="Arial"/>
          <w:sz w:val="20"/>
          <w:szCs w:val="20"/>
          <w:color w:val="auto"/>
        </w:rPr>
      </w:pPr>
    </w:p>
    <w:p>
      <w:pPr>
        <w:ind w:left="180" w:firstLine="1300"/>
        <w:spacing w:after="0" w:line="236" w:lineRule="auto"/>
        <w:tabs>
          <w:tab w:leader="none" w:pos="2118" w:val="left"/>
        </w:tabs>
        <w:numPr>
          <w:ilvl w:val="1"/>
          <w:numId w:val="233"/>
        </w:numPr>
        <w:rPr>
          <w:rFonts w:ascii="Arial" w:cs="Arial" w:eastAsia="Arial" w:hAnsi="Arial"/>
          <w:sz w:val="20"/>
          <w:szCs w:val="20"/>
          <w:color w:val="auto"/>
        </w:rPr>
      </w:pPr>
      <w:r>
        <w:rPr>
          <w:rFonts w:ascii="Arial" w:cs="Arial" w:eastAsia="Arial" w:hAnsi="Arial"/>
          <w:sz w:val="20"/>
          <w:szCs w:val="20"/>
          <w:color w:val="auto"/>
        </w:rPr>
        <w:t xml:space="preserve">a true, correct, complete and up-to-date copy of the resolutions of the board of managers of each Luxembourg Loan Party approving, </w:t>
      </w:r>
      <w:r>
        <w:rPr>
          <w:rFonts w:ascii="Arial" w:cs="Arial" w:eastAsia="Arial" w:hAnsi="Arial"/>
          <w:sz w:val="20"/>
          <w:szCs w:val="20"/>
          <w:i w:val="1"/>
          <w:iCs w:val="1"/>
          <w:color w:val="auto"/>
        </w:rPr>
        <w:t>inter alia</w:t>
      </w:r>
      <w:r>
        <w:rPr>
          <w:rFonts w:ascii="Arial" w:cs="Arial" w:eastAsia="Arial" w:hAnsi="Arial"/>
          <w:sz w:val="20"/>
          <w:szCs w:val="20"/>
          <w:color w:val="auto"/>
        </w:rPr>
        <w:t>, its entry into the Loan Documents to which it is a party;</w:t>
      </w:r>
    </w:p>
    <w:p>
      <w:pPr>
        <w:spacing w:after="0" w:line="168" w:lineRule="exact"/>
        <w:rPr>
          <w:rFonts w:ascii="Arial" w:cs="Arial" w:eastAsia="Arial" w:hAnsi="Arial"/>
          <w:sz w:val="20"/>
          <w:szCs w:val="20"/>
          <w:color w:val="auto"/>
        </w:rPr>
      </w:pPr>
    </w:p>
    <w:p>
      <w:pPr>
        <w:ind w:left="180" w:right="20" w:firstLine="1300"/>
        <w:spacing w:after="0" w:line="229" w:lineRule="auto"/>
        <w:tabs>
          <w:tab w:leader="none" w:pos="2118"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true, correct, complete and up-to-date copy of an excerpt of the Luxembourg Companies Register dated on the Closing Date or at the earliest one (1) Business Day before the Closing Date;</w:t>
      </w:r>
    </w:p>
    <w:p>
      <w:pPr>
        <w:spacing w:after="0" w:line="168" w:lineRule="exact"/>
        <w:rPr>
          <w:rFonts w:ascii="Arial" w:cs="Arial" w:eastAsia="Arial" w:hAnsi="Arial"/>
          <w:sz w:val="20"/>
          <w:szCs w:val="20"/>
          <w:color w:val="auto"/>
        </w:rPr>
      </w:pPr>
    </w:p>
    <w:p>
      <w:pPr>
        <w:jc w:val="both"/>
        <w:ind w:left="180" w:firstLine="1300"/>
        <w:spacing w:after="0" w:line="223" w:lineRule="auto"/>
        <w:tabs>
          <w:tab w:leader="none" w:pos="2115"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true, correct, complete and up-to-date copy of a certified true certificate of non-registration of judgments (</w:t>
      </w:r>
      <w:r>
        <w:rPr>
          <w:rFonts w:ascii="Arial" w:cs="Arial" w:eastAsia="Arial" w:hAnsi="Arial"/>
          <w:sz w:val="20"/>
          <w:szCs w:val="20"/>
          <w:i w:val="1"/>
          <w:iCs w:val="1"/>
          <w:color w:val="auto"/>
        </w:rPr>
        <w:t>certificat de non-inscription d’une décision judiciaire</w:t>
      </w:r>
      <w:r>
        <w:rPr>
          <w:rFonts w:ascii="Arial" w:cs="Arial" w:eastAsia="Arial" w:hAnsi="Arial"/>
          <w:sz w:val="20"/>
          <w:szCs w:val="20"/>
          <w:color w:val="auto"/>
        </w:rPr>
        <w:t>) dated on the Closing Date or at the earliest one (1) Business Day before the Closing Date, issued by the Luxembourg Companies Register;</w:t>
      </w:r>
    </w:p>
    <w:p>
      <w:pPr>
        <w:spacing w:after="0" w:line="157" w:lineRule="exact"/>
        <w:rPr>
          <w:rFonts w:ascii="Arial" w:cs="Arial" w:eastAsia="Arial" w:hAnsi="Arial"/>
          <w:sz w:val="20"/>
          <w:szCs w:val="20"/>
          <w:color w:val="auto"/>
        </w:rPr>
      </w:pPr>
    </w:p>
    <w:p>
      <w:pPr>
        <w:ind w:left="2120" w:hanging="640"/>
        <w:spacing w:after="0"/>
        <w:tabs>
          <w:tab w:leader="none" w:pos="21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true, correct, complete and up-to-date copy of the specimen signatures of all authorized</w:t>
      </w:r>
    </w:p>
    <w:p>
      <w:pPr>
        <w:ind w:left="180"/>
        <w:spacing w:after="0"/>
        <w:rPr>
          <w:rFonts w:ascii="Arial" w:cs="Arial" w:eastAsia="Arial" w:hAnsi="Arial"/>
          <w:sz w:val="20"/>
          <w:szCs w:val="20"/>
          <w:color w:val="auto"/>
        </w:rPr>
      </w:pPr>
      <w:r>
        <w:rPr>
          <w:rFonts w:ascii="Arial" w:cs="Arial" w:eastAsia="Arial" w:hAnsi="Arial"/>
          <w:sz w:val="20"/>
          <w:szCs w:val="20"/>
          <w:color w:val="auto"/>
        </w:rPr>
        <w:t>signatories;</w:t>
      </w:r>
    </w:p>
    <w:p>
      <w:pPr>
        <w:spacing w:after="0" w:line="159" w:lineRule="exact"/>
        <w:rPr>
          <w:rFonts w:ascii="Arial" w:cs="Arial" w:eastAsia="Arial" w:hAnsi="Arial"/>
          <w:sz w:val="20"/>
          <w:szCs w:val="20"/>
          <w:color w:val="auto"/>
        </w:rPr>
      </w:pPr>
    </w:p>
    <w:p>
      <w:pPr>
        <w:ind w:left="180" w:firstLine="1300"/>
        <w:spacing w:after="0" w:line="285" w:lineRule="auto"/>
        <w:tabs>
          <w:tab w:leader="none" w:pos="212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each Luxembourg Loan Party complies with, and adheres to, the provisions applicable to it of the Luxembourg Law dated May 31, 1999 concerning the domiciliation of companies, as amended and the relevant regulations;</w:t>
      </w:r>
    </w:p>
    <w:p>
      <w:pPr>
        <w:spacing w:after="0" w:line="129" w:lineRule="exact"/>
        <w:rPr>
          <w:rFonts w:ascii="Arial" w:cs="Arial" w:eastAsia="Arial" w:hAnsi="Arial"/>
          <w:sz w:val="18"/>
          <w:szCs w:val="18"/>
          <w:color w:val="auto"/>
        </w:rPr>
      </w:pPr>
    </w:p>
    <w:p>
      <w:pPr>
        <w:ind w:left="180" w:right="20" w:firstLine="1300"/>
        <w:spacing w:after="0" w:line="269" w:lineRule="auto"/>
        <w:tabs>
          <w:tab w:leader="none" w:pos="211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entry by such Luxembourg Loan Party into the Loan Documents to which it is a party would not cause any borrowing, guaranteeing, security or similar limit binding on such Luxembourg Loan Party to be exceeded; and</w:t>
      </w:r>
    </w:p>
    <w:p>
      <w:pPr>
        <w:spacing w:after="0" w:line="143" w:lineRule="exact"/>
        <w:rPr>
          <w:rFonts w:ascii="Arial" w:cs="Arial" w:eastAsia="Arial" w:hAnsi="Arial"/>
          <w:sz w:val="18"/>
          <w:szCs w:val="18"/>
          <w:color w:val="auto"/>
        </w:rPr>
      </w:pPr>
    </w:p>
    <w:p>
      <w:pPr>
        <w:ind w:left="180" w:firstLine="1300"/>
        <w:spacing w:after="0" w:line="257" w:lineRule="auto"/>
        <w:tabs>
          <w:tab w:leader="none" w:pos="2115" w:val="left"/>
        </w:tabs>
        <w:numPr>
          <w:ilvl w:val="1"/>
          <w:numId w:val="233"/>
        </w:numPr>
        <w:rPr>
          <w:rFonts w:ascii="Arial" w:cs="Arial" w:eastAsia="Arial" w:hAnsi="Arial"/>
          <w:sz w:val="19"/>
          <w:szCs w:val="19"/>
          <w:color w:val="auto"/>
        </w:rPr>
      </w:pPr>
      <w:r>
        <w:rPr>
          <w:rFonts w:ascii="Arial" w:cs="Arial" w:eastAsia="Arial" w:hAnsi="Arial"/>
          <w:sz w:val="19"/>
          <w:szCs w:val="19"/>
          <w:color w:val="auto"/>
        </w:rPr>
        <w:t>each copy document relating to it specified in the manager’s certificate is correct, complete and in full force and effect and has not been amended or superseded as at a date no earlier than the Closing Date.</w:t>
      </w:r>
    </w:p>
    <w:p>
      <w:pPr>
        <w:spacing w:after="0" w:line="139" w:lineRule="exact"/>
        <w:rPr>
          <w:rFonts w:ascii="Arial" w:cs="Arial" w:eastAsia="Arial" w:hAnsi="Arial"/>
          <w:sz w:val="19"/>
          <w:szCs w:val="19"/>
          <w:color w:val="auto"/>
        </w:rPr>
      </w:pPr>
    </w:p>
    <w:p>
      <w:pPr>
        <w:jc w:val="both"/>
        <w:ind w:left="-460" w:firstLine="1292"/>
        <w:spacing w:after="0" w:line="227" w:lineRule="auto"/>
        <w:tabs>
          <w:tab w:leader="none" w:pos="1483"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in respect of each Guarantor organized under the laws of Ireland, a director’s certificate in a form satisfactory to the Administrative Agent, dated as of the Closing Date and signed by a director or secretary of such Guarantor, certifying, </w:t>
      </w:r>
      <w:r>
        <w:rPr>
          <w:rFonts w:ascii="Arial" w:cs="Arial" w:eastAsia="Arial" w:hAnsi="Arial"/>
          <w:sz w:val="20"/>
          <w:szCs w:val="20"/>
          <w:i w:val="1"/>
          <w:iCs w:val="1"/>
          <w:color w:val="auto"/>
        </w:rPr>
        <w:t>inter alia</w:t>
      </w:r>
      <w:r>
        <w:rPr>
          <w:rFonts w:ascii="Arial" w:cs="Arial" w:eastAsia="Arial" w:hAnsi="Arial"/>
          <w:sz w:val="20"/>
          <w:szCs w:val="20"/>
          <w:color w:val="auto"/>
        </w:rPr>
        <w:t>, the following items</w:t>
      </w:r>
    </w:p>
    <w:p>
      <w:pPr>
        <w:spacing w:after="0" w:line="157" w:lineRule="exact"/>
        <w:rPr>
          <w:rFonts w:ascii="Arial" w:cs="Arial" w:eastAsia="Arial" w:hAnsi="Arial"/>
          <w:sz w:val="20"/>
          <w:szCs w:val="20"/>
          <w:color w:val="auto"/>
        </w:rPr>
      </w:pPr>
    </w:p>
    <w:p>
      <w:pPr>
        <w:ind w:left="2120" w:hanging="640"/>
        <w:spacing w:after="0"/>
        <w:tabs>
          <w:tab w:leader="none" w:pos="212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that the entry by such Guarantor into the Loan Documents would:</w:t>
      </w:r>
    </w:p>
    <w:p>
      <w:pPr>
        <w:spacing w:after="0" w:line="188" w:lineRule="exact"/>
        <w:rPr>
          <w:rFonts w:ascii="Arial" w:cs="Arial" w:eastAsia="Arial" w:hAnsi="Arial"/>
          <w:sz w:val="20"/>
          <w:szCs w:val="20"/>
          <w:color w:val="auto"/>
        </w:rPr>
      </w:pPr>
    </w:p>
    <w:p>
      <w:pPr>
        <w:ind w:left="2760" w:hanging="632"/>
        <w:spacing w:after="0"/>
        <w:tabs>
          <w:tab w:leader="none" w:pos="276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not cause any borrowing, guaranteeing, security or similar limit binding on such Guarantor</w:t>
      </w:r>
    </w:p>
    <w:p>
      <w:pPr>
        <w:spacing w:after="0" w:line="1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color w:val="auto"/>
        </w:rPr>
        <w:t>to be exceeded;</w:t>
      </w:r>
    </w:p>
    <w:p>
      <w:pPr>
        <w:spacing w:after="0" w:line="159" w:lineRule="exact"/>
        <w:rPr>
          <w:rFonts w:ascii="Arial" w:cs="Arial" w:eastAsia="Arial" w:hAnsi="Arial"/>
          <w:sz w:val="18"/>
          <w:szCs w:val="18"/>
          <w:color w:val="auto"/>
        </w:rPr>
      </w:pPr>
    </w:p>
    <w:p>
      <w:pPr>
        <w:ind w:left="2760" w:hanging="632"/>
        <w:spacing w:after="0"/>
        <w:tabs>
          <w:tab w:leader="none" w:pos="2760" w:val="left"/>
        </w:tabs>
        <w:numPr>
          <w:ilvl w:val="2"/>
          <w:numId w:val="233"/>
        </w:numPr>
        <w:rPr>
          <w:rFonts w:ascii="Arial" w:cs="Arial" w:eastAsia="Arial" w:hAnsi="Arial"/>
          <w:sz w:val="20"/>
          <w:szCs w:val="20"/>
          <w:color w:val="auto"/>
        </w:rPr>
      </w:pPr>
      <w:r>
        <w:rPr>
          <w:rFonts w:ascii="Arial" w:cs="Arial" w:eastAsia="Arial" w:hAnsi="Arial"/>
          <w:sz w:val="20"/>
          <w:szCs w:val="20"/>
          <w:color w:val="auto"/>
        </w:rPr>
        <w:t>not constitute unlawful financial assistance for the purposes of Section 82;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0120"/>
          </w:cols>
          <w:pgMar w:left="1440" w:top="1440" w:right="339" w:bottom="1440" w:gutter="0" w:footer="0" w:header="0"/>
        </w:sectPr>
      </w:pPr>
    </w:p>
    <w:bookmarkStart w:id="308" w:name="page309"/>
    <w:bookmarkEnd w:id="308"/>
    <w:p>
      <w:pPr>
        <w:spacing w:after="0" w:line="357" w:lineRule="exact"/>
        <w:rPr>
          <w:sz w:val="20"/>
          <w:szCs w:val="20"/>
          <w:color w:val="auto"/>
        </w:rPr>
      </w:pPr>
    </w:p>
    <w:p>
      <w:pPr>
        <w:ind w:left="3880" w:hanging="632"/>
        <w:spacing w:after="0"/>
        <w:tabs>
          <w:tab w:leader="none" w:pos="3880" w:val="left"/>
        </w:tabs>
        <w:numPr>
          <w:ilvl w:val="2"/>
          <w:numId w:val="234"/>
        </w:numPr>
        <w:rPr>
          <w:rFonts w:ascii="Arial" w:cs="Arial" w:eastAsia="Arial" w:hAnsi="Arial"/>
          <w:sz w:val="20"/>
          <w:szCs w:val="20"/>
          <w:color w:val="auto"/>
        </w:rPr>
      </w:pPr>
      <w:r>
        <w:rPr>
          <w:rFonts w:ascii="Arial" w:cs="Arial" w:eastAsia="Arial" w:hAnsi="Arial"/>
          <w:sz w:val="20"/>
          <w:szCs w:val="20"/>
          <w:color w:val="auto"/>
        </w:rPr>
        <w:t>not be prohibited by Section 239 of the Companies Act;</w:t>
      </w:r>
    </w:p>
    <w:p>
      <w:pPr>
        <w:spacing w:after="0" w:line="175" w:lineRule="exact"/>
        <w:rPr>
          <w:rFonts w:ascii="Arial" w:cs="Arial" w:eastAsia="Arial" w:hAnsi="Arial"/>
          <w:sz w:val="20"/>
          <w:szCs w:val="20"/>
          <w:color w:val="auto"/>
        </w:rPr>
      </w:pPr>
    </w:p>
    <w:p>
      <w:pPr>
        <w:ind w:left="3240" w:hanging="640"/>
        <w:spacing w:after="0"/>
        <w:tabs>
          <w:tab w:leader="none" w:pos="324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a true, correct and up-to-date list of the present directors and secretary of such Guarantor;</w:t>
      </w:r>
    </w:p>
    <w:p>
      <w:pPr>
        <w:spacing w:after="0" w:line="188" w:lineRule="exact"/>
        <w:rPr>
          <w:rFonts w:ascii="Arial" w:cs="Arial" w:eastAsia="Arial" w:hAnsi="Arial"/>
          <w:sz w:val="20"/>
          <w:szCs w:val="20"/>
          <w:color w:val="auto"/>
        </w:rPr>
      </w:pPr>
    </w:p>
    <w:p>
      <w:pPr>
        <w:jc w:val="both"/>
        <w:ind w:left="1300" w:firstLine="1300"/>
        <w:spacing w:after="0" w:line="235" w:lineRule="auto"/>
        <w:tabs>
          <w:tab w:leader="none" w:pos="3238" w:val="left"/>
        </w:tabs>
        <w:numPr>
          <w:ilvl w:val="1"/>
          <w:numId w:val="235"/>
        </w:numPr>
        <w:rPr>
          <w:rFonts w:ascii="Arial" w:cs="Arial" w:eastAsia="Arial" w:hAnsi="Arial"/>
          <w:sz w:val="19"/>
          <w:szCs w:val="19"/>
          <w:color w:val="auto"/>
        </w:rPr>
      </w:pPr>
      <w:r>
        <w:rPr>
          <w:rFonts w:ascii="Arial" w:cs="Arial" w:eastAsia="Arial" w:hAnsi="Arial"/>
          <w:sz w:val="19"/>
          <w:szCs w:val="19"/>
          <w:color w:val="auto"/>
        </w:rPr>
        <w:t>that neither the Guarantor nor any of its directors or secretaries, is a company or a person to whom either Chapter 3 (</w:t>
      </w:r>
      <w:r>
        <w:rPr>
          <w:rFonts w:ascii="Arial" w:cs="Arial" w:eastAsia="Arial" w:hAnsi="Arial"/>
          <w:sz w:val="19"/>
          <w:szCs w:val="19"/>
          <w:i w:val="1"/>
          <w:iCs w:val="1"/>
          <w:color w:val="auto"/>
        </w:rPr>
        <w:t>Restriction on directors of insolvent companies</w:t>
      </w:r>
      <w:r>
        <w:rPr>
          <w:rFonts w:ascii="Arial" w:cs="Arial" w:eastAsia="Arial" w:hAnsi="Arial"/>
          <w:sz w:val="19"/>
          <w:szCs w:val="19"/>
          <w:color w:val="auto"/>
        </w:rPr>
        <w:t>) or Chapter 4 (</w:t>
      </w:r>
      <w:r>
        <w:rPr>
          <w:rFonts w:ascii="Arial" w:cs="Arial" w:eastAsia="Arial" w:hAnsi="Arial"/>
          <w:sz w:val="19"/>
          <w:szCs w:val="19"/>
          <w:i w:val="1"/>
          <w:iCs w:val="1"/>
          <w:color w:val="auto"/>
        </w:rPr>
        <w:t>Disqualification generally</w:t>
      </w:r>
      <w:r>
        <w:rPr>
          <w:rFonts w:ascii="Arial" w:cs="Arial" w:eastAsia="Arial" w:hAnsi="Arial"/>
          <w:sz w:val="19"/>
          <w:szCs w:val="19"/>
          <w:color w:val="auto"/>
        </w:rPr>
        <w:t>) or Chapter 5 (</w:t>
      </w:r>
      <w:r>
        <w:rPr>
          <w:rFonts w:ascii="Arial" w:cs="Arial" w:eastAsia="Arial" w:hAnsi="Arial"/>
          <w:sz w:val="19"/>
          <w:szCs w:val="19"/>
          <w:i w:val="1"/>
          <w:iCs w:val="1"/>
          <w:color w:val="auto"/>
        </w:rPr>
        <w:t>Disqualification and restriction undertakings</w:t>
      </w:r>
      <w:r>
        <w:rPr>
          <w:rFonts w:ascii="Arial" w:cs="Arial" w:eastAsia="Arial" w:hAnsi="Arial"/>
          <w:sz w:val="19"/>
          <w:szCs w:val="19"/>
          <w:color w:val="auto"/>
        </w:rPr>
        <w:t>) of Part 14 of the Companies Act 2014 applies; and</w:t>
      </w:r>
    </w:p>
    <w:p>
      <w:pPr>
        <w:spacing w:after="0" w:line="168" w:lineRule="exact"/>
        <w:rPr>
          <w:rFonts w:ascii="Arial" w:cs="Arial" w:eastAsia="Arial" w:hAnsi="Arial"/>
          <w:sz w:val="19"/>
          <w:szCs w:val="19"/>
          <w:color w:val="auto"/>
        </w:rPr>
      </w:pPr>
    </w:p>
    <w:p>
      <w:pPr>
        <w:ind w:left="1300" w:firstLine="1300"/>
        <w:spacing w:after="0" w:line="285" w:lineRule="auto"/>
        <w:tabs>
          <w:tab w:leader="none" w:pos="3235"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copy document relating to it specified in the director’s certificate is correct, complete and in full force and effect and has not been amended or superseded as at a date no earlier than the date of this Agreement.</w:t>
      </w:r>
    </w:p>
    <w:p>
      <w:pPr>
        <w:spacing w:after="0" w:line="115" w:lineRule="exact"/>
        <w:rPr>
          <w:rFonts w:ascii="Arial" w:cs="Arial" w:eastAsia="Arial" w:hAnsi="Arial"/>
          <w:sz w:val="18"/>
          <w:szCs w:val="18"/>
          <w:color w:val="auto"/>
        </w:rPr>
      </w:pPr>
    </w:p>
    <w:p>
      <w:pPr>
        <w:jc w:val="both"/>
        <w:ind w:firstLine="1304"/>
        <w:spacing w:after="0" w:line="221" w:lineRule="auto"/>
        <w:tabs>
          <w:tab w:leader="none" w:pos="1934"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xml:space="preserve">. The Administrative Agent shall have received, on behalf of itself, the Collateral Agent, the Lead Arrangers and the Lenders, (i) a written opinion of Cahill Gordon &amp; Reindel </w:t>
      </w:r>
      <w:r>
        <w:rPr>
          <w:rFonts w:ascii="Arial" w:cs="Arial" w:eastAsia="Arial" w:hAnsi="Arial"/>
          <w:sz w:val="15"/>
          <w:szCs w:val="15"/>
          <w:color w:val="auto"/>
        </w:rPr>
        <w:t>LLP</w:t>
      </w:r>
      <w:r>
        <w:rPr>
          <w:rFonts w:ascii="Arial" w:cs="Arial" w:eastAsia="Arial" w:hAnsi="Arial"/>
          <w:sz w:val="19"/>
          <w:szCs w:val="19"/>
          <w:color w:val="auto"/>
        </w:rPr>
        <w:t>,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Irish counsel for the Lead Arrangers, the Administrative Agent and the Lenders, in form and substance reasonably acceptable to the Administrative Agent, (iv) a capacity and authority opinion of Loyens &amp; Loeff Luxembourg S.à r.l., Luxembourg counsel for the Loan Parties, in form and substance reasonably acceptable to the Administrative Agent, (v) an enforceability opinion of NautaDutilh Avocats Luxembourg S.à r.l., Luxembourg counsel for the Lead Arrangers,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Closing Date, (B) addressed to the Administrative Agent, the Collateral Agent, the Lead Arrangers, the Lenders and the Issuing Banks, and, in each case, each of their permitted assigns, and (C) each Borrower and each other Loan Party and the Administrative Agent hereby request such counsel to deliver such opinions.</w:t>
      </w:r>
    </w:p>
    <w:p>
      <w:pPr>
        <w:spacing w:after="0" w:line="179" w:lineRule="exact"/>
        <w:rPr>
          <w:rFonts w:ascii="Arial" w:cs="Arial" w:eastAsia="Arial" w:hAnsi="Arial"/>
          <w:sz w:val="19"/>
          <w:szCs w:val="19"/>
          <w:color w:val="auto"/>
        </w:rPr>
      </w:pPr>
    </w:p>
    <w:p>
      <w:pPr>
        <w:ind w:left="1940" w:hanging="636"/>
        <w:spacing w:after="0"/>
        <w:tabs>
          <w:tab w:leader="none" w:pos="19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The Specified Representations shall be true and correct in all material respects on the</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Closing Date.</w:t>
      </w:r>
    </w:p>
    <w:p>
      <w:pPr>
        <w:spacing w:after="0" w:line="159" w:lineRule="exact"/>
        <w:rPr>
          <w:rFonts w:ascii="Arial" w:cs="Arial" w:eastAsia="Arial" w:hAnsi="Arial"/>
          <w:sz w:val="18"/>
          <w:szCs w:val="18"/>
          <w:color w:val="auto"/>
        </w:rPr>
      </w:pPr>
    </w:p>
    <w:p>
      <w:pPr>
        <w:jc w:val="both"/>
        <w:ind w:firstLine="1304"/>
        <w:spacing w:after="0" w:line="241" w:lineRule="auto"/>
        <w:tabs>
          <w:tab w:leader="none" w:pos="1932"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Acquisition Agreement Representations</w:t>
      </w:r>
      <w:r>
        <w:rPr>
          <w:rFonts w:ascii="Arial" w:cs="Arial" w:eastAsia="Arial" w:hAnsi="Arial"/>
          <w:sz w:val="18"/>
          <w:szCs w:val="18"/>
          <w:color w:val="auto"/>
        </w:rPr>
        <w:t>. The Acquisition Agreement Representations shall be true and correct in all material respects on the Closing Date (except to the extent such representations and warranties speak as of an earlier date, in which case representations and warranties shall be true and correct in all material respects as of such earlier date),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56" w:lineRule="exact"/>
        <w:rPr>
          <w:rFonts w:ascii="Arial" w:cs="Arial" w:eastAsia="Arial" w:hAnsi="Arial"/>
          <w:sz w:val="18"/>
          <w:szCs w:val="18"/>
          <w:color w:val="auto"/>
        </w:rPr>
      </w:pPr>
    </w:p>
    <w:p>
      <w:pPr>
        <w:ind w:firstLine="1304"/>
        <w:spacing w:after="0" w:line="257" w:lineRule="auto"/>
        <w:tabs>
          <w:tab w:leader="none" w:pos="1932"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xml:space="preserve"> The Acquisition shall have been consummated, or substantially simultaneously with the Borrowing of the Loans hereunder shall be consummated, in accordance with the Acquisition Agreement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357" w:lineRule="exact"/>
        <w:rPr>
          <w:sz w:val="20"/>
          <w:szCs w:val="20"/>
          <w:color w:val="auto"/>
        </w:rPr>
      </w:pPr>
    </w:p>
    <w:p>
      <w:pPr>
        <w:jc w:val="both"/>
        <w:ind w:firstLine="1304"/>
        <w:spacing w:after="0" w:line="212" w:lineRule="auto"/>
        <w:tabs>
          <w:tab w:leader="none" w:pos="194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No Company Material Adverse Effect</w:t>
      </w:r>
      <w:r>
        <w:rPr>
          <w:rFonts w:ascii="Arial" w:cs="Arial" w:eastAsia="Arial" w:hAnsi="Arial"/>
          <w:sz w:val="20"/>
          <w:szCs w:val="20"/>
          <w:color w:val="auto"/>
        </w:rPr>
        <w:t>. Except (a) as disclosed in the Company SEC Documents (as defined in the Acquisition Agreement as in effect on February 24, 2021) prior to the date of the Acquisition Agreement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or (b) as set forth in the Company Disclosure Letter (as defined in the Acquisition Agreement as in effect on February 24, 2021), since the date of the Company Balance Sheet (as defined in the Acquisition Agreement as in effect on the February 24, 2021) there has not been or occurred any Company Material Adverse Effect (as defined in the Acquisition Agreement as in effect February 24, 2021).</w:t>
      </w:r>
    </w:p>
    <w:p>
      <w:pPr>
        <w:spacing w:after="0" w:line="170" w:lineRule="exact"/>
        <w:rPr>
          <w:rFonts w:ascii="Arial" w:cs="Arial" w:eastAsia="Arial" w:hAnsi="Arial"/>
          <w:sz w:val="20"/>
          <w:szCs w:val="20"/>
          <w:color w:val="auto"/>
        </w:rPr>
      </w:pPr>
    </w:p>
    <w:p>
      <w:pPr>
        <w:jc w:val="both"/>
        <w:ind w:firstLine="1304"/>
        <w:spacing w:after="0" w:line="220" w:lineRule="auto"/>
        <w:tabs>
          <w:tab w:leader="none" w:pos="194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The Administrative Agent shall have received a certificate of Holdings, signed by a director or senior financial officer of Holdings, in substantially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attesting to the solvency of Holdings and its Subsidiaries (including the Borrowers and their respective Subsidiaries), taken as a whole, after giving effect to the proposed Transactions on the Closing Date.</w:t>
      </w:r>
    </w:p>
    <w:p>
      <w:pPr>
        <w:spacing w:after="0" w:line="169"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To the extent invoiced at least three (3) Business Days prior to the Closing Date (except as otherwise agreed by the Borrowers), all costs, fees, expenses (including, without limitation, legal fees and expenses) and other compensation payable to each Lead Arranger, each Agent and the Lenders pursuant to any written agreement among any such parties and Holdings, shall have been paid to the extent due.</w:t>
      </w:r>
    </w:p>
    <w:p>
      <w:pPr>
        <w:spacing w:after="0" w:line="155" w:lineRule="exact"/>
        <w:rPr>
          <w:rFonts w:ascii="Arial" w:cs="Arial" w:eastAsia="Arial" w:hAnsi="Arial"/>
          <w:sz w:val="20"/>
          <w:szCs w:val="20"/>
          <w:color w:val="auto"/>
        </w:rPr>
      </w:pPr>
    </w:p>
    <w:p>
      <w:pPr>
        <w:ind w:firstLine="1304"/>
        <w:spacing w:after="0" w:line="236" w:lineRule="auto"/>
        <w:tabs>
          <w:tab w:leader="none" w:pos="194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Refinancing.</w:t>
      </w:r>
      <w:r>
        <w:rPr>
          <w:rFonts w:ascii="Arial" w:cs="Arial" w:eastAsia="Arial" w:hAnsi="Arial"/>
          <w:sz w:val="20"/>
          <w:szCs w:val="20"/>
          <w:color w:val="auto"/>
        </w:rPr>
        <w:t xml:space="preserve"> The Refinancing shall have been consummated, or substantially simultaneously with the Borrowing of the Loans hereunder shall be consummated.</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3"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The Administrative Agent shall have received unaudited consolidated financial statements of the Target and its subsidiaries for the fiscal quarter ended March 31, 2021;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filing of the required financial statements on form 10-Q by the Target will satisfy the foregoing requirements.</w:t>
      </w:r>
    </w:p>
    <w:p>
      <w:pPr>
        <w:spacing w:after="0" w:line="168" w:lineRule="exact"/>
        <w:rPr>
          <w:rFonts w:ascii="Arial" w:cs="Arial" w:eastAsia="Arial" w:hAnsi="Arial"/>
          <w:sz w:val="20"/>
          <w:szCs w:val="20"/>
          <w:color w:val="auto"/>
        </w:rPr>
      </w:pPr>
    </w:p>
    <w:p>
      <w:pPr>
        <w:ind w:left="1940" w:hanging="636"/>
        <w:spacing w:after="0"/>
        <w:tabs>
          <w:tab w:leader="none" w:pos="19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A Borrowing Request shall have been delivered in accordance with the terms of Section 2.03.</w:t>
      </w:r>
    </w:p>
    <w:p>
      <w:pPr>
        <w:spacing w:after="0" w:line="198"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37"/>
        </w:numPr>
        <w:rPr>
          <w:rFonts w:ascii="Arial" w:cs="Arial" w:eastAsia="Arial" w:hAnsi="Arial"/>
          <w:sz w:val="20"/>
          <w:szCs w:val="20"/>
          <w:color w:val="auto"/>
        </w:rPr>
      </w:pPr>
      <w:r>
        <w:rPr>
          <w:rFonts w:ascii="Arial" w:cs="Arial" w:eastAsia="Arial" w:hAnsi="Arial"/>
          <w:sz w:val="20"/>
          <w:szCs w:val="20"/>
          <w:u w:val="single" w:color="auto"/>
          <w:color w:val="auto"/>
        </w:rPr>
        <w:t>Collateral</w:t>
      </w:r>
      <w:r>
        <w:rPr>
          <w:rFonts w:ascii="Arial" w:cs="Arial" w:eastAsia="Arial" w:hAnsi="Arial"/>
          <w:sz w:val="20"/>
          <w:szCs w:val="20"/>
          <w:color w:val="auto"/>
        </w:rPr>
        <w:t>. The Administrative Agent (or its counsel) shall have received (i)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(ii) copies of UCC financing statements for entities organized in the United States.</w:t>
      </w:r>
    </w:p>
    <w:p>
      <w:pPr>
        <w:spacing w:after="0" w:line="171"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Notwithstanding anything in this Agreement to the contrary, it is understood that only Holdings, the Borrowers and the other Loan Parties organized under the laws of the United States shall be required to provide guarantees and Collateral (subject to the terms set</w:t>
      </w:r>
    </w:p>
    <w:p>
      <w:pPr>
        <w:spacing w:after="0" w:line="255" w:lineRule="auto"/>
        <w:rPr>
          <w:sz w:val="20"/>
          <w:szCs w:val="20"/>
          <w:color w:val="auto"/>
        </w:rPr>
      </w:pPr>
      <w:r>
        <w:rPr>
          <w:rFonts w:ascii="Arial" w:cs="Arial" w:eastAsia="Arial" w:hAnsi="Arial"/>
          <w:sz w:val="16"/>
          <w:szCs w:val="16"/>
          <w:color w:val="auto"/>
        </w:rPr>
        <w:t>forth in this paragraph) on the Closing Date and the other Loan Parties may instead provide guarantees and Collateral within forty-five (45) Business Days after the Closing Date (subject to extensions to be reasonably agreed upon by the Administrative Agent), and to the extent any</w:t>
      </w:r>
    </w:p>
    <w:p>
      <w:pPr>
        <w:spacing w:after="0" w:line="235" w:lineRule="auto"/>
        <w:rPr>
          <w:sz w:val="20"/>
          <w:szCs w:val="20"/>
          <w:color w:val="auto"/>
        </w:rPr>
      </w:pPr>
      <w:r>
        <w:rPr>
          <w:rFonts w:ascii="Arial" w:cs="Arial" w:eastAsia="Arial" w:hAnsi="Arial"/>
          <w:sz w:val="18"/>
          <w:szCs w:val="18"/>
          <w:color w:val="auto"/>
        </w:rPr>
        <w:t>Collateral (including the grant or perfection of any security interest, other than (x) the delivery of certificates evidencing Equity Interests of</w:t>
      </w:r>
    </w:p>
    <w:p>
      <w:pPr>
        <w:ind w:right="20"/>
        <w:spacing w:after="0" w:line="226" w:lineRule="auto"/>
        <w:rPr>
          <w:sz w:val="20"/>
          <w:szCs w:val="20"/>
          <w:color w:val="auto"/>
        </w:rPr>
      </w:pPr>
      <w:r>
        <w:rPr>
          <w:rFonts w:ascii="Arial" w:cs="Arial" w:eastAsia="Arial" w:hAnsi="Arial"/>
          <w:sz w:val="18"/>
          <w:szCs w:val="18"/>
          <w:color w:val="auto"/>
        </w:rPr>
        <w:t>wholly-owned Domestic Subsidiaries that are Material Subsidiaries of Holdings (to the extent available to Holdings) and the Target and its Domestic Subsidiaries (in the case of the Target and its Domestic Subsidiaries, to the extent delivered to Holdings by the Target prior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Closing Date), to the extent certificated and required to be pledged as set out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Loan Documents, and (y) any Collateral the security interest in which may be perfected by the filing of a UCC financing statement for entities organized in the United States) is not or cannot reasonably be provided on the Closing Date after Holdings’ use of commercially</w:t>
      </w:r>
    </w:p>
    <w:p>
      <w:pPr>
        <w:spacing w:after="0" w:line="222" w:lineRule="auto"/>
        <w:rPr>
          <w:sz w:val="20"/>
          <w:szCs w:val="20"/>
          <w:color w:val="auto"/>
        </w:rPr>
      </w:pPr>
      <w:r>
        <w:rPr>
          <w:rFonts w:ascii="Arial" w:cs="Arial" w:eastAsia="Arial" w:hAnsi="Arial"/>
          <w:sz w:val="19"/>
          <w:szCs w:val="19"/>
          <w:color w:val="auto"/>
        </w:rPr>
        <w:t>reasonable efforts to do so or without undue burden or expense, then the provision of such collateral and perfection therein shall not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constitute a condition precedent to the availability of the Loans on the Closing Date, but may instead be provided or perfected within ninety (90) days after the Closing Date (in each case, subject to extensions to be reasonably agreed upon by the Administrative Agent).</w:t>
      </w:r>
    </w:p>
    <w:p>
      <w:pPr>
        <w:spacing w:after="0" w:line="147"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Without limiting the generality of the provisions of Section 9.03(b), for purposes of determining compliance with the conditions specified in this Section 4.01, each Lender that has signed this Agreement shall be deemed to have consented to, approved or</w:t>
      </w:r>
    </w:p>
    <w:p>
      <w:pPr>
        <w:spacing w:after="0" w:line="235" w:lineRule="auto"/>
        <w:rPr>
          <w:sz w:val="20"/>
          <w:szCs w:val="20"/>
          <w:color w:val="auto"/>
        </w:rPr>
      </w:pPr>
      <w:r>
        <w:rPr>
          <w:rFonts w:ascii="Arial" w:cs="Arial" w:eastAsia="Arial" w:hAnsi="Arial"/>
          <w:sz w:val="18"/>
          <w:szCs w:val="18"/>
          <w:color w:val="auto"/>
        </w:rPr>
        <w:t>accepted or the be satisfied with, each document or other matter required thereunder to be consented to or approved by or acceptable or</w:t>
      </w:r>
    </w:p>
    <w:p>
      <w:pPr>
        <w:spacing w:after="0" w:line="220" w:lineRule="auto"/>
        <w:rPr>
          <w:sz w:val="20"/>
          <w:szCs w:val="20"/>
          <w:color w:val="auto"/>
        </w:rPr>
      </w:pPr>
      <w:r>
        <w:rPr>
          <w:rFonts w:ascii="Arial" w:cs="Arial" w:eastAsia="Arial" w:hAnsi="Arial"/>
          <w:sz w:val="20"/>
          <w:szCs w:val="20"/>
          <w:color w:val="auto"/>
        </w:rPr>
        <w:t>satisfactory to a Lender unless the Administrative Agent shall have received notice from such Lender prior to the proposed Closing Date specifying its objection thereto.</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Each Credit Event after the Closing Date</w:t>
      </w:r>
      <w:r>
        <w:rPr>
          <w:rFonts w:ascii="Arial" w:cs="Arial" w:eastAsia="Arial" w:hAnsi="Arial"/>
          <w:sz w:val="18"/>
          <w:szCs w:val="18"/>
          <w:color w:val="auto"/>
        </w:rPr>
        <w:t>. Subject to Section 1.07(f), the obligation of each Lender to make a Loan on the occasion of any Borrowing, and of any Issuing Bank to issue, amend, renew or extend any Letter of Credit, after the Closing Date is</w:t>
      </w:r>
    </w:p>
    <w:p>
      <w:pPr>
        <w:spacing w:after="0"/>
        <w:rPr>
          <w:sz w:val="20"/>
          <w:szCs w:val="20"/>
          <w:color w:val="auto"/>
        </w:rPr>
      </w:pPr>
      <w:r>
        <w:rPr>
          <w:rFonts w:ascii="Arial" w:cs="Arial" w:eastAsia="Arial" w:hAnsi="Arial"/>
          <w:sz w:val="20"/>
          <w:szCs w:val="20"/>
          <w:color w:val="auto"/>
        </w:rPr>
        <w:t>subject to the satisfaction of the following conditions:</w:t>
      </w:r>
    </w:p>
    <w:p>
      <w:pPr>
        <w:spacing w:after="0" w:line="173" w:lineRule="exact"/>
        <w:rPr>
          <w:sz w:val="20"/>
          <w:szCs w:val="20"/>
          <w:color w:val="auto"/>
        </w:rPr>
      </w:pPr>
    </w:p>
    <w:p>
      <w:pPr>
        <w:jc w:val="both"/>
        <w:ind w:firstLine="1304"/>
        <w:spacing w:after="0" w:line="214" w:lineRule="auto"/>
        <w:tabs>
          <w:tab w:leader="none" w:pos="1934" w:val="left"/>
        </w:tabs>
        <w:numPr>
          <w:ilvl w:val="0"/>
          <w:numId w:val="238"/>
        </w:numPr>
        <w:rPr>
          <w:rFonts w:ascii="Arial" w:cs="Arial" w:eastAsia="Arial" w:hAnsi="Arial"/>
          <w:sz w:val="20"/>
          <w:szCs w:val="20"/>
          <w:color w:val="auto"/>
        </w:rPr>
      </w:pPr>
      <w:r>
        <w:rPr>
          <w:rFonts w:ascii="Arial" w:cs="Arial" w:eastAsia="Arial" w:hAnsi="Arial"/>
          <w:sz w:val="20"/>
          <w:szCs w:val="20"/>
          <w:color w:val="auto"/>
        </w:rPr>
        <w:t>Except as set forth in Section 2.20(d) with respect to Incremental Loans used to finance a Limited Condition Transaction, the representations and warranties of Holdings, each Borrower and their respective Restricted Subsidiaries set forth in this Agreement shall be true and correct in all material respects (or, if qualified as to “materiality” or “Material Adverse Effect”, in all respects) on and as of the date of such Borrowing or the date of issuance, amendment, renewal or extension of such Letter of Credit, as applicable, except in the case of any such representation and warranty that expressly relates to an earlier date, in which case such representation and warranty shall be true and correct in all material respects (or, if qualified by materiality or “Material Adverse Effect”, in all respects) as of such earlier date.</w:t>
      </w:r>
    </w:p>
    <w:p>
      <w:pPr>
        <w:spacing w:after="0" w:line="157" w:lineRule="exact"/>
        <w:rPr>
          <w:rFonts w:ascii="Arial" w:cs="Arial" w:eastAsia="Arial" w:hAnsi="Arial"/>
          <w:sz w:val="20"/>
          <w:szCs w:val="20"/>
          <w:color w:val="auto"/>
        </w:rPr>
      </w:pPr>
    </w:p>
    <w:p>
      <w:pPr>
        <w:jc w:val="both"/>
        <w:ind w:firstLine="1304"/>
        <w:spacing w:after="0" w:line="239" w:lineRule="auto"/>
        <w:tabs>
          <w:tab w:leader="none" w:pos="193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Except as set forth in Section 2.20(d) with respect to Incremental Loans used to finance a Limited Condition Transaction, at the time of and immediately after giving effect to such Borrowing or the date of issuance, amendment, renewal or extension of such Letter of Credit, as applicable, no Default or Event of Default shall have occurred and be continuing.</w:t>
      </w:r>
    </w:p>
    <w:p>
      <w:pPr>
        <w:spacing w:after="0" w:line="157" w:lineRule="exact"/>
        <w:rPr>
          <w:rFonts w:ascii="Arial" w:cs="Arial" w:eastAsia="Arial" w:hAnsi="Arial"/>
          <w:sz w:val="19"/>
          <w:szCs w:val="19"/>
          <w:color w:val="auto"/>
        </w:rPr>
      </w:pPr>
    </w:p>
    <w:p>
      <w:pPr>
        <w:ind w:firstLine="1304"/>
        <w:spacing w:after="0" w:line="236" w:lineRule="auto"/>
        <w:tabs>
          <w:tab w:leader="none" w:pos="1934"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 Borrowing Request shall have been delivered in accordance with the terms of Section 2.03 or a Letter of Credit application in accordance with the terms of Section 2.06(b).</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Applicable Borrower on the date thereof as to the matters specified in paragraphs (a) and (b) of this</w:t>
      </w:r>
    </w:p>
    <w:p>
      <w:pPr>
        <w:spacing w:after="0"/>
        <w:rPr>
          <w:sz w:val="20"/>
          <w:szCs w:val="20"/>
          <w:color w:val="auto"/>
        </w:rPr>
      </w:pPr>
      <w:r>
        <w:rPr>
          <w:rFonts w:ascii="Arial" w:cs="Arial" w:eastAsia="Arial" w:hAnsi="Arial"/>
          <w:sz w:val="20"/>
          <w:szCs w:val="20"/>
          <w:color w:val="auto"/>
        </w:rPr>
        <w:t>Section 4.02.</w:t>
      </w:r>
    </w:p>
    <w:p>
      <w:pPr>
        <w:spacing w:after="0" w:line="14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w:t>
      </w:r>
    </w:p>
    <w:p>
      <w:pPr>
        <w:spacing w:after="0" w:line="162" w:lineRule="exact"/>
        <w:rPr>
          <w:sz w:val="20"/>
          <w:szCs w:val="20"/>
          <w:color w:val="auto"/>
        </w:rPr>
      </w:pPr>
    </w:p>
    <w:p>
      <w:pPr>
        <w:ind w:left="4720"/>
        <w:spacing w:after="0"/>
        <w:rPr>
          <w:sz w:val="20"/>
          <w:szCs w:val="20"/>
          <w:color w:val="auto"/>
        </w:rPr>
      </w:pPr>
      <w:r>
        <w:rPr>
          <w:rFonts w:ascii="Arial" w:cs="Arial" w:eastAsia="Arial" w:hAnsi="Arial"/>
          <w:sz w:val="20"/>
          <w:szCs w:val="20"/>
          <w:u w:val="single" w:color="auto"/>
          <w:color w:val="auto"/>
        </w:rPr>
        <w:t>Affirmative Covenants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From the Closing Date until the Commitments have expired or been terminated and the principal of and interest on each</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Loan and all fees payable hereunder shall have been paid in full, and all Letters of Credit shall have expired, terminated or been Cash Collateralized and all LC Disbursements shall have been reimbursed, the Loan Parties covenant and agree with the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33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Holdings will furnish to the Administrative Agent, on behalf of each</w:t>
      </w:r>
    </w:p>
    <w:p>
      <w:pPr>
        <w:spacing w:after="0"/>
        <w:rPr>
          <w:sz w:val="20"/>
          <w:szCs w:val="20"/>
          <w:color w:val="auto"/>
        </w:rPr>
      </w:pPr>
      <w:r>
        <w:rPr>
          <w:rFonts w:ascii="Arial" w:cs="Arial" w:eastAsia="Arial" w:hAnsi="Arial"/>
          <w:sz w:val="20"/>
          <w:szCs w:val="20"/>
          <w:color w:val="auto"/>
        </w:rPr>
        <w:t>Lender:</w:t>
      </w:r>
    </w:p>
    <w:p>
      <w:pPr>
        <w:spacing w:after="0" w:line="173" w:lineRule="exact"/>
        <w:rPr>
          <w:sz w:val="20"/>
          <w:szCs w:val="20"/>
          <w:color w:val="auto"/>
        </w:rPr>
      </w:pPr>
    </w:p>
    <w:p>
      <w:pPr>
        <w:jc w:val="both"/>
        <w:ind w:firstLine="1304"/>
        <w:spacing w:after="0" w:line="223" w:lineRule="auto"/>
        <w:tabs>
          <w:tab w:leader="none" w:pos="1934" w:val="left"/>
        </w:tabs>
        <w:numPr>
          <w:ilvl w:val="0"/>
          <w:numId w:val="239"/>
        </w:numPr>
        <w:rPr>
          <w:rFonts w:ascii="Arial" w:cs="Arial" w:eastAsia="Arial" w:hAnsi="Arial"/>
          <w:sz w:val="19"/>
          <w:szCs w:val="19"/>
          <w:color w:val="auto"/>
        </w:rPr>
      </w:pPr>
      <w:r>
        <w:rPr>
          <w:rFonts w:ascii="Arial" w:cs="Arial" w:eastAsia="Arial" w:hAnsi="Arial"/>
          <w:sz w:val="19"/>
          <w:szCs w:val="19"/>
          <w:color w:val="auto"/>
        </w:rPr>
        <w:t>within one hundred twenty (120) days after the end of each fiscal year of Holdings, an audited consolidated balance sheet and related statements of operations, shareholders’ equity and cash flows for Holdings and its consolidated Subsidiaries as of the end of and for such year, setting forth in each case in comparative form the figures for the previous fiscal year (if any), with such audited balance sheet and related consolidated financial statements audited by KPMG LLP or other independent public accountants of recognized national standing (without a “going concern” or like qualification or exception and without any qualification or exception as to the scope of such audit, except to the extent solely due to the scheduled occurrence of a Maturity Date within one year from the date of such audit or failure to comply with Section 6.12)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70" w:lineRule="exact"/>
        <w:rPr>
          <w:rFonts w:ascii="Arial" w:cs="Arial" w:eastAsia="Arial" w:hAnsi="Arial"/>
          <w:sz w:val="19"/>
          <w:szCs w:val="19"/>
          <w:color w:val="auto"/>
        </w:rPr>
      </w:pPr>
    </w:p>
    <w:p>
      <w:pPr>
        <w:jc w:val="both"/>
        <w:ind w:firstLine="1304"/>
        <w:spacing w:after="0" w:line="214" w:lineRule="auto"/>
        <w:tabs>
          <w:tab w:leader="none" w:pos="1932" w:val="left"/>
        </w:tabs>
        <w:numPr>
          <w:ilvl w:val="0"/>
          <w:numId w:val="239"/>
        </w:numPr>
        <w:rPr>
          <w:rFonts w:ascii="Arial" w:cs="Arial" w:eastAsia="Arial" w:hAnsi="Arial"/>
          <w:sz w:val="20"/>
          <w:szCs w:val="20"/>
          <w:color w:val="auto"/>
        </w:rPr>
      </w:pPr>
      <w:r>
        <w:rPr>
          <w:rFonts w:ascii="Arial" w:cs="Arial" w:eastAsia="Arial" w:hAnsi="Arial"/>
          <w:sz w:val="20"/>
          <w:szCs w:val="20"/>
          <w:color w:val="auto"/>
        </w:rPr>
        <w:t>within sixty (60) days after the end of each of the first three fiscal quarters of each fiscal year of Holdings, a consolidated balance sheet and related statements of operations and cash flows for Holdings and its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71" w:lineRule="exact"/>
        <w:rPr>
          <w:rFonts w:ascii="Arial" w:cs="Arial" w:eastAsia="Arial" w:hAnsi="Arial"/>
          <w:sz w:val="20"/>
          <w:szCs w:val="20"/>
          <w:color w:val="auto"/>
        </w:rPr>
      </w:pPr>
    </w:p>
    <w:p>
      <w:pPr>
        <w:jc w:val="both"/>
        <w:ind w:firstLine="1304"/>
        <w:spacing w:after="0" w:line="223" w:lineRule="auto"/>
        <w:tabs>
          <w:tab w:leader="none" w:pos="1934" w:val="left"/>
        </w:tabs>
        <w:numPr>
          <w:ilvl w:val="0"/>
          <w:numId w:val="239"/>
        </w:numPr>
        <w:rPr>
          <w:rFonts w:ascii="Arial" w:cs="Arial" w:eastAsia="Arial" w:hAnsi="Arial"/>
          <w:sz w:val="19"/>
          <w:szCs w:val="19"/>
          <w:color w:val="auto"/>
        </w:rPr>
      </w:pPr>
      <w:r>
        <w:rPr>
          <w:rFonts w:ascii="Arial" w:cs="Arial" w:eastAsia="Arial" w:hAnsi="Arial"/>
          <w:sz w:val="19"/>
          <w:szCs w:val="19"/>
          <w:color w:val="auto"/>
        </w:rPr>
        <w:t>within five (5) Business Days after any delivery of financial statements under clause (a) or (b) above, a certificate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of a Financial Officer of Holdings (1) certifying as to whether a Default has occurred and, if a Default has occurred, specifying the details thereof and any action taken or proposed to be taken with respect thereto, (2) commencing with the certificate delivered pursuant to clause (b) above for the first full fiscal quarter ending after the Closing Date setting forth (i) a calculation of the Total Net Leverage Ratio as of the last day of the most recent Test Period (ii) a calculation of the First Lien Net Leverage Ratio as of the last day of the most recent Test Period and (iii) a calculation of the Secured Net Leverage Ratio as of the last day of the most recent Test Period and (3) solely in the case of Compliance Certificates accompanying financial statements referred to in clause (a) above, (i) confirming whether the Guarantor Coverage Test is satisfied and setting forth computations thereof in reasonable detail and (ii) setting forth a calculation of Excess Cash Flow with respect to such fiscal year;</w:t>
      </w:r>
    </w:p>
    <w:p>
      <w:pPr>
        <w:spacing w:after="0" w:line="170" w:lineRule="exact"/>
        <w:rPr>
          <w:rFonts w:ascii="Arial" w:cs="Arial" w:eastAsia="Arial" w:hAnsi="Arial"/>
          <w:sz w:val="19"/>
          <w:szCs w:val="19"/>
          <w:color w:val="auto"/>
        </w:rPr>
      </w:pPr>
    </w:p>
    <w:p>
      <w:pPr>
        <w:jc w:val="both"/>
        <w:ind w:firstLine="1304"/>
        <w:spacing w:after="0" w:line="227" w:lineRule="auto"/>
        <w:tabs>
          <w:tab w:leader="none" w:pos="1932" w:val="left"/>
        </w:tabs>
        <w:numPr>
          <w:ilvl w:val="0"/>
          <w:numId w:val="239"/>
        </w:numPr>
        <w:rPr>
          <w:rFonts w:ascii="Arial" w:cs="Arial" w:eastAsia="Arial" w:hAnsi="Arial"/>
          <w:sz w:val="19"/>
          <w:szCs w:val="19"/>
          <w:color w:val="auto"/>
        </w:rPr>
      </w:pPr>
      <w:r>
        <w:rPr>
          <w:rFonts w:ascii="Arial" w:cs="Arial" w:eastAsia="Arial" w:hAnsi="Arial"/>
          <w:sz w:val="19"/>
          <w:szCs w:val="19"/>
          <w:color w:val="auto"/>
        </w:rPr>
        <w:t>for any period for which the Unrestricted Subsidiaries, taken together, are reasonably anticipated to have had revenues or total assets in an amount that is equal to or greater than 10% of the consolidated revenues or total assets, as applicable, of Holdings and its Restricted Subsidiaries, concurrently with the delivery of each set of consolidated financial statements referred to in Sections 5.01(a) and 5.01(b) above, if applicable, the related consolidating financial statements reflecting the adjustments necessary to eliminate the accounts of such Unrestricted Subsidiaries from such consolidated financial statements;</w:t>
      </w:r>
    </w:p>
    <w:p>
      <w:pPr>
        <w:spacing w:after="0" w:line="168" w:lineRule="exact"/>
        <w:rPr>
          <w:rFonts w:ascii="Arial" w:cs="Arial" w:eastAsia="Arial" w:hAnsi="Arial"/>
          <w:sz w:val="19"/>
          <w:szCs w:val="19"/>
          <w:color w:val="auto"/>
        </w:rPr>
      </w:pPr>
    </w:p>
    <w:p>
      <w:pPr>
        <w:jc w:val="both"/>
        <w:ind w:firstLine="1304"/>
        <w:spacing w:after="0" w:line="223" w:lineRule="auto"/>
        <w:tabs>
          <w:tab w:leader="none" w:pos="1934" w:val="left"/>
        </w:tabs>
        <w:numPr>
          <w:ilvl w:val="0"/>
          <w:numId w:val="239"/>
        </w:numPr>
        <w:rPr>
          <w:rFonts w:ascii="Arial" w:cs="Arial" w:eastAsia="Arial" w:hAnsi="Arial"/>
          <w:sz w:val="20"/>
          <w:szCs w:val="20"/>
          <w:color w:val="auto"/>
        </w:rPr>
      </w:pPr>
      <w:r>
        <w:rPr>
          <w:rFonts w:ascii="Arial" w:cs="Arial" w:eastAsia="Arial" w:hAnsi="Arial"/>
          <w:sz w:val="20"/>
          <w:szCs w:val="20"/>
          <w:color w:val="auto"/>
        </w:rPr>
        <w:t>promptly after any request therefor, such other information regarding the operations, business affairs and financial condition of Holdings or any Restricted Subsidiary, or compliance with the terms of any Loan Document, as may be reasonably requested by the Administrative Agent or by any Lender through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357" w:lineRule="exact"/>
        <w:rPr>
          <w:sz w:val="20"/>
          <w:szCs w:val="20"/>
          <w:color w:val="auto"/>
        </w:rPr>
      </w:pPr>
    </w:p>
    <w:p>
      <w:pPr>
        <w:jc w:val="both"/>
        <w:ind w:firstLine="1304"/>
        <w:spacing w:after="0" w:line="239" w:lineRule="auto"/>
        <w:tabs>
          <w:tab w:leader="none" w:pos="193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concurrently with the delivery of the certificate of a Financial Officer of Holdings under clause (c) above with respect to financial statements delivered pursuant to clause (a) above, a Perfection Certificate Supplement reflecting all changes since the Closing Date or the date of the information most recently received pursuant to this Section 5.01(f), as applicable (or, if there have been no changes to any such schedules since the Closing Date or the previous update required hereby, as applicable, a certification of a Financial Officer of Holdings (which may, at the option of Holdings, be included in the Compliance Certificate) as to the absence of any changes);</w:t>
      </w:r>
    </w:p>
    <w:p>
      <w:pPr>
        <w:spacing w:after="0" w:line="170" w:lineRule="exact"/>
        <w:rPr>
          <w:rFonts w:ascii="Arial" w:cs="Arial" w:eastAsia="Arial" w:hAnsi="Arial"/>
          <w:sz w:val="18"/>
          <w:szCs w:val="18"/>
          <w:color w:val="auto"/>
        </w:rPr>
      </w:pPr>
    </w:p>
    <w:p>
      <w:pPr>
        <w:ind w:firstLine="1304"/>
        <w:spacing w:after="0" w:line="236" w:lineRule="auto"/>
        <w:tabs>
          <w:tab w:leader="none" w:pos="193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concurrently with the delivery of each set of consolidated financial statements referred to in Sections 5.01(a) and 5.01(b) above, the related customary management discussion and analysis; and</w:t>
      </w:r>
    </w:p>
    <w:p>
      <w:pPr>
        <w:spacing w:after="0" w:line="155" w:lineRule="exact"/>
        <w:rPr>
          <w:rFonts w:ascii="Arial" w:cs="Arial" w:eastAsia="Arial" w:hAnsi="Arial"/>
          <w:sz w:val="20"/>
          <w:szCs w:val="20"/>
          <w:color w:val="auto"/>
        </w:rPr>
      </w:pPr>
    </w:p>
    <w:p>
      <w:pPr>
        <w:ind w:firstLine="1304"/>
        <w:spacing w:after="0" w:line="236" w:lineRule="auto"/>
        <w:tabs>
          <w:tab w:leader="none" w:pos="193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within five (5) Business Days of receipt of notice thereof by Holdings, written notice of any announcement by S&amp;P of a change in Holdings’ corporate credit rating.</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In no event shall the requirements set forth in this Section 5.01 require Holdings, the Borrowers or any of their Restricted Subsidiaries to provide any such information (i) which constitutes non-financial trade secrets or non-financial proprietary information, (ii) in</w:t>
      </w:r>
    </w:p>
    <w:p>
      <w:pPr>
        <w:spacing w:after="0" w:line="235" w:lineRule="auto"/>
        <w:rPr>
          <w:sz w:val="20"/>
          <w:szCs w:val="20"/>
          <w:color w:val="auto"/>
        </w:rPr>
      </w:pPr>
      <w:r>
        <w:rPr>
          <w:rFonts w:ascii="Arial" w:cs="Arial" w:eastAsia="Arial" w:hAnsi="Arial"/>
          <w:sz w:val="18"/>
          <w:szCs w:val="18"/>
          <w:color w:val="auto"/>
        </w:rPr>
        <w:t>respect of which disclosure to the Administrative Agent or any Lender (or their respective representatives or contractors) is prohibited by</w:t>
      </w:r>
    </w:p>
    <w:p>
      <w:pPr>
        <w:spacing w:after="0" w:line="226" w:lineRule="auto"/>
        <w:rPr>
          <w:sz w:val="20"/>
          <w:szCs w:val="20"/>
          <w:color w:val="auto"/>
        </w:rPr>
      </w:pPr>
      <w:r>
        <w:rPr>
          <w:rFonts w:ascii="Arial" w:cs="Arial" w:eastAsia="Arial" w:hAnsi="Arial"/>
          <w:sz w:val="18"/>
          <w:szCs w:val="18"/>
          <w:color w:val="auto"/>
        </w:rPr>
        <w:t>Law or (iii) which is subject to attorney-client or similar privilege or constitutes attorney work-product; provided that Holdings or a Restricted Subsidiary shall provide notice to the Administrative Agent that information has not been provided pursuant to this paragraph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extent permitted by Law and not in contravention of such privilege.</w:t>
      </w:r>
    </w:p>
    <w:p>
      <w:pPr>
        <w:spacing w:after="0" w:line="146"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Information required to be delivered pursuant to Sections 5.01(a), 5.01(b) and 5.01(f) shall be deemed to have been delivered if such information, or one or more annual, quarterly or other periodic reports containing such information, shall have been posted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Administrative Agent on an IntraLinks or similar site to which the Lenders have been granted access or be available on the website of the SEC at http://www.sec.gov;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Holdings shall be required to provide copies of the Compliance</w:t>
      </w:r>
    </w:p>
    <w:p>
      <w:pPr>
        <w:spacing w:after="0" w:line="236" w:lineRule="auto"/>
        <w:rPr>
          <w:sz w:val="20"/>
          <w:szCs w:val="20"/>
          <w:color w:val="auto"/>
        </w:rPr>
      </w:pPr>
      <w:r>
        <w:rPr>
          <w:rFonts w:ascii="Arial" w:cs="Arial" w:eastAsia="Arial" w:hAnsi="Arial"/>
          <w:sz w:val="18"/>
          <w:szCs w:val="18"/>
          <w:color w:val="auto"/>
        </w:rPr>
        <w:t>Certificate. Information required to be delivered pursuant to this Section 5.01 may also be delivered by electronic communications pursuant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procedures approved by the Administrative Agent. In the event any financial statements delivered under clause (a) or (b) above shall be restated, the Borrowers shall deliver, promptly after such restated financial statements become available, revised Compliance Certificates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the periods covered thereby that give effect to such restatement, signed by a Financial Officer of Holdings.</w:t>
      </w:r>
    </w:p>
    <w:p>
      <w:pPr>
        <w:spacing w:after="0" w:line="146"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9"/>
          <w:szCs w:val="19"/>
          <w:color w:val="auto"/>
        </w:rPr>
        <w:t>Holdings and each Borrower hereby acknowledges that (a) the Administrative Agent and the Lead Arrangers will make available to the Lenders materials and/or information provided by or on behalf of Holdings and the Borrowers hereunder (collectively,</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Holdings, the Borrowers or their respective Subsidiaries, or the respective securities of any of the foregoing, and who may be engaged in investment and other market-related activities with respect to such Persons’ securities. Holdings and each Borrower hereby agrees that (w) all</w:t>
      </w:r>
    </w:p>
    <w:p>
      <w:pPr>
        <w:spacing w:after="0" w:line="235" w:lineRule="auto"/>
        <w:rPr>
          <w:sz w:val="20"/>
          <w:szCs w:val="20"/>
          <w:color w:val="auto"/>
        </w:rPr>
      </w:pPr>
      <w:r>
        <w:rPr>
          <w:rFonts w:ascii="Arial" w:cs="Arial" w:eastAsia="Arial" w:hAnsi="Arial"/>
          <w:sz w:val="18"/>
          <w:szCs w:val="18"/>
          <w:color w:val="auto"/>
        </w:rPr>
        <w:t>Borrower Materials that are to be made available to Public Lenders (other than materials made available on the website of the SEC) shall be</w:t>
      </w:r>
    </w:p>
    <w:p>
      <w:pPr>
        <w:spacing w:after="0" w:line="226" w:lineRule="auto"/>
        <w:rPr>
          <w:sz w:val="20"/>
          <w:szCs w:val="20"/>
          <w:color w:val="auto"/>
        </w:rPr>
      </w:pPr>
      <w:r>
        <w:rPr>
          <w:rFonts w:ascii="Arial" w:cs="Arial" w:eastAsia="Arial" w:hAnsi="Arial"/>
          <w:sz w:val="18"/>
          <w:szCs w:val="18"/>
          <w:color w:val="auto"/>
        </w:rPr>
        <w:t>clearly and conspicuously marked “PUBLIC” which, at a minimum, shall mean that the word “PUBLIC” shall appear prominently on the first page thereof; (x) by marking Borrower Materials “PUBLIC,” Holdings and each Borrower shall be deemed to have authorized the</w:t>
      </w:r>
    </w:p>
    <w:p>
      <w:pPr>
        <w:spacing w:after="0" w:line="224" w:lineRule="auto"/>
        <w:rPr>
          <w:sz w:val="20"/>
          <w:szCs w:val="20"/>
          <w:color w:val="auto"/>
        </w:rPr>
      </w:pPr>
      <w:r>
        <w:rPr>
          <w:rFonts w:ascii="Arial" w:cs="Arial" w:eastAsia="Arial" w:hAnsi="Arial"/>
          <w:sz w:val="19"/>
          <w:szCs w:val="19"/>
          <w:color w:val="auto"/>
        </w:rPr>
        <w:t>Administrative Agent, the Lead Arrangers and the Lenders to treat the Borrower Materials as not containing any material non-public</w:t>
      </w:r>
    </w:p>
    <w:p>
      <w:pPr>
        <w:spacing w:after="0" w:line="220" w:lineRule="auto"/>
        <w:rPr>
          <w:sz w:val="20"/>
          <w:szCs w:val="20"/>
          <w:color w:val="auto"/>
        </w:rPr>
      </w:pPr>
      <w:r>
        <w:rPr>
          <w:rFonts w:ascii="Arial" w:cs="Arial" w:eastAsia="Arial" w:hAnsi="Arial"/>
          <w:sz w:val="20"/>
          <w:szCs w:val="20"/>
          <w:color w:val="auto"/>
        </w:rPr>
        <w:t>information with respect to Holdings, each Borrower or their respective securities for purposes of United States Federal and state securities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the Borrower Materials constitute Information, they shall be treated as set forth in Section 9.12); (y) all Borrower Materials marked “PUBLIC” are permitted to be made available through a portion of the Platform designated “Public Side Information”; and (z) the</w:t>
      </w:r>
    </w:p>
    <w:p>
      <w:pPr>
        <w:spacing w:after="0" w:line="227" w:lineRule="auto"/>
        <w:rPr>
          <w:sz w:val="20"/>
          <w:szCs w:val="20"/>
          <w:color w:val="auto"/>
        </w:rPr>
      </w:pPr>
      <w:r>
        <w:rPr>
          <w:rFonts w:ascii="Arial" w:cs="Arial" w:eastAsia="Arial" w:hAnsi="Arial"/>
          <w:sz w:val="20"/>
          <w:szCs w:val="20"/>
          <w:color w:val="auto"/>
        </w:rPr>
        <w:t>Administrative Agent and the Lead Arrangers shall be entitled to treat any Borrower Materials that are not marked “PUBLIC” as being suitable only for posting on a portion of the Platform not designated “Public Side Information”.</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Holdings and each Restricted Subsidiary will, upon knowledge thereof by a Responsible Officer, furnish to the Administrative Agent prompt written notice of the following:</w:t>
      </w:r>
    </w:p>
    <w:p>
      <w:pPr>
        <w:spacing w:after="0" w:line="155" w:lineRule="exact"/>
        <w:rPr>
          <w:sz w:val="20"/>
          <w:szCs w:val="20"/>
          <w:color w:val="auto"/>
        </w:rPr>
      </w:pPr>
    </w:p>
    <w:p>
      <w:pPr>
        <w:ind w:left="1940" w:hanging="636"/>
        <w:spacing w:after="0"/>
        <w:tabs>
          <w:tab w:leader="none" w:pos="194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188" w:lineRule="exact"/>
        <w:rPr>
          <w:rFonts w:ascii="Arial" w:cs="Arial" w:eastAsia="Arial" w:hAnsi="Arial"/>
          <w:sz w:val="20"/>
          <w:szCs w:val="20"/>
          <w:color w:val="auto"/>
        </w:rPr>
      </w:pPr>
    </w:p>
    <w:p>
      <w:pPr>
        <w:jc w:val="both"/>
        <w:ind w:firstLine="1304"/>
        <w:spacing w:after="0" w:line="223" w:lineRule="auto"/>
        <w:tabs>
          <w:tab w:leader="none" w:pos="1932"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filing or commencement of any action, suit or proceeding by or before any arbitrator or Governmental Authority against or affecting Holdings, Borrower or any Subsidiary or Affiliate thereof that could reasonably be expected to result in a Material Adverse Effect;</w:t>
      </w:r>
    </w:p>
    <w:p>
      <w:pPr>
        <w:spacing w:after="0" w:line="168" w:lineRule="exact"/>
        <w:rPr>
          <w:rFonts w:ascii="Arial" w:cs="Arial" w:eastAsia="Arial" w:hAnsi="Arial"/>
          <w:sz w:val="20"/>
          <w:szCs w:val="20"/>
          <w:color w:val="auto"/>
        </w:rPr>
      </w:pPr>
    </w:p>
    <w:p>
      <w:pPr>
        <w:ind w:firstLine="1304"/>
        <w:spacing w:after="0" w:line="236" w:lineRule="auto"/>
        <w:tabs>
          <w:tab w:leader="none" w:pos="1934"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 or</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932"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 any contribution required to be made with respect to a Non-U.S. Plan has not been timely made or (ii) Holdings or any Subsidiary has incurred any obligation in connection with the termination of, or withdrawal from, any Non-U.S. Plan, in each case, to the extent that such event could reasonably be expected to result in a Material Adverse Effect.</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Each notice delivered under this Section 5.02 shall be accompanied by a statement of a Responsible Officer of Holdings setting forth the details of the event or development requiring such notice and any action taken or proposed to be taken with respect thereto. Information</w:t>
      </w:r>
    </w:p>
    <w:p>
      <w:pPr>
        <w:spacing w:after="0" w:line="226" w:lineRule="auto"/>
        <w:rPr>
          <w:sz w:val="20"/>
          <w:szCs w:val="20"/>
          <w:color w:val="auto"/>
        </w:rPr>
      </w:pPr>
      <w:r>
        <w:rPr>
          <w:rFonts w:ascii="Arial" w:cs="Arial" w:eastAsia="Arial" w:hAnsi="Arial"/>
          <w:sz w:val="18"/>
          <w:szCs w:val="18"/>
          <w:color w:val="auto"/>
        </w:rPr>
        <w:t>required to be delivered pursuant to clause (b) of this Section 5.02 shall be deemed to have been delivered if such information, or one or more annual or quarterly or other periodic reports containing such information, shall have been posted by the Administrative Agent on an</w:t>
      </w:r>
    </w:p>
    <w:p>
      <w:pPr>
        <w:spacing w:after="0" w:line="213" w:lineRule="auto"/>
        <w:rPr>
          <w:sz w:val="20"/>
          <w:szCs w:val="20"/>
          <w:color w:val="auto"/>
        </w:rPr>
      </w:pPr>
      <w:r>
        <w:rPr>
          <w:rFonts w:ascii="Arial" w:cs="Arial" w:eastAsia="Arial" w:hAnsi="Arial"/>
          <w:sz w:val="20"/>
          <w:szCs w:val="20"/>
          <w:color w:val="auto"/>
        </w:rPr>
        <w:t>IntraLinks or similar site to which the Lenders have been granted access or shall be available on the website of the SEC at</w:t>
      </w:r>
    </w:p>
    <w:p>
      <w:pPr>
        <w:spacing w:after="0" w:line="220" w:lineRule="auto"/>
        <w:rPr>
          <w:sz w:val="20"/>
          <w:szCs w:val="20"/>
          <w:color w:val="auto"/>
        </w:rPr>
      </w:pPr>
      <w:r>
        <w:rPr>
          <w:rFonts w:ascii="Arial" w:cs="Arial" w:eastAsia="Arial" w:hAnsi="Arial"/>
          <w:sz w:val="20"/>
          <w:szCs w:val="20"/>
          <w:color w:val="auto"/>
        </w:rPr>
        <w:t>http://www.sec.gov. Information required to be delivered pursuant to this Section 5.02 may also be delivered by electronic communications pursuant to procedures approved by the Administrative Agent.</w:t>
      </w:r>
    </w:p>
    <w:p>
      <w:pPr>
        <w:spacing w:after="0" w:line="15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Holdings and the Borrowers will, and will cause each of their respective Material Subsidiaries to, do or cause to be done all things necessary to preserve, renew and keep in full force and effect its legal existence and the</w:t>
      </w:r>
    </w:p>
    <w:p>
      <w:pPr>
        <w:spacing w:after="0" w:line="235" w:lineRule="auto"/>
        <w:rPr>
          <w:sz w:val="20"/>
          <w:szCs w:val="20"/>
          <w:color w:val="auto"/>
        </w:rPr>
      </w:pPr>
      <w:r>
        <w:rPr>
          <w:rFonts w:ascii="Arial" w:cs="Arial" w:eastAsia="Arial" w:hAnsi="Arial"/>
          <w:sz w:val="18"/>
          <w:szCs w:val="18"/>
          <w:color w:val="auto"/>
        </w:rPr>
        <w:t>rights, qualifications, licenses, permits, privileges, franchises, governmental authorizations and intellectual property rights material to the</w:t>
      </w:r>
    </w:p>
    <w:p>
      <w:pPr>
        <w:spacing w:after="0" w:line="226" w:lineRule="auto"/>
        <w:rPr>
          <w:sz w:val="20"/>
          <w:szCs w:val="20"/>
          <w:color w:val="auto"/>
        </w:rPr>
      </w:pPr>
      <w:r>
        <w:rPr>
          <w:rFonts w:ascii="Arial" w:cs="Arial" w:eastAsia="Arial" w:hAnsi="Arial"/>
          <w:sz w:val="18"/>
          <w:szCs w:val="18"/>
          <w:color w:val="auto"/>
        </w:rPr>
        <w:t xml:space="preserve">conduct of its business, and maintain all requisite authority to conduct its business in each jurisdiction in which its business is conducted;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shall not prohibit any Disposition, merger, amalgamation, consolidation, liquidation or dissolution permitted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Section 6.03 or Section 6.11 and (ii) neither Holdings nor any of its Material Subsidiaries shall be required to preserve any right, license, permit, privilege, franchise, patent, copyright, trademark, trade name or other intellectual property rights which in the reasonable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good faith determination of Holdings are not useful or material to the conduct of the business of Holdings or its Material Subsidiaries, taken as a whole.</w:t>
      </w:r>
    </w:p>
    <w:p>
      <w:pPr>
        <w:spacing w:after="0" w:line="156" w:lineRule="exact"/>
        <w:rPr>
          <w:sz w:val="20"/>
          <w:szCs w:val="20"/>
          <w:color w:val="auto"/>
        </w:rPr>
      </w:pPr>
    </w:p>
    <w:p>
      <w:pPr>
        <w:ind w:right="20" w:firstLine="648"/>
        <w:spacing w:after="0" w:line="28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Holdings and the Borrowers will, and will cause each of their Restricted Subsidiaries to, pay, discharge or otherwise satisfy, as the same shall become due and payable, all of their obligations and liabilities, including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except where (a) the validity or amount thereof is being contested in good faith by appropriate proceedings diligently conducted and Holdings, the Borrowers or such Restricted Subsidiary has set aside on its books adequate reserves with respect thereto in accordance with,</w:t>
      </w:r>
    </w:p>
    <w:p>
      <w:pPr>
        <w:spacing w:after="0" w:line="227" w:lineRule="auto"/>
        <w:rPr>
          <w:sz w:val="20"/>
          <w:szCs w:val="20"/>
          <w:color w:val="auto"/>
        </w:rPr>
      </w:pPr>
      <w:r>
        <w:rPr>
          <w:rFonts w:ascii="Arial" w:cs="Arial" w:eastAsia="Arial" w:hAnsi="Arial"/>
          <w:sz w:val="20"/>
          <w:szCs w:val="20"/>
          <w:color w:val="auto"/>
        </w:rPr>
        <w:t>and to the extent required by, applicable accounting principles or (b) the failure to do so could not reasonably be expected to result in a Material Adverse Effect.</w:t>
      </w:r>
    </w:p>
    <w:p>
      <w:pPr>
        <w:spacing w:after="0" w:line="156"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Maintenance of Properties; Insurance</w:t>
      </w:r>
      <w:r>
        <w:rPr>
          <w:rFonts w:ascii="Arial" w:cs="Arial" w:eastAsia="Arial" w:hAnsi="Arial"/>
          <w:sz w:val="19"/>
          <w:szCs w:val="19"/>
          <w:color w:val="auto"/>
        </w:rPr>
        <w:t>. Holdings will, and will cause each of the Material Subsidiaries to, (a) keep and maintain all tangible property material to the conduct of its business in good working order and condition, ordinary wear and tear</w:t>
      </w:r>
    </w:p>
    <w:p>
      <w:pPr>
        <w:spacing w:after="0" w:line="226" w:lineRule="auto"/>
        <w:rPr>
          <w:sz w:val="20"/>
          <w:szCs w:val="20"/>
          <w:color w:val="auto"/>
        </w:rPr>
      </w:pPr>
      <w:r>
        <w:rPr>
          <w:rFonts w:ascii="Arial" w:cs="Arial" w:eastAsia="Arial" w:hAnsi="Arial"/>
          <w:sz w:val="18"/>
          <w:szCs w:val="18"/>
          <w:color w:val="auto"/>
        </w:rPr>
        <w:t>excepted, and (b) maintain with financially sound and reputable carriers (i) insurance in such amounts (with no greater risk retention) and against such risks and such other hazards, as is customarily maintained by companies of established repute engaged in the same or similar</w:t>
      </w:r>
    </w:p>
    <w:p>
      <w:pPr>
        <w:spacing w:after="0" w:line="236" w:lineRule="auto"/>
        <w:rPr>
          <w:sz w:val="20"/>
          <w:szCs w:val="20"/>
          <w:color w:val="auto"/>
        </w:rPr>
      </w:pPr>
      <w:r>
        <w:rPr>
          <w:rFonts w:ascii="Arial" w:cs="Arial" w:eastAsia="Arial" w:hAnsi="Arial"/>
          <w:sz w:val="18"/>
          <w:szCs w:val="18"/>
          <w:color w:val="auto"/>
        </w:rPr>
        <w:t>businesses operating in the same or similar locations and (ii) all insurance required pursuant to the Collateral Documents. Holdings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will furnish to the Lenders, upon request of the Administrative Agent, information in reasonable detail as to the insurance so maintained. Holdings and the Borrowers shall, within 90 days following the Closing Date (or such later date to which the Administrative</w:t>
      </w:r>
    </w:p>
    <w:p>
      <w:pPr>
        <w:spacing w:after="0" w:line="236" w:lineRule="auto"/>
        <w:rPr>
          <w:sz w:val="20"/>
          <w:szCs w:val="20"/>
          <w:color w:val="auto"/>
        </w:rPr>
      </w:pPr>
      <w:r>
        <w:rPr>
          <w:rFonts w:ascii="Arial" w:cs="Arial" w:eastAsia="Arial" w:hAnsi="Arial"/>
          <w:sz w:val="18"/>
          <w:szCs w:val="18"/>
          <w:color w:val="auto"/>
        </w:rPr>
        <w:t>Agent consents, such consent not to be unreasonably withheld or delayed) deliver to the Administrative Agent and the Collateral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endorsements (x) to all “All Risk” physical damage insurance policies on all of the Loan Parties’ tangible personal property and assets located in the United States of America naming the Collateral Agent as lender loss payee, and (y) to all general liability policies naming the</w:t>
      </w:r>
    </w:p>
    <w:p>
      <w:pPr>
        <w:spacing w:after="0" w:line="236" w:lineRule="auto"/>
        <w:rPr>
          <w:sz w:val="20"/>
          <w:szCs w:val="20"/>
          <w:color w:val="auto"/>
        </w:rPr>
      </w:pPr>
      <w:r>
        <w:rPr>
          <w:rFonts w:ascii="Arial" w:cs="Arial" w:eastAsia="Arial" w:hAnsi="Arial"/>
          <w:sz w:val="18"/>
          <w:szCs w:val="18"/>
          <w:color w:val="auto"/>
        </w:rPr>
        <w:t>Administrative Agent and the Collateral Agent an additional insured. In the event Holdings, the Borrowers or any of their respective Material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w:t>
      </w:r>
    </w:p>
    <w:p>
      <w:pPr>
        <w:spacing w:after="0" w:line="236" w:lineRule="auto"/>
        <w:rPr>
          <w:sz w:val="20"/>
          <w:szCs w:val="20"/>
          <w:color w:val="auto"/>
        </w:rPr>
      </w:pPr>
      <w:r>
        <w:rPr>
          <w:rFonts w:ascii="Arial" w:cs="Arial" w:eastAsia="Arial" w:hAnsi="Arial"/>
          <w:sz w:val="18"/>
          <w:szCs w:val="18"/>
          <w:color w:val="auto"/>
        </w:rPr>
        <w:t>hereunder, may at any time or times thereafter (but shall be under no obligation to do so) obtain and maintain such policies of insurance and</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pay such premiums and take any other action with respect thereto which the Administrative Agent deems advisable. All sums so disbursed by the Administrative Agent shall constitute part of the Obligations, payable as provided in this Agreement.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Holdings and the Borrowers will, and will cause each of their respective</w:t>
      </w:r>
    </w:p>
    <w:p>
      <w:pPr>
        <w:ind w:right="20"/>
        <w:spacing w:after="0" w:line="215" w:lineRule="auto"/>
        <w:rPr>
          <w:sz w:val="20"/>
          <w:szCs w:val="20"/>
          <w:color w:val="auto"/>
        </w:rPr>
      </w:pPr>
      <w:r>
        <w:rPr>
          <w:rFonts w:ascii="Arial" w:cs="Arial" w:eastAsia="Arial" w:hAnsi="Arial"/>
          <w:sz w:val="19"/>
          <w:szCs w:val="19"/>
          <w:color w:val="auto"/>
        </w:rPr>
        <w:t>Material Subsidiaries to, keep proper books of record and account in which full, true and correct entries in conformity with GAAP and applicable law are made of all material financial dealings and transactions in relation to its business and activities. Holdings and the</w:t>
      </w:r>
    </w:p>
    <w:p>
      <w:pPr>
        <w:spacing w:after="0" w:line="234" w:lineRule="auto"/>
        <w:rPr>
          <w:sz w:val="20"/>
          <w:szCs w:val="20"/>
          <w:color w:val="auto"/>
        </w:rPr>
      </w:pPr>
      <w:r>
        <w:rPr>
          <w:rFonts w:ascii="Arial" w:cs="Arial" w:eastAsia="Arial" w:hAnsi="Arial"/>
          <w:sz w:val="18"/>
          <w:szCs w:val="18"/>
          <w:color w:val="auto"/>
        </w:rPr>
        <w:t>Borrowers will, and will cause each of their respective Material Subsidiaries to, permit any representatives designated by the Administrative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Agent (pursuant to a request made through the Administrative Agent), at reasonable times upon reasonable prior notice (but not more than once annually if no Event of Default shall exist), to visit and inspect its properties, to examine and make extracts from its books and records,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including examination of its existing assessment reports and Phase I or Phase II studies, and to discuss its affairs, finances and condition with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officers and independent accountants, all at such reasonable times and as often as reasonably requested. Holdings and the Borrowers acknowledge that the Administrative Agent, after exercising its rights of inspection, may prepare and distribute to the Lenders certain reports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pertaining to Holdings and its Material Subsidiaries’ assets for internal use by the Administrative Agent and the Lenders.</w:t>
      </w:r>
    </w:p>
    <w:p>
      <w:pPr>
        <w:spacing w:after="0" w:line="159"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 Holdings and the Borrowers will, and will cause each of their respective Subsidiaries to, (i) comply with all laws, rules, regulations and orders of any Governmental Authority applicable to it or its property (including without</w:t>
      </w:r>
    </w:p>
    <w:p>
      <w:pPr>
        <w:spacing w:after="0" w:line="226" w:lineRule="auto"/>
        <w:rPr>
          <w:sz w:val="20"/>
          <w:szCs w:val="20"/>
          <w:color w:val="auto"/>
        </w:rPr>
      </w:pPr>
      <w:r>
        <w:rPr>
          <w:rFonts w:ascii="Arial" w:cs="Arial" w:eastAsia="Arial" w:hAnsi="Arial"/>
          <w:sz w:val="18"/>
          <w:szCs w:val="18"/>
          <w:color w:val="auto"/>
        </w:rPr>
        <w:t>limitation, Benefit Plan Laws and Environmental Laws); (ii) complete any investigation, study, sampling and testing and undertake any clean up, removal, remediation or other response necessary to remove and clean up any Release of Hazardous Materials, to the extent required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under Environmental Laws; and (iii) respond to any action, suit or proceeding asserting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35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Environmental Liability against Holdings, the Borrowers and each of their respective Subsidiaries, except, in each case of clause (i)-(iii), where the failure to do so, either individually or in the aggregate, would not reasonably be expected to result in a Material Adverse Effect.</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Borrowers shall use the proceeds of (i) the Term Loans, together with the proceeds of the New</w:t>
      </w:r>
    </w:p>
    <w:p>
      <w:pPr>
        <w:jc w:val="both"/>
        <w:spacing w:after="0" w:line="226" w:lineRule="auto"/>
        <w:rPr>
          <w:sz w:val="20"/>
          <w:szCs w:val="20"/>
          <w:color w:val="auto"/>
        </w:rPr>
      </w:pPr>
      <w:r>
        <w:rPr>
          <w:rFonts w:ascii="Arial" w:cs="Arial" w:eastAsia="Arial" w:hAnsi="Arial"/>
          <w:sz w:val="18"/>
          <w:szCs w:val="18"/>
          <w:color w:val="auto"/>
        </w:rPr>
        <w:t>Notes and available cash, to finance the Transactions and the Refinancing and to pay any related fees and expenses and (ii) the Revolving Loans and the Letters of Credit for any purpose not otherwise prohibited under this Agreement, including for general corporate purposes,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working capital needs, the repayment of Indebtedness, the making of Restricted Payments and the making of Investments.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3.09</w:t>
      </w:r>
      <w:r>
        <w:rPr>
          <w:sz w:val="20"/>
          <w:szCs w:val="20"/>
          <w:color w:val="auto"/>
        </w:rPr>
        <w:tab/>
      </w:r>
      <w:r>
        <w:rPr>
          <w:rFonts w:ascii="Arial" w:cs="Arial" w:eastAsia="Arial" w:hAnsi="Arial"/>
          <w:sz w:val="16"/>
          <w:szCs w:val="16"/>
          <w:u w:val="single" w:color="auto"/>
          <w:color w:val="auto"/>
        </w:rPr>
        <w:t>Subsidiary Guarantors; Pledges; Additional Collateral; Further Assurances; Guarantor Coverage Test</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4" w:lineRule="auto"/>
        <w:tabs>
          <w:tab w:leader="none" w:pos="193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Within the time periods specified in Section 5.09(e) below, as applicable, after any Person becomes a Restricted Subsidiary that is not an Excluded Subsidiary or any Excluded Subsidiary that is not an Unrestricted Subsidiary ceases to be an Excluded Subsidiary (in each case, solely if such Person or Subsidiary is organized in any Covered Jurisdiction) (including by qualifying independently as, or being designated by the Borrowers as, a Material Subsidiary, which in the case of a qualification shall be the date on which financial statements have been delivered pursuant to Section 5.01 that demonstrate such qualification) or is required to become a Guarantor pursuant to Section 5.09(f) (in each case, a “</w:t>
      </w:r>
      <w:r>
        <w:rPr>
          <w:rFonts w:ascii="Arial" w:cs="Arial" w:eastAsia="Arial" w:hAnsi="Arial"/>
          <w:sz w:val="18"/>
          <w:szCs w:val="18"/>
          <w:u w:val="single" w:color="auto"/>
          <w:color w:val="auto"/>
        </w:rPr>
        <w:t>New Loan Party</w:t>
      </w:r>
      <w:r>
        <w:rPr>
          <w:rFonts w:ascii="Arial" w:cs="Arial" w:eastAsia="Arial" w:hAnsi="Arial"/>
          <w:sz w:val="18"/>
          <w:szCs w:val="18"/>
          <w:color w:val="auto"/>
        </w:rPr>
        <w:t>”), Holdings and the Borrowers shall (subject to the Agreed Guarantee and Security Principles, in the case of any Foreign Subsidiary) cause each such New Loan Party to deliver to the Administrative Agent and the Collateral Agent a Joinder Agreement and a supplement to (i) in the case of a Domestic Subsidiary, the U.S. Security Agreement and (ii) each other applicable Collateral Document (in each case in the form contemplated thereby and modified as required in order to comply with local laws in accordance with the Agreed Guarantee and Security Principles, if applicable) pursuant to which such Subsidiary agrees to be bound by the terms and provisions of this Agreement, the U.S. Security Agreement (if applicable) and other applicable Collateral Document, to be accompanied by appropriate corporate resolutions, other corporate documentation and legal opinions as may be reasonably requested by, and in form and substance reasonably satisfactory to, the Administrative Agent, the Collateral Agent and their counsel.</w:t>
      </w:r>
    </w:p>
    <w:p>
      <w:pPr>
        <w:spacing w:after="0" w:line="170" w:lineRule="exact"/>
        <w:rPr>
          <w:rFonts w:ascii="Arial" w:cs="Arial" w:eastAsia="Arial" w:hAnsi="Arial"/>
          <w:sz w:val="18"/>
          <w:szCs w:val="18"/>
          <w:color w:val="auto"/>
        </w:rPr>
      </w:pPr>
    </w:p>
    <w:p>
      <w:pPr>
        <w:jc w:val="both"/>
        <w:ind w:firstLine="1304"/>
        <w:spacing w:after="0" w:line="223" w:lineRule="auto"/>
        <w:tabs>
          <w:tab w:leader="none" w:pos="1932" w:val="left"/>
        </w:tabs>
        <w:numPr>
          <w:ilvl w:val="0"/>
          <w:numId w:val="242"/>
        </w:numPr>
        <w:rPr>
          <w:rFonts w:ascii="Arial" w:cs="Arial" w:eastAsia="Arial" w:hAnsi="Arial"/>
          <w:sz w:val="19"/>
          <w:szCs w:val="19"/>
          <w:color w:val="auto"/>
        </w:rPr>
      </w:pPr>
      <w:r>
        <w:rPr>
          <w:rFonts w:ascii="Arial" w:cs="Arial" w:eastAsia="Arial" w:hAnsi="Arial"/>
          <w:sz w:val="19"/>
          <w:szCs w:val="19"/>
          <w:color w:val="auto"/>
        </w:rPr>
        <w:t>(i) Subject to the Agreed Guarantee and Security Principles (where applicable) and Section 5.09(e), Holdings will cause, and will cause each other Loan Party to cause, all of its owned property (whether personal, tangible, intangible, or mixed but excluding Excluded Assets) to be subject at all times to perfected Liens in favor of the Collateral Agent for the benefit of the Secured Parties to secure the Secured Obligations in accordance with the terms and conditions of the Collateral Documents on a first priority basis, subject to no other Liens other than Permitted Liens and (ii) without limiting the generality of the foregoing, and subject to the Agreed Guarantee and Security Principles (where applicable) and Section 5.09(e), Holdings will cause the issued and outstanding Equity Interests of each Subsidiary directly owned by Holdings or any other Loan Party (other than Excluded Assets) to be subject at all times to a first priority (subject to Permitted Liens), perfected Lien in favor of the Collateral Agent to secure the Secured Obligations in accordance with the terms and conditions of the Collateral Documents or such other pledge and security documents as the Administrative Agent or Collateral Agent shall reasonably request.</w:t>
      </w:r>
    </w:p>
    <w:p>
      <w:pPr>
        <w:spacing w:after="0" w:line="156" w:lineRule="exact"/>
        <w:rPr>
          <w:rFonts w:ascii="Arial" w:cs="Arial" w:eastAsia="Arial" w:hAnsi="Arial"/>
          <w:sz w:val="19"/>
          <w:szCs w:val="19"/>
          <w:color w:val="auto"/>
        </w:rPr>
      </w:pPr>
    </w:p>
    <w:p>
      <w:pPr>
        <w:jc w:val="both"/>
        <w:ind w:firstLine="1304"/>
        <w:spacing w:after="0" w:line="220" w:lineRule="auto"/>
        <w:tabs>
          <w:tab w:leader="none" w:pos="1934" w:val="left"/>
        </w:tabs>
        <w:numPr>
          <w:ilvl w:val="0"/>
          <w:numId w:val="242"/>
        </w:numPr>
        <w:rPr>
          <w:rFonts w:ascii="Arial" w:cs="Arial" w:eastAsia="Arial" w:hAnsi="Arial"/>
          <w:sz w:val="20"/>
          <w:szCs w:val="20"/>
          <w:color w:val="auto"/>
        </w:rPr>
      </w:pPr>
      <w:r>
        <w:rPr>
          <w:rFonts w:ascii="Arial" w:cs="Arial" w:eastAsia="Arial" w:hAnsi="Arial"/>
          <w:sz w:val="20"/>
          <w:szCs w:val="20"/>
          <w:color w:val="auto"/>
        </w:rPr>
        <w:t>Without limiting the foregoing, but subject to the Agreed Guarantee and Security Principles and Section 5.09(e), Holdings will, and will cause each other Loan Party to, execute and deliver, or cause to be executed and delivered, to the Collateral Agent such documents, agreements and instruments, and will take or cause to be taken such further actions (including the filing and recording of financing statements, fixture filings, deeds of trust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documents and such other actions or deliveries of the type required by Section 4.01, as applicable), which may be required by law or which the Administrative Agent or the Collateral Agent may, from time to time, reasonably request to carry out the terms and conditions of this</w:t>
      </w:r>
    </w:p>
    <w:p>
      <w:pPr>
        <w:spacing w:after="0" w:line="227" w:lineRule="auto"/>
        <w:rPr>
          <w:sz w:val="20"/>
          <w:szCs w:val="20"/>
          <w:color w:val="auto"/>
        </w:rPr>
      </w:pPr>
      <w:r>
        <w:rPr>
          <w:rFonts w:ascii="Arial" w:cs="Arial" w:eastAsia="Arial" w:hAnsi="Arial"/>
          <w:sz w:val="20"/>
          <w:szCs w:val="20"/>
          <w:color w:val="auto"/>
        </w:rPr>
        <w:t>Agreement and the other Loan Documents and to ensure perfection and priority of the Liens created or intended to be created by the Collateral Documents, all at the expense of Holdings.</w:t>
      </w:r>
    </w:p>
    <w:p>
      <w:pPr>
        <w:spacing w:after="0" w:line="156" w:lineRule="exact"/>
        <w:rPr>
          <w:sz w:val="20"/>
          <w:szCs w:val="20"/>
          <w:color w:val="auto"/>
        </w:rPr>
      </w:pPr>
    </w:p>
    <w:p>
      <w:pPr>
        <w:jc w:val="both"/>
        <w:ind w:firstLine="1304"/>
        <w:spacing w:after="0" w:line="228" w:lineRule="auto"/>
        <w:tabs>
          <w:tab w:leader="none" w:pos="1932" w:val="left"/>
        </w:tabs>
        <w:numPr>
          <w:ilvl w:val="1"/>
          <w:numId w:val="243"/>
        </w:numPr>
        <w:rPr>
          <w:rFonts w:ascii="Arial" w:cs="Arial" w:eastAsia="Arial" w:hAnsi="Arial"/>
          <w:sz w:val="19"/>
          <w:szCs w:val="19"/>
          <w:color w:val="auto"/>
        </w:rPr>
      </w:pPr>
      <w:r>
        <w:rPr>
          <w:rFonts w:ascii="Arial" w:cs="Arial" w:eastAsia="Arial" w:hAnsi="Arial"/>
          <w:sz w:val="19"/>
          <w:szCs w:val="19"/>
          <w:color w:val="auto"/>
        </w:rPr>
        <w:t>Subject to the Agreed Guarantee and Security Principles and Section 5.09(e), if any assets are acquired by a Loan Party (other than Excluded Assets and assets constituting Collateral that become subject to the Lien in favor of the Collateral Agent upon acquisition thereof), Holdings will notify the Administrative Agent thereof, and, if requested by the Administrative Agent, Holdings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(b) of this Section 5.09, all at the expense of Holdings.</w:t>
      </w:r>
    </w:p>
    <w:p>
      <w:pPr>
        <w:spacing w:after="0" w:line="158" w:lineRule="exact"/>
        <w:rPr>
          <w:rFonts w:ascii="Arial" w:cs="Arial" w:eastAsia="Arial" w:hAnsi="Arial"/>
          <w:sz w:val="19"/>
          <w:szCs w:val="19"/>
          <w:color w:val="auto"/>
        </w:rPr>
      </w:pPr>
    </w:p>
    <w:p>
      <w:pPr>
        <w:jc w:val="both"/>
        <w:ind w:firstLine="1304"/>
        <w:spacing w:after="0" w:line="263" w:lineRule="auto"/>
        <w:tabs>
          <w:tab w:leader="none" w:pos="193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but subject to clause (f) of this Section 5.09, (i) any deliverables delivered pursuant to this Section 5.09 as of the Closing Date shall be subject to the penultimate paragraph of Section 4.01, (ii) with respect to any property or assets acquired after the Closing Date or with respect to any New Loan Party, the Loan Parties shall have sixty (60) days, or ninety (90) days in the case of the Equity Interests, property or assets of, or actions required to be taken by, any Foreign Subsidiary, after the acquisition thereof or such Person becoming a New Loan Party (or such later date as may be agreed upon by the Administrative Agent in the exercise of its reasonable discretion with respect thereto) to take the actions required by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Equity Interests, property or assets of any Foreign Subsidiary acquired or any Foreign Subsidiary becoming a New Loan Party within ninety (90) days after the Closing Date, the Loan Parties shall have the longer of (A) ninety (90) days after the Closing Date and (B) ninety (90) days after such acquisition or such Person becoming a New Loan Party to take any such actions (or, in each case such later date as may be agreed upon by the Administrative Agent in the exercise of its reasonable discretion with respect thereto), and</w:t>
      </w:r>
    </w:p>
    <w:p>
      <w:pPr>
        <w:spacing w:after="0" w:line="185" w:lineRule="exact"/>
        <w:rPr>
          <w:rFonts w:ascii="Arial" w:cs="Arial" w:eastAsia="Arial" w:hAnsi="Arial"/>
          <w:sz w:val="16"/>
          <w:szCs w:val="16"/>
          <w:color w:val="auto"/>
        </w:rPr>
      </w:pPr>
    </w:p>
    <w:p>
      <w:pPr>
        <w:jc w:val="both"/>
        <w:ind w:firstLine="8"/>
        <w:spacing w:after="0" w:line="226" w:lineRule="auto"/>
        <w:tabs>
          <w:tab w:leader="none" w:pos="3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Loan Party shall have any obligation to (A) enter into control agreements with respect to any security interest or lien in any Deposit Account or Securities Account (in each case, as defined in the UCC) included in the Collateral or provide fixed security over bank accounts,</w:t>
      </w:r>
    </w:p>
    <w:p>
      <w:pPr>
        <w:spacing w:after="0" w:line="1" w:lineRule="exact"/>
        <w:rPr>
          <w:rFonts w:ascii="Arial" w:cs="Arial" w:eastAsia="Arial" w:hAnsi="Arial"/>
          <w:sz w:val="18"/>
          <w:szCs w:val="18"/>
          <w:color w:val="auto"/>
        </w:rPr>
      </w:pPr>
    </w:p>
    <w:p>
      <w:pPr>
        <w:jc w:val="both"/>
        <w:spacing w:after="0" w:line="221" w:lineRule="auto"/>
        <w:rPr>
          <w:rFonts w:ascii="Arial" w:cs="Arial" w:eastAsia="Arial" w:hAnsi="Arial"/>
          <w:sz w:val="18"/>
          <w:szCs w:val="18"/>
          <w:color w:val="auto"/>
        </w:rPr>
      </w:pPr>
      <w:r>
        <w:rPr>
          <w:rFonts w:ascii="Arial" w:cs="Arial" w:eastAsia="Arial" w:hAnsi="Arial"/>
          <w:sz w:val="19"/>
          <w:szCs w:val="19"/>
          <w:color w:val="auto"/>
        </w:rPr>
        <w:t xml:space="preserve">(B)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and (F) no Loan Party shall be required to enter into any Collateral Documents or take any perfection steps outside of the jurisdiction of organization of such Loan Party (other than </w:t>
      </w:r>
      <w:r>
        <w:rPr>
          <w:rFonts w:ascii="Arial" w:cs="Arial" w:eastAsia="Arial" w:hAnsi="Arial"/>
          <w:sz w:val="19"/>
          <w:szCs w:val="19"/>
          <w:color w:val="FF0000"/>
        </w:rPr>
        <w:t>in</w:t>
      </w:r>
      <w:r>
        <w:rPr>
          <w:rFonts w:ascii="Arial" w:cs="Arial" w:eastAsia="Arial" w:hAnsi="Arial"/>
          <w:sz w:val="19"/>
          <w:szCs w:val="19"/>
          <w:color w:val="auto"/>
        </w:rPr>
        <w:t xml:space="preserve"> </w:t>
      </w:r>
      <w:r>
        <w:rPr>
          <w:rFonts w:ascii="Arial" w:cs="Arial" w:eastAsia="Arial" w:hAnsi="Arial"/>
          <w:sz w:val="19"/>
          <w:szCs w:val="19"/>
          <w:color w:val="FF0000"/>
          <w:strike w:val="1"/>
        </w:rPr>
        <w:t>Covered Jurisdictions, including</w:t>
      </w:r>
      <w:r>
        <w:rPr>
          <w:rFonts w:ascii="Arial" w:cs="Arial" w:eastAsia="Arial" w:hAnsi="Arial"/>
          <w:sz w:val="19"/>
          <w:szCs w:val="19"/>
          <w:color w:val="FF0000"/>
        </w:rPr>
        <w:t xml:space="preserve"> </w:t>
      </w:r>
      <w:r>
        <w:rPr>
          <w:rFonts w:ascii="Arial" w:cs="Arial" w:eastAsia="Arial" w:hAnsi="Arial"/>
          <w:sz w:val="19"/>
          <w:szCs w:val="19"/>
          <w:color w:val="000000"/>
        </w:rPr>
        <w:t>the recordation of patent, trademark and copyright security agreements in the United States Patent and</w:t>
      </w:r>
      <w:r>
        <w:rPr>
          <w:rFonts w:ascii="Arial" w:cs="Arial" w:eastAsia="Arial" w:hAnsi="Arial"/>
          <w:sz w:val="19"/>
          <w:szCs w:val="19"/>
          <w:color w:val="FF0000"/>
        </w:rPr>
        <w:t xml:space="preserve"> </w:t>
      </w:r>
      <w:r>
        <w:rPr>
          <w:rFonts w:ascii="Arial" w:cs="Arial" w:eastAsia="Arial" w:hAnsi="Arial"/>
          <w:sz w:val="19"/>
          <w:szCs w:val="19"/>
          <w:color w:val="000000"/>
        </w:rPr>
        <w:t>Trademark Office and the United States Copyright Office).</w:t>
      </w:r>
    </w:p>
    <w:p>
      <w:pPr>
        <w:spacing w:after="0" w:line="171" w:lineRule="exact"/>
        <w:rPr>
          <w:rFonts w:ascii="Arial" w:cs="Arial" w:eastAsia="Arial" w:hAnsi="Arial"/>
          <w:sz w:val="18"/>
          <w:szCs w:val="18"/>
          <w:color w:val="auto"/>
        </w:rPr>
      </w:pPr>
    </w:p>
    <w:p>
      <w:pPr>
        <w:jc w:val="both"/>
        <w:ind w:firstLine="1304"/>
        <w:spacing w:after="0" w:line="214" w:lineRule="auto"/>
        <w:tabs>
          <w:tab w:leader="none" w:pos="1939" w:val="left"/>
        </w:tabs>
        <w:numPr>
          <w:ilvl w:val="1"/>
          <w:numId w:val="244"/>
        </w:numPr>
        <w:rPr>
          <w:rFonts w:ascii="Arial" w:cs="Arial" w:eastAsia="Arial" w:hAnsi="Arial"/>
          <w:sz w:val="20"/>
          <w:szCs w:val="20"/>
          <w:color w:val="auto"/>
        </w:rPr>
      </w:pPr>
      <w:r>
        <w:rPr>
          <w:rFonts w:ascii="Arial" w:cs="Arial" w:eastAsia="Arial" w:hAnsi="Arial"/>
          <w:sz w:val="20"/>
          <w:szCs w:val="20"/>
          <w:color w:val="auto"/>
        </w:rPr>
        <w:t>Subject to the proceeding sentence, Holdings shall ensure that the Guarantor Coverage Test is satisfied as of each Guarantor Coverage Test Date. If the Guarantor Coverage Test is not satisfied on any Guarantor Coverage Test Date: (i) Holdings shall ensure that within ninety (90) days after such Guarantor Coverage Test Date (or such later date as may be agreed upon by the Administrative Agent in the exercise of its reasonable discretion with respect thereto), such other Restricted Subsidiaries (as Holdings may elect in its sole discretion) shall, subject to and on terms consistent with the Agreed Guarantee and Security Principles, accede as Subsidiary Guarantors to ensure that the Guarantor Coverage Test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-1216025</wp:posOffset>
            </wp:positionV>
            <wp:extent cx="128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(calculated as if such Subsidiary Guarantors had been Subsidiary Guarantors at such Guarantor Coverage Test Date) by executing and delivering to the Collateral Agent (x) a Joinder Agreement substantially in the form of Exhibit D (each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and (y) each</w:t>
      </w:r>
    </w:p>
    <w:p>
      <w:pPr>
        <w:spacing w:after="0"/>
        <w:rPr>
          <w:sz w:val="20"/>
          <w:szCs w:val="20"/>
          <w:color w:val="auto"/>
        </w:rPr>
      </w:pPr>
      <w:r>
        <w:rPr>
          <w:rFonts w:ascii="Arial" w:cs="Arial" w:eastAsia="Arial" w:hAnsi="Arial"/>
          <w:sz w:val="16"/>
          <w:szCs w:val="16"/>
          <w:color w:val="auto"/>
        </w:rPr>
        <w:t>applicable Collateral Document (or a supplement thereto) (in each case in the form contemplated thereby and modified as required in order to</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comply with local laws in accordance with the Agreed Guarantee and Security Principles, if applicable) and (ii) if Holdings has satisfied its obligations under clause (i) above within such ninety (90) days after such Guarantor Coverage Test Date (or such later date as may be agreed</w:t>
      </w:r>
    </w:p>
    <w:p>
      <w:pPr>
        <w:spacing w:after="0" w:line="235" w:lineRule="auto"/>
        <w:rPr>
          <w:sz w:val="20"/>
          <w:szCs w:val="20"/>
          <w:color w:val="auto"/>
        </w:rPr>
      </w:pPr>
      <w:r>
        <w:rPr>
          <w:rFonts w:ascii="Arial" w:cs="Arial" w:eastAsia="Arial" w:hAnsi="Arial"/>
          <w:sz w:val="18"/>
          <w:szCs w:val="18"/>
          <w:color w:val="auto"/>
        </w:rPr>
        <w:t>upon by the Administrative Agent in the exercise of its reasonable discretion with respect thereto), no Default, Event of Default or other</w:t>
      </w:r>
    </w:p>
    <w:p>
      <w:pPr>
        <w:spacing w:after="0" w:line="226" w:lineRule="auto"/>
        <w:rPr>
          <w:sz w:val="20"/>
          <w:szCs w:val="20"/>
          <w:color w:val="auto"/>
        </w:rPr>
      </w:pPr>
      <w:r>
        <w:rPr>
          <w:rFonts w:ascii="Arial" w:cs="Arial" w:eastAsia="Arial" w:hAnsi="Arial"/>
          <w:sz w:val="18"/>
          <w:szCs w:val="18"/>
          <w:color w:val="auto"/>
        </w:rPr>
        <w:t>breach of the Loan Documents shall arise from failure to satisfy the Guarantor Coverage Test as of such Guarantor Coverage Test Date (and for avoidance of doubt, no Default or Event of Default shall arise prior to such 90th day after such Guarantor Coverage Test Date (or such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later date as may be agreed upon by the Administrative Agent in the exercise of its reasonable discretion with respect thereto)).</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Designation of Subsidiaries</w:t>
      </w:r>
      <w:r>
        <w:rPr>
          <w:rFonts w:ascii="Arial" w:cs="Arial" w:eastAsia="Arial" w:hAnsi="Arial"/>
          <w:sz w:val="18"/>
          <w:szCs w:val="18"/>
          <w:color w:val="auto"/>
        </w:rPr>
        <w:t xml:space="preserve">. Holdings may, at any time from and after the Closing Date, designate any Restricted Subsidiary as an Unrestricted Subsidiary or any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before and</w:t>
      </w:r>
    </w:p>
    <w:p>
      <w:pPr>
        <w:spacing w:after="0" w:line="235" w:lineRule="auto"/>
        <w:rPr>
          <w:sz w:val="20"/>
          <w:szCs w:val="20"/>
          <w:color w:val="auto"/>
        </w:rPr>
      </w:pPr>
      <w:r>
        <w:rPr>
          <w:rFonts w:ascii="Arial" w:cs="Arial" w:eastAsia="Arial" w:hAnsi="Arial"/>
          <w:sz w:val="18"/>
          <w:szCs w:val="18"/>
          <w:color w:val="auto"/>
        </w:rPr>
        <w:t>after such designation, no Event of Default shall have occurred and be continuing, (ii) no Restricted Subsidiary may be designated as an</w:t>
      </w:r>
    </w:p>
    <w:p>
      <w:pPr>
        <w:spacing w:after="0" w:line="226" w:lineRule="auto"/>
        <w:rPr>
          <w:sz w:val="20"/>
          <w:szCs w:val="20"/>
          <w:color w:val="auto"/>
        </w:rPr>
      </w:pPr>
      <w:r>
        <w:rPr>
          <w:rFonts w:ascii="Arial" w:cs="Arial" w:eastAsia="Arial" w:hAnsi="Arial"/>
          <w:sz w:val="18"/>
          <w:szCs w:val="18"/>
          <w:color w:val="auto"/>
        </w:rPr>
        <w:t>Unrestricted Subsidiary unless such Subsidiary is also an “unrestricted subsidiary” (or similar concept) for purposes of the New Notes, (iii) no Restricted Subsidiary that owns any Material Intellectual Property may be designated as an Unrestricted Subsidiary and (iv) no Restricted</w:t>
      </w:r>
    </w:p>
    <w:p>
      <w:pPr>
        <w:spacing w:after="0" w:line="236" w:lineRule="auto"/>
        <w:rPr>
          <w:sz w:val="20"/>
          <w:szCs w:val="20"/>
          <w:color w:val="auto"/>
        </w:rPr>
      </w:pPr>
      <w:r>
        <w:rPr>
          <w:rFonts w:ascii="Arial" w:cs="Arial" w:eastAsia="Arial" w:hAnsi="Arial"/>
          <w:sz w:val="18"/>
          <w:szCs w:val="18"/>
          <w:color w:val="auto"/>
        </w:rPr>
        <w:t>Subsidiary may be designated as an Unrestricted Subsidiary if it was previously designated as an Unrestricted Subsidiary pursuant to this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Section 5.10. The designation of any Restricted Subsidiary as an Unrestricted Subsidiary after the Closing Date shall constitute an Investment by the applicable Loan Party therein at the date of designation in an amount equal to the fair market value (as determined in good faith by</w:t>
      </w:r>
    </w:p>
    <w:p>
      <w:pPr>
        <w:spacing w:after="0" w:line="235" w:lineRule="auto"/>
        <w:rPr>
          <w:sz w:val="20"/>
          <w:szCs w:val="20"/>
          <w:color w:val="auto"/>
        </w:rPr>
      </w:pPr>
      <w:r>
        <w:rPr>
          <w:rFonts w:ascii="Arial" w:cs="Arial" w:eastAsia="Arial" w:hAnsi="Arial"/>
          <w:sz w:val="18"/>
          <w:szCs w:val="18"/>
          <w:color w:val="auto"/>
        </w:rPr>
        <w:t>Holdings) of the applicable Loan Party’s (or any of its Restricted Subsidiaries’) investment therein. The designation of any Unrestricted</w:t>
      </w:r>
    </w:p>
    <w:p>
      <w:pPr>
        <w:spacing w:after="0" w:line="226" w:lineRule="auto"/>
        <w:rPr>
          <w:sz w:val="20"/>
          <w:szCs w:val="20"/>
          <w:color w:val="auto"/>
        </w:rPr>
      </w:pPr>
      <w:r>
        <w:rPr>
          <w:rFonts w:ascii="Arial" w:cs="Arial" w:eastAsia="Arial" w:hAnsi="Arial"/>
          <w:sz w:val="18"/>
          <w:szCs w:val="18"/>
          <w:color w:val="auto"/>
        </w:rPr>
        <w:t>Subsidiary as a Restricted Subsidiary after the Closing Date shall constitute (i) the incurrence at the time of designation of any Indebtedness or Liens of such Subsidiary existing at such time and (ii) a return on any Investment by the applicable Loan Party in Unrestricted Subsidiaries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pursuant to the preceding sentence in an amount equal to the fair market value at the date of such designation of such Loan Party’s Investment in such Subsidiary. Notwithstanding the foregoing, no Borrower shall be permitted to be an Unrestricted Subsidiary.</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Maintenance of Ratings</w:t>
      </w:r>
      <w:r>
        <w:rPr>
          <w:rFonts w:ascii="Arial" w:cs="Arial" w:eastAsia="Arial" w:hAnsi="Arial"/>
          <w:sz w:val="19"/>
          <w:szCs w:val="19"/>
          <w:color w:val="auto"/>
        </w:rPr>
        <w:t>. Use commercially reasonable efforts to cause the Term Loans and Holdings’ corporate credit and corporate family credit rating to continue to be rated by S&amp;P and Moody’s (but not to maintain a specific rating).</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9" w:lineRule="auto"/>
        <w:tabs>
          <w:tab w:leader="none" w:pos="193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Holdings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or advance with or guarantee for the benefit of, any Affiliate of Holdings (each, an “</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involving aggregate payments or consideration in excess of the greater of $95,000,000 and 8% of Consolidated EBITDA for the Test Period most recently ended on or prior to the date of such determination, unless:</w:t>
      </w:r>
    </w:p>
    <w:p>
      <w:pPr>
        <w:spacing w:after="0" w:line="159" w:lineRule="exact"/>
        <w:rPr>
          <w:rFonts w:ascii="Arial" w:cs="Arial" w:eastAsia="Arial" w:hAnsi="Arial"/>
          <w:sz w:val="19"/>
          <w:szCs w:val="19"/>
          <w:color w:val="auto"/>
        </w:rPr>
      </w:pPr>
    </w:p>
    <w:p>
      <w:pPr>
        <w:jc w:val="both"/>
        <w:ind w:left="660" w:firstLine="1292"/>
        <w:spacing w:after="0" w:line="227" w:lineRule="auto"/>
        <w:tabs>
          <w:tab w:leader="none" w:pos="2602" w:val="left"/>
        </w:tabs>
        <w:numPr>
          <w:ilvl w:val="1"/>
          <w:numId w:val="245"/>
        </w:numPr>
        <w:rPr>
          <w:rFonts w:ascii="Arial" w:cs="Arial" w:eastAsia="Arial" w:hAnsi="Arial"/>
          <w:sz w:val="20"/>
          <w:szCs w:val="20"/>
          <w:color w:val="auto"/>
        </w:rPr>
      </w:pPr>
      <w:r>
        <w:rPr>
          <w:rFonts w:ascii="Arial" w:cs="Arial" w:eastAsia="Arial" w:hAnsi="Arial"/>
          <w:sz w:val="20"/>
          <w:szCs w:val="20"/>
          <w:color w:val="auto"/>
        </w:rPr>
        <w:t>such Affiliate Transaction is on terms that are not materially less favorable to Holdings or the relevant Restricted Subsidiary than those that would have been obtained in a comparable transaction by Holdings or such Restricted Subsidiary with an unrelated Person (as determined by Holdings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357" w:lineRule="exact"/>
        <w:rPr>
          <w:sz w:val="20"/>
          <w:szCs w:val="20"/>
          <w:color w:val="auto"/>
        </w:rPr>
      </w:pPr>
    </w:p>
    <w:p>
      <w:pPr>
        <w:jc w:val="both"/>
        <w:ind w:left="660" w:firstLine="1292"/>
        <w:spacing w:after="0" w:line="214" w:lineRule="auto"/>
        <w:tabs>
          <w:tab w:leader="none" w:pos="2603" w:val="left"/>
        </w:tabs>
        <w:numPr>
          <w:ilvl w:val="1"/>
          <w:numId w:val="246"/>
        </w:numPr>
        <w:rPr>
          <w:rFonts w:ascii="Arial" w:cs="Arial" w:eastAsia="Arial" w:hAnsi="Arial"/>
          <w:sz w:val="20"/>
          <w:szCs w:val="20"/>
          <w:color w:val="auto"/>
        </w:rPr>
      </w:pPr>
      <w:r>
        <w:rPr>
          <w:rFonts w:ascii="Arial" w:cs="Arial" w:eastAsia="Arial" w:hAnsi="Arial"/>
          <w:sz w:val="20"/>
          <w:szCs w:val="20"/>
          <w:color w:val="auto"/>
        </w:rPr>
        <w:t>with respect to any Affiliate Transaction or series of related Affiliate Transactions involving aggregate consideration in excess of the greater of $175,000,000 and 15% of Consolidated EBITDA for the Test Period most recently ended on or prior to the date of such determination, Holdings delivers to the Administrative Agent a resolution adopted in good faith by the majority of the Board of Directors of Holdings approving such Affiliate Transaction, together with a certificate signed by a Responsible Officer of Holdings certifying that the Board of Directors of Holdings determined or resolved that such Affiliate Transaction complies with Section 5.12(a)(i).</w:t>
      </w:r>
    </w:p>
    <w:p>
      <w:pPr>
        <w:spacing w:after="0" w:line="160" w:lineRule="exact"/>
        <w:rPr>
          <w:rFonts w:ascii="Arial" w:cs="Arial" w:eastAsia="Arial" w:hAnsi="Arial"/>
          <w:sz w:val="20"/>
          <w:szCs w:val="20"/>
          <w:color w:val="auto"/>
        </w:rPr>
      </w:pPr>
    </w:p>
    <w:p>
      <w:pPr>
        <w:ind w:left="1940" w:hanging="636"/>
        <w:spacing w:after="0"/>
        <w:tabs>
          <w:tab w:leader="none" w:pos="194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following items will not be deemed to be Affiliate Transactions and, therefore, will not be subject to Section</w:t>
      </w:r>
    </w:p>
    <w:p>
      <w:pPr>
        <w:spacing w:after="0"/>
        <w:rPr>
          <w:sz w:val="20"/>
          <w:szCs w:val="20"/>
          <w:color w:val="auto"/>
        </w:rPr>
      </w:pPr>
      <w:r>
        <w:rPr>
          <w:rFonts w:ascii="Arial" w:cs="Arial" w:eastAsia="Arial" w:hAnsi="Arial"/>
          <w:sz w:val="20"/>
          <w:szCs w:val="20"/>
          <w:color w:val="auto"/>
        </w:rPr>
        <w:t>5.12(a):</w:t>
      </w:r>
    </w:p>
    <w:p>
      <w:pPr>
        <w:spacing w:after="0" w:line="173" w:lineRule="exact"/>
        <w:rPr>
          <w:sz w:val="20"/>
          <w:szCs w:val="20"/>
          <w:color w:val="auto"/>
        </w:rPr>
      </w:pPr>
    </w:p>
    <w:p>
      <w:pPr>
        <w:jc w:val="both"/>
        <w:ind w:left="660" w:firstLine="1292"/>
        <w:spacing w:after="0" w:line="252" w:lineRule="auto"/>
        <w:tabs>
          <w:tab w:leader="none" w:pos="260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employment or consulting agreement, incentive agreement, employee benefit plan, severance agreement, officer or director indemnification agreement or any similar arrangement entered into by Holdings or any of its Restricted Subsidiaries in the ordinary course of business or approved by the Board of Directors of Holdings and payments pursuant thereto;</w:t>
      </w:r>
    </w:p>
    <w:p>
      <w:pPr>
        <w:spacing w:after="0" w:line="157" w:lineRule="exact"/>
        <w:rPr>
          <w:rFonts w:ascii="Arial" w:cs="Arial" w:eastAsia="Arial" w:hAnsi="Arial"/>
          <w:sz w:val="18"/>
          <w:szCs w:val="18"/>
          <w:color w:val="auto"/>
        </w:rPr>
      </w:pPr>
    </w:p>
    <w:p>
      <w:pPr>
        <w:ind w:left="2600" w:hanging="648"/>
        <w:spacing w:after="0"/>
        <w:tabs>
          <w:tab w:leader="none" w:pos="26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transactions between or among (A) Holdings and its Restricted Subsidiaries or (B) one or more Restricted</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59" w:lineRule="exact"/>
        <w:rPr>
          <w:rFonts w:ascii="Arial" w:cs="Arial" w:eastAsia="Arial" w:hAnsi="Arial"/>
          <w:sz w:val="18"/>
          <w:szCs w:val="18"/>
          <w:color w:val="auto"/>
        </w:rPr>
      </w:pPr>
    </w:p>
    <w:p>
      <w:pPr>
        <w:ind w:left="660" w:firstLine="1292"/>
        <w:spacing w:after="0" w:line="236" w:lineRule="auto"/>
        <w:tabs>
          <w:tab w:leader="none" w:pos="2604"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transactions with any Person that is an Affiliate of Holdings solely because Holdings owns, directly or through a Restricted Subsidiary, an Equity Interest in, or controls, such Person;</w:t>
      </w:r>
    </w:p>
    <w:p>
      <w:pPr>
        <w:spacing w:after="0" w:line="168" w:lineRule="exact"/>
        <w:rPr>
          <w:rFonts w:ascii="Arial" w:cs="Arial" w:eastAsia="Arial" w:hAnsi="Arial"/>
          <w:sz w:val="20"/>
          <w:szCs w:val="20"/>
          <w:color w:val="auto"/>
        </w:rPr>
      </w:pPr>
    </w:p>
    <w:p>
      <w:pPr>
        <w:jc w:val="both"/>
        <w:ind w:left="660" w:firstLine="1292"/>
        <w:spacing w:after="0" w:line="220" w:lineRule="auto"/>
        <w:tabs>
          <w:tab w:leader="none" w:pos="259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payment of reasonable fees or other reasonable compensation (including bonuses) to, provision of customary benefits or indemnification agreements to, and the reimbursements of expenses (pursuant to indemnity arrangements or otherwise) of officers, directors, employees or consultants of Holdings, any of its Restricted Subsidiaries or any of Holdings’ direct or indirect parent companies;</w:t>
      </w:r>
    </w:p>
    <w:p>
      <w:pPr>
        <w:spacing w:after="0" w:line="155" w:lineRule="exact"/>
        <w:rPr>
          <w:rFonts w:ascii="Arial" w:cs="Arial" w:eastAsia="Arial" w:hAnsi="Arial"/>
          <w:sz w:val="20"/>
          <w:szCs w:val="20"/>
          <w:color w:val="auto"/>
        </w:rPr>
      </w:pPr>
    </w:p>
    <w:p>
      <w:pPr>
        <w:ind w:left="2580" w:hanging="628"/>
        <w:spacing w:after="0"/>
        <w:tabs>
          <w:tab w:leader="none" w:pos="258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capital contribution in, or issuance of Equity Interests (other than Disqualified Equity Interests), of</w:t>
      </w:r>
    </w:p>
    <w:p>
      <w:pPr>
        <w:ind w:left="660"/>
        <w:spacing w:after="0"/>
        <w:rPr>
          <w:rFonts w:ascii="Arial" w:cs="Arial" w:eastAsia="Arial" w:hAnsi="Arial"/>
          <w:sz w:val="19"/>
          <w:szCs w:val="19"/>
          <w:color w:val="auto"/>
        </w:rPr>
      </w:pPr>
      <w:r>
        <w:rPr>
          <w:rFonts w:ascii="Arial" w:cs="Arial" w:eastAsia="Arial" w:hAnsi="Arial"/>
          <w:sz w:val="20"/>
          <w:szCs w:val="20"/>
          <w:color w:val="auto"/>
        </w:rPr>
        <w:t>Holdings;</w:t>
      </w:r>
    </w:p>
    <w:p>
      <w:pPr>
        <w:spacing w:after="0" w:line="172" w:lineRule="exact"/>
        <w:rPr>
          <w:rFonts w:ascii="Arial" w:cs="Arial" w:eastAsia="Arial" w:hAnsi="Arial"/>
          <w:sz w:val="19"/>
          <w:szCs w:val="19"/>
          <w:color w:val="auto"/>
        </w:rPr>
      </w:pPr>
    </w:p>
    <w:p>
      <w:pPr>
        <w:ind w:left="660" w:right="20" w:firstLine="1292"/>
        <w:spacing w:after="0" w:line="229" w:lineRule="auto"/>
        <w:tabs>
          <w:tab w:leader="none" w:pos="259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Restricted Payments (or transfers or issuances that would constitute Restricted Payments but for the exclusions from the definition thereof) that do not violate Section 6.04 hereof and Permitted Investments;</w:t>
      </w:r>
    </w:p>
    <w:p>
      <w:pPr>
        <w:spacing w:after="0" w:line="168" w:lineRule="exact"/>
        <w:rPr>
          <w:rFonts w:ascii="Arial" w:cs="Arial" w:eastAsia="Arial" w:hAnsi="Arial"/>
          <w:sz w:val="20"/>
          <w:szCs w:val="20"/>
          <w:color w:val="auto"/>
        </w:rPr>
      </w:pPr>
    </w:p>
    <w:p>
      <w:pPr>
        <w:ind w:left="660" w:right="20" w:firstLine="1292"/>
        <w:spacing w:after="0" w:line="257" w:lineRule="auto"/>
        <w:tabs>
          <w:tab w:leader="none" w:pos="259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loans or advances to employees of Holdings, any of its Restricted Subsidiaries or any of Holdings’ direct or indirect parent companies in the ordinary course of business of Holdings or its Restricted Subsidiaries;</w:t>
      </w:r>
    </w:p>
    <w:p>
      <w:pPr>
        <w:spacing w:after="0" w:line="139" w:lineRule="exact"/>
        <w:rPr>
          <w:rFonts w:ascii="Arial" w:cs="Arial" w:eastAsia="Arial" w:hAnsi="Arial"/>
          <w:sz w:val="19"/>
          <w:szCs w:val="19"/>
          <w:color w:val="auto"/>
        </w:rPr>
      </w:pPr>
    </w:p>
    <w:p>
      <w:pPr>
        <w:jc w:val="both"/>
        <w:ind w:left="660" w:firstLine="1292"/>
        <w:spacing w:after="0" w:line="227" w:lineRule="auto"/>
        <w:tabs>
          <w:tab w:leader="none" w:pos="2595"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transactions in which Holdings or any Restricted Subsidiary, as the case may be, delivers to the Administrative Agent a letter from an accounting, appraisal or investment banking firm of national standing stating that such transaction meets the requirements of Section 5.12(a);</w:t>
      </w:r>
    </w:p>
    <w:p>
      <w:pPr>
        <w:spacing w:after="0" w:line="157" w:lineRule="exact"/>
        <w:rPr>
          <w:rFonts w:ascii="Arial" w:cs="Arial" w:eastAsia="Arial" w:hAnsi="Arial"/>
          <w:sz w:val="20"/>
          <w:szCs w:val="20"/>
          <w:color w:val="auto"/>
        </w:rPr>
      </w:pPr>
    </w:p>
    <w:p>
      <w:pPr>
        <w:jc w:val="both"/>
        <w:ind w:left="660" w:firstLine="1292"/>
        <w:spacing w:after="0" w:line="229" w:lineRule="auto"/>
        <w:tabs>
          <w:tab w:leader="none" w:pos="259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transactions with customers, clients, suppliers, or purchasers or sellers of goods or services, in each case in the ordinary course of business and otherwise in compliance with the terms hereof which are fair to Holdings and its Restricted Subsidiaries, in the reasonable determination of the Board of Directors of Holdings or the senior management thereof, or are on terms at least as favorable as might reasonably have been obtained at such time from an unaffiliated party (as determined by the Board of Directors of Holdings or the senior management thereof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357" w:lineRule="exact"/>
        <w:rPr>
          <w:sz w:val="20"/>
          <w:szCs w:val="20"/>
          <w:color w:val="auto"/>
        </w:rPr>
      </w:pPr>
    </w:p>
    <w:p>
      <w:pPr>
        <w:jc w:val="both"/>
        <w:ind w:firstLine="1292"/>
        <w:spacing w:after="0" w:line="220" w:lineRule="auto"/>
        <w:tabs>
          <w:tab w:leader="none" w:pos="1932"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transactions in the ordinary course with (i) Unrestricted Subsidiaries or (ii) joint ventures in which Holdings or a Restricted Subsidiary of Holdings make a loan or other Investments to such joint venture (to the extent any such joint venture is only an Affiliate as a result of Investments by Holdings and its Restricted Subsidiaries in such joint venture) to the extent otherwise permitted under the definition of “Permitted Investments”;</w:t>
      </w:r>
    </w:p>
    <w:p>
      <w:pPr>
        <w:spacing w:after="0" w:line="155" w:lineRule="exact"/>
        <w:rPr>
          <w:rFonts w:ascii="Arial" w:cs="Arial" w:eastAsia="Arial" w:hAnsi="Arial"/>
          <w:sz w:val="20"/>
          <w:szCs w:val="20"/>
          <w:color w:val="auto"/>
        </w:rPr>
      </w:pPr>
    </w:p>
    <w:p>
      <w:pPr>
        <w:ind w:left="1920" w:hanging="628"/>
        <w:spacing w:after="0"/>
        <w:tabs>
          <w:tab w:leader="none" w:pos="1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granting of registration and other customary rights in connection with the issuance of Equity Interests by</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Holdings;</w:t>
      </w:r>
    </w:p>
    <w:p>
      <w:pPr>
        <w:spacing w:after="0" w:line="172" w:lineRule="exact"/>
        <w:rPr>
          <w:rFonts w:ascii="Arial" w:cs="Arial" w:eastAsia="Arial" w:hAnsi="Arial"/>
          <w:sz w:val="18"/>
          <w:szCs w:val="18"/>
          <w:color w:val="auto"/>
        </w:rPr>
      </w:pPr>
    </w:p>
    <w:p>
      <w:pPr>
        <w:jc w:val="both"/>
        <w:ind w:firstLine="1292"/>
        <w:spacing w:after="0" w:line="223" w:lineRule="auto"/>
        <w:tabs>
          <w:tab w:leader="none" w:pos="193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provision of services to directors or officers of Holdings, any of its Restricted Subsidiaries or any of Holdings’ direct or indirect parent companies of the nature provided by Holdings or any of its Restricted Subsidiaries to customers in the ordinary course of business;</w:t>
      </w:r>
    </w:p>
    <w:p>
      <w:pPr>
        <w:spacing w:after="0" w:line="168" w:lineRule="exact"/>
        <w:rPr>
          <w:rFonts w:ascii="Arial" w:cs="Arial" w:eastAsia="Arial" w:hAnsi="Arial"/>
          <w:sz w:val="20"/>
          <w:szCs w:val="20"/>
          <w:color w:val="auto"/>
        </w:rPr>
      </w:pPr>
    </w:p>
    <w:p>
      <w:pPr>
        <w:jc w:val="both"/>
        <w:ind w:firstLine="1292"/>
        <w:spacing w:after="0" w:line="223" w:lineRule="auto"/>
        <w:tabs>
          <w:tab w:leader="none" w:pos="1935" w:val="left"/>
        </w:tabs>
        <w:numPr>
          <w:ilvl w:val="0"/>
          <w:numId w:val="249"/>
        </w:numPr>
        <w:rPr>
          <w:rFonts w:ascii="Arial" w:cs="Arial" w:eastAsia="Arial" w:hAnsi="Arial"/>
          <w:sz w:val="20"/>
          <w:szCs w:val="20"/>
          <w:color w:val="auto"/>
        </w:rPr>
      </w:pPr>
      <w:r>
        <w:rPr>
          <w:rFonts w:ascii="Arial" w:cs="Arial" w:eastAsia="Arial" w:hAnsi="Arial"/>
          <w:sz w:val="20"/>
          <w:szCs w:val="20"/>
          <w:color w:val="auto"/>
        </w:rPr>
        <w:t>any agreement as in effect on the Closing Date or any renewals, events or extensions of any such agreement (so long as such renewals or extensions are not less favorable in any material respect to Holdings or the Restricted Subsidiaries as determined by Holdings in good faith) and the transactions evidenced thereby;</w:t>
      </w:r>
    </w:p>
    <w:p>
      <w:pPr>
        <w:spacing w:after="0" w:line="168" w:lineRule="exact"/>
        <w:rPr>
          <w:rFonts w:ascii="Arial" w:cs="Arial" w:eastAsia="Arial" w:hAnsi="Arial"/>
          <w:sz w:val="20"/>
          <w:szCs w:val="20"/>
          <w:color w:val="auto"/>
        </w:rPr>
      </w:pPr>
    </w:p>
    <w:p>
      <w:pPr>
        <w:jc w:val="both"/>
        <w:ind w:firstLine="1292"/>
        <w:spacing w:after="0" w:line="223" w:lineRule="auto"/>
        <w:tabs>
          <w:tab w:leader="none" w:pos="193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the existence of, or the performance by Holdings or any of the Restricted Subsidiaries of its obligations under the terms of, any limited liability company agreement, limited partnership or other organizational documents or stockholders agreement (including any purchase agreement, put option agreements or call option agreements related thereto) to which it is a party as of the Closing Date and any similar agreements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existence of, or the performance by Holdings or any Restricted Subsidiary of obligations under any future amendment to any such existing agreement or under any similar agreement entered into after such date shall only be permitted by this clause (xiv) to the extent that the terms of any such amendment or new agreement, taken as a whole, is no less favorable to Holdings and the Restricted Subsidiaries than the agreement in effect on the Closing Date (as determined by the Board of Directors of Holdings or the senior management thereof in good faith);</w:t>
      </w:r>
    </w:p>
    <w:p>
      <w:pPr>
        <w:spacing w:after="0" w:line="170" w:lineRule="exact"/>
        <w:rPr>
          <w:rFonts w:ascii="Arial" w:cs="Arial" w:eastAsia="Arial" w:hAnsi="Arial"/>
          <w:sz w:val="19"/>
          <w:szCs w:val="19"/>
          <w:color w:val="auto"/>
        </w:rPr>
      </w:pPr>
    </w:p>
    <w:p>
      <w:pPr>
        <w:ind w:left="1940" w:hanging="648"/>
        <w:spacing w:after="0"/>
        <w:tabs>
          <w:tab w:leader="none" w:pos="19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1940" w:hanging="648"/>
        <w:spacing w:after="0"/>
        <w:tabs>
          <w:tab w:leader="none" w:pos="19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transactions undertaken in connection with the Transactions;</w:t>
      </w:r>
    </w:p>
    <w:p>
      <w:pPr>
        <w:spacing w:after="0" w:line="188" w:lineRule="exact"/>
        <w:rPr>
          <w:rFonts w:ascii="Arial" w:cs="Arial" w:eastAsia="Arial" w:hAnsi="Arial"/>
          <w:sz w:val="20"/>
          <w:szCs w:val="20"/>
          <w:color w:val="auto"/>
        </w:rPr>
      </w:pPr>
    </w:p>
    <w:p>
      <w:pPr>
        <w:ind w:left="1940" w:hanging="648"/>
        <w:spacing w:after="0"/>
        <w:tabs>
          <w:tab w:leader="none" w:pos="19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customary transactions with a Securitization Subsidiary effected as part of a Qualified Securitization</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Financing;</w:t>
      </w:r>
    </w:p>
    <w:p>
      <w:pPr>
        <w:spacing w:after="0" w:line="159" w:lineRule="exact"/>
        <w:rPr>
          <w:rFonts w:ascii="Arial" w:cs="Arial" w:eastAsia="Arial" w:hAnsi="Arial"/>
          <w:sz w:val="18"/>
          <w:szCs w:val="18"/>
          <w:color w:val="auto"/>
        </w:rPr>
      </w:pPr>
    </w:p>
    <w:p>
      <w:pPr>
        <w:jc w:val="both"/>
        <w:ind w:firstLine="1292"/>
        <w:spacing w:after="0" w:line="227" w:lineRule="auto"/>
        <w:tabs>
          <w:tab w:leader="none" w:pos="193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payment of reasonable out-of-pocket costs and expenses relating to registration rights and indemnities provided to shareholders of Holdings or any direct or indirect parent thereof pursuant to the stockholders agreement or the registration rights agreement entered into on or after the Closing Date in connection therewith;</w:t>
      </w:r>
    </w:p>
    <w:p>
      <w:pPr>
        <w:spacing w:after="0" w:line="157" w:lineRule="exact"/>
        <w:rPr>
          <w:rFonts w:ascii="Arial" w:cs="Arial" w:eastAsia="Arial" w:hAnsi="Arial"/>
          <w:sz w:val="20"/>
          <w:szCs w:val="20"/>
          <w:color w:val="auto"/>
        </w:rPr>
      </w:pPr>
    </w:p>
    <w:p>
      <w:pPr>
        <w:jc w:val="both"/>
        <w:ind w:firstLine="1292"/>
        <w:spacing w:after="0" w:line="220" w:lineRule="auto"/>
        <w:tabs>
          <w:tab w:leader="none" w:pos="193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transactions (including, for the avoidance of doubt, the entering into of a tax sharing agreement) undertaken in good faith (as certified by a Responsible Officer of a Borrower in an officer’s certificate) for the purposes of improving the consolidated tax efficiency of Holdings and its Subsidiaries and not for the purpose of circumventing any provision of this Agreement;</w:t>
      </w:r>
    </w:p>
    <w:p>
      <w:pPr>
        <w:spacing w:after="0" w:line="169" w:lineRule="exact"/>
        <w:rPr>
          <w:rFonts w:ascii="Arial" w:cs="Arial" w:eastAsia="Arial" w:hAnsi="Arial"/>
          <w:sz w:val="20"/>
          <w:szCs w:val="20"/>
          <w:color w:val="auto"/>
        </w:rPr>
      </w:pPr>
    </w:p>
    <w:p>
      <w:pPr>
        <w:ind w:left="1940" w:hanging="648"/>
        <w:spacing w:after="0"/>
        <w:tabs>
          <w:tab w:leader="none" w:pos="19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repurchases by Holdings of the Term Loans or New Notes to the extent permitted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0580"/>
          </w:cols>
          <w:pgMar w:left="980" w:top="1440" w:right="339" w:bottom="1440" w:gutter="0" w:footer="0" w:header="0"/>
        </w:sectPr>
      </w:pPr>
    </w:p>
    <w:bookmarkStart w:id="320" w:name="page321"/>
    <w:bookmarkEnd w:id="320"/>
    <w:p>
      <w:pPr>
        <w:spacing w:after="0" w:line="357" w:lineRule="exact"/>
        <w:rPr>
          <w:sz w:val="20"/>
          <w:szCs w:val="20"/>
          <w:color w:val="auto"/>
        </w:rPr>
      </w:pPr>
    </w:p>
    <w:p>
      <w:pPr>
        <w:ind w:left="660" w:firstLine="1292"/>
        <w:spacing w:after="0" w:line="229" w:lineRule="auto"/>
        <w:tabs>
          <w:tab w:leader="none" w:pos="2597" w:val="left"/>
        </w:tabs>
        <w:numPr>
          <w:ilvl w:val="0"/>
          <w:numId w:val="250"/>
        </w:numPr>
        <w:rPr>
          <w:rFonts w:ascii="Arial" w:cs="Arial" w:eastAsia="Arial" w:hAnsi="Arial"/>
          <w:sz w:val="20"/>
          <w:szCs w:val="20"/>
          <w:color w:val="auto"/>
        </w:rPr>
      </w:pPr>
      <w:r>
        <w:rPr>
          <w:rFonts w:ascii="Arial" w:cs="Arial" w:eastAsia="Arial" w:hAnsi="Arial"/>
          <w:sz w:val="20"/>
          <w:szCs w:val="20"/>
          <w:color w:val="auto"/>
        </w:rPr>
        <w:t>Indebtedness permitted under Section 6.01, Liens permitted under Section 6.02, Asset Sales permitted under Section 6.03, Permitted Investments and Restricted Payments permitted under Section 6.04.</w:t>
      </w:r>
    </w:p>
    <w:p>
      <w:pPr>
        <w:spacing w:after="0" w:line="169"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Fiscal Periods</w:t>
      </w:r>
      <w:r>
        <w:rPr>
          <w:rFonts w:ascii="Arial" w:cs="Arial" w:eastAsia="Arial" w:hAnsi="Arial"/>
          <w:sz w:val="20"/>
          <w:szCs w:val="20"/>
          <w:color w:val="auto"/>
        </w:rPr>
        <w:t>. With respect to Holdings and its Restricted Subsidiaries, change its fiscal year-end to dates other than December 31.</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Anti-Terrorism and Anti-Money Laundering</w:t>
      </w:r>
      <w:r>
        <w:rPr>
          <w:rFonts w:ascii="Arial" w:cs="Arial" w:eastAsia="Arial" w:hAnsi="Arial"/>
          <w:sz w:val="18"/>
          <w:szCs w:val="18"/>
          <w:color w:val="auto"/>
        </w:rPr>
        <w:t>. With respect to Holdings and its Restricted Subsidiaries, directly or indirectly, (i) conduct any business or engage in making or receiving any contribution of funds, goods or services to or for the benefit of any</w:t>
      </w:r>
    </w:p>
    <w:p>
      <w:pPr>
        <w:spacing w:after="0" w:line="226" w:lineRule="auto"/>
        <w:rPr>
          <w:sz w:val="20"/>
          <w:szCs w:val="20"/>
          <w:color w:val="auto"/>
        </w:rPr>
      </w:pPr>
      <w:r>
        <w:rPr>
          <w:rFonts w:ascii="Arial" w:cs="Arial" w:eastAsia="Arial" w:hAnsi="Arial"/>
          <w:sz w:val="18"/>
          <w:szCs w:val="18"/>
          <w:color w:val="auto"/>
        </w:rPr>
        <w:t>person described in Section 3.18, (ii) deal in, or otherwise engage in any transaction relating to, any property or interests in property blocked pursuant to the Executive Order or any other Anti-Terrorism Law, or (iii) engage in or conspire to engage in any transaction that evades or</w:t>
      </w:r>
    </w:p>
    <w:p>
      <w:pPr>
        <w:spacing w:after="0" w:line="236" w:lineRule="auto"/>
        <w:rPr>
          <w:sz w:val="20"/>
          <w:szCs w:val="20"/>
          <w:color w:val="auto"/>
        </w:rPr>
      </w:pPr>
      <w:r>
        <w:rPr>
          <w:rFonts w:ascii="Arial" w:cs="Arial" w:eastAsia="Arial" w:hAnsi="Arial"/>
          <w:sz w:val="18"/>
          <w:szCs w:val="18"/>
          <w:color w:val="auto"/>
        </w:rPr>
        <w:t>avoids, or has the purpose of evading or avoiding, or attempts to violate, any of the prohibitions set forth in any Anti-Terrorism Law (and the</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Loan Parties shall deliver to the Lenders any certification or other evidence requested from time to time by any Lender in its reasonable discretion, confirming Holdings’ and its Restricted Subsidiaries’ compliance with this Section 5.14).</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8"/>
          <w:szCs w:val="18"/>
          <w:u w:val="single" w:color="auto"/>
          <w:color w:val="auto"/>
        </w:rPr>
        <w:t>Post-Closing Schedule</w:t>
      </w:r>
      <w:r>
        <w:rPr>
          <w:rFonts w:ascii="Arial" w:cs="Arial" w:eastAsia="Arial" w:hAnsi="Arial"/>
          <w:sz w:val="18"/>
          <w:szCs w:val="18"/>
          <w:color w:val="auto"/>
        </w:rPr>
        <w:t>. Within the time periods specified on Schedule 5.15 hereto (as each may be extended by the</w:t>
      </w:r>
    </w:p>
    <w:p>
      <w:pPr>
        <w:ind w:right="20"/>
        <w:spacing w:after="0" w:line="220" w:lineRule="auto"/>
        <w:rPr>
          <w:sz w:val="20"/>
          <w:szCs w:val="20"/>
          <w:color w:val="auto"/>
        </w:rPr>
      </w:pPr>
      <w:r>
        <w:rPr>
          <w:rFonts w:ascii="Arial" w:cs="Arial" w:eastAsia="Arial" w:hAnsi="Arial"/>
          <w:sz w:val="20"/>
          <w:szCs w:val="20"/>
          <w:color w:val="auto"/>
        </w:rPr>
        <w:t>Administrative Agent in its reasonable discretion), provide such Collateral Documents and complete such undertakings as are set forth on Schedule 5.15 hereto.</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w:t>
      </w:r>
    </w:p>
    <w:p>
      <w:pPr>
        <w:spacing w:after="0" w:line="162" w:lineRule="exact"/>
        <w:rPr>
          <w:sz w:val="20"/>
          <w:szCs w:val="20"/>
          <w:color w:val="auto"/>
        </w:rPr>
      </w:pPr>
    </w:p>
    <w:p>
      <w:pPr>
        <w:ind w:left="4820"/>
        <w:spacing w:after="0"/>
        <w:rPr>
          <w:sz w:val="20"/>
          <w:szCs w:val="20"/>
          <w:color w:val="auto"/>
        </w:rPr>
      </w:pPr>
      <w:r>
        <w:rPr>
          <w:rFonts w:ascii="Arial" w:cs="Arial" w:eastAsia="Arial" w:hAnsi="Arial"/>
          <w:sz w:val="20"/>
          <w:szCs w:val="20"/>
          <w:u w:val="single" w:color="auto"/>
          <w:color w:val="auto"/>
        </w:rPr>
        <w:t>Negative Covenants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From the Closing Date until the Commitments have expired or terminated and the principal of and interest on each Loan and</w:t>
      </w:r>
    </w:p>
    <w:p>
      <w:pPr>
        <w:ind w:right="20"/>
        <w:spacing w:after="0" w:line="220" w:lineRule="auto"/>
        <w:rPr>
          <w:sz w:val="20"/>
          <w:szCs w:val="20"/>
          <w:color w:val="auto"/>
        </w:rPr>
      </w:pPr>
      <w:r>
        <w:rPr>
          <w:rFonts w:ascii="Arial" w:cs="Arial" w:eastAsia="Arial" w:hAnsi="Arial"/>
          <w:sz w:val="20"/>
          <w:szCs w:val="20"/>
          <w:color w:val="auto"/>
        </w:rPr>
        <w:t>all fees payable hereunder have been paid in full and all Letters of Credit have expired, terminated or been Cash Collateralized and all LC Disbursements shall have been reimbursed, the Loan Parties covenant and agree with the Lenders that: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4" w:lineRule="auto"/>
        <w:tabs>
          <w:tab w:leader="none" w:pos="193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Holdings will not, and will not permit any Restricted Subsidiary to, incur, directly or indirectly, any Indebtedness, and Holdings will not issue any Disqualified Equity Interests and will not permit any of its Restricted Subsidiaries to issue any shares of Preferred Equity (other than the issuance of Preferred Equity by any Restricted Subsidiary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Holdings will be entitled to incur Indebtedness or issue Disqualified Equity Interests and any Restricted Subsidiary will be entitled to incur Indebtedness or issue Preferred Equity, so long as (i) both before and after giving effect to such incurrence or issuance, no Event of Default shall have occurred and be continuing and (ii) after giving effect to such incurrence or issuance on a Pro Forma Basis (and any Permitted Acquisition or Investment incurred in connection therewith) for the most recently ended Test Period prior to such incurrence or issuance (or, in the event the proceeds thereof are to be used to finance a Limited Condition Transaction (after giving effect to the incurrence of such Indebtedness and any Permitted Acquisition or Investment incurred in connection therewith), on the LCT Test Date), such Indebtedness shall not exceed an unlimited amount so long as (1) in the case of any Indebtedness secured by a Lien on the Collateral that is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any Lien on the Collateral securing the Obligations, the First Lien Net Leverage Ratio, determined on a Pro Forma Basis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recently ended Test Period prior to such date, would not exceed 5.00:1.00, (2) in the case of any Indebtedness secured by the Collateral on a junior lien basis relative to the Liens on such Collateral securing the Obligations, the Secured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3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determined on a Pro Forma Basis for the most recently ended Test Period prior to such date, would not exceed 5.25:1.00, and (3) in the case of unsecured Indebtedness or Indebtedness that is secured by assets that do not constitute Collateral, either (a) the Total Net Leverage Ratio,</w:t>
      </w:r>
    </w:p>
    <w:p>
      <w:pPr>
        <w:spacing w:after="0" w:line="236" w:lineRule="auto"/>
        <w:rPr>
          <w:sz w:val="20"/>
          <w:szCs w:val="20"/>
          <w:color w:val="auto"/>
        </w:rPr>
      </w:pPr>
      <w:r>
        <w:rPr>
          <w:rFonts w:ascii="Arial" w:cs="Arial" w:eastAsia="Arial" w:hAnsi="Arial"/>
          <w:sz w:val="18"/>
          <w:szCs w:val="18"/>
          <w:color w:val="auto"/>
        </w:rPr>
        <w:t>determined on a Pro Forma Basis for the most recently ended Test Period prior to such date, would not exceed 5.25:1.00 or (b) the Fixed</w:t>
      </w:r>
    </w:p>
    <w:p>
      <w:pPr>
        <w:spacing w:after="0" w:line="226" w:lineRule="auto"/>
        <w:rPr>
          <w:sz w:val="20"/>
          <w:szCs w:val="20"/>
          <w:color w:val="auto"/>
        </w:rPr>
      </w:pPr>
      <w:r>
        <w:rPr>
          <w:rFonts w:ascii="Arial" w:cs="Arial" w:eastAsia="Arial" w:hAnsi="Arial"/>
          <w:sz w:val="18"/>
          <w:szCs w:val="18"/>
          <w:color w:val="auto"/>
        </w:rPr>
        <w:t xml:space="preserve">Charge Coverage Ratio, determined on a Pro Forma Basis for the most recently ended Test Period prior to such date, would not be less than 2.00:1.00;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Indebtedness of non-Guarantor Subsidiaries, when combined with all outstanding Indebtedness</w:t>
      </w:r>
    </w:p>
    <w:p>
      <w:pPr>
        <w:spacing w:after="0" w:line="224" w:lineRule="auto"/>
        <w:rPr>
          <w:sz w:val="20"/>
          <w:szCs w:val="20"/>
          <w:color w:val="auto"/>
        </w:rPr>
      </w:pPr>
      <w:r>
        <w:rPr>
          <w:rFonts w:ascii="Arial" w:cs="Arial" w:eastAsia="Arial" w:hAnsi="Arial"/>
          <w:sz w:val="19"/>
          <w:szCs w:val="19"/>
          <w:color w:val="auto"/>
        </w:rPr>
        <w:t>incurred by non-Guarantor Subsidiaries pursuant to Section 6.01(b)(xi) hereof, shall not exceed, in the aggregate, the greater of (x)</w:t>
      </w:r>
    </w:p>
    <w:p>
      <w:pPr>
        <w:spacing w:after="0" w:line="226" w:lineRule="auto"/>
        <w:rPr>
          <w:sz w:val="20"/>
          <w:szCs w:val="20"/>
          <w:color w:val="auto"/>
        </w:rPr>
      </w:pPr>
      <w:r>
        <w:rPr>
          <w:rFonts w:ascii="Arial" w:cs="Arial" w:eastAsia="Arial" w:hAnsi="Arial"/>
          <w:sz w:val="18"/>
          <w:szCs w:val="18"/>
          <w:color w:val="auto"/>
        </w:rPr>
        <w:t xml:space="preserve">$175,000,000 and (y) 15% of Consolidated EBITDA for the Test Period most recently ended on or prior to the date of such determination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Indebtedness is incurred prior to the date that is 24 months after the Closing</w:t>
      </w:r>
    </w:p>
    <w:p>
      <w:pPr>
        <w:spacing w:after="0" w:line="224" w:lineRule="auto"/>
        <w:rPr>
          <w:sz w:val="20"/>
          <w:szCs w:val="20"/>
          <w:color w:val="auto"/>
        </w:rPr>
      </w:pPr>
      <w:r>
        <w:rPr>
          <w:rFonts w:ascii="Arial" w:cs="Arial" w:eastAsia="Arial" w:hAnsi="Arial"/>
          <w:sz w:val="19"/>
          <w:szCs w:val="19"/>
          <w:color w:val="auto"/>
        </w:rPr>
        <w:t>Date and is comprised of term loans funded in Dollars that are secured by a Lien on the Collateral that is pari passu with Lien on the</w:t>
      </w:r>
    </w:p>
    <w:p>
      <w:pPr>
        <w:spacing w:after="0" w:line="220" w:lineRule="auto"/>
        <w:rPr>
          <w:sz w:val="20"/>
          <w:szCs w:val="20"/>
          <w:color w:val="auto"/>
        </w:rPr>
      </w:pPr>
      <w:r>
        <w:rPr>
          <w:rFonts w:ascii="Arial" w:cs="Arial" w:eastAsia="Arial" w:hAnsi="Arial"/>
          <w:sz w:val="20"/>
          <w:szCs w:val="20"/>
          <w:color w:val="auto"/>
        </w:rPr>
        <w:t>Collateral securing the Obligations, the provisions set forth in Section 2.20(b)(A)(iv) shall apply as if such Indebtedness had been incurred as Incremental Term Loans under Section 2.20.</w:t>
      </w:r>
    </w:p>
    <w:p>
      <w:pPr>
        <w:spacing w:after="0" w:line="170" w:lineRule="exact"/>
        <w:rPr>
          <w:sz w:val="20"/>
          <w:szCs w:val="20"/>
          <w:color w:val="auto"/>
        </w:rPr>
      </w:pPr>
    </w:p>
    <w:p>
      <w:pPr>
        <w:ind w:firstLine="1304"/>
        <w:spacing w:after="0" w:line="236" w:lineRule="auto"/>
        <w:tabs>
          <w:tab w:leader="none" w:pos="1932" w:val="left"/>
        </w:tabs>
        <w:numPr>
          <w:ilvl w:val="0"/>
          <w:numId w:val="252"/>
        </w:numPr>
        <w:rPr>
          <w:rFonts w:ascii="Arial" w:cs="Arial" w:eastAsia="Arial" w:hAnsi="Arial"/>
          <w:sz w:val="20"/>
          <w:szCs w:val="20"/>
          <w:color w:val="auto"/>
        </w:rPr>
      </w:pPr>
      <w:r>
        <w:rPr>
          <w:rFonts w:ascii="Arial" w:cs="Arial" w:eastAsia="Arial" w:hAnsi="Arial"/>
          <w:sz w:val="20"/>
          <w:szCs w:val="20"/>
          <w:color w:val="auto"/>
        </w:rPr>
        <w:t>Notwithstanding Section 6.01(a), Holdings and its Restricted Subsidiaries will be entitled to incur any or all of the following Indebtedness (collectively “</w:t>
      </w:r>
      <w:r>
        <w:rPr>
          <w:rFonts w:ascii="Arial" w:cs="Arial" w:eastAsia="Arial" w:hAnsi="Arial"/>
          <w:sz w:val="20"/>
          <w:szCs w:val="20"/>
          <w:u w:val="single" w:color="auto"/>
          <w:color w:val="auto"/>
        </w:rPr>
        <w:t>Permitted Debt</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252"/>
        </w:numPr>
        <w:rPr>
          <w:rFonts w:ascii="Arial" w:cs="Arial" w:eastAsia="Arial" w:hAnsi="Arial"/>
          <w:sz w:val="19"/>
          <w:szCs w:val="19"/>
          <w:color w:val="auto"/>
        </w:rPr>
      </w:pPr>
      <w:r>
        <w:rPr>
          <w:rFonts w:ascii="Arial" w:cs="Arial" w:eastAsia="Arial" w:hAnsi="Arial"/>
          <w:sz w:val="19"/>
          <w:szCs w:val="19"/>
          <w:color w:val="auto"/>
        </w:rPr>
        <w:t>The Secured Obligations (including any Incremental Loans) and any Credit Agreement Refinancing</w:t>
      </w:r>
    </w:p>
    <w:p>
      <w:pPr>
        <w:ind w:left="660"/>
        <w:spacing w:after="0"/>
        <w:rPr>
          <w:rFonts w:ascii="Arial" w:cs="Arial" w:eastAsia="Arial" w:hAnsi="Arial"/>
          <w:sz w:val="19"/>
          <w:szCs w:val="19"/>
          <w:color w:val="auto"/>
        </w:rPr>
      </w:pPr>
      <w:r>
        <w:rPr>
          <w:rFonts w:ascii="Arial" w:cs="Arial" w:eastAsia="Arial" w:hAnsi="Arial"/>
          <w:sz w:val="20"/>
          <w:szCs w:val="20"/>
          <w:color w:val="auto"/>
        </w:rPr>
        <w:t>Indebtedness;</w:t>
      </w:r>
    </w:p>
    <w:p>
      <w:pPr>
        <w:spacing w:after="0" w:line="172" w:lineRule="exact"/>
        <w:rPr>
          <w:rFonts w:ascii="Arial" w:cs="Arial" w:eastAsia="Arial" w:hAnsi="Arial"/>
          <w:sz w:val="19"/>
          <w:szCs w:val="19"/>
          <w:color w:val="auto"/>
        </w:rPr>
      </w:pPr>
    </w:p>
    <w:p>
      <w:pPr>
        <w:jc w:val="both"/>
        <w:ind w:left="660" w:firstLine="1292"/>
        <w:spacing w:after="0" w:line="227" w:lineRule="auto"/>
        <w:tabs>
          <w:tab w:leader="none" w:pos="2603" w:val="left"/>
        </w:tabs>
        <w:numPr>
          <w:ilvl w:val="1"/>
          <w:numId w:val="252"/>
        </w:numPr>
        <w:rPr>
          <w:rFonts w:ascii="Arial" w:cs="Arial" w:eastAsia="Arial" w:hAnsi="Arial"/>
          <w:sz w:val="19"/>
          <w:szCs w:val="19"/>
          <w:color w:val="auto"/>
        </w:rPr>
      </w:pPr>
      <w:r>
        <w:rPr>
          <w:rFonts w:ascii="Arial" w:cs="Arial" w:eastAsia="Arial" w:hAnsi="Arial"/>
          <w:sz w:val="19"/>
          <w:szCs w:val="19"/>
          <w:color w:val="auto"/>
        </w:rPr>
        <w:t xml:space="preserve">Indebtedness owed to and held by Holdings or a Restricted Subsidiary as permitted under Section 6.04 or as a Permitted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that (x) any subsequent issuance or transfer of any Equity Interest that results in any such Indebtedness being held by a Person other than Holdings or a Restricted Subsidiary and (y) any subsequent transfer of such Indebtedness (other than to Holdings or a Restricted Subsidiary) shall be deemed, in each case, to constitute the incurrence of such Indebtedness by the obligor thereon that was not permitted by this clause (ii);</w:t>
      </w:r>
    </w:p>
    <w:p>
      <w:pPr>
        <w:spacing w:after="0" w:line="168" w:lineRule="exact"/>
        <w:rPr>
          <w:rFonts w:ascii="Arial" w:cs="Arial" w:eastAsia="Arial" w:hAnsi="Arial"/>
          <w:sz w:val="19"/>
          <w:szCs w:val="19"/>
          <w:color w:val="auto"/>
        </w:rPr>
      </w:pPr>
    </w:p>
    <w:p>
      <w:pPr>
        <w:jc w:val="both"/>
        <w:ind w:left="660" w:firstLine="1292"/>
        <w:spacing w:after="0" w:line="229" w:lineRule="auto"/>
        <w:tabs>
          <w:tab w:leader="none" w:pos="2604" w:val="left"/>
        </w:tabs>
        <w:numPr>
          <w:ilvl w:val="1"/>
          <w:numId w:val="252"/>
        </w:numPr>
        <w:rPr>
          <w:rFonts w:ascii="Arial" w:cs="Arial" w:eastAsia="Arial" w:hAnsi="Arial"/>
          <w:sz w:val="19"/>
          <w:szCs w:val="19"/>
          <w:color w:val="auto"/>
        </w:rPr>
      </w:pPr>
      <w:r>
        <w:rPr>
          <w:rFonts w:ascii="Arial" w:cs="Arial" w:eastAsia="Arial" w:hAnsi="Arial"/>
          <w:sz w:val="19"/>
          <w:szCs w:val="19"/>
          <w:color w:val="auto"/>
        </w:rPr>
        <w:t xml:space="preserve">Indebtedness of Holdings to any Restricted Subsidiary and of any Restricted Subsidiary to Holdings or any other Restricted Subsidiary (including, without limitation, to consummate the Transactions (including, without limitation, the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owing by any Loan Party to a Restricted Subsidiary which is not a Loan Party shall be subordinated in right of payment to the Secured Obligations pursuant to the Intercompany Subordination Agreement or any other agreement reasonably satisfactory to the Administrative Agent and Holdings;</w:t>
      </w:r>
    </w:p>
    <w:p>
      <w:pPr>
        <w:spacing w:after="0" w:line="159" w:lineRule="exact"/>
        <w:rPr>
          <w:rFonts w:ascii="Arial" w:cs="Arial" w:eastAsia="Arial" w:hAnsi="Arial"/>
          <w:sz w:val="19"/>
          <w:szCs w:val="19"/>
          <w:color w:val="auto"/>
        </w:rPr>
      </w:pPr>
    </w:p>
    <w:p>
      <w:pPr>
        <w:jc w:val="both"/>
        <w:ind w:left="660" w:firstLine="1292"/>
        <w:spacing w:after="0" w:line="235" w:lineRule="auto"/>
        <w:tabs>
          <w:tab w:leader="none" w:pos="259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incurred prior to the date on which such Subsidiary was acquired by Holdings or a Restricted Subsidiary of Holdings (other than Indebtedness incurred in contemplation of such acquisition) and outstanding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secured, such Indebtedness shall be secured solely by Liens existing at the time such Restricted Subsidiary is acquired by Holdings or a Restricted Subsidiary of Holdings and shall not extend to any other property owned by Holdings or any of its other Restricted Subsidiaries and (II) (x) if such Indebtedness is secured by a Lien on the Collateral that is pari passu with the Lien on the Collateral securing the Secured Obligations that are secured on a first lien basis, the First Lien Net Leverage Ratio, determined on a Pro Forma Basis for the most recently ended Test Period prior to such date, would not exceed the First Lien Net Leverage Ratio in effect immediately prior to the consummation of such acquisition calculated on a Pro Forma Basis as of the most recently ended Test Period, (y) if such Indebtedness is secured by a Lien on the Collateral that is junior to the Lien on the Collateral securing the Secured Obligations that are secured on a first lien basis, the Secured Net Leverage Ratio, determined on a Pro Forma Basis for the most recently ended Test Period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date, would not exceed the Secured Net Leverage Ratio in effect immediately prior to the consummation of such acquisition calculated on a Pro Forma basis as of the most recently ended Test Period or (z) if such Indebtedness is unsecured or is secured by</w:t>
      </w:r>
    </w:p>
    <w:p>
      <w:pPr>
        <w:spacing w:after="0" w:line="222" w:lineRule="auto"/>
        <w:rPr>
          <w:sz w:val="20"/>
          <w:szCs w:val="20"/>
          <w:color w:val="auto"/>
        </w:rPr>
      </w:pPr>
      <w:r>
        <w:rPr>
          <w:rFonts w:ascii="Arial" w:cs="Arial" w:eastAsia="Arial" w:hAnsi="Arial"/>
          <w:sz w:val="19"/>
          <w:szCs w:val="19"/>
          <w:color w:val="auto"/>
        </w:rPr>
        <w:t>assets that do not constitute Collateral, either (a) the Total Net Leverage Ratio, determined on a Pro Forma Basis for the most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recently ended Test Period prior to such date, would not exceed the Total Net Leverage Ratio in effect immediately prior to the consummation of such acquisition calculated on a Pro Forma Basis as of the most recently ended Test Period or (b) the Fixed Charge</w:t>
      </w:r>
    </w:p>
    <w:p>
      <w:pPr>
        <w:spacing w:after="0" w:line="235" w:lineRule="auto"/>
        <w:rPr>
          <w:sz w:val="20"/>
          <w:szCs w:val="20"/>
          <w:color w:val="auto"/>
        </w:rPr>
      </w:pPr>
      <w:r>
        <w:rPr>
          <w:rFonts w:ascii="Arial" w:cs="Arial" w:eastAsia="Arial" w:hAnsi="Arial"/>
          <w:sz w:val="18"/>
          <w:szCs w:val="18"/>
          <w:color w:val="auto"/>
        </w:rPr>
        <w:t>Coverage Ratio, determined on a Pro Forma Basis for the most recently ended Test Period prior to such date, would not be less than</w:t>
      </w:r>
    </w:p>
    <w:p>
      <w:pPr>
        <w:spacing w:after="0" w:line="220" w:lineRule="auto"/>
        <w:rPr>
          <w:sz w:val="20"/>
          <w:szCs w:val="20"/>
          <w:color w:val="auto"/>
        </w:rPr>
      </w:pPr>
      <w:r>
        <w:rPr>
          <w:rFonts w:ascii="Arial" w:cs="Arial" w:eastAsia="Arial" w:hAnsi="Arial"/>
          <w:sz w:val="20"/>
          <w:szCs w:val="20"/>
          <w:color w:val="auto"/>
        </w:rPr>
        <w:t>the Fixed Charge Coverage Ratio in effect immediately prior to the consummation of such acquisition calculated on a Pro Forma Basis as of the most recently ended Test Period;</w:t>
      </w:r>
    </w:p>
    <w:p>
      <w:pPr>
        <w:spacing w:after="0" w:line="170" w:lineRule="exact"/>
        <w:rPr>
          <w:sz w:val="20"/>
          <w:szCs w:val="20"/>
          <w:color w:val="auto"/>
        </w:rPr>
      </w:pPr>
    </w:p>
    <w:p>
      <w:pPr>
        <w:ind w:firstLine="1292"/>
        <w:spacing w:after="0" w:line="236" w:lineRule="auto"/>
        <w:tabs>
          <w:tab w:leader="none" w:pos="1932" w:val="left"/>
        </w:tabs>
        <w:numPr>
          <w:ilvl w:val="0"/>
          <w:numId w:val="253"/>
        </w:numPr>
        <w:rPr>
          <w:rFonts w:ascii="Arial" w:cs="Arial" w:eastAsia="Arial" w:hAnsi="Arial"/>
          <w:sz w:val="20"/>
          <w:szCs w:val="20"/>
          <w:color w:val="auto"/>
        </w:rPr>
      </w:pPr>
      <w:r>
        <w:rPr>
          <w:rFonts w:ascii="Arial" w:cs="Arial" w:eastAsia="Arial" w:hAnsi="Arial"/>
          <w:sz w:val="20"/>
          <w:szCs w:val="20"/>
          <w:color w:val="auto"/>
        </w:rPr>
        <w:t>Permitted Refinancing Indebtedness in respect of Indebtedness incurred pursuant to Section 6.01(a), Sections 6.01(b)(iv), (xvii), (xxii) or (xxvii) or this clause (v);</w:t>
      </w:r>
    </w:p>
    <w:p>
      <w:pPr>
        <w:spacing w:after="0" w:line="155" w:lineRule="exact"/>
        <w:rPr>
          <w:rFonts w:ascii="Arial" w:cs="Arial" w:eastAsia="Arial" w:hAnsi="Arial"/>
          <w:sz w:val="20"/>
          <w:szCs w:val="20"/>
          <w:color w:val="auto"/>
        </w:rPr>
      </w:pPr>
    </w:p>
    <w:p>
      <w:pPr>
        <w:ind w:left="1920" w:hanging="628"/>
        <w:spacing w:after="0"/>
        <w:tabs>
          <w:tab w:leader="none" w:pos="192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Obligations under and in respect of non-speculative Swap Agreements (including Permitted Hedging</w:t>
      </w:r>
    </w:p>
    <w:p>
      <w:pPr>
        <w:spacing w:after="0"/>
        <w:rPr>
          <w:rFonts w:ascii="Arial" w:cs="Arial" w:eastAsia="Arial" w:hAnsi="Arial"/>
          <w:sz w:val="19"/>
          <w:szCs w:val="19"/>
          <w:color w:val="auto"/>
        </w:rPr>
      </w:pPr>
      <w:r>
        <w:rPr>
          <w:rFonts w:ascii="Arial" w:cs="Arial" w:eastAsia="Arial" w:hAnsi="Arial"/>
          <w:sz w:val="20"/>
          <w:szCs w:val="20"/>
          <w:color w:val="auto"/>
        </w:rPr>
        <w:t>Obligations);</w:t>
      </w:r>
    </w:p>
    <w:p>
      <w:pPr>
        <w:spacing w:after="0" w:line="172" w:lineRule="exact"/>
        <w:rPr>
          <w:rFonts w:ascii="Arial" w:cs="Arial" w:eastAsia="Arial" w:hAnsi="Arial"/>
          <w:sz w:val="19"/>
          <w:szCs w:val="19"/>
          <w:color w:val="auto"/>
        </w:rPr>
      </w:pPr>
    </w:p>
    <w:p>
      <w:pPr>
        <w:jc w:val="both"/>
        <w:ind w:firstLine="1292"/>
        <w:spacing w:after="0" w:line="215" w:lineRule="auto"/>
        <w:tabs>
          <w:tab w:leader="none" w:pos="1933"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 obligations in respect of worker’s compensation and self-insurance and performance, bid, stay, customs, appeal, replevin and surety bonds and performance and completion guarantees provided by Holdings or any Restricted Subsidiary in the ordinary course of business, and (B) reimbursement and indemnification obligations in respect of letters of credit, banker’s acceptances and other similar instruments issued in respect of obligations specified in clause (A) or to landlords or vendors in the ordinary course of business;</w:t>
      </w:r>
    </w:p>
    <w:p>
      <w:pPr>
        <w:spacing w:after="0" w:line="171" w:lineRule="exact"/>
        <w:rPr>
          <w:rFonts w:ascii="Arial" w:cs="Arial" w:eastAsia="Arial" w:hAnsi="Arial"/>
          <w:sz w:val="20"/>
          <w:szCs w:val="20"/>
          <w:color w:val="auto"/>
        </w:rPr>
      </w:pPr>
    </w:p>
    <w:p>
      <w:pPr>
        <w:ind w:right="20" w:firstLine="1292"/>
        <w:spacing w:after="0" w:line="236" w:lineRule="auto"/>
        <w:tabs>
          <w:tab w:leader="none" w:pos="1935"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ACH Indebtedness and Indebtedness owed in respect of business credit card programs and any netting services, overdrafts and related liabilities arising from treasury, depository and cash management services;</w:t>
      </w:r>
    </w:p>
    <w:p>
      <w:pPr>
        <w:spacing w:after="0" w:line="155" w:lineRule="exact"/>
        <w:rPr>
          <w:rFonts w:ascii="Arial" w:cs="Arial" w:eastAsia="Arial" w:hAnsi="Arial"/>
          <w:sz w:val="20"/>
          <w:szCs w:val="20"/>
          <w:color w:val="auto"/>
        </w:rPr>
      </w:pPr>
    </w:p>
    <w:p>
      <w:pPr>
        <w:jc w:val="both"/>
        <w:ind w:firstLine="1292"/>
        <w:spacing w:after="0" w:line="220" w:lineRule="auto"/>
        <w:tabs>
          <w:tab w:leader="none" w:pos="1933"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Indebtedness consisting of any Guarantee by Holdings or any Restricted Subsidiary of Indebtedness or other obligations of Holdings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Indebtedness being guaranteed is subordinated to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Loans, then the Guarantee must be subordinated or </w:t>
      </w:r>
      <w:r>
        <w:rPr>
          <w:rFonts w:ascii="Arial" w:cs="Arial" w:eastAsia="Arial" w:hAnsi="Arial"/>
          <w:sz w:val="20"/>
          <w:szCs w:val="20"/>
          <w:i w:val="1"/>
          <w:iCs w:val="1"/>
          <w:color w:val="auto"/>
        </w:rPr>
        <w:t>pari passu</w:t>
      </w:r>
      <w:r>
        <w:rPr>
          <w:rFonts w:ascii="Arial" w:cs="Arial" w:eastAsia="Arial" w:hAnsi="Arial"/>
          <w:sz w:val="20"/>
          <w:szCs w:val="20"/>
          <w:color w:val="auto"/>
        </w:rPr>
        <w:t>, as applicable, to the same extent as the Indebtedness guaranteed;</w:t>
      </w:r>
    </w:p>
    <w:p>
      <w:pPr>
        <w:spacing w:after="0" w:line="169" w:lineRule="exact"/>
        <w:rPr>
          <w:rFonts w:ascii="Arial" w:cs="Arial" w:eastAsia="Arial" w:hAnsi="Arial"/>
          <w:sz w:val="20"/>
          <w:szCs w:val="20"/>
          <w:color w:val="auto"/>
        </w:rPr>
      </w:pPr>
    </w:p>
    <w:p>
      <w:pPr>
        <w:jc w:val="both"/>
        <w:ind w:firstLine="1292"/>
        <w:spacing w:after="0" w:line="223" w:lineRule="auto"/>
        <w:tabs>
          <w:tab w:leader="none" w:pos="1932" w:val="left"/>
        </w:tabs>
        <w:numPr>
          <w:ilvl w:val="0"/>
          <w:numId w:val="253"/>
        </w:numPr>
        <w:rPr>
          <w:rFonts w:ascii="Arial" w:cs="Arial" w:eastAsia="Arial" w:hAnsi="Arial"/>
          <w:sz w:val="19"/>
          <w:szCs w:val="19"/>
          <w:color w:val="auto"/>
        </w:rPr>
      </w:pPr>
      <w:r>
        <w:rPr>
          <w:rFonts w:ascii="Arial" w:cs="Arial" w:eastAsia="Arial" w:hAnsi="Arial"/>
          <w:sz w:val="19"/>
          <w:szCs w:val="19"/>
          <w:color w:val="auto"/>
        </w:rPr>
        <w:t xml:space="preserve">Capital Lease Obligations and Indebtedness incurred after the Closing Date in respect of purchase money indebtedness or Sale and Leaseback Transactions and Permitted Refinancing Indebtedness in respect thereof and in an aggregate principal amount on the date of incurrence that, when taken together with the principal amount of all other Indebtedness then outstanding and incurred pursuant to this clause (x), does not exceed the greater of $235,000,000 and 20% of Consolidated EBITDA for the Test Period most recently ended on or prior to the date of such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(x) shall not apply to any Capital Lease Obligations or Indebtedness in respect of Sale and Leaseback Transactions, the proceeds of which are used to prepay, on a pro rata basis, Indebtedness hereunder and, to the extent required under the terms of such Indebtedness, Indebtedness that is secured by a Lien on the Collateral that is pari passu with the Lien on the Collateral securing the Secured Obligations that are secured on a first lien basis;</w:t>
      </w:r>
    </w:p>
    <w:p>
      <w:pPr>
        <w:spacing w:after="0" w:line="170" w:lineRule="exact"/>
        <w:rPr>
          <w:rFonts w:ascii="Arial" w:cs="Arial" w:eastAsia="Arial" w:hAnsi="Arial"/>
          <w:sz w:val="19"/>
          <w:szCs w:val="19"/>
          <w:color w:val="auto"/>
        </w:rPr>
      </w:pPr>
    </w:p>
    <w:p>
      <w:pPr>
        <w:ind w:firstLine="1292"/>
        <w:spacing w:after="0" w:line="269" w:lineRule="auto"/>
        <w:tabs>
          <w:tab w:leader="none" w:pos="193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other Indebtedness of non-Guarantor Subsidiaries and Foreign Subsidiaries in an aggregate principal amount on the date of incurrence that, when taken together with the principal amount of all other Indebtedness then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0580"/>
          </w:cols>
          <w:pgMar w:left="980" w:top="1440" w:right="339" w:bottom="1440" w:gutter="0" w:footer="0" w:header="0"/>
        </w:sectPr>
      </w:pPr>
    </w:p>
    <w:bookmarkStart w:id="323" w:name="page324"/>
    <w:bookmarkEnd w:id="32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incurred pursuant to this clause (xi) and the principal amount of all Indebtedness of non-Guarantor Subsidiaries then outstanding and incurred pursuant to Section 6.01(a) hereof, does not exceed the greater of $175,000,000 and 15% of Consolidated EBITDA for the</w:t>
      </w:r>
    </w:p>
    <w:p>
      <w:pPr>
        <w:spacing w:after="0"/>
        <w:rPr>
          <w:sz w:val="20"/>
          <w:szCs w:val="20"/>
          <w:color w:val="auto"/>
        </w:rPr>
      </w:pPr>
      <w:r>
        <w:rPr>
          <w:rFonts w:ascii="Arial" w:cs="Arial" w:eastAsia="Arial" w:hAnsi="Arial"/>
          <w:sz w:val="20"/>
          <w:szCs w:val="20"/>
          <w:color w:val="auto"/>
        </w:rPr>
        <w:t>Test Period most recently ended on or prior to the date of such determination;</w:t>
      </w:r>
    </w:p>
    <w:p>
      <w:pPr>
        <w:spacing w:after="0" w:line="173" w:lineRule="exact"/>
        <w:rPr>
          <w:sz w:val="20"/>
          <w:szCs w:val="20"/>
          <w:color w:val="auto"/>
        </w:rPr>
      </w:pPr>
    </w:p>
    <w:p>
      <w:pPr>
        <w:jc w:val="both"/>
        <w:ind w:firstLine="1292"/>
        <w:spacing w:after="0" w:line="223" w:lineRule="auto"/>
        <w:tabs>
          <w:tab w:leader="none" w:pos="193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Indebtedness of Holdings or any of its Restricted Subsidiaries consisting of (i) the financing of insurance premiums with the providers of such insurance or their affiliates or (ii) take-or-pay obligations contained in supply agreements, in each case, in the ordinary course of business;</w:t>
      </w:r>
    </w:p>
    <w:p>
      <w:pPr>
        <w:spacing w:after="0" w:line="166" w:lineRule="exact"/>
        <w:rPr>
          <w:rFonts w:ascii="Arial" w:cs="Arial" w:eastAsia="Arial" w:hAnsi="Arial"/>
          <w:sz w:val="20"/>
          <w:szCs w:val="20"/>
          <w:color w:val="auto"/>
        </w:rPr>
      </w:pPr>
    </w:p>
    <w:p>
      <w:pPr>
        <w:ind w:left="1940" w:hanging="648"/>
        <w:spacing w:after="0"/>
        <w:tabs>
          <w:tab w:leader="none" w:pos="19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Indebtedness incurred in connection with judgments, decrees, attachments or awards that do not constitute</w:t>
      </w:r>
    </w:p>
    <w:p>
      <w:pPr>
        <w:spacing w:after="0"/>
        <w:rPr>
          <w:rFonts w:ascii="Arial" w:cs="Arial" w:eastAsia="Arial" w:hAnsi="Arial"/>
          <w:sz w:val="18"/>
          <w:szCs w:val="18"/>
          <w:color w:val="auto"/>
        </w:rPr>
      </w:pPr>
      <w:r>
        <w:rPr>
          <w:rFonts w:ascii="Arial" w:cs="Arial" w:eastAsia="Arial" w:hAnsi="Arial"/>
          <w:sz w:val="20"/>
          <w:szCs w:val="20"/>
          <w:color w:val="auto"/>
        </w:rPr>
        <w:t>an Event of Default;</w:t>
      </w:r>
    </w:p>
    <w:p>
      <w:pPr>
        <w:spacing w:after="0" w:line="172" w:lineRule="exact"/>
        <w:rPr>
          <w:rFonts w:ascii="Arial" w:cs="Arial" w:eastAsia="Arial" w:hAnsi="Arial"/>
          <w:sz w:val="18"/>
          <w:szCs w:val="18"/>
          <w:color w:val="auto"/>
        </w:rPr>
      </w:pPr>
    </w:p>
    <w:p>
      <w:pPr>
        <w:jc w:val="both"/>
        <w:ind w:firstLine="1292"/>
        <w:spacing w:after="0" w:line="220" w:lineRule="auto"/>
        <w:tabs>
          <w:tab w:leader="none" w:pos="1937" w:val="left"/>
        </w:tabs>
        <w:numPr>
          <w:ilvl w:val="0"/>
          <w:numId w:val="254"/>
        </w:numPr>
        <w:rPr>
          <w:rFonts w:ascii="Arial" w:cs="Arial" w:eastAsia="Arial" w:hAnsi="Arial"/>
          <w:sz w:val="20"/>
          <w:szCs w:val="20"/>
          <w:color w:val="auto"/>
        </w:rPr>
      </w:pPr>
      <w:r>
        <w:rPr>
          <w:rFonts w:ascii="Arial" w:cs="Arial" w:eastAsia="Arial" w:hAnsi="Arial"/>
          <w:sz w:val="20"/>
          <w:szCs w:val="20"/>
          <w:color w:val="auto"/>
        </w:rPr>
        <w:t>Indebtedness in the form of (i) guarantees of loans and advances to officers, directors, consultants and employees that constitute Permitted Investments pursuant to and in accordance with clause (9) of the definition thereof, and (ii) reimbursements owed to officers, directors, consultants and employees of Holdings or any of its Subsidiaries or Holdings’ direct or indirect parent companies;</w:t>
      </w:r>
    </w:p>
    <w:p>
      <w:pPr>
        <w:spacing w:after="0" w:line="169" w:lineRule="exact"/>
        <w:rPr>
          <w:rFonts w:ascii="Arial" w:cs="Arial" w:eastAsia="Arial" w:hAnsi="Arial"/>
          <w:sz w:val="20"/>
          <w:szCs w:val="20"/>
          <w:color w:val="auto"/>
        </w:rPr>
      </w:pPr>
    </w:p>
    <w:p>
      <w:pPr>
        <w:jc w:val="both"/>
        <w:ind w:firstLine="1292"/>
        <w:spacing w:after="0" w:line="231" w:lineRule="auto"/>
        <w:tabs>
          <w:tab w:leader="none" w:pos="1936" w:val="left"/>
        </w:tabs>
        <w:numPr>
          <w:ilvl w:val="0"/>
          <w:numId w:val="254"/>
        </w:numPr>
        <w:rPr>
          <w:rFonts w:ascii="Arial" w:cs="Arial" w:eastAsia="Arial" w:hAnsi="Arial"/>
          <w:sz w:val="19"/>
          <w:szCs w:val="19"/>
          <w:color w:val="auto"/>
        </w:rPr>
      </w:pPr>
      <w:r>
        <w:rPr>
          <w:rFonts w:ascii="Arial" w:cs="Arial" w:eastAsia="Arial" w:hAnsi="Arial"/>
          <w:sz w:val="19"/>
          <w:szCs w:val="19"/>
          <w:color w:val="auto"/>
        </w:rPr>
        <w:t>Indebtedness consisting of obligations to make payments to current or former officers, directors and employees of Holdings, any of its Subsidiaries or Holdings’ direct or indirect parent companies, their respective estates, spouses or former spouses with respect to the cancellation, purchase or redemption of Equity Interests of Holdings, any of its Subsidiaries, or any of Holdings’ direct or indirect parent companies to the extent permitted under Section 6.04;</w:t>
      </w:r>
    </w:p>
    <w:p>
      <w:pPr>
        <w:spacing w:after="0" w:line="157" w:lineRule="exact"/>
        <w:rPr>
          <w:rFonts w:ascii="Arial" w:cs="Arial" w:eastAsia="Arial" w:hAnsi="Arial"/>
          <w:sz w:val="19"/>
          <w:szCs w:val="19"/>
          <w:color w:val="auto"/>
        </w:rPr>
      </w:pPr>
    </w:p>
    <w:p>
      <w:pPr>
        <w:jc w:val="both"/>
        <w:ind w:firstLine="1292"/>
        <w:spacing w:after="0" w:line="228" w:lineRule="auto"/>
        <w:tabs>
          <w:tab w:leader="none" w:pos="193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Indebtedness (A) incurred in connection with a Qualified Securitization Financing that is not recourse (except for Standard Securitization Undertakings and Limited Originator Recourse) to Holdings or any Restricted Subsidiary, (B) incurred in connection with a Qualified Receivables Factoring or (C) incurred for working capital purposes, in an aggregate principal amount on the date of incurrence that, when taken together with the principal amount of all other Indebtedness then outstanding and incurred pursuant to this clause (xvi)(C), does not exceed the greater of $120,000,000 or 10% of Consolidated EBITDA for the Test Period most recently ended on or prior to the date of such determination;</w:t>
      </w:r>
    </w:p>
    <w:p>
      <w:pPr>
        <w:spacing w:after="0" w:line="158" w:lineRule="exact"/>
        <w:rPr>
          <w:rFonts w:ascii="Arial" w:cs="Arial" w:eastAsia="Arial" w:hAnsi="Arial"/>
          <w:sz w:val="19"/>
          <w:szCs w:val="19"/>
          <w:color w:val="auto"/>
        </w:rPr>
      </w:pPr>
    </w:p>
    <w:p>
      <w:pPr>
        <w:jc w:val="both"/>
        <w:ind w:firstLine="1292"/>
        <w:spacing w:after="0" w:line="217" w:lineRule="auto"/>
        <w:tabs>
          <w:tab w:leader="none" w:pos="1938"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(A) the New Notes (and any Guarantees thereof by the Guarantors), (B) any other Indebtedness that is outstanding on the Closing Date, which, in the case of Indebtedness with an outstanding principal amount in excess of $5,000,000, shall be listed on </w:t>
      </w:r>
      <w:r>
        <w:rPr>
          <w:rFonts w:ascii="Arial" w:cs="Arial" w:eastAsia="Arial" w:hAnsi="Arial"/>
          <w:sz w:val="20"/>
          <w:szCs w:val="20"/>
          <w:u w:val="single" w:color="auto"/>
          <w:color w:val="auto"/>
        </w:rPr>
        <w:t>Schedule 6.01</w:t>
      </w:r>
      <w:r>
        <w:rPr>
          <w:rFonts w:ascii="Arial" w:cs="Arial" w:eastAsia="Arial" w:hAnsi="Arial"/>
          <w:sz w:val="20"/>
          <w:szCs w:val="20"/>
          <w:color w:val="auto"/>
        </w:rPr>
        <w:t>, and (C) any refinancing, extensions, renewals or replacements of any such Indebtedness described in (A) or (B) that does not increase the outstanding principal amount thereof (other than with respect to unpaid accrued interest and premium thereon, any committed or undrawn amounts and underwriting discounts, fees, commissions and expenses, associated with such Indebtedness);</w:t>
      </w:r>
    </w:p>
    <w:p>
      <w:pPr>
        <w:spacing w:after="0" w:line="156" w:lineRule="exact"/>
        <w:rPr>
          <w:rFonts w:ascii="Arial" w:cs="Arial" w:eastAsia="Arial" w:hAnsi="Arial"/>
          <w:sz w:val="20"/>
          <w:szCs w:val="20"/>
          <w:color w:val="auto"/>
        </w:rPr>
      </w:pPr>
    </w:p>
    <w:p>
      <w:pPr>
        <w:jc w:val="both"/>
        <w:ind w:firstLine="1292"/>
        <w:spacing w:after="0" w:line="252" w:lineRule="auto"/>
        <w:tabs>
          <w:tab w:leader="none" w:pos="19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Indebtedness arising from agreements providing for indemnification, adjustment of purchase price or similar obligations, or from guaranties, surety bonds or performance bonds securing the performance of Holdings or any of its Restricted Subsidiaries pursuant to such agreements, in connection with Permitted Acquisitions, the Acquisition or permitted Dispositions;</w:t>
      </w:r>
    </w:p>
    <w:p>
      <w:pPr>
        <w:spacing w:after="0" w:line="157" w:lineRule="exact"/>
        <w:rPr>
          <w:rFonts w:ascii="Arial" w:cs="Arial" w:eastAsia="Arial" w:hAnsi="Arial"/>
          <w:sz w:val="18"/>
          <w:szCs w:val="18"/>
          <w:color w:val="auto"/>
        </w:rPr>
      </w:pPr>
    </w:p>
    <w:p>
      <w:pPr>
        <w:ind w:right="20" w:firstLine="1292"/>
        <w:spacing w:after="0" w:line="285" w:lineRule="auto"/>
        <w:tabs>
          <w:tab w:leader="none" w:pos="193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Alternative Incremental Facility Indebtedness and Permitted Refinancing Indebtedness in respect thereof provided that as of the end of the most recently ended Test Period prior to the effectiveness of such Alternative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0580"/>
          </w:cols>
          <w:pgMar w:left="980" w:top="1440" w:right="339" w:bottom="1440" w:gutter="0" w:footer="0" w:header="0"/>
        </w:sectPr>
      </w:pPr>
    </w:p>
    <w:bookmarkStart w:id="324" w:name="page325"/>
    <w:bookmarkEnd w:id="324"/>
    <w:p>
      <w:pPr>
        <w:spacing w:after="0" w:line="357"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Facility Indebtedness (or in the case the proceeds thereof are used to finance a Limited Condition Transaction, as of the LCT Test Date) on a Pro Forma Basis (after giving effect to the use of proceeds of such Alternative Incremental Facility Indebtedness and any</w:t>
      </w:r>
    </w:p>
    <w:p>
      <w:pPr>
        <w:ind w:left="4"/>
        <w:spacing w:after="0" w:line="222" w:lineRule="auto"/>
        <w:rPr>
          <w:sz w:val="20"/>
          <w:szCs w:val="20"/>
          <w:color w:val="auto"/>
        </w:rPr>
      </w:pPr>
      <w:r>
        <w:rPr>
          <w:rFonts w:ascii="Arial" w:cs="Arial" w:eastAsia="Arial" w:hAnsi="Arial"/>
          <w:sz w:val="19"/>
          <w:szCs w:val="19"/>
          <w:color w:val="auto"/>
        </w:rPr>
        <w:t>Permitted Acquisition or other acquisition or Investment to be consummated in connection therewith) in an aggregate principal</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 xml:space="preserve">amount, together with the principal amount of Incremental Loans incurred, shall not exceed the Maximum Incremental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Indebtedness is incurred prior to the date that is 24 months after the Closing Date and is comprised</w:t>
      </w:r>
    </w:p>
    <w:p>
      <w:pPr>
        <w:spacing w:after="0" w:line="2" w:lineRule="exact"/>
        <w:rPr>
          <w:sz w:val="20"/>
          <w:szCs w:val="20"/>
          <w:color w:val="auto"/>
        </w:rPr>
      </w:pPr>
    </w:p>
    <w:p>
      <w:pPr>
        <w:ind w:left="4"/>
        <w:spacing w:after="0" w:line="227" w:lineRule="auto"/>
        <w:rPr>
          <w:sz w:val="20"/>
          <w:szCs w:val="20"/>
          <w:color w:val="auto"/>
        </w:rPr>
      </w:pPr>
      <w:r>
        <w:rPr>
          <w:rFonts w:ascii="Arial" w:cs="Arial" w:eastAsia="Arial" w:hAnsi="Arial"/>
          <w:sz w:val="20"/>
          <w:szCs w:val="20"/>
          <w:color w:val="auto"/>
        </w:rPr>
        <w:t>of term loans funded in Dollars that are secured pari passu with the Obligations, the provisions set forth in Section 2.20(b)(A)(iv) shall apply as if such Indebtedness had been incurred as Incremental Term Loans under Section 2.20;</w:t>
      </w:r>
    </w:p>
    <w:p>
      <w:pPr>
        <w:spacing w:after="0" w:line="156" w:lineRule="exact"/>
        <w:rPr>
          <w:sz w:val="20"/>
          <w:szCs w:val="20"/>
          <w:color w:val="auto"/>
        </w:rPr>
      </w:pPr>
    </w:p>
    <w:p>
      <w:pPr>
        <w:jc w:val="both"/>
        <w:ind w:left="4" w:firstLine="1292"/>
        <w:spacing w:after="0" w:line="235" w:lineRule="auto"/>
        <w:tabs>
          <w:tab w:leader="none" w:pos="19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Indebtedness in the form of an intercompany note issued in connection with a Permitted Acquisition involving a tender offer followed by a short form merger (i.e. a statutory short form merger that requires no further approvals to consummate);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short form merger is consummated within five (5) Business Days of the incurrence of such Indebtedness and (ii) not later than three (3) Business Days after consummation of the related short form merger, such Indebtedness</w:t>
      </w:r>
    </w:p>
    <w:p>
      <w:pPr>
        <w:spacing w:after="0" w:line="1" w:lineRule="exact"/>
        <w:rPr>
          <w:rFonts w:ascii="Arial" w:cs="Arial" w:eastAsia="Arial" w:hAnsi="Arial"/>
          <w:sz w:val="18"/>
          <w:szCs w:val="18"/>
          <w:color w:val="auto"/>
        </w:rPr>
      </w:pPr>
    </w:p>
    <w:p>
      <w:pPr>
        <w:ind w:left="284" w:hanging="284"/>
        <w:spacing w:after="0"/>
        <w:tabs>
          <w:tab w:leader="none" w:pos="284" w:val="left"/>
        </w:tabs>
        <w:numPr>
          <w:ilvl w:val="0"/>
          <w:numId w:val="256"/>
        </w:numPr>
        <w:rPr>
          <w:rFonts w:ascii="Arial" w:cs="Arial" w:eastAsia="Arial" w:hAnsi="Arial"/>
          <w:sz w:val="20"/>
          <w:szCs w:val="20"/>
          <w:color w:val="auto"/>
        </w:rPr>
      </w:pPr>
      <w:r>
        <w:rPr>
          <w:rFonts w:ascii="Arial" w:cs="Arial" w:eastAsia="Arial" w:hAnsi="Arial"/>
          <w:sz w:val="20"/>
          <w:szCs w:val="20"/>
          <w:color w:val="auto"/>
        </w:rPr>
        <w:t>is extinguished or retired or (y) otherwise constitutes a Permitted Investment;</w:t>
      </w:r>
    </w:p>
    <w:p>
      <w:pPr>
        <w:spacing w:after="0" w:line="172" w:lineRule="exact"/>
        <w:rPr>
          <w:rFonts w:ascii="Arial" w:cs="Arial" w:eastAsia="Arial" w:hAnsi="Arial"/>
          <w:sz w:val="20"/>
          <w:szCs w:val="20"/>
          <w:color w:val="auto"/>
        </w:rPr>
      </w:pPr>
    </w:p>
    <w:p>
      <w:pPr>
        <w:jc w:val="both"/>
        <w:ind w:left="4" w:firstLine="1292"/>
        <w:spacing w:after="0" w:line="215" w:lineRule="auto"/>
        <w:tabs>
          <w:tab w:leader="none" w:pos="1941"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Indebtedness, Disqualified Equity Interests or Preferred Equity of Holdings or of any of the Restricted Subsidiaries in an aggregate principal amount on the date of incurrence that, when taken together with all other Indebtedness of Holdings and the Restricted Subsidiaries then outstanding and incurred pursuant to this clause (xxi), does not exceed the greater of $405,000,000 and 35% of Consolidated EBITDA for the Test Period most recently ended on or prior to the date of such determination;</w:t>
      </w:r>
    </w:p>
    <w:p>
      <w:pPr>
        <w:spacing w:after="0" w:line="171" w:lineRule="exact"/>
        <w:rPr>
          <w:rFonts w:ascii="Arial" w:cs="Arial" w:eastAsia="Arial" w:hAnsi="Arial"/>
          <w:sz w:val="20"/>
          <w:szCs w:val="20"/>
          <w:color w:val="auto"/>
        </w:rPr>
      </w:pPr>
    </w:p>
    <w:p>
      <w:pPr>
        <w:ind w:left="4" w:firstLine="1292"/>
        <w:spacing w:after="0" w:line="236" w:lineRule="auto"/>
        <w:tabs>
          <w:tab w:leader="none" w:pos="1942"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Indebtedness under guarantees of the obligations of other members of the Group once such guarantees are entered into the in the normal course of trading;</w:t>
      </w:r>
    </w:p>
    <w:p>
      <w:pPr>
        <w:spacing w:after="0" w:line="155" w:lineRule="exact"/>
        <w:rPr>
          <w:rFonts w:ascii="Arial" w:cs="Arial" w:eastAsia="Arial" w:hAnsi="Arial"/>
          <w:sz w:val="20"/>
          <w:szCs w:val="20"/>
          <w:color w:val="auto"/>
        </w:rPr>
      </w:pPr>
    </w:p>
    <w:p>
      <w:pPr>
        <w:ind w:left="1944" w:hanging="648"/>
        <w:spacing w:after="0"/>
        <w:tabs>
          <w:tab w:leader="none" w:pos="1944"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Indebtedness incurred in respect of trade credit in the normal course of trading activities (including within</w:t>
      </w:r>
    </w:p>
    <w:p>
      <w:pPr>
        <w:spacing w:after="0" w:line="1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the Group);</w:t>
      </w:r>
    </w:p>
    <w:p>
      <w:pPr>
        <w:spacing w:after="0" w:line="172" w:lineRule="exact"/>
        <w:rPr>
          <w:rFonts w:ascii="Arial" w:cs="Arial" w:eastAsia="Arial" w:hAnsi="Arial"/>
          <w:sz w:val="18"/>
          <w:szCs w:val="18"/>
          <w:color w:val="auto"/>
        </w:rPr>
      </w:pPr>
    </w:p>
    <w:p>
      <w:pPr>
        <w:ind w:left="1944" w:hanging="648"/>
        <w:spacing w:after="0"/>
        <w:tabs>
          <w:tab w:leader="none" w:pos="1944" w:val="left"/>
        </w:tabs>
        <w:numPr>
          <w:ilvl w:val="1"/>
          <w:numId w:val="256"/>
        </w:numPr>
        <w:rPr>
          <w:rFonts w:ascii="Arial" w:cs="Arial" w:eastAsia="Arial" w:hAnsi="Arial"/>
          <w:sz w:val="19"/>
          <w:szCs w:val="19"/>
          <w:color w:val="auto"/>
        </w:rPr>
      </w:pPr>
      <w:r>
        <w:rPr>
          <w:rFonts w:ascii="Arial" w:cs="Arial" w:eastAsia="Arial" w:hAnsi="Arial"/>
          <w:sz w:val="19"/>
          <w:szCs w:val="19"/>
          <w:color w:val="auto"/>
        </w:rPr>
        <w:t>intra-day facility arrangements in the ordinary course of business and consistent with past practice;</w:t>
      </w:r>
    </w:p>
    <w:p>
      <w:pPr>
        <w:spacing w:after="0" w:line="186" w:lineRule="exact"/>
        <w:rPr>
          <w:rFonts w:ascii="Arial" w:cs="Arial" w:eastAsia="Arial" w:hAnsi="Arial"/>
          <w:sz w:val="19"/>
          <w:szCs w:val="19"/>
          <w:color w:val="auto"/>
        </w:rPr>
      </w:pPr>
    </w:p>
    <w:p>
      <w:pPr>
        <w:ind w:left="4" w:firstLine="1292"/>
        <w:spacing w:after="0" w:line="236" w:lineRule="auto"/>
        <w:tabs>
          <w:tab w:leader="none" w:pos="1944"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Indebtedness of, incurred on behalf of, or representing guarantees of Indebtedness of, joint ventures, in each case, that are Permitted Investments or are permitted under Section 6.04;</w:t>
      </w:r>
    </w:p>
    <w:p>
      <w:pPr>
        <w:spacing w:after="0" w:line="168" w:lineRule="exact"/>
        <w:rPr>
          <w:rFonts w:ascii="Arial" w:cs="Arial" w:eastAsia="Arial" w:hAnsi="Arial"/>
          <w:sz w:val="20"/>
          <w:szCs w:val="20"/>
          <w:color w:val="auto"/>
        </w:rPr>
      </w:pPr>
    </w:p>
    <w:p>
      <w:pPr>
        <w:ind w:left="4" w:firstLine="1292"/>
        <w:spacing w:after="0" w:line="229" w:lineRule="auto"/>
        <w:tabs>
          <w:tab w:leader="none" w:pos="1945" w:val="left"/>
        </w:tabs>
        <w:numPr>
          <w:ilvl w:val="1"/>
          <w:numId w:val="256"/>
        </w:numPr>
        <w:rPr>
          <w:rFonts w:ascii="Arial" w:cs="Arial" w:eastAsia="Arial" w:hAnsi="Arial"/>
          <w:sz w:val="20"/>
          <w:szCs w:val="20"/>
          <w:color w:val="auto"/>
        </w:rPr>
      </w:pPr>
      <w:r>
        <w:rPr>
          <w:rFonts w:ascii="Arial" w:cs="Arial" w:eastAsia="Arial" w:hAnsi="Arial"/>
          <w:sz w:val="20"/>
          <w:szCs w:val="20"/>
          <w:color w:val="auto"/>
        </w:rPr>
        <w:t>Indebtedness in respect of derivative transactions entered into by Group members to hedge currency or interest rate exposures and for other non-speculative purposes;</w:t>
      </w:r>
    </w:p>
    <w:p>
      <w:pPr>
        <w:spacing w:after="0" w:line="168" w:lineRule="exact"/>
        <w:rPr>
          <w:rFonts w:ascii="Arial" w:cs="Arial" w:eastAsia="Arial" w:hAnsi="Arial"/>
          <w:sz w:val="20"/>
          <w:szCs w:val="20"/>
          <w:color w:val="auto"/>
        </w:rPr>
      </w:pPr>
    </w:p>
    <w:p>
      <w:pPr>
        <w:ind w:left="1944" w:hanging="648"/>
        <w:spacing w:after="0"/>
        <w:tabs>
          <w:tab w:leader="none" w:pos="1944"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Indebtedness incurred in connection with any Sale and Leaseback Transaction related to the Headquarters;</w:t>
      </w:r>
    </w:p>
    <w:p>
      <w:pPr>
        <w:spacing w:after="0" w:line="211" w:lineRule="exact"/>
        <w:rPr>
          <w:rFonts w:ascii="Arial" w:cs="Arial" w:eastAsia="Arial" w:hAnsi="Arial"/>
          <w:sz w:val="18"/>
          <w:szCs w:val="18"/>
          <w:color w:val="auto"/>
        </w:rPr>
      </w:pPr>
    </w:p>
    <w:p>
      <w:pPr>
        <w:jc w:val="both"/>
        <w:ind w:left="4" w:firstLine="1292"/>
        <w:spacing w:after="0" w:line="216" w:lineRule="auto"/>
        <w:tabs>
          <w:tab w:leader="none" w:pos="1947" w:val="left"/>
        </w:tabs>
        <w:numPr>
          <w:ilvl w:val="1"/>
          <w:numId w:val="256"/>
        </w:numPr>
        <w:rPr>
          <w:rFonts w:ascii="Arial" w:cs="Arial" w:eastAsia="Arial" w:hAnsi="Arial"/>
          <w:sz w:val="20"/>
          <w:szCs w:val="20"/>
          <w:color w:val="auto"/>
        </w:rPr>
      </w:pPr>
      <w:r>
        <w:rPr>
          <w:rFonts w:ascii="Arial" w:cs="Arial" w:eastAsia="Arial" w:hAnsi="Arial"/>
          <w:sz w:val="20"/>
          <w:szCs w:val="20"/>
          <w:color w:val="auto"/>
        </w:rPr>
        <w:t xml:space="preserve">Preferred Equity of a Restricted Subsidiary issued to Holdings or another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0584"/>
          </w:cols>
          <w:pgMar w:left="976" w:top="1440" w:right="339" w:bottom="1440" w:gutter="0" w:footer="0" w:header="0"/>
        </w:sectPr>
      </w:pPr>
    </w:p>
    <w:bookmarkStart w:id="325" w:name="page326"/>
    <w:bookmarkEnd w:id="325"/>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each case to be an issuance of such shares of preferred stock not permitted by this clause (xxviii);</w:t>
      </w:r>
    </w:p>
    <w:p>
      <w:pPr>
        <w:spacing w:after="0" w:line="175" w:lineRule="exact"/>
        <w:rPr>
          <w:sz w:val="20"/>
          <w:szCs w:val="20"/>
          <w:color w:val="auto"/>
        </w:rPr>
      </w:pPr>
    </w:p>
    <w:p>
      <w:pPr>
        <w:jc w:val="both"/>
        <w:ind w:firstLine="1292"/>
        <w:spacing w:after="0" w:line="220" w:lineRule="auto"/>
        <w:tabs>
          <w:tab w:leader="none" w:pos="194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(i) obligations in respect of self-insurance, performance, bid, appeal and surety bonds and completion guarantees and similar obligations provided by Holdings or any Restricted Subsidiary or (ii) obligations in respect of letters of credit, bank guarantees or similar instruments related thereto, in each case, in the ordinary course of business or consistent with past practice;</w:t>
      </w:r>
    </w:p>
    <w:p>
      <w:pPr>
        <w:spacing w:after="0" w:line="169" w:lineRule="exact"/>
        <w:rPr>
          <w:rFonts w:ascii="Arial" w:cs="Arial" w:eastAsia="Arial" w:hAnsi="Arial"/>
          <w:sz w:val="20"/>
          <w:szCs w:val="20"/>
          <w:color w:val="auto"/>
        </w:rPr>
      </w:pPr>
    </w:p>
    <w:p>
      <w:pPr>
        <w:ind w:left="1940" w:hanging="648"/>
        <w:spacing w:after="0"/>
        <w:tabs>
          <w:tab w:leader="none" w:pos="194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firstLine="1292"/>
        <w:spacing w:after="0" w:line="227" w:lineRule="auto"/>
        <w:tabs>
          <w:tab w:leader="none" w:pos="194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 Indebtedness of Holdings or any Restricted Subsidiary supported by a letter of credit, in a principal amount not in excess of the stated amount of such letter of credit, so long as such letter of credit is otherwise permitted to be incurred pursuant to this Section 6.01 or (ii) obligations in respect of letters of support, guarantees or similar obligations issued, made or incurred for the benefit of any Restricted Subsidiary of Holdings to the extent required by law or in connection with any statutory filing or the delivery of audit opinions performed in jurisdictions other than within the United States;</w:t>
      </w:r>
    </w:p>
    <w:p>
      <w:pPr>
        <w:spacing w:after="0" w:line="168" w:lineRule="exact"/>
        <w:rPr>
          <w:rFonts w:ascii="Arial" w:cs="Arial" w:eastAsia="Arial" w:hAnsi="Arial"/>
          <w:sz w:val="19"/>
          <w:szCs w:val="19"/>
          <w:color w:val="auto"/>
        </w:rPr>
      </w:pPr>
    </w:p>
    <w:p>
      <w:pPr>
        <w:ind w:left="1940" w:hanging="648"/>
        <w:spacing w:after="0"/>
        <w:tabs>
          <w:tab w:leader="none" w:pos="194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firstLine="1292"/>
        <w:spacing w:after="0" w:line="238" w:lineRule="auto"/>
        <w:tabs>
          <w:tab w:leader="none" w:pos="194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 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Agreement” and (ii) Indebtedness owed on a short term basis of no longer than 30 days to banks and other financial institutions incurred in the ordinary course of business of the Borrowers and their Restricted Subsidiaries with such banks or financial institutions that arises in connection with ordinary banking arrangements to manage cash balances of the Borrowers and their Restricted Subsidiaries;</w:t>
      </w:r>
    </w:p>
    <w:p>
      <w:pPr>
        <w:spacing w:after="0" w:line="172" w:lineRule="exact"/>
        <w:rPr>
          <w:rFonts w:ascii="Arial" w:cs="Arial" w:eastAsia="Arial" w:hAnsi="Arial"/>
          <w:sz w:val="18"/>
          <w:szCs w:val="18"/>
          <w:color w:val="auto"/>
        </w:rPr>
      </w:pPr>
    </w:p>
    <w:p>
      <w:pPr>
        <w:ind w:left="1920" w:hanging="628"/>
        <w:spacing w:after="0"/>
        <w:tabs>
          <w:tab w:leader="none" w:pos="192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292"/>
        <w:spacing w:after="0" w:line="214" w:lineRule="auto"/>
        <w:tabs>
          <w:tab w:leader="none" w:pos="193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Indebtedness arising in the ordinary course of business from the honoring by a bank or other financial institution of a check, draft or similar instrument drawn against insufficient funds in the ordinary course of business, provided that such Indebtedness (x) is extinguished within two Business Days of its incurrence or (y) arises in respect of one or more accounts of any Subsidiary that is a Foreign Subsidiary with any bank or other financial institution subject to a pooling or similar arrangement with one or more accounts of any other Subsidiaries that are Foreign Subsidiaries with such bank or other financial institution to the extent the net aggregate amount of funds in all such accounts subject to such pooling or similar arrangement with such bank or other financial institution is positive;</w:t>
      </w:r>
    </w:p>
    <w:p>
      <w:pPr>
        <w:spacing w:after="0" w:line="171" w:lineRule="exact"/>
        <w:rPr>
          <w:rFonts w:ascii="Arial" w:cs="Arial" w:eastAsia="Arial" w:hAnsi="Arial"/>
          <w:sz w:val="20"/>
          <w:szCs w:val="20"/>
          <w:color w:val="auto"/>
        </w:rPr>
      </w:pPr>
    </w:p>
    <w:p>
      <w:pPr>
        <w:ind w:left="1920" w:hanging="628"/>
        <w:spacing w:after="0"/>
        <w:tabs>
          <w:tab w:leader="none" w:pos="1920" w:val="left"/>
        </w:tabs>
        <w:numPr>
          <w:ilvl w:val="0"/>
          <w:numId w:val="257"/>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88" w:lineRule="exact"/>
        <w:rPr>
          <w:rFonts w:ascii="Arial" w:cs="Arial" w:eastAsia="Arial" w:hAnsi="Arial"/>
          <w:sz w:val="20"/>
          <w:szCs w:val="20"/>
          <w:color w:val="auto"/>
        </w:rPr>
      </w:pPr>
    </w:p>
    <w:p>
      <w:pPr>
        <w:jc w:val="both"/>
        <w:ind w:firstLine="1292"/>
        <w:spacing w:after="0" w:line="227" w:lineRule="auto"/>
        <w:tabs>
          <w:tab w:leader="none" w:pos="198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Indebtedness or Disqualified Equity Interests of Holdings and Indebtedness, Disqualified Equity Interests or Preferred Equity of Holdings or any Restricted Subsidiary in an aggregate principal amount or liquidation preference up to 100.0% of the net cash proceeds received by Holdings after the Closing Date from the issue or sale of Equity Interests of Holdings or cash contributed to the capital of Holdings (in each case, other than proceeds of Disqualified Equity Interests, sales of Equity Interests to Holdings or any of its Subsidiaries or proceeds which have been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0580"/>
          </w:cols>
          <w:pgMar w:left="980" w:top="1440" w:right="339" w:bottom="1440" w:gutter="0" w:footer="0" w:header="0"/>
        </w:sectPr>
      </w:pPr>
    </w:p>
    <w:bookmarkStart w:id="326" w:name="page327"/>
    <w:bookmarkEnd w:id="326"/>
    <w:p>
      <w:pPr>
        <w:spacing w:after="0" w:line="357"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a Cure Amount) as determined in accordance with Section 6.04(a)(ii)(B) and (a)(ii)(D) to the extent such net cash proceeds or cash have not been applied pursuant to such clauses to make Restricted Payments pursuant to Section 6.04(b) or to make Permitted</w:t>
      </w:r>
    </w:p>
    <w:p>
      <w:pPr>
        <w:ind w:left="660"/>
        <w:spacing w:after="0"/>
        <w:rPr>
          <w:sz w:val="20"/>
          <w:szCs w:val="20"/>
          <w:color w:val="auto"/>
        </w:rPr>
      </w:pPr>
      <w:r>
        <w:rPr>
          <w:rFonts w:ascii="Arial" w:cs="Arial" w:eastAsia="Arial" w:hAnsi="Arial"/>
          <w:sz w:val="20"/>
          <w:szCs w:val="20"/>
          <w:color w:val="auto"/>
        </w:rPr>
        <w:t>Investments (other than Permitted Investments specified in clauses (2), (3) or (4) of the definition thereof).</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For purposes of determining compliance with this Section 6.01, in the event that an item of Indebtedness, Disqualified Equity Interests or Preferred Equity (or any portion thereof) at any time, whether at the time of incurrence or issuance or upon the application</w:t>
      </w:r>
    </w:p>
    <w:p>
      <w:pPr>
        <w:spacing w:after="0" w:line="235" w:lineRule="auto"/>
        <w:rPr>
          <w:sz w:val="20"/>
          <w:szCs w:val="20"/>
          <w:color w:val="auto"/>
        </w:rPr>
      </w:pPr>
      <w:r>
        <w:rPr>
          <w:rFonts w:ascii="Arial" w:cs="Arial" w:eastAsia="Arial" w:hAnsi="Arial"/>
          <w:sz w:val="18"/>
          <w:szCs w:val="18"/>
          <w:color w:val="auto"/>
        </w:rPr>
        <w:t>of all or a portion of the proceeds thereof or subsequently, meets the criteria of more than one of the categories of permitted Indebtedness,</w:t>
      </w:r>
    </w:p>
    <w:p>
      <w:pPr>
        <w:jc w:val="both"/>
        <w:spacing w:after="0" w:line="226" w:lineRule="auto"/>
        <w:rPr>
          <w:sz w:val="20"/>
          <w:szCs w:val="20"/>
          <w:color w:val="auto"/>
        </w:rPr>
      </w:pPr>
      <w:r>
        <w:rPr>
          <w:rFonts w:ascii="Arial" w:cs="Arial" w:eastAsia="Arial" w:hAnsi="Arial"/>
          <w:sz w:val="18"/>
          <w:szCs w:val="18"/>
          <w:color w:val="auto"/>
        </w:rPr>
        <w:t>Disqualified Equity Interests or Preferred Equity described in Section 6.01(i) through (xxxvii) above, Holdings, in its sole discretion, will classify and may subsequently reclassify such item of Indebtedness, Disqualified Equity Interests or Preferred Equity (or any portion thereof)</w:t>
      </w:r>
    </w:p>
    <w:p>
      <w:pPr>
        <w:spacing w:after="0" w:line="224" w:lineRule="auto"/>
        <w:rPr>
          <w:sz w:val="20"/>
          <w:szCs w:val="20"/>
          <w:color w:val="auto"/>
        </w:rPr>
      </w:pPr>
      <w:r>
        <w:rPr>
          <w:rFonts w:ascii="Arial" w:cs="Arial" w:eastAsia="Arial" w:hAnsi="Arial"/>
          <w:sz w:val="19"/>
          <w:szCs w:val="19"/>
          <w:color w:val="auto"/>
        </w:rPr>
        <w:t>in any one or more of the types of Indebtedness, Disqualified Equity Interests or Preferred Equity described in Section 6.01(i) through</w:t>
      </w:r>
    </w:p>
    <w:p>
      <w:pPr>
        <w:jc w:val="both"/>
        <w:ind w:firstLine="8"/>
        <w:spacing w:after="0" w:line="229" w:lineRule="auto"/>
        <w:tabs>
          <w:tab w:leader="none" w:pos="69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and will only be required to include the amount and type of such Indebtedness, Disqualified Equity Interests or Preferred Equity in such of the above clauses as determined by Holdings at such time. Holdings will be entitled to divide, classify and reclassify an item of Indebtedness in more than one of the types of Indebtedness described in clauses (i) through (xxxvii).</w:t>
      </w:r>
    </w:p>
    <w:p>
      <w:pPr>
        <w:spacing w:after="0" w:line="168" w:lineRule="exact"/>
        <w:rPr>
          <w:rFonts w:ascii="Arial" w:cs="Arial" w:eastAsia="Arial" w:hAnsi="Arial"/>
          <w:sz w:val="19"/>
          <w:szCs w:val="19"/>
          <w:color w:val="auto"/>
        </w:rPr>
      </w:pPr>
    </w:p>
    <w:p>
      <w:pPr>
        <w:jc w:val="both"/>
        <w:ind w:firstLine="1304"/>
        <w:spacing w:after="0" w:line="265" w:lineRule="auto"/>
        <w:tabs>
          <w:tab w:leader="none" w:pos="193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and other costs and expenses incurred in connection with such refinancing.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357" w:lineRule="exact"/>
        <w:rPr>
          <w:rFonts w:ascii="Arial" w:cs="Arial" w:eastAsia="Arial" w:hAnsi="Arial"/>
          <w:sz w:val="16"/>
          <w:szCs w:val="16"/>
          <w:color w:val="auto"/>
        </w:rPr>
      </w:pPr>
    </w:p>
    <w:p>
      <w:pPr>
        <w:jc w:val="both"/>
        <w:ind w:firstLine="1304"/>
        <w:spacing w:after="0" w:line="231" w:lineRule="auto"/>
        <w:tabs>
          <w:tab w:leader="none" w:pos="1932" w:val="left"/>
        </w:tabs>
        <w:numPr>
          <w:ilvl w:val="1"/>
          <w:numId w:val="258"/>
        </w:numPr>
        <w:rPr>
          <w:rFonts w:ascii="Arial" w:cs="Arial" w:eastAsia="Arial" w:hAnsi="Arial"/>
          <w:sz w:val="19"/>
          <w:szCs w:val="19"/>
          <w:color w:val="auto"/>
        </w:rPr>
      </w:pPr>
      <w:r>
        <w:rPr>
          <w:rFonts w:ascii="Arial" w:cs="Arial" w:eastAsia="Arial" w:hAnsi="Arial"/>
          <w:sz w:val="19"/>
          <w:szCs w:val="19"/>
          <w:color w:val="auto"/>
        </w:rPr>
        <w:t>The accrual of interest, the accretion of accreted value and the payment of interest in the form of additional Indebtedness shall not be deemed to be an incurrence of Indebtedness for purposes of this Section 6.01. The principal amount of any non-interest bearing Indebtedness or other discount security constituting Indebtedness at any date shall be the principal amount thereof that would be shown on a balance sheet of Holdings dated such date prepared in accordance with GAAP.</w:t>
      </w:r>
    </w:p>
    <w:p>
      <w:pPr>
        <w:spacing w:after="0" w:line="14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 Holdings will not, and will not permit any Restricted Subsidiary to, directly or indirectly, incur or permit to</w:t>
      </w:r>
    </w:p>
    <w:p>
      <w:pPr>
        <w:ind w:right="20"/>
        <w:spacing w:after="0" w:line="250" w:lineRule="auto"/>
        <w:rPr>
          <w:sz w:val="20"/>
          <w:szCs w:val="20"/>
          <w:color w:val="auto"/>
        </w:rPr>
      </w:pPr>
      <w:r>
        <w:rPr>
          <w:rFonts w:ascii="Arial" w:cs="Arial" w:eastAsia="Arial" w:hAnsi="Arial"/>
          <w:sz w:val="18"/>
          <w:szCs w:val="18"/>
          <w:color w:val="auto"/>
        </w:rPr>
        <w:t>exist any Lien (the “</w:t>
      </w:r>
      <w:r>
        <w:rPr>
          <w:rFonts w:ascii="Arial" w:cs="Arial" w:eastAsia="Arial" w:hAnsi="Arial"/>
          <w:sz w:val="18"/>
          <w:szCs w:val="18"/>
          <w:u w:val="single" w:color="auto"/>
          <w:color w:val="auto"/>
        </w:rPr>
        <w:t>Initial Lien</w:t>
      </w:r>
      <w:r>
        <w:rPr>
          <w:rFonts w:ascii="Arial" w:cs="Arial" w:eastAsia="Arial" w:hAnsi="Arial"/>
          <w:sz w:val="18"/>
          <w:szCs w:val="18"/>
          <w:color w:val="auto"/>
        </w:rPr>
        <w:t>”) of any nature whatsoever on any of its properties (including Equity Interests of a Restricted Subsidiary to secure Indebtedness), whether owned at the Closing Date or thereafter acquired, securing any Indebtedness,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3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u w:val="single" w:color="auto"/>
          <w:color w:val="auto"/>
        </w:rPr>
        <w:t>Asset Sales</w:t>
      </w:r>
      <w:r>
        <w:rPr>
          <w:rFonts w:ascii="Arial" w:cs="Arial" w:eastAsia="Arial" w:hAnsi="Arial"/>
          <w:sz w:val="16"/>
          <w:szCs w:val="16"/>
          <w:color w:val="auto"/>
        </w:rPr>
        <w:t>.</w:t>
      </w:r>
    </w:p>
    <w:p>
      <w:pPr>
        <w:spacing w:after="0" w:line="175" w:lineRule="exact"/>
        <w:rPr>
          <w:sz w:val="20"/>
          <w:szCs w:val="20"/>
          <w:color w:val="auto"/>
        </w:rPr>
      </w:pPr>
    </w:p>
    <w:p>
      <w:pPr>
        <w:ind w:left="1940" w:hanging="636"/>
        <w:spacing w:after="0"/>
        <w:tabs>
          <w:tab w:leader="none" w:pos="194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Holdings will not, and will not permit any of its Restricted Subsidiaries to, consummate an Asset Sale unless:</w:t>
      </w:r>
    </w:p>
    <w:p>
      <w:pPr>
        <w:spacing w:after="0" w:line="200" w:lineRule="exact"/>
        <w:rPr>
          <w:rFonts w:ascii="Arial" w:cs="Arial" w:eastAsia="Arial" w:hAnsi="Arial"/>
          <w:sz w:val="19"/>
          <w:szCs w:val="19"/>
          <w:color w:val="auto"/>
        </w:rPr>
      </w:pPr>
    </w:p>
    <w:p>
      <w:pPr>
        <w:jc w:val="both"/>
        <w:ind w:left="660" w:firstLine="1292"/>
        <w:spacing w:after="0" w:line="223" w:lineRule="auto"/>
        <w:tabs>
          <w:tab w:leader="none" w:pos="2602" w:val="left"/>
        </w:tabs>
        <w:numPr>
          <w:ilvl w:val="1"/>
          <w:numId w:val="259"/>
        </w:numPr>
        <w:rPr>
          <w:rFonts w:ascii="Arial" w:cs="Arial" w:eastAsia="Arial" w:hAnsi="Arial"/>
          <w:sz w:val="20"/>
          <w:szCs w:val="20"/>
          <w:color w:val="auto"/>
        </w:rPr>
      </w:pPr>
      <w:r>
        <w:rPr>
          <w:rFonts w:ascii="Arial" w:cs="Arial" w:eastAsia="Arial" w:hAnsi="Arial"/>
          <w:sz w:val="20"/>
          <w:szCs w:val="20"/>
          <w:color w:val="auto"/>
        </w:rPr>
        <w:t>Holdings (or its Restricted Subsidiary, as the case may be) receives consideration at least equal to the fair market value (measured as of the date of the definitive agreement with respect to such Asset Sale) of the assets or shares of Equity Interests of a Restricted Subsidiary issued or sold or otherwise disposed of; and</w:t>
      </w:r>
    </w:p>
    <w:p>
      <w:pPr>
        <w:spacing w:after="0" w:line="168" w:lineRule="exact"/>
        <w:rPr>
          <w:rFonts w:ascii="Arial" w:cs="Arial" w:eastAsia="Arial" w:hAnsi="Arial"/>
          <w:sz w:val="20"/>
          <w:szCs w:val="20"/>
          <w:color w:val="auto"/>
        </w:rPr>
      </w:pPr>
    </w:p>
    <w:p>
      <w:pPr>
        <w:jc w:val="both"/>
        <w:ind w:left="660" w:firstLine="1292"/>
        <w:spacing w:after="0" w:line="232" w:lineRule="auto"/>
        <w:tabs>
          <w:tab w:leader="none" w:pos="260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if the property or assets sold or otherwise disposed in a single transaction or series of related transactions of have a fair market value in excess of $75,000,000 at the time of such disposition, at least 75% of the consideration received in the Asset Sale by Holdings or such Restricted Subsidiary is in the form of cash or Cash Equivalents. For purposes of this clause (ii), the following consideration shall be deemed to be cash consideration: (A) any securities, notes or other obligations received by Holdings or any Restricted Subsidiary that are converted within 180 days into cash or Cash Equivalents shall be deemed to be cash or Cash Equivalents, (B) any consideration arising from the assumption of liabilities, (C) 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consolidated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Restricted Subsidiaries have been validly released by all applicable creditors in writing; (D) any contingent or deferred consideration payable in cash or Cash Equivalents) and (E) any Designated Non-Cash Consideration received in respect of such Asset Sale having an aggregate fair market value, taken together with all other Designated Non-Cash Consideration received pursuant to this clause (E) that is at that time outstanding, not in excess of the greater of $205,000,000 and 17.5% of Consolidated EBITDA for the Test Period most recently ended on or prior to the time of the receipt of such Designated Non-Cash Consideration, with the fair market value of each item of Designated Non-Cash Consideration being measured at the time received and without giving effect to subsequent changes in value.</w:t>
      </w:r>
    </w:p>
    <w:p>
      <w:pPr>
        <w:spacing w:after="0" w:line="178" w:lineRule="exact"/>
        <w:rPr>
          <w:rFonts w:ascii="Arial" w:cs="Arial" w:eastAsia="Arial" w:hAnsi="Arial"/>
          <w:sz w:val="18"/>
          <w:szCs w:val="18"/>
          <w:color w:val="auto"/>
        </w:rPr>
      </w:pPr>
    </w:p>
    <w:p>
      <w:pPr>
        <w:ind w:firstLine="1304"/>
        <w:spacing w:after="0" w:line="236" w:lineRule="auto"/>
        <w:tabs>
          <w:tab w:leader="none" w:pos="193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Pending the final application of any Net Proceeds, Holdings (or the applicable Restricted Subsidiary) may invest the Net Proceeds in any manner that is not prohibited by this Agreement.</w:t>
      </w:r>
    </w:p>
    <w:p>
      <w:pPr>
        <w:spacing w:after="0" w:line="155" w:lineRule="exact"/>
        <w:rPr>
          <w:rFonts w:ascii="Arial" w:cs="Arial" w:eastAsia="Arial" w:hAnsi="Arial"/>
          <w:sz w:val="20"/>
          <w:szCs w:val="20"/>
          <w:color w:val="auto"/>
        </w:rPr>
      </w:pPr>
    </w:p>
    <w:p>
      <w:pPr>
        <w:ind w:firstLine="1304"/>
        <w:spacing w:after="0" w:line="236" w:lineRule="auto"/>
        <w:tabs>
          <w:tab w:leader="none" w:pos="1934" w:val="left"/>
        </w:tabs>
        <w:numPr>
          <w:ilvl w:val="0"/>
          <w:numId w:val="259"/>
        </w:numPr>
        <w:rPr>
          <w:rFonts w:ascii="Arial" w:cs="Arial" w:eastAsia="Arial" w:hAnsi="Arial"/>
          <w:sz w:val="20"/>
          <w:szCs w:val="20"/>
          <w:color w:val="auto"/>
        </w:rPr>
      </w:pPr>
      <w:r>
        <w:rPr>
          <w:rFonts w:ascii="Arial" w:cs="Arial" w:eastAsia="Arial" w:hAnsi="Arial"/>
          <w:sz w:val="20"/>
          <w:szCs w:val="20"/>
          <w:color w:val="auto"/>
        </w:rPr>
        <w:t>Notwithstanding anything to the contrary herein, Holdings will not, and will not permit any of its Restricted Subsidiaries to, transfer any Material Intellectual Property to any Unrestricted Subsidiary.</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6"/>
          <w:szCs w:val="16"/>
          <w:u w:val="single" w:color="auto"/>
          <w:color w:val="auto"/>
        </w:rPr>
        <w:t>Restricted Payments, Investments, Loans, Advances, Guarantees and Acquisitions</w:t>
      </w:r>
      <w:r>
        <w:rPr>
          <w:rFonts w:ascii="Arial" w:cs="Arial" w:eastAsia="Arial" w:hAnsi="Arial"/>
          <w:sz w:val="16"/>
          <w:szCs w:val="16"/>
          <w:color w:val="auto"/>
        </w:rPr>
        <w:t>.</w:t>
      </w:r>
    </w:p>
    <w:p>
      <w:pPr>
        <w:spacing w:after="0" w:line="175" w:lineRule="exact"/>
        <w:rPr>
          <w:sz w:val="20"/>
          <w:szCs w:val="20"/>
          <w:color w:val="auto"/>
        </w:rPr>
      </w:pPr>
    </w:p>
    <w:p>
      <w:pPr>
        <w:ind w:left="1940" w:hanging="636"/>
        <w:spacing w:after="0"/>
        <w:tabs>
          <w:tab w:leader="none" w:pos="19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Holdings will not, and will not permit any of its Restricted Subsidiaries to, directly or indirectly make any Restricted</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Payment, unless:</w:t>
      </w:r>
    </w:p>
    <w:p>
      <w:pPr>
        <w:spacing w:after="0" w:line="159" w:lineRule="exact"/>
        <w:rPr>
          <w:rFonts w:ascii="Arial" w:cs="Arial" w:eastAsia="Arial" w:hAnsi="Arial"/>
          <w:sz w:val="18"/>
          <w:szCs w:val="18"/>
          <w:color w:val="auto"/>
        </w:rPr>
      </w:pPr>
    </w:p>
    <w:p>
      <w:pPr>
        <w:ind w:left="660" w:right="20" w:firstLine="1292"/>
        <w:spacing w:after="0" w:line="285" w:lineRule="auto"/>
        <w:tabs>
          <w:tab w:leader="none" w:pos="2602" w:val="left"/>
        </w:tabs>
        <w:numPr>
          <w:ilvl w:val="1"/>
          <w:numId w:val="260"/>
        </w:numPr>
        <w:rPr>
          <w:rFonts w:ascii="Arial" w:cs="Arial" w:eastAsia="Arial" w:hAnsi="Arial"/>
          <w:sz w:val="18"/>
          <w:szCs w:val="18"/>
          <w:color w:val="auto"/>
        </w:rPr>
      </w:pPr>
      <w:r>
        <w:rPr>
          <w:rFonts w:ascii="Arial" w:cs="Arial" w:eastAsia="Arial" w:hAnsi="Arial"/>
          <w:sz w:val="18"/>
          <w:szCs w:val="18"/>
          <w:color w:val="auto"/>
        </w:rPr>
        <w:t>(x) in the case of a Restricted Payment utilizing clause (a)(ii)(B) below, no Event of Default shall have occurred and be continuing or would occur as a consequence thereof and (y) in the case of a Restricted Payment (other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Investment) utilizing clause (a)(ii)(B) below, after giving effect to such Restricted Payment on a Pro Forma Basis, Holdings would have had a Fixed Charge Coverage Ratio of at least 2.00 to 1.00;</w:t>
      </w:r>
    </w:p>
    <w:p>
      <w:pPr>
        <w:spacing w:after="0" w:line="169" w:lineRule="exact"/>
        <w:rPr>
          <w:sz w:val="20"/>
          <w:szCs w:val="20"/>
          <w:color w:val="auto"/>
        </w:rPr>
      </w:pPr>
    </w:p>
    <w:p>
      <w:pPr>
        <w:jc w:val="both"/>
        <w:ind w:right="20" w:firstLine="1292"/>
        <w:spacing w:after="0" w:line="252" w:lineRule="auto"/>
        <w:tabs>
          <w:tab w:leader="none" w:pos="194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Holdings and its Restricted Subsidiaries since the Closing Date (including Restricted Payments permitted by Section 6.04(b)(i), but excluding all other Restricted Payments permitted by Section 6.04(b)), is less than the sum, without duplication, of:</w:t>
      </w:r>
    </w:p>
    <w:p>
      <w:pPr>
        <w:spacing w:after="0" w:line="158" w:lineRule="exact"/>
        <w:rPr>
          <w:rFonts w:ascii="Arial" w:cs="Arial" w:eastAsia="Arial" w:hAnsi="Arial"/>
          <w:sz w:val="18"/>
          <w:szCs w:val="18"/>
          <w:color w:val="auto"/>
        </w:rPr>
      </w:pPr>
    </w:p>
    <w:p>
      <w:pPr>
        <w:ind w:left="640" w:firstLine="1300"/>
        <w:spacing w:after="0" w:line="236" w:lineRule="auto"/>
        <w:tabs>
          <w:tab w:leader="none" w:pos="2575" w:val="left"/>
        </w:tabs>
        <w:numPr>
          <w:ilvl w:val="1"/>
          <w:numId w:val="261"/>
        </w:numPr>
        <w:rPr>
          <w:rFonts w:ascii="Arial" w:cs="Arial" w:eastAsia="Arial" w:hAnsi="Arial"/>
          <w:sz w:val="20"/>
          <w:szCs w:val="20"/>
          <w:color w:val="auto"/>
        </w:rPr>
      </w:pPr>
      <w:r>
        <w:rPr>
          <w:rFonts w:ascii="Arial" w:cs="Arial" w:eastAsia="Arial" w:hAnsi="Arial"/>
          <w:sz w:val="20"/>
          <w:szCs w:val="20"/>
          <w:color w:val="auto"/>
        </w:rPr>
        <w:t>the greater of $405,000,000 and 35% of Consolidated EBITDA for the Test Period most recently ended on or prior to the date of such transactions, plus</w:t>
      </w:r>
    </w:p>
    <w:p>
      <w:pPr>
        <w:spacing w:after="0" w:line="155" w:lineRule="exact"/>
        <w:rPr>
          <w:rFonts w:ascii="Arial" w:cs="Arial" w:eastAsia="Arial" w:hAnsi="Arial"/>
          <w:sz w:val="20"/>
          <w:szCs w:val="20"/>
          <w:color w:val="auto"/>
        </w:rPr>
      </w:pPr>
    </w:p>
    <w:p>
      <w:pPr>
        <w:jc w:val="both"/>
        <w:ind w:left="640" w:firstLine="1300"/>
        <w:spacing w:after="0" w:line="220" w:lineRule="auto"/>
        <w:tabs>
          <w:tab w:leader="none" w:pos="2578" w:val="left"/>
        </w:tabs>
        <w:numPr>
          <w:ilvl w:val="1"/>
          <w:numId w:val="261"/>
        </w:numPr>
        <w:rPr>
          <w:rFonts w:ascii="Arial" w:cs="Arial" w:eastAsia="Arial" w:hAnsi="Arial"/>
          <w:sz w:val="20"/>
          <w:szCs w:val="20"/>
          <w:color w:val="auto"/>
        </w:rPr>
      </w:pPr>
      <w:r>
        <w:rPr>
          <w:rFonts w:ascii="Arial" w:cs="Arial" w:eastAsia="Arial" w:hAnsi="Arial"/>
          <w:sz w:val="20"/>
          <w:szCs w:val="20"/>
          <w:color w:val="auto"/>
        </w:rPr>
        <w:t>50% of the Consolidated Net Income of Holdings for the period (taken as one accounting period) from the first day of the fiscal quarter in which the Closing Date occurs to the end of Holdings’ most recently ended fiscal quarter for which internal financial statements are available at the time of such Restricted Payment (or, if such Consolidated Net Income for such period is a deficit, less 100% of such deficit); plus</w:t>
      </w:r>
    </w:p>
    <w:p>
      <w:pPr>
        <w:spacing w:after="0" w:line="169" w:lineRule="exact"/>
        <w:rPr>
          <w:rFonts w:ascii="Arial" w:cs="Arial" w:eastAsia="Arial" w:hAnsi="Arial"/>
          <w:sz w:val="20"/>
          <w:szCs w:val="20"/>
          <w:color w:val="auto"/>
        </w:rPr>
      </w:pPr>
    </w:p>
    <w:p>
      <w:pPr>
        <w:jc w:val="both"/>
        <w:ind w:left="640" w:firstLine="1300"/>
        <w:spacing w:after="0" w:line="214" w:lineRule="auto"/>
        <w:tabs>
          <w:tab w:leader="none" w:pos="2578" w:val="left"/>
        </w:tabs>
        <w:numPr>
          <w:ilvl w:val="1"/>
          <w:numId w:val="261"/>
        </w:numPr>
        <w:rPr>
          <w:rFonts w:ascii="Arial" w:cs="Arial" w:eastAsia="Arial" w:hAnsi="Arial"/>
          <w:sz w:val="20"/>
          <w:szCs w:val="20"/>
          <w:color w:val="auto"/>
        </w:rPr>
      </w:pPr>
      <w:r>
        <w:rPr>
          <w:rFonts w:ascii="Arial" w:cs="Arial" w:eastAsia="Arial" w:hAnsi="Arial"/>
          <w:sz w:val="20"/>
          <w:szCs w:val="20"/>
          <w:color w:val="auto"/>
        </w:rPr>
        <w:t>other than to the extent Restricted Payments have been made with respect to such Net Proceeds pursuant to Sections 6.04(b)(ii) or 6.04(b)(iv), 100% of the aggregate Net Proceeds and the fair market value of property received by Holdings since the Closing Date as a contribution to its common equity capital or from the issue or sale of Equity Interests (other than Disqualified Equity Interests) of Holdings or from the issue or sale of convertible or exchangeable Disqualified Equity Interests of Holdings or Convertible Debt Securities of Holdings, in each case that have been converted into or exchanged for Equity Interests of Holdings (other than Disqualified Equity Interests and Equity Interests and convertible or exchangeable Disqualified Equity Interests or debt securities sold to a Subsidiary of Holdings); plus</w:t>
      </w:r>
    </w:p>
    <w:p>
      <w:pPr>
        <w:spacing w:after="0" w:line="154" w:lineRule="exact"/>
        <w:rPr>
          <w:rFonts w:ascii="Arial" w:cs="Arial" w:eastAsia="Arial" w:hAnsi="Arial"/>
          <w:sz w:val="20"/>
          <w:szCs w:val="20"/>
          <w:color w:val="auto"/>
        </w:rPr>
      </w:pPr>
    </w:p>
    <w:p>
      <w:pPr>
        <w:jc w:val="both"/>
        <w:ind w:left="640" w:firstLine="1300"/>
        <w:spacing w:after="0" w:line="223" w:lineRule="auto"/>
        <w:tabs>
          <w:tab w:leader="none" w:pos="2575" w:val="left"/>
        </w:tabs>
        <w:numPr>
          <w:ilvl w:val="1"/>
          <w:numId w:val="261"/>
        </w:numPr>
        <w:rPr>
          <w:rFonts w:ascii="Arial" w:cs="Arial" w:eastAsia="Arial" w:hAnsi="Arial"/>
          <w:sz w:val="19"/>
          <w:szCs w:val="19"/>
          <w:color w:val="auto"/>
        </w:rPr>
      </w:pPr>
      <w:r>
        <w:rPr>
          <w:rFonts w:ascii="Arial" w:cs="Arial" w:eastAsia="Arial" w:hAnsi="Arial"/>
          <w:sz w:val="19"/>
          <w:szCs w:val="19"/>
          <w:color w:val="auto"/>
        </w:rPr>
        <w:t>100% of the aggregate amount received in cash and the fair market value of property (other than cash) and marketable securities received by Holdings or a Restricted Subsidiary after the Closing Date by means of (i) the sale or other disposition (other than to Holdings or a Restricted Subsidiary) of Restricted Investments made by Holdings or its Restricted Subsidiaries and repurchases and redemptions of such Restricted Investments from Holdings or its Restricted Subsidiaries and repayments of loans or advances which constitute Restricted Investments of Holdings or its Restricted Subsidiaries, (ii) the sale (other than to Holdings or a Restricted Subsidiary) of the Equity Interests of an Unrestricted Subsidiary, (iii) payments of interest, distributions or dividends in respect of Restricted Investments, in each case to the extent that such amounts were not otherwise included in the Consolidated Net Income of Holdings for such period and (iv) a distribution or dividend from an Unrestricted Subsidiary (other than in each case such Investment constituted a Permitted Investment); plus</w:t>
      </w:r>
    </w:p>
    <w:p>
      <w:pPr>
        <w:spacing w:after="0" w:line="170" w:lineRule="exact"/>
        <w:rPr>
          <w:rFonts w:ascii="Arial" w:cs="Arial" w:eastAsia="Arial" w:hAnsi="Arial"/>
          <w:sz w:val="19"/>
          <w:szCs w:val="19"/>
          <w:color w:val="auto"/>
        </w:rPr>
      </w:pPr>
    </w:p>
    <w:p>
      <w:pPr>
        <w:jc w:val="both"/>
        <w:ind w:left="640" w:right="20" w:firstLine="1300"/>
        <w:spacing w:after="0" w:line="223" w:lineRule="auto"/>
        <w:tabs>
          <w:tab w:leader="none" w:pos="258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to the extent that any Restricted Investment that was made after the Closing Date is made in an entity that is not a Restricted Subsidiary that subsequently becomes a Restricted Subsidiary, the initial amount of such Restricted Investment (or, if less, the amount of cash received upon repayment or sale);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0580"/>
          </w:cols>
          <w:pgMar w:left="980" w:top="1440" w:right="339" w:bottom="1440" w:gutter="0" w:footer="0" w:header="0"/>
        </w:sectPr>
      </w:pPr>
    </w:p>
    <w:bookmarkStart w:id="329" w:name="page330"/>
    <w:bookmarkEnd w:id="329"/>
    <w:p>
      <w:pPr>
        <w:spacing w:after="0" w:line="357" w:lineRule="exact"/>
        <w:rPr>
          <w:sz w:val="20"/>
          <w:szCs w:val="20"/>
          <w:color w:val="auto"/>
        </w:rPr>
      </w:pPr>
    </w:p>
    <w:p>
      <w:pPr>
        <w:jc w:val="both"/>
        <w:ind w:left="180" w:firstLine="1300"/>
        <w:spacing w:after="0" w:line="215" w:lineRule="auto"/>
        <w:tabs>
          <w:tab w:leader="none" w:pos="2123" w:val="left"/>
        </w:tabs>
        <w:numPr>
          <w:ilvl w:val="2"/>
          <w:numId w:val="262"/>
        </w:numPr>
        <w:rPr>
          <w:rFonts w:ascii="Arial" w:cs="Arial" w:eastAsia="Arial" w:hAnsi="Arial"/>
          <w:sz w:val="20"/>
          <w:szCs w:val="20"/>
          <w:color w:val="auto"/>
        </w:rPr>
      </w:pPr>
      <w:r>
        <w:rPr>
          <w:rFonts w:ascii="Arial" w:cs="Arial" w:eastAsia="Arial" w:hAnsi="Arial"/>
          <w:sz w:val="20"/>
          <w:szCs w:val="20"/>
          <w:color w:val="auto"/>
        </w:rPr>
        <w:t>to the extent that any Unrestricted Subsidiary designated as such after the Closing Date is redesignated as a Restricted Subsidiary after the Closing Date, the lesser of (i) the fair market value of the Restricted Investment in such Subsidiary as of the date of such redesignation or (ii) the aggregate amount of the Restricted Investments in such Subsidiary to the extent such Restricted Investments reduced the amount available under this clause (ii) and were not previously repaid or otherwise reduced; plus</w:t>
      </w:r>
    </w:p>
    <w:p>
      <w:pPr>
        <w:spacing w:after="0" w:line="171" w:lineRule="exact"/>
        <w:rPr>
          <w:rFonts w:ascii="Arial" w:cs="Arial" w:eastAsia="Arial" w:hAnsi="Arial"/>
          <w:sz w:val="20"/>
          <w:szCs w:val="20"/>
          <w:color w:val="auto"/>
        </w:rPr>
      </w:pPr>
    </w:p>
    <w:p>
      <w:pPr>
        <w:ind w:left="2120" w:hanging="640"/>
        <w:spacing w:after="0"/>
        <w:tabs>
          <w:tab w:leader="none" w:pos="212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the aggregate amount of Subordinated Indebtedness repaid, defeased or satisfied and/or discharged;</w:t>
      </w:r>
    </w:p>
    <w:p>
      <w:pPr>
        <w:spacing w:after="0" w:line="34"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20"/>
          <w:szCs w:val="20"/>
          <w:color w:val="auto"/>
        </w:rPr>
        <w:t>plus</w:t>
      </w:r>
    </w:p>
    <w:p>
      <w:pPr>
        <w:spacing w:after="0" w:line="159" w:lineRule="exact"/>
        <w:rPr>
          <w:rFonts w:ascii="Arial" w:cs="Arial" w:eastAsia="Arial" w:hAnsi="Arial"/>
          <w:sz w:val="16"/>
          <w:szCs w:val="16"/>
          <w:color w:val="auto"/>
        </w:rPr>
      </w:pPr>
    </w:p>
    <w:p>
      <w:pPr>
        <w:ind w:left="180" w:firstLine="1300"/>
        <w:spacing w:after="0" w:line="236" w:lineRule="auto"/>
        <w:tabs>
          <w:tab w:leader="none" w:pos="2115" w:val="left"/>
        </w:tabs>
        <w:numPr>
          <w:ilvl w:val="2"/>
          <w:numId w:val="262"/>
        </w:numPr>
        <w:rPr>
          <w:rFonts w:ascii="Arial" w:cs="Arial" w:eastAsia="Arial" w:hAnsi="Arial"/>
          <w:sz w:val="20"/>
          <w:szCs w:val="20"/>
          <w:color w:val="auto"/>
        </w:rPr>
      </w:pPr>
      <w:r>
        <w:rPr>
          <w:rFonts w:ascii="Arial" w:cs="Arial" w:eastAsia="Arial" w:hAnsi="Arial"/>
          <w:sz w:val="20"/>
          <w:szCs w:val="20"/>
          <w:color w:val="auto"/>
        </w:rPr>
        <w:t>the Declined Prepayment Amount to the extent not applied to prepay the Term Loans of the Accepting Term Lenders.</w:t>
      </w:r>
    </w:p>
    <w:p>
      <w:pPr>
        <w:spacing w:after="0" w:line="168" w:lineRule="exact"/>
        <w:rPr>
          <w:rFonts w:ascii="Arial" w:cs="Arial" w:eastAsia="Arial" w:hAnsi="Arial"/>
          <w:sz w:val="20"/>
          <w:szCs w:val="20"/>
          <w:color w:val="auto"/>
        </w:rPr>
      </w:pPr>
    </w:p>
    <w:p>
      <w:pPr>
        <w:ind w:left="820" w:hanging="636"/>
        <w:spacing w:after="0"/>
        <w:tabs>
          <w:tab w:leader="none" w:pos="82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Section 6.04(a) will not prohibit:</w:t>
      </w:r>
    </w:p>
    <w:p>
      <w:pPr>
        <w:spacing w:after="0" w:line="175" w:lineRule="exact"/>
        <w:rPr>
          <w:rFonts w:ascii="Arial" w:cs="Arial" w:eastAsia="Arial" w:hAnsi="Arial"/>
          <w:sz w:val="20"/>
          <w:szCs w:val="20"/>
          <w:color w:val="auto"/>
        </w:rPr>
      </w:pPr>
    </w:p>
    <w:p>
      <w:pPr>
        <w:jc w:val="both"/>
        <w:ind w:left="-460" w:firstLine="1292"/>
        <w:spacing w:after="0" w:line="228" w:lineRule="auto"/>
        <w:tabs>
          <w:tab w:leader="none" w:pos="1482" w:val="left"/>
        </w:tabs>
        <w:numPr>
          <w:ilvl w:val="1"/>
          <w:numId w:val="263"/>
        </w:numPr>
        <w:rPr>
          <w:rFonts w:ascii="Arial" w:cs="Arial" w:eastAsia="Arial" w:hAnsi="Arial"/>
          <w:sz w:val="19"/>
          <w:szCs w:val="19"/>
          <w:color w:val="auto"/>
        </w:rPr>
      </w:pPr>
      <w:r>
        <w:rPr>
          <w:rFonts w:ascii="Arial" w:cs="Arial" w:eastAsia="Arial" w:hAnsi="Arial"/>
          <w:sz w:val="19"/>
          <w:szCs w:val="19"/>
          <w:color w:val="auto"/>
        </w:rPr>
        <w:t>(x) the payment of any dividend or distribution or the consummation of any irrevocable purchase, redemption, acquisition or retirement for value of any Equity Interests of Holdings within 60 days after the date of declaration thereof or giving of the irrevocable advance notice thereof, as the case may be, if at the date of declaration or notice, the applicable dividend, distribution or payment would have complied with the provisions of this Agreement and (y) the repurchase of Equity Interests of Holdings pursuant to a plan under Rule 10b5-1 under the Securities Exchange Act of 1934 if at the date Holdings establishes such plan, such repurchase would have complied with the provisions of this Agreement;</w:t>
      </w:r>
    </w:p>
    <w:p>
      <w:pPr>
        <w:spacing w:after="0" w:line="158" w:lineRule="exact"/>
        <w:rPr>
          <w:rFonts w:ascii="Arial" w:cs="Arial" w:eastAsia="Arial" w:hAnsi="Arial"/>
          <w:sz w:val="19"/>
          <w:szCs w:val="19"/>
          <w:color w:val="auto"/>
        </w:rPr>
      </w:pPr>
    </w:p>
    <w:p>
      <w:pPr>
        <w:jc w:val="both"/>
        <w:ind w:left="-460" w:firstLine="1292"/>
        <w:spacing w:after="0" w:line="218" w:lineRule="auto"/>
        <w:tabs>
          <w:tab w:leader="none" w:pos="1483" w:val="left"/>
        </w:tabs>
        <w:numPr>
          <w:ilvl w:val="1"/>
          <w:numId w:val="263"/>
        </w:numPr>
        <w:rPr>
          <w:rFonts w:ascii="Arial" w:cs="Arial" w:eastAsia="Arial" w:hAnsi="Arial"/>
          <w:sz w:val="20"/>
          <w:szCs w:val="20"/>
          <w:color w:val="auto"/>
        </w:rPr>
      </w:pPr>
      <w:r>
        <w:rPr>
          <w:rFonts w:ascii="Arial" w:cs="Arial" w:eastAsia="Arial" w:hAnsi="Arial"/>
          <w:sz w:val="20"/>
          <w:szCs w:val="20"/>
          <w:color w:val="auto"/>
        </w:rPr>
        <w:t xml:space="preserve">the making of any Restricted Payment in exchange for, or out of or with the Net Proceeds of the substantially concurrent sale (other than to a Subsidiary of Holdings) of, Equity Interests of Holdings (other than Disqualified Equity Interests) or from the substantially concurrent contribution of common equity capital to Holdings; </w:t>
      </w:r>
      <w:r>
        <w:rPr>
          <w:rFonts w:ascii="Arial" w:cs="Arial" w:eastAsia="Arial" w:hAnsi="Arial"/>
          <w:sz w:val="20"/>
          <w:szCs w:val="20"/>
          <w:u w:val="single" w:color="auto"/>
          <w:color w:val="auto"/>
        </w:rPr>
        <w:t>provided</w:t>
      </w:r>
      <w:r>
        <w:rPr>
          <w:rFonts w:ascii="Arial" w:cs="Arial" w:eastAsia="Arial" w:hAnsi="Arial"/>
          <w:sz w:val="20"/>
          <w:szCs w:val="20"/>
          <w:color w:val="auto"/>
        </w:rPr>
        <w:t>, that the amount of any such Net Proceeds that are utilized for any such Restricted Payment will not be considered to be Net Proceeds of Equity Interests for purposes of Section 6.04(a)(ii)(B) or Section 6.04(b)(iv);</w:t>
      </w:r>
    </w:p>
    <w:p>
      <w:pPr>
        <w:spacing w:after="0" w:line="170" w:lineRule="exact"/>
        <w:rPr>
          <w:rFonts w:ascii="Arial" w:cs="Arial" w:eastAsia="Arial" w:hAnsi="Arial"/>
          <w:sz w:val="20"/>
          <w:szCs w:val="20"/>
          <w:color w:val="auto"/>
        </w:rPr>
      </w:pPr>
    </w:p>
    <w:p>
      <w:pPr>
        <w:ind w:left="-460" w:firstLine="1292"/>
        <w:spacing w:after="0" w:line="242" w:lineRule="auto"/>
        <w:tabs>
          <w:tab w:leader="none" w:pos="1484"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Subordinated Indebtedness with the Net Proceeds from a substantially concurrent incurrence of Permitted Refinancing Indebtedness;</w:t>
      </w:r>
    </w:p>
    <w:p>
      <w:pPr>
        <w:spacing w:after="0" w:line="166" w:lineRule="exact"/>
        <w:rPr>
          <w:rFonts w:ascii="Arial" w:cs="Arial" w:eastAsia="Arial" w:hAnsi="Arial"/>
          <w:sz w:val="19"/>
          <w:szCs w:val="19"/>
          <w:color w:val="auto"/>
        </w:rPr>
      </w:pPr>
    </w:p>
    <w:p>
      <w:pPr>
        <w:jc w:val="both"/>
        <w:ind w:left="-460" w:firstLine="1292"/>
        <w:spacing w:after="0" w:line="235" w:lineRule="auto"/>
        <w:tabs>
          <w:tab w:leader="none" w:pos="147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the repurchase, redemption or other acquisition or retirement for value of any Equity Interests of Holdings, any Restricted Subsidiary or Holdings’ direct or indirect parent companies held by any current or former officer, director, manager, employee or consultant of Holdings or any of its Restricted Subsidiaries pursuant to any equity subscription agreement, stock option agreement, shareholders’ agreement or other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price paid for all such repurchased, redeemed, acquired or retired Equity Interests may not exceed in any calendar year the greater of $90,000,000 and 7.5% of Consolidated EBITDA for the Test Period most recently ended on or prior to the date of such determination (with any unused amount in any calendar year being carried forward and available in any succeeding calendar years);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amount in any twelve-month period may be increased by an amount not to exceed:</w:t>
      </w:r>
    </w:p>
    <w:p>
      <w:pPr>
        <w:spacing w:after="0" w:line="174" w:lineRule="exact"/>
        <w:rPr>
          <w:rFonts w:ascii="Arial" w:cs="Arial" w:eastAsia="Arial" w:hAnsi="Arial"/>
          <w:sz w:val="18"/>
          <w:szCs w:val="18"/>
          <w:color w:val="auto"/>
        </w:rPr>
      </w:pPr>
    </w:p>
    <w:p>
      <w:pPr>
        <w:ind w:left="180" w:right="20" w:firstLine="1300"/>
        <w:spacing w:after="0" w:line="285" w:lineRule="auto"/>
        <w:tabs>
          <w:tab w:leader="none" w:pos="2115" w:val="left"/>
        </w:tabs>
        <w:numPr>
          <w:ilvl w:val="2"/>
          <w:numId w:val="263"/>
        </w:numPr>
        <w:rPr>
          <w:rFonts w:ascii="Arial" w:cs="Arial" w:eastAsia="Arial" w:hAnsi="Arial"/>
          <w:sz w:val="18"/>
          <w:szCs w:val="18"/>
          <w:color w:val="auto"/>
        </w:rPr>
      </w:pPr>
      <w:r>
        <w:rPr>
          <w:rFonts w:ascii="Arial" w:cs="Arial" w:eastAsia="Arial" w:hAnsi="Arial"/>
          <w:sz w:val="18"/>
          <w:szCs w:val="18"/>
          <w:color w:val="auto"/>
        </w:rPr>
        <w:t>the Net Proceeds from the sale of Equity Interests (other than Disqualified Equity Interests) of Holdings and, to the extent contributed to Holdings as common equity capital, the Net Proceeds from the sale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0120"/>
          </w:cols>
          <w:pgMar w:left="1440" w:top="1440" w:right="339" w:bottom="1440" w:gutter="0" w:footer="0" w:header="0"/>
        </w:sectPr>
      </w:pPr>
    </w:p>
    <w:bookmarkStart w:id="330" w:name="page331"/>
    <w:bookmarkEnd w:id="330"/>
    <w:p>
      <w:pPr>
        <w:spacing w:after="0" w:line="357" w:lineRule="exact"/>
        <w:rPr>
          <w:sz w:val="20"/>
          <w:szCs w:val="20"/>
          <w:color w:val="auto"/>
        </w:rPr>
      </w:pPr>
    </w:p>
    <w:p>
      <w:pPr>
        <w:ind w:left="180"/>
        <w:spacing w:after="0" w:line="236" w:lineRule="auto"/>
        <w:rPr>
          <w:sz w:val="20"/>
          <w:szCs w:val="20"/>
          <w:color w:val="auto"/>
        </w:rPr>
      </w:pPr>
      <w:r>
        <w:rPr>
          <w:rFonts w:ascii="Arial" w:cs="Arial" w:eastAsia="Arial" w:hAnsi="Arial"/>
          <w:sz w:val="18"/>
          <w:szCs w:val="18"/>
          <w:color w:val="auto"/>
        </w:rPr>
        <w:t>Interests (other than Disqualified Equity Interests) of any of Holdings’ direct or indirect parent companies, in each case to any current or former officer, director, manager, employee or consultant of Holdings, any of its Restricted Subsidiaries or any</w:t>
      </w:r>
    </w:p>
    <w:p>
      <w:pPr>
        <w:ind w:left="180"/>
        <w:spacing w:after="0" w:line="222" w:lineRule="auto"/>
        <w:rPr>
          <w:sz w:val="20"/>
          <w:szCs w:val="20"/>
          <w:color w:val="auto"/>
        </w:rPr>
      </w:pPr>
      <w:r>
        <w:rPr>
          <w:rFonts w:ascii="Arial" w:cs="Arial" w:eastAsia="Arial" w:hAnsi="Arial"/>
          <w:sz w:val="19"/>
          <w:szCs w:val="19"/>
          <w:color w:val="auto"/>
        </w:rPr>
        <w:t>of its direct or indirect parent companies that occurs after the Closing Date; provided that the amount of any such Net</w:t>
      </w:r>
    </w:p>
    <w:p>
      <w:pPr>
        <w:spacing w:after="0" w:line="1" w:lineRule="exact"/>
        <w:rPr>
          <w:sz w:val="20"/>
          <w:szCs w:val="20"/>
          <w:color w:val="auto"/>
        </w:rPr>
      </w:pPr>
    </w:p>
    <w:p>
      <w:pPr>
        <w:ind w:left="180"/>
        <w:spacing w:after="0" w:line="220" w:lineRule="auto"/>
        <w:rPr>
          <w:sz w:val="20"/>
          <w:szCs w:val="20"/>
          <w:color w:val="auto"/>
        </w:rPr>
      </w:pPr>
      <w:r>
        <w:rPr>
          <w:rFonts w:ascii="Arial" w:cs="Arial" w:eastAsia="Arial" w:hAnsi="Arial"/>
          <w:sz w:val="20"/>
          <w:szCs w:val="20"/>
          <w:color w:val="auto"/>
        </w:rPr>
        <w:t>Proceeds that are utilized for any such Restricted Payment will not be considered to be Net Proceeds of Equity Interests for purposes of Section 6.04(a)(ii)(B) or Section 6.04(b)(ii); plus</w:t>
      </w:r>
    </w:p>
    <w:p>
      <w:pPr>
        <w:spacing w:after="0" w:line="170" w:lineRule="exact"/>
        <w:rPr>
          <w:sz w:val="20"/>
          <w:szCs w:val="20"/>
          <w:color w:val="auto"/>
        </w:rPr>
      </w:pPr>
    </w:p>
    <w:p>
      <w:pPr>
        <w:ind w:left="180" w:right="20" w:firstLine="1300"/>
        <w:spacing w:after="0" w:line="236" w:lineRule="auto"/>
        <w:tabs>
          <w:tab w:leader="none" w:pos="2118"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cash proceeds of key man life insurance policies received by Holdings or its Restricted Subsidiaries after the Closing Date; and</w:t>
      </w:r>
    </w:p>
    <w:p>
      <w:pPr>
        <w:spacing w:after="0" w:line="155" w:lineRule="exact"/>
        <w:rPr>
          <w:sz w:val="20"/>
          <w:szCs w:val="20"/>
          <w:color w:val="auto"/>
        </w:rPr>
      </w:pPr>
    </w:p>
    <w:p>
      <w:pPr>
        <w:ind w:left="180"/>
        <w:spacing w:after="0" w:line="244" w:lineRule="auto"/>
        <w:rPr>
          <w:sz w:val="20"/>
          <w:szCs w:val="20"/>
          <w:color w:val="auto"/>
        </w:rPr>
      </w:pPr>
      <w:r>
        <w:rPr>
          <w:rFonts w:ascii="Arial" w:cs="Arial" w:eastAsia="Arial" w:hAnsi="Arial"/>
          <w:sz w:val="18"/>
          <w:szCs w:val="18"/>
          <w:color w:val="auto"/>
        </w:rPr>
        <w:t>in addition, cancellation of Indebtedness owing to Holdings from any current or former officer, director, manager, employee or consultant (or any permitted transferees thereof) of Holdings or any of its Restricted Subsidiaries (or any direct or indirect</w:t>
      </w:r>
    </w:p>
    <w:p>
      <w:pPr>
        <w:ind w:left="180"/>
        <w:spacing w:after="0" w:line="226" w:lineRule="auto"/>
        <w:rPr>
          <w:sz w:val="20"/>
          <w:szCs w:val="20"/>
          <w:color w:val="auto"/>
        </w:rPr>
      </w:pPr>
      <w:r>
        <w:rPr>
          <w:rFonts w:ascii="Arial" w:cs="Arial" w:eastAsia="Arial" w:hAnsi="Arial"/>
          <w:sz w:val="18"/>
          <w:szCs w:val="18"/>
          <w:color w:val="auto"/>
        </w:rPr>
        <w:t>parent company thereof), in connection with a repurchase of Equity Interests of Holdings or Holdings’ direct or indirect parent companies from such Persons will not be deemed to constitute a Restricted Payment for purposes of this Section 6.04</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or any other provisions of this Agreement;</w:t>
      </w:r>
    </w:p>
    <w:p>
      <w:pPr>
        <w:spacing w:after="0" w:line="173" w:lineRule="exact"/>
        <w:rPr>
          <w:sz w:val="20"/>
          <w:szCs w:val="20"/>
          <w:color w:val="auto"/>
        </w:rPr>
      </w:pPr>
    </w:p>
    <w:p>
      <w:pPr>
        <w:jc w:val="both"/>
        <w:ind w:left="-460" w:firstLine="1292"/>
        <w:spacing w:after="0" w:line="235" w:lineRule="auto"/>
        <w:tabs>
          <w:tab w:leader="none" w:pos="14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repurchase of Equity Interests of Holdings or Holdings’ direct or indirect parent companies (i) deemed to occur upon the exercise of options, warrants or other convertible securities upon the net exercise thereof or otherwise to the extent such Equity Interests represent a portion of the exercise price of those options, warrants or other convertible securities, (ii) upon the exercise of stock options, warrants or convertible securities in an equal or lesser amount to the amount exercised in order to reduce the dilutive effects of such exercise and (iii) deemed to occur upon the withholding of a portion of Equity Interests granted or awarded to any current or former officer, director, manager, employee or consultant to pay for taxes payable by such Person in connection with such grant or award (or the vesting thereof) (or, in each case, a Restricted Payment to any of Holdings’ direct or indirect parent companies in an amount sufficient to enable such company to repurchase any such Equity Interests);</w:t>
      </w:r>
    </w:p>
    <w:p>
      <w:pPr>
        <w:spacing w:after="0" w:line="174" w:lineRule="exact"/>
        <w:rPr>
          <w:rFonts w:ascii="Arial" w:cs="Arial" w:eastAsia="Arial" w:hAnsi="Arial"/>
          <w:sz w:val="18"/>
          <w:szCs w:val="18"/>
          <w:color w:val="auto"/>
        </w:rPr>
      </w:pPr>
    </w:p>
    <w:p>
      <w:pPr>
        <w:jc w:val="both"/>
        <w:ind w:left="-460" w:firstLine="1292"/>
        <w:spacing w:after="0" w:line="218" w:lineRule="auto"/>
        <w:tabs>
          <w:tab w:leader="none" w:pos="147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payments of cash, dividends, distributions, advances or other Restricted Payments by Holdings or any of its Restricted Subsidiaries to allow the payment of cash in lieu of the issuance of fractional shares upon (i) the exercise of options or warrants or other securities convertible into or exercisable for Equity Interests of any such Person or (ii) the conversion or exchange of Equity Interests of any such Person (or a Restricted Payment to Holdings’ direct or indirect parent company in an amount sufficient to enable such company to make any such payments);</w:t>
      </w:r>
    </w:p>
    <w:p>
      <w:pPr>
        <w:spacing w:after="0" w:line="157" w:lineRule="exact"/>
        <w:rPr>
          <w:rFonts w:ascii="Arial" w:cs="Arial" w:eastAsia="Arial" w:hAnsi="Arial"/>
          <w:sz w:val="20"/>
          <w:szCs w:val="20"/>
          <w:color w:val="auto"/>
        </w:rPr>
      </w:pPr>
    </w:p>
    <w:p>
      <w:pPr>
        <w:ind w:left="-460" w:right="20" w:firstLine="1292"/>
        <w:spacing w:after="0" w:line="236" w:lineRule="auto"/>
        <w:tabs>
          <w:tab w:leader="none" w:pos="147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for the avoidance of doubt, payments of intercompany subordinated Indebtedness, the incurrence of which was permitted under Section 6.01;</w:t>
      </w:r>
    </w:p>
    <w:p>
      <w:pPr>
        <w:spacing w:after="0" w:line="168" w:lineRule="exact"/>
        <w:rPr>
          <w:rFonts w:ascii="Arial" w:cs="Arial" w:eastAsia="Arial" w:hAnsi="Arial"/>
          <w:sz w:val="20"/>
          <w:szCs w:val="20"/>
          <w:color w:val="auto"/>
        </w:rPr>
      </w:pPr>
    </w:p>
    <w:p>
      <w:pPr>
        <w:jc w:val="both"/>
        <w:ind w:left="-460" w:firstLine="1292"/>
        <w:spacing w:after="0" w:line="216" w:lineRule="auto"/>
        <w:tabs>
          <w:tab w:leader="none" w:pos="1475"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the repurchase, redemption or other acquisition or retirement for value of any Subordinated Indebtedness pursuant to provisions similar to Section 6.03; </w:t>
      </w:r>
      <w:r>
        <w:rPr>
          <w:rFonts w:ascii="Arial" w:cs="Arial" w:eastAsia="Arial" w:hAnsi="Arial"/>
          <w:sz w:val="20"/>
          <w:szCs w:val="20"/>
          <w:u w:val="single" w:color="auto"/>
          <w:color w:val="auto"/>
        </w:rPr>
        <w:t>provided</w:t>
      </w:r>
      <w:r>
        <w:rPr>
          <w:rFonts w:ascii="Arial" w:cs="Arial" w:eastAsia="Arial" w:hAnsi="Arial"/>
          <w:sz w:val="20"/>
          <w:szCs w:val="20"/>
          <w:color w:val="auto"/>
        </w:rPr>
        <w:t>, that, prior to consummating, or concurrently with, any such repurchase, Holdings or the Applicable Borrower has made a Prepayment Event required by this Agreement and has prepaid all Obligations required to be repaid in connection with such offers;</w:t>
      </w:r>
    </w:p>
    <w:p>
      <w:pPr>
        <w:spacing w:after="0" w:line="171" w:lineRule="exact"/>
        <w:rPr>
          <w:rFonts w:ascii="Arial" w:cs="Arial" w:eastAsia="Arial" w:hAnsi="Arial"/>
          <w:sz w:val="20"/>
          <w:szCs w:val="20"/>
          <w:color w:val="auto"/>
        </w:rPr>
      </w:pPr>
    </w:p>
    <w:p>
      <w:pPr>
        <w:ind w:left="-460" w:firstLine="1292"/>
        <w:spacing w:after="0" w:line="236" w:lineRule="auto"/>
        <w:tabs>
          <w:tab w:leader="none" w:pos="1473" w:val="left"/>
        </w:tabs>
        <w:numPr>
          <w:ilvl w:val="0"/>
          <w:numId w:val="265"/>
        </w:numPr>
        <w:rPr>
          <w:rFonts w:ascii="Arial" w:cs="Arial" w:eastAsia="Arial" w:hAnsi="Arial"/>
          <w:sz w:val="20"/>
          <w:szCs w:val="20"/>
          <w:color w:val="auto"/>
        </w:rPr>
      </w:pPr>
      <w:r>
        <w:rPr>
          <w:rFonts w:ascii="Arial" w:cs="Arial" w:eastAsia="Arial" w:hAnsi="Arial"/>
          <w:sz w:val="20"/>
          <w:szCs w:val="20"/>
          <w:color w:val="auto"/>
        </w:rPr>
        <w:t>payments or distributions made in Equity Interests (other than Disqualified Equity Interests) of Holdings or any of its direct or indirect parent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0120"/>
          </w:cols>
          <w:pgMar w:left="1440" w:top="1440" w:right="339" w:bottom="1440" w:gutter="0" w:footer="0" w:header="0"/>
        </w:sectPr>
      </w:pPr>
    </w:p>
    <w:bookmarkStart w:id="331" w:name="page332"/>
    <w:bookmarkEnd w:id="331"/>
    <w:p>
      <w:pPr>
        <w:spacing w:after="0" w:line="357" w:lineRule="exact"/>
        <w:rPr>
          <w:sz w:val="20"/>
          <w:szCs w:val="20"/>
          <w:color w:val="auto"/>
        </w:rPr>
      </w:pPr>
    </w:p>
    <w:p>
      <w:pPr>
        <w:jc w:val="both"/>
        <w:ind w:left="-460" w:firstLine="1292"/>
        <w:spacing w:after="0" w:line="220" w:lineRule="auto"/>
        <w:tabs>
          <w:tab w:leader="none" w:pos="147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other Restricted Payments of the type described in clause (i), (ii) or (iv)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55" w:lineRule="exact"/>
        <w:rPr>
          <w:rFonts w:ascii="Arial" w:cs="Arial" w:eastAsia="Arial" w:hAnsi="Arial"/>
          <w:sz w:val="20"/>
          <w:szCs w:val="20"/>
          <w:color w:val="auto"/>
        </w:rPr>
      </w:pPr>
    </w:p>
    <w:p>
      <w:pPr>
        <w:jc w:val="both"/>
        <w:ind w:left="-460" w:firstLine="1292"/>
        <w:spacing w:after="0" w:line="220" w:lineRule="auto"/>
        <w:tabs>
          <w:tab w:leader="none" w:pos="147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other Restricted Payments of the type described in clause (iii)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69" w:lineRule="exact"/>
        <w:rPr>
          <w:rFonts w:ascii="Arial" w:cs="Arial" w:eastAsia="Arial" w:hAnsi="Arial"/>
          <w:sz w:val="20"/>
          <w:szCs w:val="20"/>
          <w:color w:val="auto"/>
        </w:rPr>
      </w:pPr>
    </w:p>
    <w:p>
      <w:pPr>
        <w:ind w:left="-460" w:firstLine="1292"/>
        <w:spacing w:after="0" w:line="236" w:lineRule="auto"/>
        <w:tabs>
          <w:tab w:leader="none" w:pos="1473" w:val="left"/>
        </w:tabs>
        <w:numPr>
          <w:ilvl w:val="0"/>
          <w:numId w:val="266"/>
        </w:numPr>
        <w:rPr>
          <w:rFonts w:ascii="Arial" w:cs="Arial" w:eastAsia="Arial" w:hAnsi="Arial"/>
          <w:sz w:val="20"/>
          <w:szCs w:val="20"/>
          <w:color w:val="auto"/>
        </w:rPr>
      </w:pPr>
      <w:r>
        <w:rPr>
          <w:rFonts w:ascii="Arial" w:cs="Arial" w:eastAsia="Arial" w:hAnsi="Arial"/>
          <w:sz w:val="20"/>
          <w:szCs w:val="20"/>
          <w:color w:val="auto"/>
        </w:rPr>
        <w:t>payments or distributions to dissenting stockholders pursuant to applicable law in connection with any merger or consolidation with, or other acquisition of, another Person;</w:t>
      </w:r>
    </w:p>
    <w:p>
      <w:pPr>
        <w:spacing w:after="0" w:line="155" w:lineRule="exact"/>
        <w:rPr>
          <w:rFonts w:ascii="Arial" w:cs="Arial" w:eastAsia="Arial" w:hAnsi="Arial"/>
          <w:sz w:val="20"/>
          <w:szCs w:val="20"/>
          <w:color w:val="auto"/>
        </w:rPr>
      </w:pPr>
    </w:p>
    <w:p>
      <w:pPr>
        <w:jc w:val="both"/>
        <w:ind w:left="-460" w:firstLine="1292"/>
        <w:spacing w:after="0" w:line="227" w:lineRule="auto"/>
        <w:tabs>
          <w:tab w:leader="none" w:pos="1475"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purchase by Holdings or any Restricted Subsidiary of any remaining outstanding Equity Interests of any Subsidiary acquired in connection with a Permitted Investment structured as a tender offer pursuant to which not less than a majority of such Subsidiary’s Equity Interests was acquired;</w:t>
      </w:r>
    </w:p>
    <w:p>
      <w:pPr>
        <w:spacing w:after="0" w:line="157" w:lineRule="exact"/>
        <w:rPr>
          <w:rFonts w:ascii="Arial" w:cs="Arial" w:eastAsia="Arial" w:hAnsi="Arial"/>
          <w:sz w:val="20"/>
          <w:szCs w:val="20"/>
          <w:color w:val="auto"/>
        </w:rPr>
      </w:pPr>
    </w:p>
    <w:p>
      <w:pPr>
        <w:jc w:val="both"/>
        <w:ind w:left="-460" w:firstLine="1292"/>
        <w:spacing w:after="0" w:line="259" w:lineRule="auto"/>
        <w:tabs>
          <w:tab w:leader="none" w:pos="147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Restricted Payments in connection with the Transactions and any compensation payable to, and indemnification of, any current or former officer, director, manager, employee or stockholders of Holdings, any of its Subsidiaries and any of Holdings’ direct or indirect parent companies in respect of taxes owed by such Persons as a result of the Transactions;</w:t>
      </w:r>
    </w:p>
    <w:p>
      <w:pPr>
        <w:spacing w:after="0" w:line="139" w:lineRule="exact"/>
        <w:rPr>
          <w:rFonts w:ascii="Arial" w:cs="Arial" w:eastAsia="Arial" w:hAnsi="Arial"/>
          <w:sz w:val="18"/>
          <w:szCs w:val="18"/>
          <w:color w:val="auto"/>
        </w:rPr>
      </w:pPr>
    </w:p>
    <w:p>
      <w:pPr>
        <w:ind w:left="1480" w:hanging="648"/>
        <w:spacing w:after="0"/>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460" w:firstLine="1292"/>
        <w:spacing w:after="0" w:line="220" w:lineRule="auto"/>
        <w:tabs>
          <w:tab w:leader="none" w:pos="147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payments to holders of Equity Interests (or to the holders of Indebtedness that is convertible into or exchangeable for Equity Interests upon such conversion or exchange) in lieu of the issuance of fractional shares (or a Restricted Payment to Holdings’ direct or indirect parent company in an amount sufficient to enable such company to make any such payments);</w:t>
      </w:r>
    </w:p>
    <w:p>
      <w:pPr>
        <w:spacing w:after="0" w:line="169" w:lineRule="exact"/>
        <w:rPr>
          <w:rFonts w:ascii="Arial" w:cs="Arial" w:eastAsia="Arial" w:hAnsi="Arial"/>
          <w:sz w:val="20"/>
          <w:szCs w:val="20"/>
          <w:color w:val="auto"/>
        </w:rPr>
      </w:pPr>
    </w:p>
    <w:p>
      <w:pPr>
        <w:ind w:left="1480" w:hanging="648"/>
        <w:spacing w:after="0"/>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distribution, as a dividend or otherwise, of Equity Interests of Unrestricted Subsidiaries;</w:t>
      </w:r>
    </w:p>
    <w:p>
      <w:pPr>
        <w:spacing w:after="0" w:line="175" w:lineRule="exact"/>
        <w:rPr>
          <w:rFonts w:ascii="Arial" w:cs="Arial" w:eastAsia="Arial" w:hAnsi="Arial"/>
          <w:sz w:val="20"/>
          <w:szCs w:val="20"/>
          <w:color w:val="auto"/>
        </w:rPr>
      </w:pPr>
    </w:p>
    <w:p>
      <w:pPr>
        <w:ind w:left="1480" w:hanging="648"/>
        <w:spacing w:after="0"/>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460" w:firstLine="1292"/>
        <w:spacing w:after="0" w:line="218" w:lineRule="auto"/>
        <w:tabs>
          <w:tab w:leader="none" w:pos="1477"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purchase of any Permitted Equity Derivatives in connection with the issuance of any Convertible Debt Securities permitted under Section 6.01 (and the replacement of any such Permitted Equity Derivatives) provided that the purchase price for such Permitted Equity Derivatives, net of any proceeds relating to any concurrent sale or termination of any Permitted Equity Derivatives, in respect of any Convertible Debt Securities does not exceed the net cash proceeds from such issuance of Convertible Debt Securities;</w:t>
      </w:r>
    </w:p>
    <w:p>
      <w:pPr>
        <w:spacing w:after="0" w:line="157" w:lineRule="exact"/>
        <w:rPr>
          <w:rFonts w:ascii="Arial" w:cs="Arial" w:eastAsia="Arial" w:hAnsi="Arial"/>
          <w:sz w:val="20"/>
          <w:szCs w:val="20"/>
          <w:color w:val="auto"/>
        </w:rPr>
      </w:pPr>
    </w:p>
    <w:p>
      <w:pPr>
        <w:ind w:left="-460" w:firstLine="1292"/>
        <w:spacing w:after="0" w:line="236" w:lineRule="auto"/>
        <w:tabs>
          <w:tab w:leader="none" w:pos="1476"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settlement or termination of any Permitted Equity Derivatives; provided that the entry into such Permitted Equity Derivative was permitted under this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0120"/>
          </w:cols>
          <w:pgMar w:left="1440" w:top="1440" w:right="339" w:bottom="1440" w:gutter="0" w:footer="0" w:header="0"/>
        </w:sectPr>
      </w:pPr>
    </w:p>
    <w:bookmarkStart w:id="332" w:name="page333"/>
    <w:bookmarkEnd w:id="332"/>
    <w:p>
      <w:pPr>
        <w:spacing w:after="0" w:line="357" w:lineRule="exact"/>
        <w:rPr>
          <w:sz w:val="20"/>
          <w:szCs w:val="20"/>
          <w:color w:val="auto"/>
        </w:rPr>
      </w:pPr>
    </w:p>
    <w:p>
      <w:pPr>
        <w:jc w:val="both"/>
        <w:ind w:left="660" w:firstLine="1292"/>
        <w:spacing w:after="0" w:line="235" w:lineRule="auto"/>
        <w:tabs>
          <w:tab w:leader="none" w:pos="259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any Restricted Payments, excluding Restricted Investments, so long as (x) at the time of and after giving effect to such Restricted Payment, no Event of Default has occurred and is continuing and (y) on a Pro Forma Basis, as of the last day of the most recently ended Test Period, the Total Net Leverage Ratio does not exceed 4.00:1.00;</w:t>
      </w:r>
    </w:p>
    <w:p>
      <w:pPr>
        <w:spacing w:after="0" w:line="168" w:lineRule="exact"/>
        <w:rPr>
          <w:rFonts w:ascii="Arial" w:cs="Arial" w:eastAsia="Arial" w:hAnsi="Arial"/>
          <w:sz w:val="19"/>
          <w:szCs w:val="19"/>
          <w:color w:val="auto"/>
        </w:rPr>
      </w:pPr>
    </w:p>
    <w:p>
      <w:pPr>
        <w:jc w:val="both"/>
        <w:ind w:left="660" w:firstLine="1292"/>
        <w:spacing w:after="0" w:line="235" w:lineRule="auto"/>
        <w:tabs>
          <w:tab w:leader="none" w:pos="259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any taxable period for which Holdings and/or any of its Subsidiaries are members of a consolidated, combined, unitary or similar income Tax group for applicable income Tax purposes of which a direct or indirect parent company of Holdings is the common parent (a “</w:t>
      </w:r>
      <w:r>
        <w:rPr>
          <w:rFonts w:ascii="Arial" w:cs="Arial" w:eastAsia="Arial" w:hAnsi="Arial"/>
          <w:sz w:val="18"/>
          <w:szCs w:val="18"/>
          <w:u w:val="single" w:color="auto"/>
          <w:color w:val="auto"/>
        </w:rPr>
        <w:t>Tax Group</w:t>
      </w:r>
      <w:r>
        <w:rPr>
          <w:rFonts w:ascii="Arial" w:cs="Arial" w:eastAsia="Arial" w:hAnsi="Arial"/>
          <w:sz w:val="18"/>
          <w:szCs w:val="18"/>
          <w:color w:val="auto"/>
        </w:rPr>
        <w:t>”), dividends or distributions by Holdings to such direct or indirect parent company of Holdings in an amount not to exceed the portion of any income Taxes of such Tax Group for such taxable period that is attributable to the taxable income of Holdings and/or the applicable Subsidiaries; provided that for each taxable period, the total amount of such payments made in respect of such taxable period will not exceed the amount that Holdings and/or such Subsidiaries, as applicable, would have been required to pay in respect of such taxable income as stand-alone taxpayers or a stand-alone Tax Group, reduced by any such income Taxes directly paid by Holdings or such Subsidiaries; provided that distributions pursuant to this clause (xxii) in respect of an Unrestricted Subsidiary shall be permitted only to the extent that cash distributions were made by such Unrestricted Subsidiary to Holdings or any of its Restricted Subsidiaries for such purpose;</w:t>
      </w:r>
    </w:p>
    <w:p>
      <w:pPr>
        <w:spacing w:after="0" w:line="160" w:lineRule="exact"/>
        <w:rPr>
          <w:rFonts w:ascii="Arial" w:cs="Arial" w:eastAsia="Arial" w:hAnsi="Arial"/>
          <w:sz w:val="18"/>
          <w:szCs w:val="18"/>
          <w:color w:val="auto"/>
        </w:rPr>
      </w:pPr>
    </w:p>
    <w:p>
      <w:pPr>
        <w:ind w:left="2600" w:hanging="648"/>
        <w:spacing w:after="0"/>
        <w:tabs>
          <w:tab w:leader="none" w:pos="26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660" w:firstLine="1292"/>
        <w:spacing w:after="0" w:line="223" w:lineRule="auto"/>
        <w:tabs>
          <w:tab w:leader="none" w:pos="2602" w:val="left"/>
        </w:tabs>
        <w:numPr>
          <w:ilvl w:val="0"/>
          <w:numId w:val="267"/>
        </w:numPr>
        <w:rPr>
          <w:rFonts w:ascii="Arial" w:cs="Arial" w:eastAsia="Arial" w:hAnsi="Arial"/>
          <w:sz w:val="20"/>
          <w:szCs w:val="20"/>
          <w:color w:val="auto"/>
        </w:rPr>
      </w:pPr>
      <w:r>
        <w:rPr>
          <w:rFonts w:ascii="Arial" w:cs="Arial" w:eastAsia="Arial" w:hAnsi="Arial"/>
          <w:sz w:val="20"/>
          <w:szCs w:val="20"/>
          <w:color w:val="auto"/>
        </w:rPr>
        <w:t>the declaration and payment of additional dividends and repurchases of Equity Interests of Holdings in an aggregate amount per annum not to exceed 6.0% of Market Capitalization, so long as at the time of and after giving effect to such Restricted Payment, no Event of Default has occurred and is continuing;</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0"/>
          <w:numId w:val="267"/>
        </w:numPr>
        <w:rPr>
          <w:rFonts w:ascii="Arial" w:cs="Arial" w:eastAsia="Arial" w:hAnsi="Arial"/>
          <w:sz w:val="20"/>
          <w:szCs w:val="20"/>
          <w:color w:val="auto"/>
        </w:rPr>
      </w:pPr>
      <w:r>
        <w:rPr>
          <w:rFonts w:ascii="Arial" w:cs="Arial" w:eastAsia="Arial" w:hAnsi="Arial"/>
          <w:sz w:val="20"/>
          <w:szCs w:val="20"/>
          <w:color w:val="auto"/>
        </w:rPr>
        <w:t>[reserved]; and</w:t>
      </w:r>
    </w:p>
    <w:p>
      <w:pPr>
        <w:spacing w:after="0" w:line="188" w:lineRule="exact"/>
        <w:rPr>
          <w:rFonts w:ascii="Arial" w:cs="Arial" w:eastAsia="Arial" w:hAnsi="Arial"/>
          <w:sz w:val="20"/>
          <w:szCs w:val="20"/>
          <w:color w:val="auto"/>
        </w:rPr>
      </w:pPr>
    </w:p>
    <w:p>
      <w:pPr>
        <w:jc w:val="both"/>
        <w:ind w:left="660" w:firstLine="1292"/>
        <w:spacing w:after="0" w:line="223" w:lineRule="auto"/>
        <w:tabs>
          <w:tab w:leader="none" w:pos="2601"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distributions or payments of Securitization Fees, purchases of receivables pursuant to a Receivables Repurchase Obligation in connection with a Qualified Receivables Factoring or Qualified Securitization Financing and the payment or distribution of Securitization Fees.</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For purposes of determining compliance with this covenant, in the event that a proposed Restricted Payment (or a portion thereof) meets the criteria of clauses (i) through (xxx) above or is entitled to be made pursuant to </w:t>
      </w:r>
      <w:r>
        <w:rPr>
          <w:rFonts w:ascii="Arial" w:cs="Arial" w:eastAsia="Arial" w:hAnsi="Arial"/>
          <w:sz w:val="16"/>
          <w:szCs w:val="16"/>
          <w:u w:val="single" w:color="auto"/>
          <w:color w:val="auto"/>
        </w:rPr>
        <w:t>Section 6.04(a)</w:t>
      </w:r>
      <w:r>
        <w:rPr>
          <w:rFonts w:ascii="Arial" w:cs="Arial" w:eastAsia="Arial" w:hAnsi="Arial"/>
          <w:sz w:val="16"/>
          <w:szCs w:val="16"/>
          <w:color w:val="auto"/>
        </w:rPr>
        <w:t xml:space="preserve"> and/or one or more of the exceptions</w:t>
      </w:r>
    </w:p>
    <w:p>
      <w:pPr>
        <w:spacing w:after="0" w:line="236" w:lineRule="auto"/>
        <w:rPr>
          <w:sz w:val="20"/>
          <w:szCs w:val="20"/>
          <w:color w:val="auto"/>
        </w:rPr>
      </w:pPr>
      <w:r>
        <w:rPr>
          <w:rFonts w:ascii="Arial" w:cs="Arial" w:eastAsia="Arial" w:hAnsi="Arial"/>
          <w:sz w:val="18"/>
          <w:szCs w:val="18"/>
          <w:color w:val="auto"/>
        </w:rPr>
        <w:t>contained in the definition of “Permitted Investments,” Holdings will be entitled to classify and reclassify (based on circumstances existing</w:t>
      </w:r>
    </w:p>
    <w:p>
      <w:pPr>
        <w:spacing w:after="0" w:line="226" w:lineRule="auto"/>
        <w:rPr>
          <w:sz w:val="20"/>
          <w:szCs w:val="20"/>
          <w:color w:val="auto"/>
        </w:rPr>
      </w:pPr>
      <w:r>
        <w:rPr>
          <w:rFonts w:ascii="Arial" w:cs="Arial" w:eastAsia="Arial" w:hAnsi="Arial"/>
          <w:sz w:val="18"/>
          <w:szCs w:val="18"/>
          <w:color w:val="auto"/>
        </w:rPr>
        <w:t xml:space="preserve">on the date of such classification or reclassification) such Restricted Payment (or portion thereof) among such clauses (i) through (xxvii),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and/or one or more of the exceptions contained in the definition of “Permitted Investments,” in a manner that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complies with this covenant.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all Restricted Payments (or transfer or issuance that would constitute Restricted Payments but for the exclusions from</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definition thereof) and Permitted Investments (other than cash) will be the fair market value on the date of the making the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(or such transfer or issuance) or Permitted Investment of the asset(s) or securities proposed to be transferred or issued by Holdings or such Restricted Subsidiary, as the case may be, pursuant to the Restricted Payment (or transfer or issuance that would constitute a Restricted</w:t>
      </w:r>
    </w:p>
    <w:p>
      <w:pPr>
        <w:spacing w:after="0"/>
        <w:rPr>
          <w:sz w:val="20"/>
          <w:szCs w:val="20"/>
          <w:color w:val="auto"/>
        </w:rPr>
      </w:pPr>
      <w:r>
        <w:rPr>
          <w:rFonts w:ascii="Arial" w:cs="Arial" w:eastAsia="Arial" w:hAnsi="Arial"/>
          <w:sz w:val="20"/>
          <w:szCs w:val="20"/>
          <w:color w:val="auto"/>
        </w:rPr>
        <w:t>Payment but for the exclusions from the definition thereof) or Permitted Investment.</w:t>
      </w:r>
    </w:p>
    <w:p>
      <w:pPr>
        <w:spacing w:after="0" w:line="14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For purposes of covenant compliance with this Section 6.04,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20"/>
                <w:szCs w:val="20"/>
                <w:color w:val="auto"/>
              </w:rPr>
              <w:t>Section 3.05</w:t>
            </w:r>
          </w:p>
        </w:tc>
        <w:tc>
          <w:tcPr>
            <w:tcW w:w="60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280" w:type="dxa"/>
            <w:vAlign w:val="bottom"/>
          </w:tcPr>
          <w:p>
            <w:pPr>
              <w:spacing w:after="0"/>
              <w:rPr>
                <w:sz w:val="20"/>
                <w:szCs w:val="20"/>
                <w:color w:val="auto"/>
              </w:rPr>
            </w:pPr>
            <w:r>
              <w:rPr>
                <w:rFonts w:ascii="Arial" w:cs="Arial" w:eastAsia="Arial" w:hAnsi="Arial"/>
                <w:sz w:val="20"/>
                <w:szCs w:val="20"/>
                <w:color w:val="auto"/>
              </w:rPr>
              <w:t>Section 3.06</w:t>
            </w:r>
          </w:p>
        </w:tc>
        <w:tc>
          <w:tcPr>
            <w:tcW w:w="60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1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20"/>
                <w:szCs w:val="20"/>
                <w:color w:val="auto"/>
              </w:rPr>
              <w:t>Section 3.07</w:t>
            </w:r>
          </w:p>
        </w:tc>
        <w:tc>
          <w:tcPr>
            <w:tcW w:w="6040" w:type="dxa"/>
            <w:vAlign w:val="bottom"/>
            <w:gridSpan w:val="3"/>
          </w:tcPr>
          <w:p>
            <w:pPr>
              <w:spacing w:after="0"/>
              <w:rPr>
                <w:sz w:val="20"/>
                <w:szCs w:val="20"/>
                <w:color w:val="auto"/>
              </w:rPr>
            </w:pPr>
            <w:r>
              <w:rPr>
                <w:rFonts w:ascii="Arial" w:cs="Arial" w:eastAsia="Arial" w:hAnsi="Arial"/>
                <w:sz w:val="20"/>
                <w:szCs w:val="20"/>
                <w:color w:val="auto"/>
                <w:w w:val="90"/>
              </w:rPr>
              <w:t>Dividend and Other Payment Restrictions Affecting Restricted Subsidiaries.</w:t>
            </w:r>
          </w:p>
        </w:tc>
      </w:tr>
      <w:tr>
        <w:trPr>
          <w:trHeight w:val="20"/>
        </w:trPr>
        <w:tc>
          <w:tcPr>
            <w:tcW w:w="1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1304"/>
        <w:spacing w:after="0" w:line="236" w:lineRule="auto"/>
        <w:tabs>
          <w:tab w:leader="none" w:pos="1934" w:val="left"/>
        </w:tabs>
        <w:numPr>
          <w:ilvl w:val="0"/>
          <w:numId w:val="268"/>
        </w:numPr>
        <w:rPr>
          <w:rFonts w:ascii="Arial" w:cs="Arial" w:eastAsia="Arial" w:hAnsi="Arial"/>
          <w:sz w:val="20"/>
          <w:szCs w:val="20"/>
          <w:color w:val="auto"/>
        </w:rPr>
      </w:pPr>
      <w:r>
        <w:rPr>
          <w:rFonts w:ascii="Arial" w:cs="Arial" w:eastAsia="Arial" w:hAnsi="Arial"/>
          <w:sz w:val="20"/>
          <w:szCs w:val="20"/>
          <w:color w:val="auto"/>
        </w:rPr>
        <w:t>Holdings will not, and will not permit any of its Restricted Subsidiaries, to create or permit to exist or become effective any consensual encumbrance or restriction on the ability of any Restricted Subsidiary to:</w:t>
      </w:r>
    </w:p>
    <w:p>
      <w:pPr>
        <w:spacing w:after="0" w:line="155" w:lineRule="exact"/>
        <w:rPr>
          <w:rFonts w:ascii="Arial" w:cs="Arial" w:eastAsia="Arial" w:hAnsi="Arial"/>
          <w:sz w:val="20"/>
          <w:szCs w:val="20"/>
          <w:color w:val="auto"/>
        </w:rPr>
      </w:pPr>
    </w:p>
    <w:p>
      <w:pPr>
        <w:ind w:left="660" w:firstLine="1292"/>
        <w:spacing w:after="0" w:line="236" w:lineRule="auto"/>
        <w:tabs>
          <w:tab w:leader="none" w:pos="2602" w:val="left"/>
        </w:tabs>
        <w:numPr>
          <w:ilvl w:val="1"/>
          <w:numId w:val="268"/>
        </w:numPr>
        <w:rPr>
          <w:rFonts w:ascii="Arial" w:cs="Arial" w:eastAsia="Arial" w:hAnsi="Arial"/>
          <w:sz w:val="20"/>
          <w:szCs w:val="20"/>
          <w:color w:val="auto"/>
        </w:rPr>
      </w:pPr>
      <w:r>
        <w:rPr>
          <w:rFonts w:ascii="Arial" w:cs="Arial" w:eastAsia="Arial" w:hAnsi="Arial"/>
          <w:sz w:val="20"/>
          <w:szCs w:val="20"/>
          <w:color w:val="auto"/>
        </w:rPr>
        <w:t>pay dividends or make any other distributions on its Equity Interests to Holdings or any of its Restricted Subsidiaries or pay any indebtedness owed to Holdings or any of its Restricted Subsidiaries;</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make loans or advances to Holdings or any of its Restricted Subsidiaries;</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sell, lease or transfer any of its properties or assets to Holdings or any of its Restricted Subsidiaries; or</w:t>
      </w:r>
    </w:p>
    <w:p>
      <w:pPr>
        <w:spacing w:after="0" w:line="200" w:lineRule="exact"/>
        <w:rPr>
          <w:rFonts w:ascii="Arial" w:cs="Arial" w:eastAsia="Arial" w:hAnsi="Arial"/>
          <w:sz w:val="19"/>
          <w:szCs w:val="19"/>
          <w:color w:val="auto"/>
        </w:rPr>
      </w:pPr>
    </w:p>
    <w:p>
      <w:pPr>
        <w:ind w:left="2580" w:hanging="628"/>
        <w:spacing w:after="0"/>
        <w:tabs>
          <w:tab w:leader="none" w:pos="258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create, incur or permit to exist any Lien upon any of its property or assets.</w:t>
      </w:r>
    </w:p>
    <w:p>
      <w:pPr>
        <w:spacing w:after="0" w:line="188" w:lineRule="exact"/>
        <w:rPr>
          <w:rFonts w:ascii="Arial" w:cs="Arial" w:eastAsia="Arial" w:hAnsi="Arial"/>
          <w:sz w:val="20"/>
          <w:szCs w:val="20"/>
          <w:color w:val="auto"/>
        </w:rPr>
      </w:pPr>
    </w:p>
    <w:p>
      <w:pPr>
        <w:ind w:left="1940" w:hanging="636"/>
        <w:spacing w:after="0"/>
        <w:tabs>
          <w:tab w:leader="none" w:pos="19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restrictions in Section 6.07(a) will not apply to encumbrances or restrictions existing under or by reason of:</w:t>
      </w:r>
    </w:p>
    <w:p>
      <w:pPr>
        <w:spacing w:after="0" w:line="186" w:lineRule="exact"/>
        <w:rPr>
          <w:rFonts w:ascii="Arial" w:cs="Arial" w:eastAsia="Arial" w:hAnsi="Arial"/>
          <w:sz w:val="19"/>
          <w:szCs w:val="19"/>
          <w:color w:val="auto"/>
        </w:rPr>
      </w:pPr>
    </w:p>
    <w:p>
      <w:pPr>
        <w:ind w:left="660" w:firstLine="1292"/>
        <w:spacing w:after="0" w:line="236" w:lineRule="auto"/>
        <w:tabs>
          <w:tab w:leader="none" w:pos="2602"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agreements in effect at or entered into on the Closing Date set forth on Schedule 6.07 and any amendments or modifications thereof that do not materially expand the scope of any such restriction or condition;</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this Agreement, the Loans, the Guarantees and the New Notes;</w:t>
      </w:r>
    </w:p>
    <w:p>
      <w:pPr>
        <w:spacing w:after="0" w:line="175" w:lineRule="exact"/>
        <w:rPr>
          <w:rFonts w:ascii="Arial" w:cs="Arial" w:eastAsia="Arial" w:hAnsi="Arial"/>
          <w:sz w:val="20"/>
          <w:szCs w:val="20"/>
          <w:color w:val="auto"/>
        </w:rPr>
      </w:pPr>
    </w:p>
    <w:p>
      <w:pPr>
        <w:ind w:left="660" w:firstLine="1292"/>
        <w:spacing w:after="0" w:line="236" w:lineRule="auto"/>
        <w:tabs>
          <w:tab w:leader="none" w:pos="2604"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agreements governing Indebtedness, Disqualified Equity Interests or Preferred Equity permitted to be incurred under Section 6.01;</w:t>
      </w:r>
    </w:p>
    <w:p>
      <w:pPr>
        <w:spacing w:after="0" w:line="168" w:lineRule="exact"/>
        <w:rPr>
          <w:rFonts w:ascii="Arial" w:cs="Arial" w:eastAsia="Arial" w:hAnsi="Arial"/>
          <w:sz w:val="20"/>
          <w:szCs w:val="20"/>
          <w:color w:val="auto"/>
        </w:rPr>
      </w:pPr>
    </w:p>
    <w:p>
      <w:pPr>
        <w:ind w:left="2580" w:hanging="628"/>
        <w:spacing w:after="0"/>
        <w:tabs>
          <w:tab w:leader="none" w:pos="258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applicable law, rule, regulation or order;</w:t>
      </w:r>
    </w:p>
    <w:p>
      <w:pPr>
        <w:spacing w:after="0" w:line="175" w:lineRule="exact"/>
        <w:rPr>
          <w:rFonts w:ascii="Arial" w:cs="Arial" w:eastAsia="Arial" w:hAnsi="Arial"/>
          <w:sz w:val="20"/>
          <w:szCs w:val="20"/>
          <w:color w:val="auto"/>
        </w:rPr>
      </w:pPr>
    </w:p>
    <w:p>
      <w:pPr>
        <w:ind w:left="2580" w:hanging="628"/>
        <w:spacing w:after="0"/>
        <w:tabs>
          <w:tab w:leader="none" w:pos="258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customary non-assignment provisions in contracts, leases and licenses otherwise permitted under this</w:t>
      </w:r>
    </w:p>
    <w:p>
      <w:pPr>
        <w:ind w:left="660"/>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72" w:lineRule="exact"/>
        <w:rPr>
          <w:rFonts w:ascii="Arial" w:cs="Arial" w:eastAsia="Arial" w:hAnsi="Arial"/>
          <w:sz w:val="19"/>
          <w:szCs w:val="19"/>
          <w:color w:val="auto"/>
        </w:rPr>
      </w:pPr>
    </w:p>
    <w:p>
      <w:pPr>
        <w:ind w:left="660" w:firstLine="1292"/>
        <w:spacing w:after="0" w:line="229" w:lineRule="auto"/>
        <w:tabs>
          <w:tab w:leader="none" w:pos="2593" w:val="left"/>
        </w:tabs>
        <w:numPr>
          <w:ilvl w:val="1"/>
          <w:numId w:val="268"/>
        </w:numPr>
        <w:rPr>
          <w:rFonts w:ascii="Arial" w:cs="Arial" w:eastAsia="Arial" w:hAnsi="Arial"/>
          <w:sz w:val="20"/>
          <w:szCs w:val="20"/>
          <w:color w:val="auto"/>
        </w:rPr>
      </w:pPr>
      <w:r>
        <w:rPr>
          <w:rFonts w:ascii="Arial" w:cs="Arial" w:eastAsia="Arial" w:hAnsi="Arial"/>
          <w:sz w:val="20"/>
          <w:szCs w:val="20"/>
          <w:color w:val="auto"/>
        </w:rPr>
        <w:t>Capital Lease Obligations, any agreement governing purchase money indebtedness, security agreements or mortgages securing Indebtedness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Restricted Subsidiary to the extent such encumbrance or restriction restricts the transfer of the property subject to such Capital Lease Obligations, purchase money indebtedness, security agreements or mortgages;</w:t>
      </w:r>
    </w:p>
    <w:p>
      <w:pPr>
        <w:spacing w:after="0" w:line="169" w:lineRule="exact"/>
        <w:rPr>
          <w:sz w:val="20"/>
          <w:szCs w:val="20"/>
          <w:color w:val="auto"/>
        </w:rPr>
      </w:pPr>
    </w:p>
    <w:p>
      <w:pPr>
        <w:ind w:firstLine="1292"/>
        <w:spacing w:after="0" w:line="285" w:lineRule="auto"/>
        <w:tabs>
          <w:tab w:leader="none" w:pos="19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agreement in connection with the sale or disposition of all or substantially all the Equity Interests or assets of a Restricted Subsidiary that imposes such encumbrance or restriction pending the closing of such sale or disposition;</w:t>
      </w:r>
    </w:p>
    <w:p>
      <w:pPr>
        <w:spacing w:after="0" w:line="115" w:lineRule="exact"/>
        <w:rPr>
          <w:rFonts w:ascii="Arial" w:cs="Arial" w:eastAsia="Arial" w:hAnsi="Arial"/>
          <w:sz w:val="18"/>
          <w:szCs w:val="18"/>
          <w:color w:val="auto"/>
        </w:rPr>
      </w:pPr>
    </w:p>
    <w:p>
      <w:pPr>
        <w:ind w:firstLine="1292"/>
        <w:spacing w:after="0" w:line="236" w:lineRule="auto"/>
        <w:tabs>
          <w:tab w:leader="none" w:pos="193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customary restrictions and conditions contained in any agreement relating to any Disposition permitted by Section 6.03 pending the consummation of such Disposition;</w:t>
      </w:r>
    </w:p>
    <w:p>
      <w:pPr>
        <w:spacing w:after="0" w:line="168" w:lineRule="exact"/>
        <w:rPr>
          <w:rFonts w:ascii="Arial" w:cs="Arial" w:eastAsia="Arial" w:hAnsi="Arial"/>
          <w:sz w:val="20"/>
          <w:szCs w:val="20"/>
          <w:color w:val="auto"/>
        </w:rPr>
      </w:pPr>
    </w:p>
    <w:p>
      <w:pPr>
        <w:ind w:left="1920" w:hanging="628"/>
        <w:spacing w:after="0"/>
        <w:tabs>
          <w:tab w:leader="none" w:pos="19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Permitted Refinancing Indebtedness;</w:t>
      </w:r>
    </w:p>
    <w:p>
      <w:pPr>
        <w:spacing w:after="0" w:line="175" w:lineRule="exact"/>
        <w:rPr>
          <w:rFonts w:ascii="Arial" w:cs="Arial" w:eastAsia="Arial" w:hAnsi="Arial"/>
          <w:sz w:val="20"/>
          <w:szCs w:val="20"/>
          <w:color w:val="auto"/>
        </w:rPr>
      </w:pPr>
    </w:p>
    <w:p>
      <w:pPr>
        <w:ind w:left="1920" w:hanging="628"/>
        <w:spacing w:after="0"/>
        <w:tabs>
          <w:tab w:leader="none" w:pos="1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Liens permitted to be incurred under Section 6.02 that limit the right of the debtor to dispose of the assets</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subject to such Liens;</w:t>
      </w:r>
    </w:p>
    <w:p>
      <w:pPr>
        <w:spacing w:after="0" w:line="172" w:lineRule="exact"/>
        <w:rPr>
          <w:rFonts w:ascii="Arial" w:cs="Arial" w:eastAsia="Arial" w:hAnsi="Arial"/>
          <w:sz w:val="18"/>
          <w:szCs w:val="18"/>
          <w:color w:val="auto"/>
        </w:rPr>
      </w:pPr>
    </w:p>
    <w:p>
      <w:pPr>
        <w:jc w:val="both"/>
        <w:ind w:firstLine="1292"/>
        <w:spacing w:after="0" w:line="220" w:lineRule="auto"/>
        <w:tabs>
          <w:tab w:leader="none" w:pos="193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provisions limiting the disposition or distribution of assets or property in joint venture agreements, partnership agreements, asset sale agreements, sale-leaseback agreements, stock sale agreements and other similar agreements (including agreements entered into in connection with a Restricted Investment), which limitation is applicable only to the assets that are the subject of such agreements;</w:t>
      </w:r>
    </w:p>
    <w:p>
      <w:pPr>
        <w:spacing w:after="0" w:line="155" w:lineRule="exact"/>
        <w:rPr>
          <w:rFonts w:ascii="Arial" w:cs="Arial" w:eastAsia="Arial" w:hAnsi="Arial"/>
          <w:sz w:val="20"/>
          <w:szCs w:val="20"/>
          <w:color w:val="auto"/>
        </w:rPr>
      </w:pPr>
    </w:p>
    <w:p>
      <w:pPr>
        <w:ind w:left="1920" w:hanging="628"/>
        <w:spacing w:after="0"/>
        <w:tabs>
          <w:tab w:leader="none" w:pos="19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firstLine="1292"/>
        <w:spacing w:after="0" w:line="220" w:lineRule="auto"/>
        <w:tabs>
          <w:tab w:leader="none" w:pos="1935"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any agreement or instrument of, or affecting, any Restricted Subsidiary or its Equity Interests existing on or prior to the date on which such Restricted Subsidiary was acquired by Holdings or other Restricted Subsidiary (other than any such agreement or instrument entered into in contemplation of such Restricted Subsidiary acquired by Holdings or other Restricted Subsidiary);</w:t>
      </w:r>
    </w:p>
    <w:p>
      <w:pPr>
        <w:spacing w:after="0" w:line="169" w:lineRule="exact"/>
        <w:rPr>
          <w:rFonts w:ascii="Arial" w:cs="Arial" w:eastAsia="Arial" w:hAnsi="Arial"/>
          <w:sz w:val="20"/>
          <w:szCs w:val="20"/>
          <w:color w:val="auto"/>
        </w:rPr>
      </w:pPr>
    </w:p>
    <w:p>
      <w:pPr>
        <w:ind w:right="20" w:firstLine="1292"/>
        <w:spacing w:after="0" w:line="269" w:lineRule="auto"/>
        <w:tabs>
          <w:tab w:leader="none" w:pos="193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including with respect to intellectual property, and other agreements, in each case, entered into in the ordinary course of business;</w:t>
      </w:r>
    </w:p>
    <w:p>
      <w:pPr>
        <w:spacing w:after="0" w:line="143" w:lineRule="exact"/>
        <w:rPr>
          <w:rFonts w:ascii="Arial" w:cs="Arial" w:eastAsia="Arial" w:hAnsi="Arial"/>
          <w:sz w:val="18"/>
          <w:szCs w:val="18"/>
          <w:color w:val="auto"/>
        </w:rPr>
      </w:pPr>
    </w:p>
    <w:p>
      <w:pPr>
        <w:ind w:firstLine="1292"/>
        <w:spacing w:after="0" w:line="236" w:lineRule="auto"/>
        <w:tabs>
          <w:tab w:leader="none" w:pos="193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customary non-assignment provisions in leases or licenses governing leasehold or license interests to the extent such provisions restrict the transfer of the lease or the property leased or licensed thereunder;</w:t>
      </w:r>
    </w:p>
    <w:p>
      <w:pPr>
        <w:spacing w:after="0" w:line="155" w:lineRule="exact"/>
        <w:rPr>
          <w:rFonts w:ascii="Arial" w:cs="Arial" w:eastAsia="Arial" w:hAnsi="Arial"/>
          <w:sz w:val="20"/>
          <w:szCs w:val="20"/>
          <w:color w:val="auto"/>
        </w:rPr>
      </w:pPr>
    </w:p>
    <w:p>
      <w:pPr>
        <w:jc w:val="both"/>
        <w:ind w:firstLine="1292"/>
        <w:spacing w:after="0" w:line="243" w:lineRule="auto"/>
        <w:tabs>
          <w:tab w:leader="none" w:pos="193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any amendment, modification, restatement, renewal, increase, supplement, refunding, replacement or refinancing of an agreement or arrangement referred to in clauses (i) through (xv) above of this Section 6.07(b);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amendment, modification, restatement, renewal, increase, supplement, refunding, replacement or refinancing is not materially more restrictive, as determined in good faith by Holdings, with respect to such encumbrances and other restrictions taken as a whole than those prior to such amendment, modification, restatement, renewal, increase, supplement, refunding, replacement or refinancing</w:t>
      </w:r>
    </w:p>
    <w:p>
      <w:pPr>
        <w:spacing w:after="0" w:line="167" w:lineRule="exact"/>
        <w:rPr>
          <w:rFonts w:ascii="Arial" w:cs="Arial" w:eastAsia="Arial" w:hAnsi="Arial"/>
          <w:sz w:val="18"/>
          <w:szCs w:val="18"/>
          <w:color w:val="auto"/>
        </w:rPr>
      </w:pPr>
    </w:p>
    <w:p>
      <w:pPr>
        <w:ind w:firstLine="1292"/>
        <w:spacing w:after="0" w:line="229" w:lineRule="auto"/>
        <w:tabs>
          <w:tab w:leader="none" w:pos="193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restrictions on cash or other deposits or net worth imposed by customers under contracts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0580"/>
          </w:cols>
          <w:pgMar w:left="980" w:top="1440" w:right="339" w:bottom="1440" w:gutter="0" w:footer="0" w:header="0"/>
        </w:sectPr>
      </w:pPr>
    </w:p>
    <w:bookmarkStart w:id="335" w:name="page336"/>
    <w:bookmarkEnd w:id="335"/>
    <w:p>
      <w:pPr>
        <w:spacing w:after="0" w:line="357" w:lineRule="exact"/>
        <w:rPr>
          <w:sz w:val="20"/>
          <w:szCs w:val="20"/>
          <w:color w:val="auto"/>
        </w:rPr>
      </w:pPr>
    </w:p>
    <w:p>
      <w:pPr>
        <w:ind w:left="660" w:firstLine="1292"/>
        <w:spacing w:after="0" w:line="229" w:lineRule="auto"/>
        <w:tabs>
          <w:tab w:leader="none" w:pos="2599"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customary provisions in joint venture agreements or arrangements and other similar agreements or arrangements relating solely to such joint venture and the Equity Interests issued thereby;</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597"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customary restrictions created in connection with any Qualified Securitization Financing or Qualified Receivables Factoring that, in the good faith determination of the board of directors of Holdings, are necessary or advisable to effect such Qualified Securitization Financing or such Qualified Receivables Factoring;</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customary provisions restricting assignment of any agreement entered into in the ordinary course of</w:t>
      </w:r>
    </w:p>
    <w:p>
      <w:pPr>
        <w:ind w:left="660"/>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159" w:lineRule="exact"/>
        <w:rPr>
          <w:rFonts w:ascii="Arial" w:cs="Arial" w:eastAsia="Arial" w:hAnsi="Arial"/>
          <w:sz w:val="19"/>
          <w:szCs w:val="19"/>
          <w:color w:val="auto"/>
        </w:rPr>
      </w:pPr>
    </w:p>
    <w:p>
      <w:pPr>
        <w:ind w:left="660" w:firstLine="1292"/>
        <w:spacing w:after="0" w:line="236" w:lineRule="auto"/>
        <w:tabs>
          <w:tab w:leader="none" w:pos="2597" w:val="left"/>
        </w:tabs>
        <w:numPr>
          <w:ilvl w:val="0"/>
          <w:numId w:val="270"/>
        </w:numPr>
        <w:rPr>
          <w:rFonts w:ascii="Arial" w:cs="Arial" w:eastAsia="Arial" w:hAnsi="Arial"/>
          <w:sz w:val="20"/>
          <w:szCs w:val="20"/>
          <w:color w:val="auto"/>
        </w:rPr>
      </w:pPr>
      <w:r>
        <w:rPr>
          <w:rFonts w:ascii="Arial" w:cs="Arial" w:eastAsia="Arial" w:hAnsi="Arial"/>
          <w:sz w:val="20"/>
          <w:szCs w:val="20"/>
          <w:color w:val="auto"/>
        </w:rPr>
        <w:t>restrictions on cash or other deposits or net worth imposed by customers under contracts entered into in the ordinary course of business; and</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customary change of control provisions in client contracts.</w:t>
      </w:r>
    </w:p>
    <w:p>
      <w:pPr>
        <w:spacing w:after="0" w:line="16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8"/>
          <w:szCs w:val="18"/>
          <w:u w:val="single" w:color="auto"/>
          <w:color w:val="auto"/>
        </w:rPr>
        <w:t>Amendments to Subordinated Indebtedness and Certain Other Documents, etc</w:t>
      </w:r>
      <w:r>
        <w:rPr>
          <w:rFonts w:ascii="Arial" w:cs="Arial" w:eastAsia="Arial" w:hAnsi="Arial"/>
          <w:sz w:val="18"/>
          <w:szCs w:val="18"/>
          <w:color w:val="auto"/>
        </w:rPr>
        <w:t>. Holdings will not, nor will it permit</w:t>
      </w:r>
    </w:p>
    <w:p>
      <w:pPr>
        <w:spacing w:after="0" w:line="222" w:lineRule="auto"/>
        <w:rPr>
          <w:sz w:val="20"/>
          <w:szCs w:val="20"/>
          <w:color w:val="auto"/>
        </w:rPr>
      </w:pPr>
      <w:r>
        <w:rPr>
          <w:rFonts w:ascii="Arial" w:cs="Arial" w:eastAsia="Arial" w:hAnsi="Arial"/>
          <w:sz w:val="19"/>
          <w:szCs w:val="19"/>
          <w:color w:val="auto"/>
        </w:rPr>
        <w:t>any Restricted Subsidiary to amend, modify or waive any of its rights under any agreement or instrument governing or evidencing any</w:t>
      </w:r>
    </w:p>
    <w:p>
      <w:pPr>
        <w:spacing w:after="0" w:line="255" w:lineRule="auto"/>
        <w:rPr>
          <w:sz w:val="20"/>
          <w:szCs w:val="20"/>
          <w:color w:val="auto"/>
        </w:rPr>
      </w:pPr>
      <w:r>
        <w:rPr>
          <w:rFonts w:ascii="Arial" w:cs="Arial" w:eastAsia="Arial" w:hAnsi="Arial"/>
          <w:sz w:val="16"/>
          <w:szCs w:val="16"/>
          <w:color w:val="auto"/>
        </w:rPr>
        <w:t>Subordinated Indebtedness that constitutes Material Indebtedness to the extent such amendment, modification or waiver could reasonably be expected to be adverse in any material respect to the Lenders as determined by Holdings in good faith (it being understood and agreed that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increase or decrease in the interest rates or extension of the maturity dates or repayment under any Indebtedness among Holdings and its Subsidiaries or among one or more Subsidiaries shall not be deemed to be adverse in any material respect to the Lenders).</w:t>
      </w:r>
    </w:p>
    <w:p>
      <w:pPr>
        <w:spacing w:after="0" w:line="133"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Holdings will not, nor will it permit any Restricted Subsidiary to, enter into any Sale and Leaseback Transaction unless (a) the sale or transfer of the property thereunder is permitted by Section 6.03 or is not an Asset Sale,</w:t>
      </w:r>
    </w:p>
    <w:p>
      <w:pPr>
        <w:ind w:firstLine="8"/>
        <w:spacing w:after="0" w:line="250" w:lineRule="auto"/>
        <w:tabs>
          <w:tab w:leader="none" w:pos="30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Capital Lease Obligations arising in connection therewith are permitted by Section 6.01 and (c) any Liens arising in connection therewith (including Liens deemed to arise in connection with any such Capital Lease Obligations) are permitted by Section 6.02.</w:t>
      </w:r>
    </w:p>
    <w:p>
      <w:pPr>
        <w:spacing w:after="0" w:line="16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6"/>
          <w:szCs w:val="16"/>
          <w:u w:val="single" w:color="auto"/>
          <w:color w:val="auto"/>
        </w:rPr>
        <w:t>Merger, Consolidation or Sale of Assets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0" w:lineRule="auto"/>
        <w:tabs>
          <w:tab w:leader="none" w:pos="1934" w:val="left"/>
        </w:tabs>
        <w:numPr>
          <w:ilvl w:val="0"/>
          <w:numId w:val="272"/>
        </w:numPr>
        <w:rPr>
          <w:rFonts w:ascii="Arial" w:cs="Arial" w:eastAsia="Arial" w:hAnsi="Arial"/>
          <w:sz w:val="20"/>
          <w:szCs w:val="20"/>
          <w:color w:val="auto"/>
        </w:rPr>
      </w:pPr>
      <w:r>
        <w:rPr>
          <w:rFonts w:ascii="Arial" w:cs="Arial" w:eastAsia="Arial" w:hAnsi="Arial"/>
          <w:sz w:val="20"/>
          <w:szCs w:val="20"/>
          <w:color w:val="auto"/>
        </w:rPr>
        <w:t>Neither Holdings or any Borrower shall: (1) consolidate with or merge with or into another Person; or (2) directly or indirectly, sell, assign, transfer, convey, lease or otherwise dispose of (including by virtue of a merger, consolidation, amalgamation, liquidation or otherwise), all or substantially all of the assets of Holdings and its Restricted Subsidiaries taken as a whole, in one or more related transactions, to another Person, in each case, unless:</w:t>
      </w:r>
    </w:p>
    <w:p>
      <w:pPr>
        <w:spacing w:after="0" w:line="169" w:lineRule="exact"/>
        <w:rPr>
          <w:rFonts w:ascii="Arial" w:cs="Arial" w:eastAsia="Arial" w:hAnsi="Arial"/>
          <w:sz w:val="20"/>
          <w:szCs w:val="20"/>
          <w:color w:val="auto"/>
        </w:rPr>
      </w:pPr>
    </w:p>
    <w:p>
      <w:pPr>
        <w:ind w:left="2600" w:hanging="648"/>
        <w:spacing w:after="0"/>
        <w:tabs>
          <w:tab w:leader="none" w:pos="2600" w:val="left"/>
        </w:tabs>
        <w:numPr>
          <w:ilvl w:val="1"/>
          <w:numId w:val="272"/>
        </w:numPr>
        <w:rPr>
          <w:rFonts w:ascii="Arial" w:cs="Arial" w:eastAsia="Arial" w:hAnsi="Arial"/>
          <w:sz w:val="20"/>
          <w:szCs w:val="20"/>
          <w:color w:val="auto"/>
        </w:rPr>
      </w:pPr>
      <w:r>
        <w:rPr>
          <w:rFonts w:ascii="Arial" w:cs="Arial" w:eastAsia="Arial" w:hAnsi="Arial"/>
          <w:sz w:val="20"/>
          <w:szCs w:val="20"/>
          <w:color w:val="auto"/>
        </w:rPr>
        <w:t>either:</w:t>
      </w:r>
    </w:p>
    <w:p>
      <w:pPr>
        <w:spacing w:after="0" w:line="188" w:lineRule="exact"/>
        <w:rPr>
          <w:rFonts w:ascii="Arial" w:cs="Arial" w:eastAsia="Arial" w:hAnsi="Arial"/>
          <w:sz w:val="20"/>
          <w:szCs w:val="20"/>
          <w:color w:val="auto"/>
        </w:rPr>
      </w:pPr>
    </w:p>
    <w:p>
      <w:pPr>
        <w:ind w:left="3240" w:hanging="640"/>
        <w:spacing w:after="0"/>
        <w:tabs>
          <w:tab w:leader="none" w:pos="3240" w:val="left"/>
        </w:tabs>
        <w:numPr>
          <w:ilvl w:val="2"/>
          <w:numId w:val="272"/>
        </w:numPr>
        <w:rPr>
          <w:rFonts w:ascii="Arial" w:cs="Arial" w:eastAsia="Arial" w:hAnsi="Arial"/>
          <w:sz w:val="20"/>
          <w:szCs w:val="20"/>
          <w:color w:val="auto"/>
        </w:rPr>
      </w:pPr>
      <w:r>
        <w:rPr>
          <w:rFonts w:ascii="Arial" w:cs="Arial" w:eastAsia="Arial" w:hAnsi="Arial"/>
          <w:sz w:val="20"/>
          <w:szCs w:val="20"/>
          <w:color w:val="auto"/>
        </w:rPr>
        <w:t>Holdings or such Borrower is the surviving or transferee Person; or</w:t>
      </w:r>
    </w:p>
    <w:p>
      <w:pPr>
        <w:spacing w:after="0" w:line="175" w:lineRule="exact"/>
        <w:rPr>
          <w:rFonts w:ascii="Arial" w:cs="Arial" w:eastAsia="Arial" w:hAnsi="Arial"/>
          <w:sz w:val="20"/>
          <w:szCs w:val="20"/>
          <w:color w:val="auto"/>
        </w:rPr>
      </w:pPr>
    </w:p>
    <w:p>
      <w:pPr>
        <w:jc w:val="both"/>
        <w:ind w:left="1300" w:firstLine="1300"/>
        <w:spacing w:after="0" w:line="223" w:lineRule="auto"/>
        <w:tabs>
          <w:tab w:leader="none" w:pos="3238" w:val="left"/>
        </w:tabs>
        <w:numPr>
          <w:ilvl w:val="2"/>
          <w:numId w:val="272"/>
        </w:numPr>
        <w:rPr>
          <w:rFonts w:ascii="Arial" w:cs="Arial" w:eastAsia="Arial" w:hAnsi="Arial"/>
          <w:sz w:val="20"/>
          <w:szCs w:val="20"/>
          <w:color w:val="auto"/>
        </w:rPr>
      </w:pPr>
      <w:r>
        <w:rPr>
          <w:rFonts w:ascii="Arial" w:cs="Arial" w:eastAsia="Arial" w:hAnsi="Arial"/>
          <w:sz w:val="20"/>
          <w:szCs w:val="20"/>
          <w:color w:val="auto"/>
        </w:rPr>
        <w:t>the Person formed by or surviving any such consolidation or merger or to which such sale, assignment, transfer, conveyance, lease or other disposition has been made is an entity organized or existing under the laws of the same jurisdiction as Holdings or such Borrower,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357"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this Section 6.11(a)(i)(B), the United States, all states thereof and the District of Columbia shall be considered a single jurisdiction;</w:t>
      </w:r>
    </w:p>
    <w:p>
      <w:pPr>
        <w:spacing w:after="0" w:line="169" w:lineRule="exact"/>
        <w:rPr>
          <w:sz w:val="20"/>
          <w:szCs w:val="20"/>
          <w:color w:val="auto"/>
        </w:rPr>
      </w:pPr>
    </w:p>
    <w:p>
      <w:pPr>
        <w:jc w:val="both"/>
        <w:ind w:left="660" w:firstLine="1292"/>
        <w:spacing w:after="0" w:line="220" w:lineRule="auto"/>
        <w:tabs>
          <w:tab w:leader="none" w:pos="2603" w:val="left"/>
        </w:tabs>
        <w:numPr>
          <w:ilvl w:val="1"/>
          <w:numId w:val="273"/>
        </w:numPr>
        <w:rPr>
          <w:rFonts w:ascii="Arial" w:cs="Arial" w:eastAsia="Arial" w:hAnsi="Arial"/>
          <w:sz w:val="20"/>
          <w:szCs w:val="20"/>
          <w:color w:val="auto"/>
        </w:rPr>
      </w:pPr>
      <w:r>
        <w:rPr>
          <w:rFonts w:ascii="Arial" w:cs="Arial" w:eastAsia="Arial" w:hAnsi="Arial"/>
          <w:sz w:val="20"/>
          <w:szCs w:val="20"/>
          <w:color w:val="auto"/>
        </w:rPr>
        <w:t>the Person formed by or surviving any such consolidation or merger (if other than Holdings or a Borrower) or the Person to which such sale, assignment, transfer, conveyance, lease or other disposition has been made (if other than Holdings or a Borrower) assumes all the obligations of Holdings or such Borrower, as applicable, under this Agreement pursuant to agreements reasonably satisfactory to the Administrative Agent; and</w:t>
      </w:r>
    </w:p>
    <w:p>
      <w:pPr>
        <w:spacing w:after="0" w:line="169" w:lineRule="exact"/>
        <w:rPr>
          <w:rFonts w:ascii="Arial" w:cs="Arial" w:eastAsia="Arial" w:hAnsi="Arial"/>
          <w:sz w:val="20"/>
          <w:szCs w:val="20"/>
          <w:color w:val="auto"/>
        </w:rPr>
      </w:pPr>
    </w:p>
    <w:p>
      <w:pPr>
        <w:ind w:left="660" w:firstLine="1292"/>
        <w:spacing w:after="0" w:line="242" w:lineRule="auto"/>
        <w:tabs>
          <w:tab w:leader="none" w:pos="2604" w:val="left"/>
        </w:tabs>
        <w:numPr>
          <w:ilvl w:val="1"/>
          <w:numId w:val="273"/>
        </w:numPr>
        <w:rPr>
          <w:rFonts w:ascii="Arial" w:cs="Arial" w:eastAsia="Arial" w:hAnsi="Arial"/>
          <w:sz w:val="19"/>
          <w:szCs w:val="19"/>
          <w:color w:val="auto"/>
        </w:rPr>
      </w:pPr>
      <w:r>
        <w:rPr>
          <w:rFonts w:ascii="Arial" w:cs="Arial" w:eastAsia="Arial" w:hAnsi="Arial"/>
          <w:sz w:val="19"/>
          <w:szCs w:val="19"/>
          <w:color w:val="auto"/>
        </w:rPr>
        <w:t>other than in the case of a Restricted Subsidiary merging into Holdings or a Borrower, immediately after such transaction (or, in the case of a Limited Condition Transaction, as of the LCT Test Date), no Event of Default exists.</w:t>
      </w:r>
    </w:p>
    <w:p>
      <w:pPr>
        <w:spacing w:after="0" w:line="166" w:lineRule="exact"/>
        <w:rPr>
          <w:rFonts w:ascii="Arial" w:cs="Arial" w:eastAsia="Arial" w:hAnsi="Arial"/>
          <w:sz w:val="19"/>
          <w:szCs w:val="19"/>
          <w:color w:val="auto"/>
        </w:rPr>
      </w:pPr>
    </w:p>
    <w:p>
      <w:pPr>
        <w:jc w:val="both"/>
        <w:ind w:firstLine="1304"/>
        <w:spacing w:after="0" w:line="220" w:lineRule="auto"/>
        <w:tabs>
          <w:tab w:leader="none" w:pos="1932" w:val="left"/>
        </w:tabs>
        <w:numPr>
          <w:ilvl w:val="0"/>
          <w:numId w:val="274"/>
        </w:numPr>
        <w:rPr>
          <w:rFonts w:ascii="Arial" w:cs="Arial" w:eastAsia="Arial" w:hAnsi="Arial"/>
          <w:sz w:val="20"/>
          <w:szCs w:val="20"/>
          <w:color w:val="auto"/>
        </w:rPr>
      </w:pPr>
      <w:r>
        <w:rPr>
          <w:rFonts w:ascii="Arial" w:cs="Arial" w:eastAsia="Arial" w:hAnsi="Arial"/>
          <w:sz w:val="20"/>
          <w:szCs w:val="20"/>
          <w:color w:val="auto"/>
        </w:rPr>
        <w:t>No Subsidiary Guarantor shall: (1) consolidate with or merge with or into another Person; or (2) directly or indirectly, sell, assign, transfer, convey, lease or otherwise dispose of (including by virtue of a merger, consolidation, amalgamation, liquidation or otherwise), all or substantially all of its assets taken as a whole, in one or more related transactions, to another Person, in each case, unless:</w:t>
      </w:r>
    </w:p>
    <w:p>
      <w:pPr>
        <w:spacing w:after="0" w:line="169" w:lineRule="exact"/>
        <w:rPr>
          <w:rFonts w:ascii="Arial" w:cs="Arial" w:eastAsia="Arial" w:hAnsi="Arial"/>
          <w:sz w:val="20"/>
          <w:szCs w:val="20"/>
          <w:color w:val="auto"/>
        </w:rPr>
      </w:pPr>
    </w:p>
    <w:p>
      <w:pPr>
        <w:ind w:left="2600" w:hanging="648"/>
        <w:spacing w:after="0"/>
        <w:tabs>
          <w:tab w:leader="none" w:pos="260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the other Person is Holdings or a Borrower or any Restricted Subsidiary; or</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274"/>
        </w:numPr>
        <w:rPr>
          <w:rFonts w:ascii="Arial" w:cs="Arial" w:eastAsia="Arial" w:hAnsi="Arial"/>
          <w:sz w:val="20"/>
          <w:szCs w:val="20"/>
          <w:color w:val="auto"/>
        </w:rPr>
      </w:pPr>
      <w:r>
        <w:rPr>
          <w:rFonts w:ascii="Arial" w:cs="Arial" w:eastAsia="Arial" w:hAnsi="Arial"/>
          <w:sz w:val="20"/>
          <w:szCs w:val="20"/>
          <w:color w:val="auto"/>
        </w:rPr>
        <w:t>either:</w:t>
      </w:r>
    </w:p>
    <w:p>
      <w:pPr>
        <w:spacing w:after="0" w:line="188" w:lineRule="exact"/>
        <w:rPr>
          <w:rFonts w:ascii="Arial" w:cs="Arial" w:eastAsia="Arial" w:hAnsi="Arial"/>
          <w:sz w:val="20"/>
          <w:szCs w:val="20"/>
          <w:color w:val="auto"/>
        </w:rPr>
      </w:pPr>
    </w:p>
    <w:p>
      <w:pPr>
        <w:ind w:left="3240" w:hanging="640"/>
        <w:spacing w:after="0"/>
        <w:tabs>
          <w:tab w:leader="none" w:pos="3240" w:val="left"/>
        </w:tabs>
        <w:numPr>
          <w:ilvl w:val="2"/>
          <w:numId w:val="274"/>
        </w:numPr>
        <w:rPr>
          <w:rFonts w:ascii="Arial" w:cs="Arial" w:eastAsia="Arial" w:hAnsi="Arial"/>
          <w:sz w:val="20"/>
          <w:szCs w:val="20"/>
          <w:color w:val="auto"/>
        </w:rPr>
      </w:pPr>
      <w:r>
        <w:rPr>
          <w:rFonts w:ascii="Arial" w:cs="Arial" w:eastAsia="Arial" w:hAnsi="Arial"/>
          <w:sz w:val="20"/>
          <w:szCs w:val="20"/>
          <w:color w:val="auto"/>
        </w:rPr>
        <w:t>such Subsidiary Guarantor is the surviving or transferee Person; or</w:t>
      </w:r>
    </w:p>
    <w:p>
      <w:pPr>
        <w:spacing w:after="0" w:line="188" w:lineRule="exact"/>
        <w:rPr>
          <w:rFonts w:ascii="Arial" w:cs="Arial" w:eastAsia="Arial" w:hAnsi="Arial"/>
          <w:sz w:val="20"/>
          <w:szCs w:val="20"/>
          <w:color w:val="auto"/>
        </w:rPr>
      </w:pPr>
    </w:p>
    <w:p>
      <w:pPr>
        <w:jc w:val="both"/>
        <w:ind w:left="1300" w:firstLine="1300"/>
        <w:spacing w:after="0" w:line="220" w:lineRule="auto"/>
        <w:tabs>
          <w:tab w:leader="none" w:pos="3238" w:val="left"/>
        </w:tabs>
        <w:numPr>
          <w:ilvl w:val="2"/>
          <w:numId w:val="274"/>
        </w:numPr>
        <w:rPr>
          <w:rFonts w:ascii="Arial" w:cs="Arial" w:eastAsia="Arial" w:hAnsi="Arial"/>
          <w:sz w:val="20"/>
          <w:szCs w:val="20"/>
          <w:color w:val="auto"/>
        </w:rPr>
      </w:pPr>
      <w:r>
        <w:rPr>
          <w:rFonts w:ascii="Arial" w:cs="Arial" w:eastAsia="Arial" w:hAnsi="Arial"/>
          <w:sz w:val="20"/>
          <w:szCs w:val="20"/>
          <w:color w:val="auto"/>
        </w:rPr>
        <w:t>the Person formed by or surviving any such consolidation or merger (if other than such Subsidiary Guarantor) or the Person to which such sale, assignment, transfer, conveyance, lease or other disposition has been made (if other than such Subsidiary Guarantor) is organized in a Covered Jurisdiction and assumes all the obligations of such Subsidiary Guarantor under this Agreement; or</w:t>
      </w:r>
    </w:p>
    <w:p>
      <w:pPr>
        <w:spacing w:after="0" w:line="155" w:lineRule="exact"/>
        <w:rPr>
          <w:rFonts w:ascii="Arial" w:cs="Arial" w:eastAsia="Arial" w:hAnsi="Arial"/>
          <w:sz w:val="20"/>
          <w:szCs w:val="20"/>
          <w:color w:val="auto"/>
        </w:rPr>
      </w:pPr>
    </w:p>
    <w:p>
      <w:pPr>
        <w:jc w:val="both"/>
        <w:ind w:left="660" w:firstLine="1292"/>
        <w:spacing w:after="0" w:line="220" w:lineRule="auto"/>
        <w:tabs>
          <w:tab w:leader="none" w:pos="2604" w:val="left"/>
        </w:tabs>
        <w:numPr>
          <w:ilvl w:val="1"/>
          <w:numId w:val="274"/>
        </w:numPr>
        <w:rPr>
          <w:rFonts w:ascii="Arial" w:cs="Arial" w:eastAsia="Arial" w:hAnsi="Arial"/>
          <w:sz w:val="20"/>
          <w:szCs w:val="20"/>
          <w:color w:val="auto"/>
        </w:rPr>
      </w:pPr>
      <w:r>
        <w:rPr>
          <w:rFonts w:ascii="Arial" w:cs="Arial" w:eastAsia="Arial" w:hAnsi="Arial"/>
          <w:sz w:val="20"/>
          <w:szCs w:val="20"/>
          <w:color w:val="auto"/>
        </w:rPr>
        <w:t>the transaction constitutes a Disposition (including by way of merger or consolidation) (A) that is not an Asset Sale or is an Asset Sale that is in compliance with Section 6.03 or (B) of such Subsidiary Guarantor or the Disposition of all or substantially all of the assets of such Subsidiary Guarantor that is not an Asset Sale or is an Asset Sale that is in compliance with Section 6.03.</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Notwithstanding the foregoing in this Section 6.11, (i) Holdings and the Borrowers and the Restricted Subsidiaries may</w:t>
      </w:r>
    </w:p>
    <w:p>
      <w:pPr>
        <w:ind w:right="20"/>
        <w:spacing w:after="0" w:line="226" w:lineRule="auto"/>
        <w:rPr>
          <w:sz w:val="20"/>
          <w:szCs w:val="20"/>
          <w:color w:val="auto"/>
        </w:rPr>
      </w:pPr>
      <w:r>
        <w:rPr>
          <w:rFonts w:ascii="Arial" w:cs="Arial" w:eastAsia="Arial" w:hAnsi="Arial"/>
          <w:sz w:val="18"/>
          <w:szCs w:val="18"/>
          <w:color w:val="auto"/>
        </w:rPr>
        <w:t>consummate the Transactions, (ii) Holdings and the Borrowers and the Restricted Subsidiaries may consummate a consolidation or merger the purpose of which is to effect a Permitted Investment or an Investment permitted by 6.04, (iii) any Subsidiary Guarantor may merge or</w:t>
      </w:r>
    </w:p>
    <w:p>
      <w:pPr>
        <w:spacing w:after="0" w:line="224" w:lineRule="auto"/>
        <w:rPr>
          <w:sz w:val="20"/>
          <w:szCs w:val="20"/>
          <w:color w:val="auto"/>
        </w:rPr>
      </w:pPr>
      <w:r>
        <w:rPr>
          <w:rFonts w:ascii="Arial" w:cs="Arial" w:eastAsia="Arial" w:hAnsi="Arial"/>
          <w:sz w:val="19"/>
          <w:szCs w:val="19"/>
          <w:color w:val="auto"/>
        </w:rPr>
        <w:t>consolidate with or into an Affiliate solely for the purpose of reorganizing in another jurisdiction and (iv) any Subsidiary Guarantor may</w:t>
      </w:r>
    </w:p>
    <w:p>
      <w:pPr>
        <w:spacing w:after="0" w:line="220" w:lineRule="auto"/>
        <w:rPr>
          <w:sz w:val="20"/>
          <w:szCs w:val="20"/>
          <w:color w:val="auto"/>
        </w:rPr>
      </w:pPr>
      <w:r>
        <w:rPr>
          <w:rFonts w:ascii="Arial" w:cs="Arial" w:eastAsia="Arial" w:hAnsi="Arial"/>
          <w:sz w:val="20"/>
          <w:szCs w:val="20"/>
          <w:color w:val="auto"/>
        </w:rPr>
        <w:t>liquidate, dissolver or wind up if Holdings determines in good faith that such liquidation, dissolution or conveyance is in the best interest of Holdings and the Restricted Subsidiaries taken as whole.</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6"/>
          <w:szCs w:val="16"/>
          <w:u w:val="single" w:color="auto"/>
          <w:color w:val="auto"/>
        </w:rPr>
        <w:t>Financial Covenant</w:t>
      </w:r>
      <w:r>
        <w:rPr>
          <w:rFonts w:ascii="Arial" w:cs="Arial" w:eastAsia="Arial" w:hAnsi="Arial"/>
          <w:sz w:val="16"/>
          <w:szCs w:val="16"/>
          <w:color w:val="auto"/>
        </w:rPr>
        <w:t>. Holdings and each of the Restricted Subsidiaries covenant and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357" w:lineRule="exact"/>
        <w:rPr>
          <w:sz w:val="20"/>
          <w:szCs w:val="20"/>
          <w:color w:val="auto"/>
        </w:rPr>
      </w:pPr>
    </w:p>
    <w:p>
      <w:pPr>
        <w:jc w:val="both"/>
        <w:ind w:firstLine="1304"/>
        <w:spacing w:after="0" w:line="221" w:lineRule="auto"/>
        <w:tabs>
          <w:tab w:leader="none" w:pos="1934" w:val="left"/>
        </w:tabs>
        <w:numPr>
          <w:ilvl w:val="0"/>
          <w:numId w:val="275"/>
        </w:numPr>
        <w:rPr>
          <w:rFonts w:ascii="Arial" w:cs="Arial" w:eastAsia="Arial" w:hAnsi="Arial"/>
          <w:sz w:val="19"/>
          <w:szCs w:val="19"/>
          <w:color w:val="auto"/>
        </w:rPr>
      </w:pPr>
      <w:r>
        <w:rPr>
          <w:rFonts w:ascii="Arial" w:cs="Arial" w:eastAsia="Arial" w:hAnsi="Arial"/>
          <w:sz w:val="19"/>
          <w:szCs w:val="19"/>
          <w:color w:val="auto"/>
        </w:rPr>
        <w:t>If on the last day of any Test Period (commencing with the first Test Period ending on the last day of the first full fiscal quarter ending after the Closing Date) there are outstanding Revolving Loans, Swingline Loans and Letters of Credit (excluding Letters of Credit to the extent Cash Collateralized or backstopped (whether drawn or undrawn)) in an aggregate principal amount exceeding 30% of the aggregate principal amount of all Revolving Commitments (including any Incremental Revolving Commitments), no Loan Party shall permit the Total Net Leverage Ratio as of the last day of such Test Period to be greater than (x) 5.75 to 1.00 prior to June 30, 2023 and (y) 4.50 to 1.00 on and after June 30, 2023 (in each case, such compliance to be determined on the basis of the financial information most recently delivered to the Administrative Agent pursuant to the Compliance Certificate for such Test Period) (the “</w:t>
      </w: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one occasion prior to the Maturity Date of the Revolving Loans and Revolving Commitments where Holdings or any of its Subsidiaries consummates a Financial Covenant Material Acquisition after the Closing Date, the maximum Total Net Leverage Ratio for each of the next four Test Periods following such Material Acquisition shall be 0.50 to 1.00 higher than the maximum Total Net Leverage Ratio otherwise indicated above for such Test Period.</w:t>
      </w:r>
    </w:p>
    <w:p>
      <w:pPr>
        <w:spacing w:after="0" w:line="176" w:lineRule="exact"/>
        <w:rPr>
          <w:rFonts w:ascii="Arial" w:cs="Arial" w:eastAsia="Arial" w:hAnsi="Arial"/>
          <w:sz w:val="19"/>
          <w:szCs w:val="19"/>
          <w:color w:val="auto"/>
        </w:rPr>
      </w:pPr>
    </w:p>
    <w:p>
      <w:pPr>
        <w:jc w:val="both"/>
        <w:ind w:firstLine="1304"/>
        <w:spacing w:after="0" w:line="220" w:lineRule="auto"/>
        <w:tabs>
          <w:tab w:leader="none" w:pos="1932" w:val="left"/>
        </w:tabs>
        <w:numPr>
          <w:ilvl w:val="0"/>
          <w:numId w:val="275"/>
        </w:numPr>
        <w:rPr>
          <w:rFonts w:ascii="Arial" w:cs="Arial" w:eastAsia="Arial" w:hAnsi="Arial"/>
          <w:sz w:val="20"/>
          <w:szCs w:val="20"/>
          <w:color w:val="auto"/>
        </w:rPr>
      </w:pPr>
      <w:r>
        <w:rPr>
          <w:rFonts w:ascii="Arial" w:cs="Arial" w:eastAsia="Arial" w:hAnsi="Arial"/>
          <w:sz w:val="20"/>
          <w:szCs w:val="20"/>
          <w:color w:val="auto"/>
        </w:rPr>
        <w:t>The provisions of this Section 6.12 are for the benefit of the Revolving Lenders only and the Required Revolving Lenders may amend, waive or otherwise modify this Section 6.12 or the defined terms used in this Section 6.12 (solely in respect of the use of such defined terms in this Section 6.12) or waive any Default or Event of Default resulting from a breach of this Section 6.12 without the consent of any Lenders other than the Required Revolving Lenders.</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VII</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u w:val="single" w:color="auto"/>
          <w:color w:val="auto"/>
        </w:rPr>
        <w:t>Events of Default and Remedies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 on or after the Closing Date:</w:t>
      </w:r>
    </w:p>
    <w:p>
      <w:pPr>
        <w:spacing w:after="0" w:line="175" w:lineRule="exact"/>
        <w:rPr>
          <w:sz w:val="20"/>
          <w:szCs w:val="20"/>
          <w:color w:val="auto"/>
        </w:rPr>
      </w:pPr>
    </w:p>
    <w:p>
      <w:pPr>
        <w:jc w:val="both"/>
        <w:ind w:firstLine="1304"/>
        <w:spacing w:after="0" w:line="223" w:lineRule="auto"/>
        <w:tabs>
          <w:tab w:leader="none" w:pos="1934"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any Borrower shall fail to pay any interest on any Loan or any fee or any other amount (other than an amount referred to in clause (a) of this Section 7.01) payable under this Agreement or any other Loan Document, when and as the same shall become due and payable, and such failure shall continue unremedied for a period of five (5) Business Days;</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4"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or deemed made by or on behalf of Holdings, any Borrower or any other Loan Party in or in connection with this Agreement or any other Loan Document or any amendment or modification hereof or thereof or waiver hereunder or thereunder, or in any certificate, financial statement or other instrument furnished pursuant to or in connection with this Agreement or any other Loan Document or any amendment or modification thereof or waiver thereunder, shall prove to have been incorrect in any material respect (or if such representation, warranty or statement is already qualified by materiality, in any respect) when made or deemed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failure of any representation or warranty made or deemed made by any Loan Party (other than the representations and warranties referred to in Section 4.01(f)) to be true and correct in any material respect on the Closing Date will not constitute an Event of Default and (y) in the case of any representation and/or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357"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that is capable of being cured, there shall be a grace period of 15 days following Holdings’ receipt of a written notice of the inaccuracy of the relevant representation, warranty or certification;</w:t>
      </w:r>
    </w:p>
    <w:p>
      <w:pPr>
        <w:spacing w:after="0" w:line="169" w:lineRule="exact"/>
        <w:rPr>
          <w:sz w:val="20"/>
          <w:szCs w:val="20"/>
          <w:color w:val="auto"/>
        </w:rPr>
      </w:pPr>
    </w:p>
    <w:p>
      <w:pPr>
        <w:jc w:val="both"/>
        <w:ind w:firstLine="1304"/>
        <w:spacing w:after="0" w:line="238" w:lineRule="auto"/>
        <w:tabs>
          <w:tab w:leader="none" w:pos="193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Any Loan Party shall fail to observe or perform any covenant, condition or agreement contained in Section 5.02, Section 5.03 (with respect to the legal existence of Holdings) or in Article VI;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or any Restricted Subsidiary’s failure to comply with the Financial Covenant (a “</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shall not constitute an Event of Default with respect to any Term Loans or Term Loan Commitments unless and until the Required Revolving Lenders have actually terminated the Revolving Commitments and declared all Obligations with respect to their Revolving Commitments to be immediately due and payable pursuant to this Section 7.01 as a result of such failure to comply (and such declaration has not been rescinded as of the applicable date) (the occurrence of such termination and declaration by the Required Revolving Lenders, a “</w:t>
      </w:r>
      <w:r>
        <w:rPr>
          <w:rFonts w:ascii="Arial" w:cs="Arial" w:eastAsia="Arial" w:hAnsi="Arial"/>
          <w:sz w:val="18"/>
          <w:szCs w:val="18"/>
          <w:u w:val="single" w:color="auto"/>
          <w:color w:val="auto"/>
        </w:rPr>
        <w:t>Financial Covenant Cross Default</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1304"/>
        <w:spacing w:after="0" w:line="223" w:lineRule="auto"/>
        <w:tabs>
          <w:tab w:leader="none" w:pos="1934" w:val="left"/>
        </w:tabs>
        <w:numPr>
          <w:ilvl w:val="1"/>
          <w:numId w:val="277"/>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this Agreement (other than those specified in clause (a), (b) or (d) of this Section 7.01) or any other Loan Document, and such failure shall continue unremedied for a period of thirty (30) days after notice thereof from the Administrative Agent to Holdings;</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9" w:val="left"/>
        </w:tabs>
        <w:numPr>
          <w:ilvl w:val="1"/>
          <w:numId w:val="277"/>
        </w:numPr>
        <w:rPr>
          <w:rFonts w:ascii="Arial" w:cs="Arial" w:eastAsia="Arial" w:hAnsi="Arial"/>
          <w:sz w:val="20"/>
          <w:szCs w:val="20"/>
          <w:color w:val="auto"/>
        </w:rPr>
      </w:pPr>
      <w:r>
        <w:rPr>
          <w:rFonts w:ascii="Arial" w:cs="Arial" w:eastAsia="Arial" w:hAnsi="Arial"/>
          <w:sz w:val="20"/>
          <w:szCs w:val="20"/>
          <w:color w:val="auto"/>
        </w:rPr>
        <w:t>Holdings or any Restricted Subsidiary shall fail to make any payment (whether of principal or interest and regardless of amount), in respect to any Material Indebtedness, when and as the same shall become due and payable after giving effect to any cure or grace period;</w:t>
      </w:r>
    </w:p>
    <w:p>
      <w:pPr>
        <w:spacing w:after="0" w:line="168" w:lineRule="exact"/>
        <w:rPr>
          <w:rFonts w:ascii="Arial" w:cs="Arial" w:eastAsia="Arial" w:hAnsi="Arial"/>
          <w:sz w:val="20"/>
          <w:szCs w:val="20"/>
          <w:color w:val="auto"/>
        </w:rPr>
      </w:pPr>
    </w:p>
    <w:p>
      <w:pPr>
        <w:jc w:val="both"/>
        <w:ind w:firstLine="1304"/>
        <w:spacing w:after="0" w:line="234" w:lineRule="auto"/>
        <w:tabs>
          <w:tab w:leader="none" w:pos="193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after the expiration of any applicable grace period provided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(g) shall not apply to (i) secured Indebtedness that becomes due as a result of the voluntary sale or transfer of the property or assets securing such Indebtedness, (ii) any redemption, repurchase, conversion, exchange or settlement with respect to any Convertible Debt Security pursuant to its terms unless such redemption, repurchase, conversion, exchange or settlement results from a default thereunder or an event of the type that constitutes an Event of Default, (iii) any early payment requirement or unwinding or termination with respect to any Swap Agreement (other than any such payment requirement or termination resulting from a default by Holdings or any Restricted Subsidiary), (iv) Indebtedness of any Person whose Equity Interests are being acquired in a Permitted Acquisition and which Indebtedness becomes due because of such Permitted Acquisition or (v) any breach or default that is (x) remedied by Holdings or the applicable Restricted Subsidiary or (y) waived (including in the form of an amendment) by the required holders of the applicable Indebtedness, in either case, prior to the acceleration of Loans pursuant to this Section 7.01;</w:t>
      </w:r>
    </w:p>
    <w:p>
      <w:pPr>
        <w:spacing w:after="0" w:line="157" w:lineRule="exact"/>
        <w:rPr>
          <w:rFonts w:ascii="Arial" w:cs="Arial" w:eastAsia="Arial" w:hAnsi="Arial"/>
          <w:sz w:val="18"/>
          <w:szCs w:val="18"/>
          <w:color w:val="auto"/>
        </w:rPr>
      </w:pPr>
    </w:p>
    <w:p>
      <w:pPr>
        <w:ind w:left="1940" w:hanging="636"/>
        <w:spacing w:after="0"/>
        <w:tabs>
          <w:tab w:leader="none" w:pos="19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 involuntary case or application or proceeding shall be commenced or an involuntary petition shall be filed seeking</w:t>
      </w:r>
    </w:p>
    <w:p>
      <w:pPr>
        <w:spacing w:after="0" w:line="11" w:lineRule="exact"/>
        <w:rPr>
          <w:rFonts w:ascii="Arial" w:cs="Arial" w:eastAsia="Arial" w:hAnsi="Arial"/>
          <w:sz w:val="18"/>
          <w:szCs w:val="18"/>
          <w:color w:val="auto"/>
        </w:rPr>
      </w:pPr>
    </w:p>
    <w:p>
      <w:pPr>
        <w:jc w:val="both"/>
        <w:ind w:firstLine="8"/>
        <w:spacing w:after="0" w:line="212" w:lineRule="auto"/>
        <w:tabs>
          <w:tab w:leader="none" w:pos="242" w:val="left"/>
        </w:tabs>
        <w:numPr>
          <w:ilvl w:val="0"/>
          <w:numId w:val="278"/>
        </w:numPr>
        <w:rPr>
          <w:rFonts w:ascii="Arial" w:cs="Arial" w:eastAsia="Arial" w:hAnsi="Arial"/>
          <w:sz w:val="20"/>
          <w:szCs w:val="20"/>
          <w:color w:val="auto"/>
        </w:rPr>
      </w:pPr>
      <w:r>
        <w:rPr>
          <w:rFonts w:ascii="Arial" w:cs="Arial" w:eastAsia="Arial" w:hAnsi="Arial"/>
          <w:sz w:val="20"/>
          <w:szCs w:val="20"/>
          <w:color w:val="auto"/>
        </w:rPr>
        <w:t>liquidation, reorganization, winding-up, dissolution, examinership, compromise, arrangement or other relief in respect of Holdings or any Material Subsidiary or its debts, or of a substantial part of its assets, under any Federal, state or foreign bankruptcy, insolvency, receivership, examinership or similar law now or hereafter in effect or (ii) the appointment of a receiver, receiver and manager, trustee, custodian, sequestrator, conservator, examiner, liquidator or similar official for Holdings or any Material Subsidiary or for a substantial part of its assets, and, in any such case, such case or application or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petition shall continue undismissed for sixty (60) days or an order or decree approving or ordering any of the foregoing shall be entered;</w:t>
      </w:r>
    </w:p>
    <w:p>
      <w:pPr>
        <w:spacing w:after="0" w:line="198" w:lineRule="exact"/>
        <w:rPr>
          <w:sz w:val="20"/>
          <w:szCs w:val="20"/>
          <w:color w:val="auto"/>
        </w:rPr>
      </w:pPr>
    </w:p>
    <w:p>
      <w:pPr>
        <w:jc w:val="both"/>
        <w:ind w:firstLine="1304"/>
        <w:spacing w:after="0" w:line="223" w:lineRule="auto"/>
        <w:tabs>
          <w:tab w:leader="none" w:pos="1942"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Holdings or any Material Subsidiary shall (i) voluntarily commence any proceeding or file any petition seeking liquidation, reorganization, winding-up, dissolution, examinership, compromise, arrangement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Section 7.01, (iii) apply for or consent to the appointment of a receiver, receiver and manager, trustee, custodian, sequestrator, conservator or similar official for, Holdings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liquidation of any Restricted Subsidiary into another Restricted Subsidiary (so long as any such Restricted Subsidiary that is a Loan Party is liquidated into another Loan Party), other than as part of a credit reorganization, shall not constitute an Event of Default under this clause (i);</w:t>
      </w:r>
    </w:p>
    <w:p>
      <w:pPr>
        <w:spacing w:after="0" w:line="170" w:lineRule="exact"/>
        <w:rPr>
          <w:rFonts w:ascii="Arial" w:cs="Arial" w:eastAsia="Arial" w:hAnsi="Arial"/>
          <w:sz w:val="19"/>
          <w:szCs w:val="19"/>
          <w:color w:val="auto"/>
        </w:rPr>
      </w:pPr>
    </w:p>
    <w:p>
      <w:pPr>
        <w:jc w:val="both"/>
        <w:ind w:firstLine="1304"/>
        <w:spacing w:after="0" w:line="237" w:lineRule="auto"/>
        <w:tabs>
          <w:tab w:leader="none" w:pos="194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one or more judgments for the payment of money in an aggregate amount in excess of the greater of $175,000,000 and 15% of Consolidated EBITDA for the Test Period most recently ended on or prior to the date of such determination (or the equivalent amount in any other currency) shall be rendered against Holdings or any Restricted Subsidiary or any combination thereof and the same shall remain undischarged for a period of sixty (60) consecutive days during which execution shall not be effectively stayed, vacated, discharged or bonded pending appeal;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amount shall be calculated after deducting from the sum so payable any amount of such judgment or order that is covered by a valid and binding policy of insurance in favor of Holdings or such Restricted Subsidiary (but only if the applicable insurer shall have been advised of such judgment and of the intent of Holdings or such Restricted Subsidiary to make a claim in respect of any amount payable by it in connection therewith and such insurer shall not have disputed coverage);</w:t>
      </w:r>
    </w:p>
    <w:p>
      <w:pPr>
        <w:spacing w:after="0" w:line="160" w:lineRule="exact"/>
        <w:rPr>
          <w:rFonts w:ascii="Arial" w:cs="Arial" w:eastAsia="Arial" w:hAnsi="Arial"/>
          <w:sz w:val="18"/>
          <w:szCs w:val="18"/>
          <w:color w:val="auto"/>
        </w:rPr>
      </w:pPr>
    </w:p>
    <w:p>
      <w:pPr>
        <w:ind w:right="20" w:firstLine="1304"/>
        <w:spacing w:after="0" w:line="236" w:lineRule="auto"/>
        <w:tabs>
          <w:tab w:leader="none" w:pos="1932"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w:t>
      </w:r>
    </w:p>
    <w:p>
      <w:pPr>
        <w:spacing w:after="0" w:line="168" w:lineRule="exact"/>
        <w:rPr>
          <w:rFonts w:ascii="Arial" w:cs="Arial" w:eastAsia="Arial" w:hAnsi="Arial"/>
          <w:sz w:val="20"/>
          <w:szCs w:val="20"/>
          <w:color w:val="auto"/>
        </w:rPr>
      </w:pPr>
    </w:p>
    <w:p>
      <w:pPr>
        <w:jc w:val="both"/>
        <w:ind w:firstLine="1304"/>
        <w:spacing w:after="0" w:line="246" w:lineRule="auto"/>
        <w:tabs>
          <w:tab w:leader="none" w:pos="194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a contribution required to be made with respect to a Non-U.S. Plan has not been timely made; or Holdings or any Restricted Subsidiary has incurred any obligation in connection with the termination of, or withdrawal from, any Non-U.S. Plan; (ii) there shall result from any such event or events the imposition of a lien, the granting of a security interest or a liability; and (iii) such lien, security interest or liability, individually, and/or in the aggregate, has had, or could reasonably be expected to have a Material Adverse Effect;</w:t>
      </w:r>
    </w:p>
    <w:p>
      <w:pPr>
        <w:spacing w:after="0" w:line="150" w:lineRule="exact"/>
        <w:rPr>
          <w:rFonts w:ascii="Arial" w:cs="Arial" w:eastAsia="Arial" w:hAnsi="Arial"/>
          <w:sz w:val="18"/>
          <w:szCs w:val="18"/>
          <w:color w:val="auto"/>
        </w:rPr>
      </w:pPr>
    </w:p>
    <w:p>
      <w:pPr>
        <w:jc w:val="both"/>
        <w:ind w:firstLine="1304"/>
        <w:spacing w:after="0" w:line="220" w:lineRule="auto"/>
        <w:tabs>
          <w:tab w:leader="none" w:pos="1933"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any material provision of any Loan Document for any reason ceases to be valid, binding and enforceable in accordance with its terms (or Holdings or any other Loan Party shall challenge the enforceability of any Loan Document or shall assert in writing that any provision of any of the Loan Documents has ceased to be or otherwise is not valid, binding and enforceable in accordance with its terms);</w:t>
      </w:r>
    </w:p>
    <w:p>
      <w:pPr>
        <w:spacing w:after="0" w:line="169" w:lineRule="exact"/>
        <w:rPr>
          <w:rFonts w:ascii="Arial" w:cs="Arial" w:eastAsia="Arial" w:hAnsi="Arial"/>
          <w:sz w:val="20"/>
          <w:szCs w:val="20"/>
          <w:color w:val="auto"/>
        </w:rPr>
      </w:pPr>
    </w:p>
    <w:p>
      <w:pPr>
        <w:jc w:val="both"/>
        <w:ind w:firstLine="1304"/>
        <w:spacing w:after="0" w:line="231" w:lineRule="auto"/>
        <w:tabs>
          <w:tab w:leader="none" w:pos="1932"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any Collateral Document shall for any reason fail to create a valid and perfected first priority (subject to Permitted Liens) security interest in any material portion of the Collateral purported to be covered thereby, except as permitted by the terms of any Loan Document or the Agreed Guarantee and Security Principles, or as a result of any act or omission of the Administrative Agent so long as not resulting from the breach or non-compliance with any Loan Document by any Loan 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357" w:lineRule="exact"/>
        <w:rPr>
          <w:sz w:val="20"/>
          <w:szCs w:val="20"/>
          <w:color w:val="auto"/>
        </w:rPr>
      </w:pPr>
    </w:p>
    <w:p>
      <w:pPr>
        <w:ind w:left="1940" w:hanging="636"/>
        <w:spacing w:after="0"/>
        <w:tabs>
          <w:tab w:leader="none" w:pos="194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A Change of Control shall occur;</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then, and in every such event (other than an event with respect to Holdings or any Borrower described in clause (h) or (i) of this Section 7.01), and at any time thereafter during the continuance of such event, the Administrative Agent may, and, at the request of the Required</w:t>
      </w:r>
    </w:p>
    <w:p>
      <w:pPr>
        <w:jc w:val="both"/>
        <w:spacing w:after="0" w:line="226" w:lineRule="auto"/>
        <w:rPr>
          <w:sz w:val="20"/>
          <w:szCs w:val="20"/>
          <w:color w:val="auto"/>
        </w:rPr>
      </w:pPr>
      <w:r>
        <w:rPr>
          <w:rFonts w:ascii="Arial" w:cs="Arial" w:eastAsia="Arial" w:hAnsi="Arial"/>
          <w:sz w:val="18"/>
          <w:szCs w:val="18"/>
          <w:color w:val="auto"/>
        </w:rPr>
        <w:t>Lenders, shall, by notice to the Borrowers, (I) declare the Revolving Commitments of each Revolving Lender and any obligation of the Issuing Banks to issue, amend, renew or extend any Letter of Credit and the Swingline Lender to make Swingline Loans to be terminated,</w:t>
      </w:r>
    </w:p>
    <w:p>
      <w:pPr>
        <w:spacing w:after="0" w:line="236" w:lineRule="auto"/>
        <w:rPr>
          <w:sz w:val="20"/>
          <w:szCs w:val="20"/>
          <w:color w:val="auto"/>
        </w:rPr>
      </w:pPr>
      <w:r>
        <w:rPr>
          <w:rFonts w:ascii="Arial" w:cs="Arial" w:eastAsia="Arial" w:hAnsi="Arial"/>
          <w:sz w:val="18"/>
          <w:szCs w:val="18"/>
          <w:color w:val="auto"/>
        </w:rPr>
        <w:t>whereupon such Revolving Commitments and obligation will be terminated, (II) declare the Loans then outstanding to be due and payable in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whole (or in part, in which case any principal not so declared to be due and payable may thereafter be declared to be due and payable), and thereupon the principal of the Loans so declared to be due and payable, together with accrued interest thereon and all fees and other Secured</w:t>
      </w:r>
    </w:p>
    <w:p>
      <w:pPr>
        <w:spacing w:after="0" w:line="235" w:lineRule="auto"/>
        <w:rPr>
          <w:sz w:val="20"/>
          <w:szCs w:val="20"/>
          <w:color w:val="auto"/>
        </w:rPr>
      </w:pPr>
      <w:r>
        <w:rPr>
          <w:rFonts w:ascii="Arial" w:cs="Arial" w:eastAsia="Arial" w:hAnsi="Arial"/>
          <w:sz w:val="18"/>
          <w:szCs w:val="18"/>
          <w:color w:val="auto"/>
        </w:rPr>
        <w:t>Obligations accrued hereunder and under the other Loan Documents, shall become due and payable immediately, without presentment,</w:t>
      </w:r>
    </w:p>
    <w:p>
      <w:pPr>
        <w:spacing w:after="0" w:line="226" w:lineRule="auto"/>
        <w:rPr>
          <w:sz w:val="20"/>
          <w:szCs w:val="20"/>
          <w:color w:val="auto"/>
        </w:rPr>
      </w:pPr>
      <w:r>
        <w:rPr>
          <w:rFonts w:ascii="Arial" w:cs="Arial" w:eastAsia="Arial" w:hAnsi="Arial"/>
          <w:sz w:val="18"/>
          <w:szCs w:val="18"/>
          <w:color w:val="auto"/>
        </w:rPr>
        <w:t>demand, protest or other notice of any kind, all of which are hereby waived by each Borrower and each Guarantor and (III) require the Revolving Borrowers to Cash Collateralize the then outstanding Letters of Credit (in an amount in cash equal to 102% of the Dollar Amount</w:t>
      </w:r>
    </w:p>
    <w:p>
      <w:pPr>
        <w:spacing w:after="0" w:line="236" w:lineRule="auto"/>
        <w:rPr>
          <w:sz w:val="20"/>
          <w:szCs w:val="20"/>
          <w:color w:val="auto"/>
        </w:rPr>
      </w:pPr>
      <w:r>
        <w:rPr>
          <w:rFonts w:ascii="Arial" w:cs="Arial" w:eastAsia="Arial" w:hAnsi="Arial"/>
          <w:sz w:val="18"/>
          <w:szCs w:val="18"/>
          <w:color w:val="auto"/>
        </w:rPr>
        <w:t>of the LC Exposure as of such date plus any accrued and unpaid interest thereon); and in case of any event with respect to Holdings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described in clause (h) or (i) of this Section 7.01, (I) the Revolving Commitments of each Revolving Lender and any obligation of the Issuing Banks to issue Letters of Credit and any obligation of the Swingline Lender to make Swingline Loans will automatically</w:t>
      </w:r>
    </w:p>
    <w:p>
      <w:pPr>
        <w:spacing w:after="0" w:line="236" w:lineRule="auto"/>
        <w:rPr>
          <w:sz w:val="20"/>
          <w:szCs w:val="20"/>
          <w:color w:val="auto"/>
        </w:rPr>
      </w:pPr>
      <w:r>
        <w:rPr>
          <w:rFonts w:ascii="Arial" w:cs="Arial" w:eastAsia="Arial" w:hAnsi="Arial"/>
          <w:sz w:val="18"/>
          <w:szCs w:val="18"/>
          <w:color w:val="auto"/>
        </w:rPr>
        <w:t>terminate, (II) the principal of the Loans then outstanding, together with accrued interest thereon and all fees and other Secured Obligations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accrued hereunder and under the other Loan Documents, shall automatically become due and payable, without presentment, demand, protest or other notice of any kind, all of which are hereby waived by each Borrower and each Guarantor and (III) the obligation of the Revolving</w:t>
      </w:r>
    </w:p>
    <w:p>
      <w:pPr>
        <w:spacing w:after="0" w:line="223" w:lineRule="auto"/>
        <w:rPr>
          <w:sz w:val="20"/>
          <w:szCs w:val="20"/>
          <w:color w:val="auto"/>
        </w:rPr>
      </w:pPr>
      <w:r>
        <w:rPr>
          <w:rFonts w:ascii="Arial" w:cs="Arial" w:eastAsia="Arial" w:hAnsi="Arial"/>
          <w:sz w:val="19"/>
          <w:szCs w:val="19"/>
          <w:color w:val="auto"/>
        </w:rPr>
        <w:t xml:space="preserve">Borrowers to Cash Collateralize the Letters of Credit as aforesaid will automatically become 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w:t>
      </w:r>
    </w:p>
    <w:p>
      <w:pPr>
        <w:spacing w:after="0" w:line="226" w:lineRule="auto"/>
        <w:rPr>
          <w:sz w:val="20"/>
          <w:szCs w:val="20"/>
          <w:color w:val="auto"/>
        </w:rPr>
      </w:pPr>
      <w:r>
        <w:rPr>
          <w:rFonts w:ascii="Arial" w:cs="Arial" w:eastAsia="Arial" w:hAnsi="Arial"/>
          <w:sz w:val="18"/>
          <w:szCs w:val="18"/>
          <w:color w:val="auto"/>
        </w:rPr>
        <w:t>anything to the contrary, if the only Events of Default then having occurred and continuing are pursuant to a Financial Covenant Event of Default, then, unless a Financial Covenant Cross Default has occurred and is continuing, the Administrative Agent shall only take the actions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this Section 7.01 at the request (or with the consent) of the Required Revolving Lenders (as opposed to the Required Lenders) and</w:t>
      </w:r>
    </w:p>
    <w:p>
      <w:pPr>
        <w:spacing w:after="0" w:line="1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only with respect to the Revolving Commitments, Revolving Loans, Letters of Credit, Swingline Loans and obligations of the Revolving Lenders. Upon the occurrence and during the continuance of an Event of Default, the Administrative Agent may, and at the request of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Required Lenders shall, exercise any rights and remedies provided to the Administrative Agent under the Loan Documents or at law or equity, including all remedies provided under the UCC.</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8"/>
          <w:szCs w:val="18"/>
          <w:u w:val="single" w:color="auto"/>
          <w:color w:val="auto"/>
        </w:rPr>
        <w:t>Borrowers’ Right to Cure</w:t>
      </w:r>
      <w:r>
        <w:rPr>
          <w:rFonts w:ascii="Arial" w:cs="Arial" w:eastAsia="Arial" w:hAnsi="Arial"/>
          <w:sz w:val="18"/>
          <w:szCs w:val="18"/>
          <w:color w:val="auto"/>
        </w:rPr>
        <w:t>. Notwithstanding anything to the contrary contained in Section 7.01:</w:t>
      </w:r>
    </w:p>
    <w:p>
      <w:pPr>
        <w:spacing w:after="0" w:line="189" w:lineRule="exact"/>
        <w:rPr>
          <w:sz w:val="20"/>
          <w:szCs w:val="20"/>
          <w:color w:val="auto"/>
        </w:rPr>
      </w:pPr>
    </w:p>
    <w:p>
      <w:pPr>
        <w:jc w:val="both"/>
        <w:ind w:firstLine="980"/>
        <w:spacing w:after="0" w:line="235" w:lineRule="auto"/>
        <w:tabs>
          <w:tab w:leader="none" w:pos="12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the purpose of determining whether an Event of Default under the Financial Covenant has occurred, Holdings may on one or more occasions designate any portion of the net cash proceeds from a sale or issuance of Qualified Equity Interests of Holdings or any contribution to the common capital of Holdings (or from any other contribution to capital or sale or issuance of any other Equity Interests) (the “</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as an increase to Consolidated EBITDA for the applicable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amounts to be designated are actually received by Holdings on or after the first day of such applicable fiscal quarter and on or prior to the twentieth (20th) Business Day after the date on which financial statements are required to be delivered with respect to such applicable fiscal quarter (the “</w:t>
      </w:r>
      <w:r>
        <w:rPr>
          <w:rFonts w:ascii="Arial" w:cs="Arial" w:eastAsia="Arial" w:hAnsi="Arial"/>
          <w:sz w:val="18"/>
          <w:szCs w:val="18"/>
          <w:u w:val="single" w:color="auto"/>
          <w:color w:val="auto"/>
        </w:rPr>
        <w:t>Cure Expiration Date</w:t>
      </w:r>
      <w:r>
        <w:rPr>
          <w:rFonts w:ascii="Arial" w:cs="Arial" w:eastAsia="Arial" w:hAnsi="Arial"/>
          <w:sz w:val="18"/>
          <w:szCs w:val="18"/>
          <w:color w:val="auto"/>
        </w:rPr>
        <w:t>”), (ii) such amounts do not exceed the aggregate amount necessary to cure any Event of Default under the Financial Covenant as of such date and (iii) the Revolving Borrowers shall have provided notice to the Administrative Agent on the date such amounts are designated as a “Cure Amount” (it being understood that to the extent any such notice is provided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 a Compliance Certificate for the applicable period, the amount of such net cash proceeds that is designated as the Cure Amount may be different than the amount necessary to cure any Event of Default under the Financial Covenant and may be modified, as necessary, in a</w:t>
      </w:r>
    </w:p>
    <w:p>
      <w:pPr>
        <w:spacing w:after="0"/>
        <w:rPr>
          <w:sz w:val="20"/>
          <w:szCs w:val="20"/>
          <w:color w:val="auto"/>
        </w:rPr>
      </w:pPr>
      <w:r>
        <w:rPr>
          <w:rFonts w:ascii="Arial" w:cs="Arial" w:eastAsia="Arial" w:hAnsi="Arial"/>
          <w:sz w:val="16"/>
          <w:szCs w:val="16"/>
          <w:color w:val="auto"/>
        </w:rPr>
        <w:t>subsequent corrected notice delivered on or before the Cure Expiration Date (it being understood that in any event the final designation of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Cure Amount shall continue to be subject to the requirements set forth in clauses (i) and (ii) above)). The Cure Amount used to calculate Consolidated EBITDA for one fiscal quarter shall be used and included when calculating Consolidated EBITDA for each Test Period that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includes such fiscal quarter.</w:t>
      </w:r>
    </w:p>
    <w:p>
      <w:pPr>
        <w:spacing w:after="0" w:line="173" w:lineRule="exact"/>
        <w:rPr>
          <w:sz w:val="20"/>
          <w:szCs w:val="20"/>
          <w:color w:val="auto"/>
        </w:rPr>
      </w:pPr>
    </w:p>
    <w:p>
      <w:pPr>
        <w:jc w:val="both"/>
        <w:ind w:firstLine="980"/>
        <w:spacing w:after="0" w:line="226" w:lineRule="auto"/>
        <w:tabs>
          <w:tab w:leader="none" w:pos="128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parties hereby acknowledge that this Section 7.02 may not be relied on for purposes of calculating any financial ratios other than for determining actual compliance with Section 6.12 (and not Pro Forma Basis with Section 6.12 that is required by any other provision of this Agreement) and shall not result in any adjustment to any amounts (including the amount of Indebtedness) or increase in cash (and shall not be included for purposes of determining pricing, mandatory prepayments and the availability or amount permitted pursuant to any covenant under Article VI) with respect to the fiscal quarter with respect to which such Cure Amount was made other than the amount of the Consolidated EBITDA referred to in Section 7.02(a).</w:t>
      </w:r>
    </w:p>
    <w:p>
      <w:pPr>
        <w:spacing w:after="0" w:line="169" w:lineRule="exact"/>
        <w:rPr>
          <w:rFonts w:ascii="Arial" w:cs="Arial" w:eastAsia="Arial" w:hAnsi="Arial"/>
          <w:sz w:val="19"/>
          <w:szCs w:val="19"/>
          <w:color w:val="auto"/>
        </w:rPr>
      </w:pPr>
    </w:p>
    <w:p>
      <w:pPr>
        <w:jc w:val="both"/>
        <w:ind w:firstLine="980"/>
        <w:spacing w:after="0" w:line="221" w:lineRule="auto"/>
        <w:tabs>
          <w:tab w:leader="none" w:pos="1286" w:val="left"/>
        </w:tabs>
        <w:numPr>
          <w:ilvl w:val="0"/>
          <w:numId w:val="282"/>
        </w:numPr>
        <w:rPr>
          <w:rFonts w:ascii="Arial" w:cs="Arial" w:eastAsia="Arial" w:hAnsi="Arial"/>
          <w:sz w:val="19"/>
          <w:szCs w:val="19"/>
          <w:color w:val="auto"/>
        </w:rPr>
      </w:pPr>
      <w:r>
        <w:rPr>
          <w:rFonts w:ascii="Arial" w:cs="Arial" w:eastAsia="Arial" w:hAnsi="Arial"/>
          <w:sz w:val="19"/>
          <w:szCs w:val="19"/>
          <w:color w:val="auto"/>
        </w:rPr>
        <w:t>In furtherance of clause (a) above, (A) upon actual receipt and designation of the Cure Amount by one or more Borrowers, the Financial Covenant shall be deemed satisfied and complied with as of the end of the relevant fiscal quarter with the same effect as though there had been no failure to comply with the Financial Covenant and any Event of Default under the Financial Covenant shall be deemed not to have occurred for purposes of the Loan Documents, and (B) upon delivery to the Administrative Agent prior to the Cure Expiration Date of a notice from Holdings stating its good faith intention to exercise its right set forth in this Section 7.02, neither the Administrative Agent nor any Lender may exercise any rights or remedies under Section 7.01 (or under any other Loan Document) on the basis of any actual or purported Event of Default under the Financial Covenant until and unless the Cure Expiration Date has occurred without the Cure Amount having been received and designated. Notwithstanding the foregoing, after the occurrence of an Event of Default under the Financial Covenant, the Revolving Borrowers shall not be able to request the making of any Revolving Loan or the issuance of any Letter of Credit under the Revolving Commitments during the period from the date on which the financial statements in respect of the applicable fiscal quarter or fiscal year are required to be delivered pursuant to Section 5.01(a) or (b) until receipt by one or more Borrowers of the Cure Amount or waiver of the Event of Default.</w:t>
      </w:r>
    </w:p>
    <w:p>
      <w:pPr>
        <w:spacing w:after="0" w:line="177" w:lineRule="exact"/>
        <w:rPr>
          <w:rFonts w:ascii="Arial" w:cs="Arial" w:eastAsia="Arial" w:hAnsi="Arial"/>
          <w:sz w:val="19"/>
          <w:szCs w:val="19"/>
          <w:color w:val="auto"/>
        </w:rPr>
      </w:pPr>
    </w:p>
    <w:p>
      <w:pPr>
        <w:jc w:val="both"/>
        <w:ind w:firstLine="980"/>
        <w:spacing w:after="0" w:line="252" w:lineRule="auto"/>
        <w:tabs>
          <w:tab w:leader="none" w:pos="128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(i) In each period of four (4) consecutive fiscal quarters, there shall be at least two consecutive (2) fiscal quarters in which no cure right set forth in this Section 7.02 is exercised and (ii) there shall be no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reduction in Indebtedness with the Cure Amount for determining compliance with the Financial Covenant for the fiscal quarter with respect to which such Cure Amount was made.</w:t>
      </w:r>
    </w:p>
    <w:p>
      <w:pPr>
        <w:spacing w:after="0" w:line="157" w:lineRule="exact"/>
        <w:rPr>
          <w:rFonts w:ascii="Arial" w:cs="Arial" w:eastAsia="Arial" w:hAnsi="Arial"/>
          <w:sz w:val="18"/>
          <w:szCs w:val="18"/>
          <w:color w:val="auto"/>
        </w:rPr>
      </w:pPr>
    </w:p>
    <w:p>
      <w:pPr>
        <w:ind w:firstLine="980"/>
        <w:spacing w:after="0" w:line="229" w:lineRule="auto"/>
        <w:tabs>
          <w:tab w:leader="none" w:pos="1286"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There can be no more than five (5) fiscal quarters in which the cure rights set forth in this Section 7.02 are exercised during the term of the Revolving Commitments and any Extended Revolving Commitments in respect thereof.</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VIII</w:t>
      </w:r>
    </w:p>
    <w:p>
      <w:pPr>
        <w:spacing w:after="0" w:line="162"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The Agents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The Agents</w:t>
      </w:r>
      <w:r>
        <w:rPr>
          <w:rFonts w:ascii="Arial" w:cs="Arial" w:eastAsia="Arial" w:hAnsi="Arial"/>
          <w:sz w:val="16"/>
          <w:szCs w:val="16"/>
          <w:color w:val="auto"/>
        </w:rPr>
        <w:t>.</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Each of the Lenders and the Issuing Banks hereby irrevocably appoints Citibank, N.A. as its administrative agent and authorizes Citibank, N.A. to take such actions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including execution of the other Loan Documents, and to exercise such powers as are delegated to the Administrative Agent by the terms of the Loan Documents, together with such actions and powers as are reasonably incidental thereto, and Citibank, N.A. hereby accepts such</w:t>
      </w:r>
    </w:p>
    <w:p>
      <w:pPr>
        <w:spacing w:after="0"/>
        <w:rPr>
          <w:sz w:val="20"/>
          <w:szCs w:val="20"/>
          <w:color w:val="auto"/>
        </w:rPr>
      </w:pPr>
      <w:r>
        <w:rPr>
          <w:rFonts w:ascii="Arial" w:cs="Arial" w:eastAsia="Arial" w:hAnsi="Arial"/>
          <w:sz w:val="20"/>
          <w:szCs w:val="20"/>
          <w:color w:val="auto"/>
        </w:rPr>
        <w:t>appointment.</w:t>
      </w:r>
    </w:p>
    <w:p>
      <w:pPr>
        <w:spacing w:after="0" w:line="146"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Citibank, N.A., London Branch or an Affiliate or designee thereof shall act as the Collateral Agent under the Loan Documents (for purposes of this Section 8.01 and Sections 9.03 and 2.17, the Administrative Agent and the Collateral Agent shall be</w:t>
      </w:r>
    </w:p>
    <w:p>
      <w:pPr>
        <w:spacing w:after="0" w:line="226" w:lineRule="auto"/>
        <w:rPr>
          <w:sz w:val="20"/>
          <w:szCs w:val="20"/>
          <w:color w:val="auto"/>
        </w:rPr>
      </w:pPr>
      <w:r>
        <w:rPr>
          <w:rFonts w:ascii="Arial" w:cs="Arial" w:eastAsia="Arial" w:hAnsi="Arial"/>
          <w:sz w:val="18"/>
          <w:szCs w:val="18"/>
          <w:color w:val="auto"/>
        </w:rPr>
        <w:t>collectively referred to as the “</w:t>
      </w:r>
      <w:r>
        <w:rPr>
          <w:rFonts w:ascii="Arial" w:cs="Arial" w:eastAsia="Arial" w:hAnsi="Arial"/>
          <w:sz w:val="18"/>
          <w:szCs w:val="18"/>
          <w:u w:val="single" w:color="auto"/>
          <w:color w:val="auto"/>
        </w:rPr>
        <w:t>Agents</w:t>
      </w:r>
      <w:r>
        <w:rPr>
          <w:rFonts w:ascii="Arial" w:cs="Arial" w:eastAsia="Arial" w:hAnsi="Arial"/>
          <w:sz w:val="18"/>
          <w:szCs w:val="18"/>
          <w:color w:val="auto"/>
        </w:rPr>
        <w:t>”), and each of the Lenders and the Issuing Banks hereby irrevocably appoints and authorizes Citibank, N.A. (and Citibank, N.A., London Branch hereby accepts such appointment) and each such Affiliate and designee to act as the agent of such</w:t>
      </w:r>
    </w:p>
    <w:p>
      <w:pPr>
        <w:spacing w:after="0" w:line="236" w:lineRule="auto"/>
        <w:rPr>
          <w:sz w:val="20"/>
          <w:szCs w:val="20"/>
          <w:color w:val="auto"/>
        </w:rPr>
      </w:pPr>
      <w:r>
        <w:rPr>
          <w:rFonts w:ascii="Arial" w:cs="Arial" w:eastAsia="Arial" w:hAnsi="Arial"/>
          <w:sz w:val="18"/>
          <w:szCs w:val="18"/>
          <w:color w:val="auto"/>
        </w:rPr>
        <w:t>Lender and Issuing Bank for purposes of acquiring, holding and enforcing any and all Liens on Collateral granted by any of the Loan Parties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secure any of the Secured Obligations, together with such powers and discretion as are reasonably incidental thereto. In this connection, any co-agents, sub-agents and attorneys-in-fact appointed by the Collateral Agent pursuant to this Section 8.01 for purposes of holding or</w:t>
      </w:r>
    </w:p>
    <w:p>
      <w:pPr>
        <w:spacing w:after="0" w:line="224" w:lineRule="auto"/>
        <w:rPr>
          <w:sz w:val="20"/>
          <w:szCs w:val="20"/>
          <w:color w:val="auto"/>
        </w:rPr>
      </w:pPr>
      <w:r>
        <w:rPr>
          <w:rFonts w:ascii="Arial" w:cs="Arial" w:eastAsia="Arial" w:hAnsi="Arial"/>
          <w:sz w:val="19"/>
          <w:szCs w:val="19"/>
          <w:color w:val="auto"/>
        </w:rPr>
        <w:t>enforcing any Lien on the Collateral (or any portion thereof) granted under the Collateral Documents, or for exercising any rights and</w:t>
      </w:r>
    </w:p>
    <w:p>
      <w:pPr>
        <w:spacing w:after="0" w:line="226" w:lineRule="auto"/>
        <w:rPr>
          <w:sz w:val="20"/>
          <w:szCs w:val="20"/>
          <w:color w:val="auto"/>
        </w:rPr>
      </w:pPr>
      <w:r>
        <w:rPr>
          <w:rFonts w:ascii="Arial" w:cs="Arial" w:eastAsia="Arial" w:hAnsi="Arial"/>
          <w:sz w:val="18"/>
          <w:szCs w:val="18"/>
          <w:color w:val="auto"/>
        </w:rPr>
        <w:t>remedies thereunder at the direction of the Administrative Agent, shall be entitled to the benefits of all provisions of this Section 8.01 and Article IX (including Section 9.03), as though such co-agents, sub-agents and attorneys-in-fact were the Collateral Agent under the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Documents as if set forth in full herein with respect thereto.</w:t>
      </w:r>
    </w:p>
    <w:p>
      <w:pPr>
        <w:spacing w:after="0" w:line="14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auto"/>
        </w:rPr>
        <w:t>Except as otherwise provided in this Section 8.01, the provisions of this Article are solely for the benefit of the Agents and the Lenders, and the Borrowers shall not have rights as third-party beneficiaries of any of such provisions.</w:t>
      </w:r>
    </w:p>
    <w:p>
      <w:pPr>
        <w:spacing w:after="0" w:line="142"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The banks serving as the Agents hereunder shall have the same rights and powers in their capacity as Lenders as any other Lender and may exercise the same as though they were not an Agent, and such banks and their Affiliates may accept deposits from, lend</w:t>
      </w:r>
    </w:p>
    <w:p>
      <w:pPr>
        <w:spacing w:after="0" w:line="220" w:lineRule="auto"/>
        <w:rPr>
          <w:sz w:val="20"/>
          <w:szCs w:val="20"/>
          <w:color w:val="auto"/>
        </w:rPr>
      </w:pPr>
      <w:r>
        <w:rPr>
          <w:rFonts w:ascii="Arial" w:cs="Arial" w:eastAsia="Arial" w:hAnsi="Arial"/>
          <w:sz w:val="20"/>
          <w:szCs w:val="20"/>
          <w:color w:val="auto"/>
        </w:rPr>
        <w:t>money to and generally engage in any kind of business with Holdings or any Subsidiary or other Affiliate thereof as if they were not an Agent hereunder.</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Agents shall not have any duties or obligations except those expressly set forth in the Loan Documents to which such Agent is a party. Without limiting the generality of the foregoing, (a) the Agents shall not be subject to any fiduciary or other implied duties, regardless</w:t>
      </w:r>
    </w:p>
    <w:p>
      <w:pPr>
        <w:spacing w:after="0" w:line="235" w:lineRule="auto"/>
        <w:rPr>
          <w:sz w:val="20"/>
          <w:szCs w:val="20"/>
          <w:color w:val="auto"/>
        </w:rPr>
      </w:pPr>
      <w:r>
        <w:rPr>
          <w:rFonts w:ascii="Arial" w:cs="Arial" w:eastAsia="Arial" w:hAnsi="Arial"/>
          <w:sz w:val="18"/>
          <w:szCs w:val="18"/>
          <w:color w:val="auto"/>
        </w:rPr>
        <w:t>of whether a Default has occurred and is continuing, (b) the Agents shall not have any duty to take any discretionary action or exercise any</w:t>
      </w:r>
    </w:p>
    <w:p>
      <w:pPr>
        <w:spacing w:after="0" w:line="226" w:lineRule="auto"/>
        <w:rPr>
          <w:sz w:val="20"/>
          <w:szCs w:val="20"/>
          <w:color w:val="auto"/>
        </w:rPr>
      </w:pPr>
      <w:r>
        <w:rPr>
          <w:rFonts w:ascii="Arial" w:cs="Arial" w:eastAsia="Arial" w:hAnsi="Arial"/>
          <w:sz w:val="18"/>
          <w:szCs w:val="18"/>
          <w:color w:val="auto"/>
        </w:rPr>
        <w:t>discretionary powers including, without limitation, the timing and methods of realization of the Collateral, except discretionary rights and powers expressly contemplated by the Loan Documents that the respective Agent is required to exercise in writing as directed (i) in the case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Collateral Agent, by the Administrative Agent (acting at the direction of the Required Lenders) or (ii) in the case of the Administrative Agent, by the Required Lenders (or such other number or percentage of the Lenders as shall be necessary under the circumstances as</w:t>
      </w:r>
    </w:p>
    <w:p>
      <w:pPr>
        <w:spacing w:after="0" w:line="236" w:lineRule="auto"/>
        <w:rPr>
          <w:sz w:val="20"/>
          <w:szCs w:val="20"/>
          <w:color w:val="auto"/>
        </w:rPr>
      </w:pPr>
      <w:r>
        <w:rPr>
          <w:rFonts w:ascii="Arial" w:cs="Arial" w:eastAsia="Arial" w:hAnsi="Arial"/>
          <w:sz w:val="18"/>
          <w:szCs w:val="18"/>
          <w:color w:val="auto"/>
        </w:rPr>
        <w:t>provided in Section 9.02), and no Agent shall be required to take any action or omit to take any action (including disclosing information)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its reasonable opinion or the opinion of its counsel, may expose it to liability, be contrary to any Loan Document or constitute a breach of any Law (including, but not limited to, any Law of England and Wales and the United States), and (c) except as expressly set forth in the</w:t>
      </w:r>
    </w:p>
    <w:p>
      <w:pPr>
        <w:spacing w:after="0" w:line="236" w:lineRule="auto"/>
        <w:rPr>
          <w:sz w:val="20"/>
          <w:szCs w:val="20"/>
          <w:color w:val="auto"/>
        </w:rPr>
      </w:pPr>
      <w:r>
        <w:rPr>
          <w:rFonts w:ascii="Arial" w:cs="Arial" w:eastAsia="Arial" w:hAnsi="Arial"/>
          <w:sz w:val="18"/>
          <w:szCs w:val="18"/>
          <w:color w:val="auto"/>
        </w:rPr>
        <w:t>Loan Documents, the Agents shall not have any duty to disclose, and shall not be liable for the failure to disclose, any information relating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Holdings or any of its Subsidiaries that is communicated to or obtained by any bank serving as an Agent or any of its Affiliates in any capacity. The Agents shall not be liable for any action taken or not taken by them with the consent or at the request of (i) in the case of the</w:t>
      </w:r>
    </w:p>
    <w:p>
      <w:pPr>
        <w:spacing w:after="0" w:line="236" w:lineRule="auto"/>
        <w:rPr>
          <w:sz w:val="20"/>
          <w:szCs w:val="20"/>
          <w:color w:val="auto"/>
        </w:rPr>
      </w:pPr>
      <w:r>
        <w:rPr>
          <w:rFonts w:ascii="Arial" w:cs="Arial" w:eastAsia="Arial" w:hAnsi="Arial"/>
          <w:sz w:val="18"/>
          <w:szCs w:val="18"/>
          <w:color w:val="auto"/>
        </w:rPr>
        <w:t>Collateral Agent, the Administrative Agent (acting at the direction of the Required Lenders) or (ii) in the case of the Administrative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Required Lenders (or in each case, such other number or percentage of the Lenders as shall be necessary under the circumstances as provided in Section 9.02 or elsewhere in the Loan Documents) or in the absence of its own gross negligence or willful misconduct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determined by a court of competent jurisdiction by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judgment. The Agents shall be deemed not to have knowledge of any Default unless and until written notice thereof is given to the respective Agent by Holdings, a Borrower or a Lender, and no Agent shall be responsible for or have any duty to ascertain or inquire into (i) any recital,</w:t>
      </w:r>
    </w:p>
    <w:p>
      <w:pPr>
        <w:spacing w:after="0" w:line="235" w:lineRule="auto"/>
        <w:rPr>
          <w:sz w:val="20"/>
          <w:szCs w:val="20"/>
          <w:color w:val="auto"/>
        </w:rPr>
      </w:pPr>
      <w:r>
        <w:rPr>
          <w:rFonts w:ascii="Arial" w:cs="Arial" w:eastAsia="Arial" w:hAnsi="Arial"/>
          <w:sz w:val="18"/>
          <w:szCs w:val="18"/>
          <w:color w:val="auto"/>
        </w:rPr>
        <w:t>statement, warranty or representation made in or in connection with any Loan Document, (ii) the contents or accuracy of any certificate,</w:t>
      </w:r>
    </w:p>
    <w:p>
      <w:pPr>
        <w:jc w:val="both"/>
        <w:spacing w:after="0" w:line="226" w:lineRule="auto"/>
        <w:rPr>
          <w:sz w:val="20"/>
          <w:szCs w:val="20"/>
          <w:color w:val="auto"/>
        </w:rPr>
      </w:pPr>
      <w:r>
        <w:rPr>
          <w:rFonts w:ascii="Arial" w:cs="Arial" w:eastAsia="Arial" w:hAnsi="Arial"/>
          <w:sz w:val="18"/>
          <w:szCs w:val="18"/>
          <w:color w:val="auto"/>
        </w:rPr>
        <w:t>report or other document delivered hereunder or in connection with any Loan Document, (iii) the performance or observance of any of the covenants, agreements or other terms or conditions set forth in any Loan Document, (iv) the legality, validity, enforceability, effectiveness,</w:t>
      </w:r>
    </w:p>
    <w:p>
      <w:pPr>
        <w:spacing w:after="0" w:line="236" w:lineRule="auto"/>
        <w:rPr>
          <w:sz w:val="20"/>
          <w:szCs w:val="20"/>
          <w:color w:val="auto"/>
        </w:rPr>
      </w:pPr>
      <w:r>
        <w:rPr>
          <w:rFonts w:ascii="Arial" w:cs="Arial" w:eastAsia="Arial" w:hAnsi="Arial"/>
          <w:sz w:val="18"/>
          <w:szCs w:val="18"/>
          <w:color w:val="auto"/>
        </w:rPr>
        <w:t>genuineness or sufficiency of any Loan Document, the Collateral or any other agreement, instrument or document, (v) the creation, validity,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perfection, priority or enforceability of Liens on the Collateral or the existence, genuineness, sufficiency or value of the Collateral, (vi) the satisfaction of any condition set forth in Article IV or elsewhere in any Loan Document, other than to confirm receipt of items expressly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required to be delivered to such Agent or (vii) the properties, books or records of the Borrowers.</w:t>
      </w:r>
    </w:p>
    <w:p>
      <w:pPr>
        <w:spacing w:after="0" w:line="20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The Agents shall not be required to expend or risk any of its own funds or otherwise incur any liability, financial or otherwise, in the performance of any of its duties hereunder or under any Loan Document to which it is a party, or be required to take any</w:t>
      </w:r>
    </w:p>
    <w:p>
      <w:pPr>
        <w:spacing w:after="0"/>
        <w:rPr>
          <w:sz w:val="20"/>
          <w:szCs w:val="20"/>
          <w:color w:val="auto"/>
        </w:rPr>
      </w:pPr>
      <w:r>
        <w:rPr>
          <w:rFonts w:ascii="Arial" w:cs="Arial" w:eastAsia="Arial" w:hAnsi="Arial"/>
          <w:sz w:val="20"/>
          <w:szCs w:val="20"/>
          <w:color w:val="auto"/>
        </w:rPr>
        <w:t>action that is contrary to this Agreement or applicable Law.</w:t>
      </w:r>
    </w:p>
    <w:p>
      <w:pPr>
        <w:spacing w:after="0" w:line="146"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The Agents shall not be responsible for insuring the Collateral or for the payment of Taxes, charges, assessments or Liens upon the Collateral or otherwise as to the maintenance of the Collateral; nor shall any Agent have any duty to see to the payment or discharge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any tax, assessment or other governmental charge relating to the Collateral or any lien or encumbrance of any kind with respect to the Collateral.</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The Agents shall be entitled to rely upon, and shall not incur any liability for relying upon, any notice, request, certificate, consent, statement, instrument, document or other writing believed by them to be genuine and to have been signed or sent by the proper</w:t>
      </w:r>
    </w:p>
    <w:p>
      <w:pPr>
        <w:spacing w:after="0" w:line="235" w:lineRule="auto"/>
        <w:rPr>
          <w:sz w:val="20"/>
          <w:szCs w:val="20"/>
          <w:color w:val="auto"/>
        </w:rPr>
      </w:pPr>
      <w:r>
        <w:rPr>
          <w:rFonts w:ascii="Arial" w:cs="Arial" w:eastAsia="Arial" w:hAnsi="Arial"/>
          <w:sz w:val="18"/>
          <w:szCs w:val="18"/>
          <w:color w:val="auto"/>
        </w:rPr>
        <w:t>Person. The Agents also may rely upon any statement made to them orally or by telephone and believed by them to be made by the proper</w:t>
      </w:r>
    </w:p>
    <w:p>
      <w:pPr>
        <w:spacing w:after="0" w:line="226" w:lineRule="auto"/>
        <w:rPr>
          <w:sz w:val="20"/>
          <w:szCs w:val="20"/>
          <w:color w:val="auto"/>
        </w:rPr>
      </w:pPr>
      <w:r>
        <w:rPr>
          <w:rFonts w:ascii="Arial" w:cs="Arial" w:eastAsia="Arial" w:hAnsi="Arial"/>
          <w:sz w:val="18"/>
          <w:szCs w:val="18"/>
          <w:color w:val="auto"/>
        </w:rPr>
        <w:t>Person, and shall not incur any liability for relying thereon. The Agents may consult with legal counsel (who may be counsel for Holdings, the Subsidiary Guarantors or the Borrowers), independent accountants and other experts selected by them, and shall not be liable for any</w:t>
      </w:r>
    </w:p>
    <w:p>
      <w:pPr>
        <w:spacing w:after="0" w:line="236" w:lineRule="auto"/>
        <w:rPr>
          <w:sz w:val="20"/>
          <w:szCs w:val="20"/>
          <w:color w:val="auto"/>
        </w:rPr>
      </w:pPr>
      <w:r>
        <w:rPr>
          <w:rFonts w:ascii="Arial" w:cs="Arial" w:eastAsia="Arial" w:hAnsi="Arial"/>
          <w:sz w:val="18"/>
          <w:szCs w:val="18"/>
          <w:color w:val="auto"/>
        </w:rPr>
        <w:t>action taken or not taken by them in accordance with the advice of any such counsel, accountants or experts. Notwithstanding anything else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contrary herein, each Agent may refrain from acting in accordance with any instructions or requests given by the Lenders (or, in the case of the Collateral Agent, given by the Administrative Agent at the direction of the Lenders) unless it shall first be indemnified to its</w:t>
      </w:r>
    </w:p>
    <w:p>
      <w:pPr>
        <w:spacing w:after="0" w:line="236" w:lineRule="auto"/>
        <w:rPr>
          <w:sz w:val="20"/>
          <w:szCs w:val="20"/>
          <w:color w:val="auto"/>
        </w:rPr>
      </w:pPr>
      <w:r>
        <w:rPr>
          <w:rFonts w:ascii="Arial" w:cs="Arial" w:eastAsia="Arial" w:hAnsi="Arial"/>
          <w:sz w:val="18"/>
          <w:szCs w:val="18"/>
          <w:color w:val="auto"/>
        </w:rPr>
        <w:t>satisfaction by the Lenders against any and all liability, cost and expense that may be incurred by it by reason of taking or continuing to take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such action in compliance with the instruction or request. Each Agent shall in all cases be fully protected in acting, or in refraining from acting, under this Agreement and the other Loan Documents in accordance with a request of the Required Lenders (or, as applicable in the</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case of the Collateral Agent, given by the Administrative Agent at the direction of the Lenders), and such request and any action taken or failure to act pursuant thereto shall be binding upon the Lenders and all future Lenders.</w:t>
      </w:r>
    </w:p>
    <w:p>
      <w:pPr>
        <w:spacing w:after="0" w:line="156"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The Agents may perform any and all their duties and exercise their rights and powers by or through any one or more sub-agents appointed by the respective Agent. The Agents and any such sub-agent may perform any and all their duties and exercise its rights and</w:t>
      </w:r>
    </w:p>
    <w:p>
      <w:pPr>
        <w:spacing w:after="0" w:line="236" w:lineRule="auto"/>
        <w:rPr>
          <w:sz w:val="20"/>
          <w:szCs w:val="20"/>
          <w:color w:val="auto"/>
        </w:rPr>
      </w:pPr>
      <w:r>
        <w:rPr>
          <w:rFonts w:ascii="Arial" w:cs="Arial" w:eastAsia="Arial" w:hAnsi="Arial"/>
          <w:sz w:val="18"/>
          <w:szCs w:val="18"/>
          <w:color w:val="auto"/>
        </w:rPr>
        <w:t>powers through their respective Related Parties. The exculpatory provisions of the preceding paragraphs shall apply to any such sub-agent</w:t>
      </w:r>
    </w:p>
    <w:p>
      <w:pPr>
        <w:spacing w:after="0" w:line="226" w:lineRule="auto"/>
        <w:rPr>
          <w:sz w:val="20"/>
          <w:szCs w:val="20"/>
          <w:color w:val="auto"/>
        </w:rPr>
      </w:pPr>
      <w:r>
        <w:rPr>
          <w:rFonts w:ascii="Arial" w:cs="Arial" w:eastAsia="Arial" w:hAnsi="Arial"/>
          <w:sz w:val="18"/>
          <w:szCs w:val="18"/>
          <w:color w:val="auto"/>
        </w:rPr>
        <w:t>and to the Related Parties of the Agents and any such sub-agent, and shall apply to their respective activities in connection with the syndication of the credit facilities provided for herein as well as activities as an Agent. The Agents shall not be responsible for the negligence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or misconduct of any sub-agent that it selects in the absence of gross negligence or willful misconduct by the Agents, as determined in a final and non-appealable judgment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357"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The Agents shall not incur any liability for not performing any act or fulfilling any duty, obligation or responsibility hereunder by reason of any occurrence beyond the control of the Agents (including but not limited to any act or provision of any present or</w:t>
      </w:r>
    </w:p>
    <w:p>
      <w:pPr>
        <w:spacing w:after="0" w:line="227" w:lineRule="auto"/>
        <w:rPr>
          <w:sz w:val="20"/>
          <w:szCs w:val="20"/>
          <w:color w:val="auto"/>
        </w:rPr>
      </w:pPr>
      <w:r>
        <w:rPr>
          <w:rFonts w:ascii="Arial" w:cs="Arial" w:eastAsia="Arial" w:hAnsi="Arial"/>
          <w:sz w:val="20"/>
          <w:szCs w:val="20"/>
          <w:color w:val="auto"/>
        </w:rPr>
        <w:t>future Law, any act of God or war, civil unrest, local or national disturbance or disaster, any act of terrorism, or the unavailability of the Federal Reserve Bank wire or facsimile or other wire or communication facility).</w:t>
      </w:r>
    </w:p>
    <w:p>
      <w:pPr>
        <w:spacing w:after="0" w:line="143"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The Agents shall not be obligated to carry out any particular “know your customer” or other checks on behalf of any Secured Party or otherwise.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The Agents may refrain without liability from doing anything that they determine, in reliance upon advice of legal counsel,</w:t>
      </w:r>
    </w:p>
    <w:p>
      <w:pPr>
        <w:spacing w:after="0" w:line="226" w:lineRule="auto"/>
        <w:rPr>
          <w:sz w:val="20"/>
          <w:szCs w:val="20"/>
          <w:color w:val="auto"/>
        </w:rPr>
      </w:pPr>
      <w:r>
        <w:rPr>
          <w:rFonts w:ascii="Arial" w:cs="Arial" w:eastAsia="Arial" w:hAnsi="Arial"/>
          <w:sz w:val="18"/>
          <w:szCs w:val="18"/>
          <w:color w:val="auto"/>
        </w:rPr>
        <w:t>would or might be contrary to any applicable Law (including but not limited to the Laws of the United States of America or any jurisdiction forming a part of it and of England and Wales) or any directive or regulation of any agency of any such state or jurisdiction and may without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liability do anything which is, in its opinion in reliance upon the advice of legal counsel, necessary to comply with any such Law.</w:t>
      </w:r>
    </w:p>
    <w:p>
      <w:pPr>
        <w:spacing w:after="0" w:line="14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the Issuing Banks and the Borrowers. Any such resignation by the</w:t>
      </w:r>
    </w:p>
    <w:p>
      <w:pPr>
        <w:spacing w:after="0" w:line="226" w:lineRule="auto"/>
        <w:rPr>
          <w:sz w:val="20"/>
          <w:szCs w:val="20"/>
          <w:color w:val="auto"/>
        </w:rPr>
      </w:pPr>
      <w:r>
        <w:rPr>
          <w:rFonts w:ascii="Arial" w:cs="Arial" w:eastAsia="Arial" w:hAnsi="Arial"/>
          <w:sz w:val="18"/>
          <w:szCs w:val="18"/>
          <w:color w:val="auto"/>
        </w:rPr>
        <w:t>Administrative Agent hereunder shall also constitute its resignation as an Issuing Bank and the Swingline Lender, as applicable, in which case the resigning Administrative Agent (x) shall not be required to issue any further Letters of Credit or make any additional Swingline</w:t>
      </w:r>
    </w:p>
    <w:p>
      <w:pPr>
        <w:spacing w:after="0" w:line="236" w:lineRule="auto"/>
        <w:rPr>
          <w:sz w:val="20"/>
          <w:szCs w:val="20"/>
          <w:color w:val="auto"/>
        </w:rPr>
      </w:pPr>
      <w:r>
        <w:rPr>
          <w:rFonts w:ascii="Arial" w:cs="Arial" w:eastAsia="Arial" w:hAnsi="Arial"/>
          <w:sz w:val="18"/>
          <w:szCs w:val="18"/>
          <w:color w:val="auto"/>
        </w:rPr>
        <w:t>Loans hereunder and (y) shall maintain all of its rights as Issuing Bank or Swingline Lender, as the case may be, with respect to any Letters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Credit issued by it, or Swingline Loans made by it, prior to the date of such resignation. Upon any such resignation, the Required Lenders shall have the right (with the consent of the Borrowers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w:t>
      </w:r>
    </w:p>
    <w:p>
      <w:pPr>
        <w:spacing w:after="0" w:line="236" w:lineRule="auto"/>
        <w:rPr>
          <w:sz w:val="20"/>
          <w:szCs w:val="20"/>
          <w:color w:val="auto"/>
        </w:rPr>
      </w:pPr>
      <w:r>
        <w:rPr>
          <w:rFonts w:ascii="Arial" w:cs="Arial" w:eastAsia="Arial" w:hAnsi="Arial"/>
          <w:sz w:val="18"/>
          <w:szCs w:val="18"/>
          <w:color w:val="auto"/>
        </w:rPr>
        <w:t>of the Borrowers shall be required if an Event of Default under clause (a), (b), (h), (i) or (j) of Section 7.01 has occurred and is continuing) to</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appoint a successor. If no successor shall have been so appointed by the Required Lenders and shall have accepted such appointment within thirty (30) days after the retiring Administrative Agent gives notice of its resignation, then the retiring Administrative Agent may, on behalf</w:t>
      </w:r>
    </w:p>
    <w:p>
      <w:pPr>
        <w:spacing w:after="0" w:line="235" w:lineRule="auto"/>
        <w:rPr>
          <w:sz w:val="20"/>
          <w:szCs w:val="20"/>
          <w:color w:val="auto"/>
        </w:rPr>
      </w:pPr>
      <w:r>
        <w:rPr>
          <w:rFonts w:ascii="Arial" w:cs="Arial" w:eastAsia="Arial" w:hAnsi="Arial"/>
          <w:sz w:val="18"/>
          <w:szCs w:val="18"/>
          <w:color w:val="auto"/>
        </w:rPr>
        <w:t>of the Lenders and the Issuing Banks, appoint a successor Administrative Agent which shall be a bank with an office in New York, New</w:t>
      </w:r>
    </w:p>
    <w:p>
      <w:pPr>
        <w:spacing w:after="0" w:line="255" w:lineRule="auto"/>
        <w:rPr>
          <w:sz w:val="20"/>
          <w:szCs w:val="20"/>
          <w:color w:val="auto"/>
        </w:rPr>
      </w:pPr>
      <w:r>
        <w:rPr>
          <w:rFonts w:ascii="Arial" w:cs="Arial" w:eastAsia="Arial" w:hAnsi="Arial"/>
          <w:sz w:val="16"/>
          <w:szCs w:val="16"/>
          <w:color w:val="auto"/>
        </w:rPr>
        <w:t>York, or an Affiliate of any such bank (or another financial institution acceptable to Holdings). Upon the acceptance of its appointment as Administrative Agent hereunder by a successor, such successor shall succeed to and become vested with all the rights, powers, privileges and</w:t>
      </w:r>
    </w:p>
    <w:p>
      <w:pPr>
        <w:spacing w:after="0" w:line="223" w:lineRule="auto"/>
        <w:rPr>
          <w:sz w:val="20"/>
          <w:szCs w:val="20"/>
          <w:color w:val="auto"/>
        </w:rPr>
      </w:pPr>
      <w:r>
        <w:rPr>
          <w:rFonts w:ascii="Arial" w:cs="Arial" w:eastAsia="Arial" w:hAnsi="Arial"/>
          <w:sz w:val="19"/>
          <w:szCs w:val="19"/>
          <w:color w:val="auto"/>
        </w:rPr>
        <w:t>duties of the retiring Administrative Agent, and the retiring Administrative Agent shall be discharged from its duties and obligations</w:t>
      </w:r>
    </w:p>
    <w:p>
      <w:pPr>
        <w:spacing w:after="0" w:line="255" w:lineRule="auto"/>
        <w:rPr>
          <w:sz w:val="20"/>
          <w:szCs w:val="20"/>
          <w:color w:val="auto"/>
        </w:rPr>
      </w:pPr>
      <w:r>
        <w:rPr>
          <w:rFonts w:ascii="Arial" w:cs="Arial" w:eastAsia="Arial" w:hAnsi="Arial"/>
          <w:sz w:val="16"/>
          <w:szCs w:val="16"/>
          <w:color w:val="auto"/>
        </w:rPr>
        <w:t>hereunder. The fees payable by the Borrowers to a successor Administrative Agent shall be the same as those payable to its predecessor unless otherwise agreed between the Borrowers and such successor. After the Administrative Agent’s resignation hereunder, the provisions of</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Section 8.01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47"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Subject to the appointment and acceptance of a successor Collateral Agent as provided in this paragraph, the Collateral Agent may resign at any time by notifying the Lenders and the Borrowers. Upon any such resignation, the Required Lenders shall have the</w:t>
      </w:r>
    </w:p>
    <w:p>
      <w:pPr>
        <w:spacing w:after="0" w:line="222" w:lineRule="auto"/>
        <w:rPr>
          <w:sz w:val="20"/>
          <w:szCs w:val="20"/>
          <w:color w:val="auto"/>
        </w:rPr>
      </w:pPr>
      <w:r>
        <w:rPr>
          <w:rFonts w:ascii="Arial" w:cs="Arial" w:eastAsia="Arial" w:hAnsi="Arial"/>
          <w:sz w:val="19"/>
          <w:szCs w:val="19"/>
          <w:color w:val="auto"/>
        </w:rPr>
        <w:t xml:space="preserve">right (with the consent of the Borrowers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Borrowers shall be required if an Event of Default under clause (a), (b), (h), (i) or (j) of Section 7.01 has occurred and is continuing) to appoint a successor. If no successor shall have been so appointed by the Required Lenders and shall have accepted such appointment within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thirty (30) days after the retiring Collateral Agent gives notice of its resignation, then the retiring Collateral Agent may, on behalf of the Lenders, appoint a successor Collateral Agent which shall be a bank with an office in New York, New York, or an Affiliate of any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178</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Upon the acceptance of its appointment as Collateral Agent hereunder by a successor, such successor shall succeed to and become vested with all the rights, powers, privileges and duties of the retiring Collateral Agent, and the retiring Collateral Agent shall be discharged from its</w:t>
      </w:r>
    </w:p>
    <w:p>
      <w:pPr>
        <w:spacing w:after="0"/>
        <w:rPr>
          <w:sz w:val="20"/>
          <w:szCs w:val="20"/>
          <w:color w:val="auto"/>
        </w:rPr>
      </w:pPr>
      <w:r>
        <w:rPr>
          <w:rFonts w:ascii="Arial" w:cs="Arial" w:eastAsia="Arial" w:hAnsi="Arial"/>
          <w:sz w:val="16"/>
          <w:szCs w:val="16"/>
          <w:color w:val="auto"/>
        </w:rPr>
        <w:t>duties and obligations hereunder. The fees payable by the Borrowers to a successor Collateral Agent shall be the same as those payable to its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predecessor unless otherwise agreed between the Borrowers and such successor. After the Collateral Agent’s resignation hereunder, the provisions of this Section 8.01 and Section 9.03 shall continue in effect for the benefit of such retiring Collateral Agent, its sub-agents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their respective Related Parties in respect of any actions taken or omitted to be taken by any of them while it was acting as Collateral Agent.</w:t>
      </w:r>
    </w:p>
    <w:p>
      <w:pPr>
        <w:spacing w:after="0" w:line="169" w:lineRule="exact"/>
        <w:rPr>
          <w:sz w:val="20"/>
          <w:szCs w:val="20"/>
          <w:color w:val="auto"/>
        </w:rPr>
      </w:pPr>
    </w:p>
    <w:p>
      <w:pPr>
        <w:ind w:firstLine="1296"/>
        <w:spacing w:after="0" w:line="274" w:lineRule="auto"/>
        <w:rPr>
          <w:sz w:val="20"/>
          <w:szCs w:val="20"/>
          <w:color w:val="auto"/>
        </w:rPr>
      </w:pPr>
      <w:r>
        <w:rPr>
          <w:rFonts w:ascii="Arial" w:cs="Arial" w:eastAsia="Arial" w:hAnsi="Arial"/>
          <w:sz w:val="16"/>
          <w:szCs w:val="16"/>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Lender also acknowledges that it will, independently and without reliance upon the Agents or any other Lender and based on such documents and information as it shall from time to time deem appropriate, continue to make its own decisions in taking or not taking action under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based upon this Agreement, any other Loan Document or any related agreement or any document furnished hereunder or thereunder.</w:t>
      </w:r>
    </w:p>
    <w:p>
      <w:pPr>
        <w:spacing w:after="0" w:line="16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None of the Lenders, if any, identified in this Agreement as a Lead Arranger shall have any right, power, obligation, liability, responsibility or duty under this Agreement other than those applicable to all Lenders as such. Without limiting the foregoing, none of such</w:t>
      </w:r>
    </w:p>
    <w:p>
      <w:pPr>
        <w:spacing w:after="0" w:line="226" w:lineRule="auto"/>
        <w:rPr>
          <w:sz w:val="20"/>
          <w:szCs w:val="20"/>
          <w:color w:val="auto"/>
        </w:rPr>
      </w:pPr>
      <w:r>
        <w:rPr>
          <w:rFonts w:ascii="Arial" w:cs="Arial" w:eastAsia="Arial" w:hAnsi="Arial"/>
          <w:sz w:val="18"/>
          <w:szCs w:val="18"/>
          <w:color w:val="auto"/>
        </w:rPr>
        <w:t>Lenders shall have or be deemed to have a fiduciary relationship with any Lender. Each Lender hereby makes the same acknowledgments with respect to the relevant Lenders in their respective capacities as a Lead Arranger as it makes with respect to the Agents in the preceding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paragraph.</w:t>
      </w:r>
    </w:p>
    <w:p>
      <w:pPr>
        <w:spacing w:after="0" w:line="14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Agents) authorized to act for, any other Lender. The Agents shall have the exclusive right on behalf</w:t>
      </w:r>
    </w:p>
    <w:p>
      <w:pPr>
        <w:spacing w:after="0" w:line="220" w:lineRule="auto"/>
        <w:rPr>
          <w:sz w:val="20"/>
          <w:szCs w:val="20"/>
          <w:color w:val="auto"/>
        </w:rPr>
      </w:pPr>
      <w:r>
        <w:rPr>
          <w:rFonts w:ascii="Arial" w:cs="Arial" w:eastAsia="Arial" w:hAnsi="Arial"/>
          <w:sz w:val="20"/>
          <w:szCs w:val="20"/>
          <w:color w:val="auto"/>
        </w:rPr>
        <w:t>of the Lenders to enforce the payment of the principal of and interest on any Loan after the date such principal or interest has become due and payable pursuant to the terms of this Agreement.</w:t>
      </w:r>
    </w:p>
    <w:p>
      <w:pPr>
        <w:spacing w:after="0" w:line="156"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In their respective capacities, the Agents are “representatives” of the Secured Parties within the meaning of the term “secured party” as defined in the UCC. Each Lender authorizes the Agents to enter into each of the Collateral Documents to which it is a party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related documents in connection therewith and to take all action contemplated by such documents. Each Lender agrees that no Secured Party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than the Agents) shall have the right individually to seek to realize upon the security granted by any Collateral Document, it being understood and agreed that such rights and remedies may be exercised solely by the Agents for the benefit of the Secured Parties upon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terms of the Collateral Documents. In the event that any Collateral is hereafter pledged by any Person as collateral security for the Secured Obligations, the Agents are hereby authorized, and hereby granted a power of attorney, to execute and deliver on behalf of the Secured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Parties any Loan Documents necessary or appropriate to grant and perfect a Lien on such Collateral in favor of the Collateral Agent on behalf</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of the Secured Parties. The Lenders hereby authorize the Collateral Agent to release or, as applicable, subordinate any Lien granted to or held by the Collateral Agent upon any Collateral and to enter into non-disturbance or similar agreements, in each case, to the extent and in the</w:t>
      </w:r>
    </w:p>
    <w:p>
      <w:pPr>
        <w:spacing w:after="0" w:line="235" w:lineRule="auto"/>
        <w:rPr>
          <w:sz w:val="20"/>
          <w:szCs w:val="20"/>
          <w:color w:val="auto"/>
        </w:rPr>
      </w:pPr>
      <w:r>
        <w:rPr>
          <w:rFonts w:ascii="Arial" w:cs="Arial" w:eastAsia="Arial" w:hAnsi="Arial"/>
          <w:sz w:val="18"/>
          <w:szCs w:val="18"/>
          <w:color w:val="auto"/>
        </w:rPr>
        <w:t>circumstances described in Section 9.13. Upon request by the Collateral Agent at any time, the Lenders will confirm in writing the Collateral</w:t>
      </w:r>
    </w:p>
    <w:p>
      <w:pPr>
        <w:spacing w:after="0" w:line="220" w:lineRule="auto"/>
        <w:rPr>
          <w:sz w:val="20"/>
          <w:szCs w:val="20"/>
          <w:color w:val="auto"/>
        </w:rPr>
      </w:pPr>
      <w:r>
        <w:rPr>
          <w:rFonts w:ascii="Arial" w:cs="Arial" w:eastAsia="Arial" w:hAnsi="Arial"/>
          <w:sz w:val="20"/>
          <w:szCs w:val="20"/>
          <w:color w:val="auto"/>
        </w:rPr>
        <w:t>Agent’s authority to release or subordinate particular types or items of Collateral and enter into non-disturbance or similar agreements pursuant hereto.</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The Administrative Agent and the Collateral Agent are authorized to (and at the request of the Borrowers will) enter into any Intercreditor Agreement (and any amendments, amendments and restatements, restatements or waivers of or supplements to or other</w:t>
      </w:r>
    </w:p>
    <w:p>
      <w:pPr>
        <w:spacing w:after="0"/>
        <w:rPr>
          <w:sz w:val="20"/>
          <w:szCs w:val="20"/>
          <w:color w:val="auto"/>
        </w:rPr>
      </w:pPr>
      <w:r>
        <w:rPr>
          <w:rFonts w:ascii="Arial" w:cs="Arial" w:eastAsia="Arial" w:hAnsi="Arial"/>
          <w:sz w:val="20"/>
          <w:szCs w:val="20"/>
          <w:color w:val="auto"/>
        </w:rPr>
        <w:t>modifications to, and extensions, restructuring, renewals, replacements of, such agreements)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179</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connection with the incurrence by any Loan Party of any Permitted Junior Secured Refinancing Debt, Permitted Pari Passu Secured Refinancing Debt, Alternative Incremental Facility Indebtedness, Permitted Refinancing Indebtedness or Indebtedness incurred pursuant to</w:t>
      </w:r>
    </w:p>
    <w:p>
      <w:pPr>
        <w:spacing w:after="0" w:line="235" w:lineRule="auto"/>
        <w:rPr>
          <w:sz w:val="20"/>
          <w:szCs w:val="20"/>
          <w:color w:val="auto"/>
        </w:rPr>
      </w:pPr>
      <w:r>
        <w:rPr>
          <w:rFonts w:ascii="Arial" w:cs="Arial" w:eastAsia="Arial" w:hAnsi="Arial"/>
          <w:sz w:val="18"/>
          <w:szCs w:val="18"/>
          <w:color w:val="auto"/>
        </w:rPr>
        <w:t>clauses (1) and (2) of the proviso set forth in Section 6.01(a) with respect thereto, or any other Indebtedness permitted by the terms of this</w:t>
      </w:r>
    </w:p>
    <w:p>
      <w:pPr>
        <w:ind w:right="20"/>
        <w:spacing w:after="0" w:line="226" w:lineRule="auto"/>
        <w:rPr>
          <w:sz w:val="20"/>
          <w:szCs w:val="20"/>
          <w:color w:val="auto"/>
        </w:rPr>
      </w:pPr>
      <w:r>
        <w:rPr>
          <w:rFonts w:ascii="Arial" w:cs="Arial" w:eastAsia="Arial" w:hAnsi="Arial"/>
          <w:sz w:val="18"/>
          <w:szCs w:val="18"/>
          <w:color w:val="auto"/>
        </w:rPr>
        <w:t xml:space="preserve">Agreement to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priority secured basis, in each case in order to permit such Indebtedness to be secured by a valid, perfected Lien (with such priority as may be designated by Holdings or relevant Restricted Subsidiary, to the extent</w:t>
      </w:r>
    </w:p>
    <w:p>
      <w:pPr>
        <w:spacing w:after="0" w:line="236" w:lineRule="auto"/>
        <w:rPr>
          <w:sz w:val="20"/>
          <w:szCs w:val="20"/>
          <w:color w:val="auto"/>
        </w:rPr>
      </w:pPr>
      <w:r>
        <w:rPr>
          <w:rFonts w:ascii="Arial" w:cs="Arial" w:eastAsia="Arial" w:hAnsi="Arial"/>
          <w:sz w:val="18"/>
          <w:szCs w:val="18"/>
          <w:color w:val="auto"/>
        </w:rPr>
        <w:t>such priority is permitted by the Loan Documents), and the parties hereto acknowledge that each Intercreditor Agreement is (if entered into)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binding upon them. Each Lender (a) understands, acknowledges and agrees that Liens may be created on the Collateral pursuant to the documentation relating to any Indebtedness incurred as permitted by this Agreement which is (in accordance with the terms hereof) to be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secured thereby, on a </w:t>
      </w:r>
      <w:r>
        <w:rPr>
          <w:rFonts w:ascii="Arial" w:cs="Arial" w:eastAsia="Arial" w:hAnsi="Arial"/>
          <w:sz w:val="16"/>
          <w:szCs w:val="16"/>
          <w:i w:val="1"/>
          <w:iCs w:val="1"/>
          <w:color w:val="auto"/>
        </w:rPr>
        <w:t>pari passu</w:t>
      </w:r>
      <w:r>
        <w:rPr>
          <w:rFonts w:ascii="Arial" w:cs="Arial" w:eastAsia="Arial" w:hAnsi="Arial"/>
          <w:sz w:val="16"/>
          <w:szCs w:val="16"/>
          <w:color w:val="auto"/>
        </w:rPr>
        <w:t>, or junior, secured basis to the Liens securing the Secured Obligations, which Liens securing any such other Indebtedness shall be subject to the terms and conditions of the relevant Intercreditor Agreement executed and delivered as required hereby,</w:t>
      </w:r>
    </w:p>
    <w:p>
      <w:pPr>
        <w:spacing w:after="0" w:line="1" w:lineRule="exact"/>
        <w:rPr>
          <w:sz w:val="20"/>
          <w:szCs w:val="20"/>
          <w:color w:val="auto"/>
        </w:rPr>
      </w:pPr>
    </w:p>
    <w:p>
      <w:pPr>
        <w:jc w:val="both"/>
        <w:ind w:firstLine="8"/>
        <w:spacing w:after="0" w:line="223" w:lineRule="auto"/>
        <w:tabs>
          <w:tab w:leader="none" w:pos="297" w:val="left"/>
        </w:tabs>
        <w:numPr>
          <w:ilvl w:val="0"/>
          <w:numId w:val="283"/>
        </w:numPr>
        <w:rPr>
          <w:rFonts w:ascii="Arial" w:cs="Arial" w:eastAsia="Arial" w:hAnsi="Arial"/>
          <w:sz w:val="19"/>
          <w:szCs w:val="19"/>
          <w:color w:val="auto"/>
        </w:rPr>
      </w:pPr>
      <w:r>
        <w:rPr>
          <w:rFonts w:ascii="Arial" w:cs="Arial" w:eastAsia="Arial" w:hAnsi="Arial"/>
          <w:sz w:val="19"/>
          <w:szCs w:val="19"/>
          <w:color w:val="auto"/>
        </w:rPr>
        <w:t>hereby agrees that it will be bound by and will take no actions contrary to the provisions of the respective Intercreditor Agreement (if entered into) and (c)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secured Indebtedness as contemplated above, in order to permit such Indebtedness to be secured by a valid, perfected Lien (with such priority as may be designated by the Applicable Borrower or relevant Restricted Subsidiary, to the extent such priority is permitted by the Loan Documents), and to subject the Liens on the Collateral securing the Secured Obligations to the provisions thereof.</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6"/>
          <w:szCs w:val="16"/>
          <w:u w:val="single" w:color="auto"/>
          <w:color w:val="auto"/>
        </w:rPr>
        <w:t>Erroneous Payments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3" w:lineRule="auto"/>
        <w:tabs>
          <w:tab w:leader="none" w:pos="193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1" w:lineRule="exact"/>
        <w:rPr>
          <w:rFonts w:ascii="Arial" w:cs="Arial" w:eastAsia="Arial" w:hAnsi="Arial"/>
          <w:sz w:val="18"/>
          <w:szCs w:val="18"/>
          <w:color w:val="auto"/>
        </w:rPr>
      </w:pPr>
    </w:p>
    <w:p>
      <w:pPr>
        <w:ind w:firstLine="1304"/>
        <w:spacing w:after="0" w:line="236" w:lineRule="auto"/>
        <w:tabs>
          <w:tab w:leader="none" w:pos="1932" w:val="left"/>
        </w:tabs>
        <w:numPr>
          <w:ilvl w:val="0"/>
          <w:numId w:val="284"/>
        </w:numPr>
        <w:rPr>
          <w:rFonts w:ascii="Arial" w:cs="Arial" w:eastAsia="Arial" w:hAnsi="Arial"/>
          <w:sz w:val="20"/>
          <w:szCs w:val="20"/>
          <w:color w:val="auto"/>
        </w:rPr>
      </w:pPr>
      <w:r>
        <w:rPr>
          <w:rFonts w:ascii="Arial" w:cs="Arial" w:eastAsia="Arial" w:hAnsi="Arial"/>
          <w:sz w:val="20"/>
          <w:szCs w:val="20"/>
          <w:color w:val="auto"/>
        </w:rPr>
        <w:t>Without limiting immediately preceding clause (a), each Lender, Issuing Bank or Secured Party, or any Person who has received funds on behalf of a Lender,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or Secured Party such Lender or Issuing Bank, hereby further agrees that if it receives a payment, prepayment or repayment (whether received as a payment, prepayment or repayment of principal, interest, fees, distribution or otherwise) from the Administrative Agent (or any</w:t>
      </w:r>
    </w:p>
    <w:p>
      <w:pPr>
        <w:spacing w:after="0" w:line="222" w:lineRule="auto"/>
        <w:rPr>
          <w:sz w:val="20"/>
          <w:szCs w:val="20"/>
          <w:color w:val="auto"/>
        </w:rPr>
      </w:pPr>
      <w:r>
        <w:rPr>
          <w:rFonts w:ascii="Arial" w:cs="Arial" w:eastAsia="Arial" w:hAnsi="Arial"/>
          <w:sz w:val="19"/>
          <w:szCs w:val="19"/>
          <w:color w:val="auto"/>
        </w:rPr>
        <w:t>of its Affiliates) (x) that is in a different amount than, or on a different date from, that specified in a notice of payment, prepayment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spacing w:after="0" w:line="2" w:lineRule="exact"/>
        <w:rPr>
          <w:sz w:val="20"/>
          <w:szCs w:val="20"/>
          <w:color w:val="auto"/>
        </w:rPr>
      </w:pPr>
    </w:p>
    <w:p>
      <w:pPr>
        <w:ind w:right="20" w:firstLine="8"/>
        <w:spacing w:after="0" w:line="227" w:lineRule="auto"/>
        <w:tabs>
          <w:tab w:leader="none" w:pos="277"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that such Lender, Issuing Bank or Secured Party, or other such recipient, otherwise becomes aware was transmitted, or received, in error or by mistake (in whole or in part) in each case:</w:t>
      </w:r>
    </w:p>
    <w:p>
      <w:pPr>
        <w:spacing w:after="0" w:line="156" w:lineRule="exact"/>
        <w:rPr>
          <w:rFonts w:ascii="Arial" w:cs="Arial" w:eastAsia="Arial" w:hAnsi="Arial"/>
          <w:sz w:val="20"/>
          <w:szCs w:val="20"/>
          <w:color w:val="auto"/>
        </w:rPr>
      </w:pPr>
    </w:p>
    <w:p>
      <w:pPr>
        <w:jc w:val="both"/>
        <w:ind w:left="660" w:firstLine="1292"/>
        <w:spacing w:after="0" w:line="239" w:lineRule="auto"/>
        <w:tabs>
          <w:tab w:leader="none" w:pos="2602" w:val="left"/>
        </w:tabs>
        <w:numPr>
          <w:ilvl w:val="2"/>
          <w:numId w:val="285"/>
        </w:numPr>
        <w:rPr>
          <w:rFonts w:ascii="Arial" w:cs="Arial" w:eastAsia="Arial" w:hAnsi="Arial"/>
          <w:sz w:val="19"/>
          <w:szCs w:val="19"/>
          <w:color w:val="auto"/>
        </w:rPr>
      </w:pPr>
      <w:r>
        <w:rPr>
          <w:rFonts w:ascii="Arial" w:cs="Arial" w:eastAsia="Arial" w:hAnsi="Arial"/>
          <w:sz w:val="19"/>
          <w:szCs w:val="19"/>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57" w:lineRule="exact"/>
        <w:rPr>
          <w:rFonts w:ascii="Arial" w:cs="Arial" w:eastAsia="Arial" w:hAnsi="Arial"/>
          <w:sz w:val="19"/>
          <w:szCs w:val="19"/>
          <w:color w:val="auto"/>
        </w:rPr>
      </w:pPr>
    </w:p>
    <w:p>
      <w:pPr>
        <w:jc w:val="both"/>
        <w:ind w:left="660" w:firstLine="1292"/>
        <w:spacing w:after="0" w:line="220" w:lineRule="auto"/>
        <w:tabs>
          <w:tab w:leader="none" w:pos="2603" w:val="left"/>
        </w:tabs>
        <w:numPr>
          <w:ilvl w:val="2"/>
          <w:numId w:val="285"/>
        </w:numPr>
        <w:rPr>
          <w:rFonts w:ascii="Arial" w:cs="Arial" w:eastAsia="Arial" w:hAnsi="Arial"/>
          <w:sz w:val="20"/>
          <w:szCs w:val="20"/>
          <w:color w:val="auto"/>
        </w:rPr>
      </w:pPr>
      <w:r>
        <w:rPr>
          <w:rFonts w:ascii="Arial" w:cs="Arial" w:eastAsia="Arial" w:hAnsi="Arial"/>
          <w:sz w:val="20"/>
          <w:szCs w:val="20"/>
          <w:color w:val="auto"/>
        </w:rPr>
        <w:t>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8.02(b).</w:t>
      </w:r>
    </w:p>
    <w:p>
      <w:pPr>
        <w:spacing w:after="0" w:line="169" w:lineRule="exact"/>
        <w:rPr>
          <w:rFonts w:ascii="Arial" w:cs="Arial" w:eastAsia="Arial" w:hAnsi="Arial"/>
          <w:sz w:val="20"/>
          <w:szCs w:val="20"/>
          <w:color w:val="auto"/>
        </w:rPr>
      </w:pPr>
    </w:p>
    <w:p>
      <w:pPr>
        <w:jc w:val="both"/>
        <w:ind w:firstLine="1304"/>
        <w:spacing w:after="0" w:line="246" w:lineRule="auto"/>
        <w:tabs>
          <w:tab w:leader="none" w:pos="193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clause (a) or under the indemnification provisions of this Agreement.</w:t>
      </w:r>
    </w:p>
    <w:p>
      <w:pPr>
        <w:spacing w:after="0" w:line="163" w:lineRule="exact"/>
        <w:rPr>
          <w:rFonts w:ascii="Arial" w:cs="Arial" w:eastAsia="Arial" w:hAnsi="Arial"/>
          <w:sz w:val="18"/>
          <w:szCs w:val="18"/>
          <w:color w:val="auto"/>
        </w:rPr>
      </w:pPr>
    </w:p>
    <w:p>
      <w:pPr>
        <w:jc w:val="both"/>
        <w:ind w:firstLine="1304"/>
        <w:spacing w:after="0" w:line="232" w:lineRule="auto"/>
        <w:tabs>
          <w:tab w:leader="none" w:pos="193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Impacted Class</w:t>
      </w:r>
      <w:r>
        <w:rPr>
          <w:rFonts w:ascii="Arial" w:cs="Arial" w:eastAsia="Arial" w:hAnsi="Arial"/>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Deficiency Assignment</w:t>
      </w:r>
      <w:r>
        <w:rPr>
          <w:rFonts w:ascii="Arial" w:cs="Arial" w:eastAsia="Arial" w:hAnsi="Arial"/>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Notes evidencing such Loans to Holdings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181</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357" w:lineRule="exact"/>
        <w:rPr>
          <w:sz w:val="20"/>
          <w:szCs w:val="20"/>
          <w:color w:val="auto"/>
        </w:rPr>
      </w:pPr>
    </w:p>
    <w:p>
      <w:pPr>
        <w:spacing w:after="0" w:line="223" w:lineRule="auto"/>
        <w:rPr>
          <w:sz w:val="20"/>
          <w:szCs w:val="20"/>
          <w:color w:val="auto"/>
        </w:rPr>
      </w:pPr>
      <w:r>
        <w:rPr>
          <w:rFonts w:ascii="Arial" w:cs="Arial" w:eastAsia="Arial" w:hAnsi="Arial"/>
          <w:sz w:val="19"/>
          <w:szCs w:val="19"/>
          <w:color w:val="auto"/>
        </w:rPr>
        <w:t>Lender or Issuing Bank, as applicable, hereunder with respect to such Erroneous Payment Deficiency Assignment, excluding, for the avoidance of doubt, its obligations under the indemnification provisions of this Agreement and its applicable Commitments which shall</w:t>
      </w:r>
    </w:p>
    <w:p>
      <w:pPr>
        <w:spacing w:after="0" w:line="236" w:lineRule="auto"/>
        <w:rPr>
          <w:sz w:val="20"/>
          <w:szCs w:val="20"/>
          <w:color w:val="auto"/>
        </w:rPr>
      </w:pPr>
      <w:r>
        <w:rPr>
          <w:rFonts w:ascii="Arial" w:cs="Arial" w:eastAsia="Arial" w:hAnsi="Arial"/>
          <w:sz w:val="18"/>
          <w:szCs w:val="18"/>
          <w:color w:val="auto"/>
        </w:rPr>
        <w:t>survive as to such assigning Lender or assigning Issuing Bank and (iv) the Administrative Agent may reflect in the Register its ownership</w:t>
      </w:r>
    </w:p>
    <w:p>
      <w:pPr>
        <w:spacing w:after="0" w:line="226" w:lineRule="auto"/>
        <w:rPr>
          <w:sz w:val="20"/>
          <w:szCs w:val="20"/>
          <w:color w:val="auto"/>
        </w:rPr>
      </w:pPr>
      <w:r>
        <w:rPr>
          <w:rFonts w:ascii="Arial" w:cs="Arial" w:eastAsia="Arial" w:hAnsi="Arial"/>
          <w:sz w:val="18"/>
          <w:szCs w:val="18"/>
          <w:color w:val="auto"/>
        </w:rPr>
        <w:t>interest in the Loans subject to the Erroneous Payment Deficiency Assignment. The Administrative Agent may, in its discretion, sell any Loans acquired pursuant to an Erroneous Payment Deficiency Assignment and upon receipt of the proceeds of such sale, the Erroneous</w:t>
      </w:r>
    </w:p>
    <w:p>
      <w:pPr>
        <w:spacing w:after="0" w:line="236" w:lineRule="auto"/>
        <w:rPr>
          <w:sz w:val="20"/>
          <w:szCs w:val="20"/>
          <w:color w:val="auto"/>
        </w:rPr>
      </w:pPr>
      <w:r>
        <w:rPr>
          <w:rFonts w:ascii="Arial" w:cs="Arial" w:eastAsia="Arial" w:hAnsi="Arial"/>
          <w:sz w:val="18"/>
          <w:szCs w:val="18"/>
          <w:color w:val="auto"/>
        </w:rPr>
        <w:t>Payment Return Deficiency owing by the applicable Lender or Issuing Bank shall be reduced by the net proceeds of the sale of such Loan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portion thereof), and the Administrative Agent shall retain all other rights, remedies and claims against such Lender or Issuing Bank (and/or against any recipient that receives funds on its respective behalf). For the avoidance of doubt, no Erroneous Payment Deficiency Assignment</w:t>
      </w:r>
    </w:p>
    <w:p>
      <w:pPr>
        <w:spacing w:after="0" w:line="236" w:lineRule="auto"/>
        <w:rPr>
          <w:sz w:val="20"/>
          <w:szCs w:val="20"/>
          <w:color w:val="auto"/>
        </w:rPr>
      </w:pPr>
      <w:r>
        <w:rPr>
          <w:rFonts w:ascii="Arial" w:cs="Arial" w:eastAsia="Arial" w:hAnsi="Arial"/>
          <w:sz w:val="18"/>
          <w:szCs w:val="18"/>
          <w:color w:val="auto"/>
        </w:rPr>
        <w:t>will reduce the Commitments of any Lender or Issuing Bank and such Commitments shall remain available in accordance with the terms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Agreement. In addition, each party hereto agrees that, except to the extent that the Administrative Agent has sold a Loan (or portion thereof) acquired pursuant to an Erroneous Payment Deficiency Assignment, and irrespective of whether the Administrative Agent may be</w:t>
      </w:r>
    </w:p>
    <w:p>
      <w:pPr>
        <w:spacing w:after="0" w:line="236" w:lineRule="auto"/>
        <w:rPr>
          <w:sz w:val="20"/>
          <w:szCs w:val="20"/>
          <w:color w:val="auto"/>
        </w:rPr>
      </w:pPr>
      <w:r>
        <w:rPr>
          <w:rFonts w:ascii="Arial" w:cs="Arial" w:eastAsia="Arial" w:hAnsi="Arial"/>
          <w:sz w:val="18"/>
          <w:szCs w:val="18"/>
          <w:color w:val="auto"/>
        </w:rPr>
        <w:t>equitably subrogated, the Administrative Agent shall be contractually subrogated to all the rights and interests of the applicable Lender,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Issuing Bank or Secured Party under the Loan Documents with respect to each Erroneous Payment Return Deficiency (the “</w:t>
      </w:r>
      <w:r>
        <w:rPr>
          <w:rFonts w:ascii="Arial" w:cs="Arial" w:eastAsia="Arial" w:hAnsi="Arial"/>
          <w:sz w:val="20"/>
          <w:szCs w:val="20"/>
          <w:u w:val="single" w:color="auto"/>
          <w:color w:val="auto"/>
        </w:rPr>
        <w:t>Erroneous</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 Subrogation Rights</w:t>
      </w:r>
      <w:r>
        <w:rPr>
          <w:rFonts w:ascii="Arial" w:cs="Arial" w:eastAsia="Arial" w:hAnsi="Arial"/>
          <w:sz w:val="20"/>
          <w:szCs w:val="20"/>
          <w:color w:val="auto"/>
        </w:rPr>
        <w:t>”).</w:t>
      </w:r>
    </w:p>
    <w:p>
      <w:pPr>
        <w:spacing w:after="0" w:line="170" w:lineRule="exact"/>
        <w:rPr>
          <w:sz w:val="20"/>
          <w:szCs w:val="20"/>
          <w:color w:val="auto"/>
        </w:rPr>
      </w:pPr>
    </w:p>
    <w:p>
      <w:pPr>
        <w:jc w:val="both"/>
        <w:ind w:firstLine="1304"/>
        <w:spacing w:after="0" w:line="220" w:lineRule="auto"/>
        <w:tabs>
          <w:tab w:leader="none" w:pos="1934" w:val="left"/>
        </w:tabs>
        <w:numPr>
          <w:ilvl w:val="1"/>
          <w:numId w:val="286"/>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spacing w:after="0" w:line="169" w:lineRule="exact"/>
        <w:rPr>
          <w:rFonts w:ascii="Arial" w:cs="Arial" w:eastAsia="Arial" w:hAnsi="Arial"/>
          <w:sz w:val="20"/>
          <w:szCs w:val="20"/>
          <w:color w:val="auto"/>
        </w:rPr>
      </w:pPr>
    </w:p>
    <w:p>
      <w:pPr>
        <w:jc w:val="both"/>
        <w:ind w:firstLine="1304"/>
        <w:spacing w:after="0" w:line="220" w:lineRule="auto"/>
        <w:tabs>
          <w:tab w:leader="none" w:pos="1939" w:val="left"/>
        </w:tabs>
        <w:numPr>
          <w:ilvl w:val="1"/>
          <w:numId w:val="286"/>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55" w:lineRule="exact"/>
        <w:rPr>
          <w:rFonts w:ascii="Arial" w:cs="Arial" w:eastAsia="Arial" w:hAnsi="Arial"/>
          <w:sz w:val="20"/>
          <w:szCs w:val="20"/>
          <w:color w:val="auto"/>
        </w:rPr>
      </w:pPr>
    </w:p>
    <w:p>
      <w:pPr>
        <w:jc w:val="both"/>
        <w:ind w:firstLine="1304"/>
        <w:spacing w:after="0" w:line="220" w:lineRule="auto"/>
        <w:tabs>
          <w:tab w:leader="none" w:pos="1932" w:val="left"/>
        </w:tabs>
        <w:numPr>
          <w:ilvl w:val="1"/>
          <w:numId w:val="286"/>
        </w:numPr>
        <w:rPr>
          <w:rFonts w:ascii="Arial" w:cs="Arial" w:eastAsia="Arial" w:hAnsi="Arial"/>
          <w:sz w:val="20"/>
          <w:szCs w:val="20"/>
          <w:color w:val="auto"/>
        </w:rPr>
      </w:pPr>
      <w:r>
        <w:rPr>
          <w:rFonts w:ascii="Arial" w:cs="Arial" w:eastAsia="Arial" w:hAnsi="Arial"/>
          <w:sz w:val="20"/>
          <w:szCs w:val="20"/>
          <w:color w:val="auto"/>
        </w:rPr>
        <w:t>Each party’s obligations, agreements and waivers under this Section 8.02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69" w:lineRule="exact"/>
        <w:rPr>
          <w:rFonts w:ascii="Arial" w:cs="Arial" w:eastAsia="Arial" w:hAnsi="Arial"/>
          <w:sz w:val="20"/>
          <w:szCs w:val="20"/>
          <w:color w:val="auto"/>
        </w:rPr>
      </w:pPr>
    </w:p>
    <w:p>
      <w:pPr>
        <w:ind w:right="260" w:firstLine="854"/>
        <w:spacing w:after="0" w:line="223" w:lineRule="auto"/>
        <w:tabs>
          <w:tab w:leader="none" w:pos="1274"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no Loan Party or any of their respective Affiliates shall have any obligations or liabilities directly or indirectly arising out of this Section 8.02 in respect of any Erroneous Payment (other than having consented to the assignment referenced in Section 8.02(d) above).</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IX</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20"/>
          <w:szCs w:val="20"/>
          <w:u w:val="single" w:color="auto"/>
          <w:color w:val="auto"/>
        </w:rPr>
        <w:t>Miscellaneous</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5" w:lineRule="exact"/>
        <w:rPr>
          <w:sz w:val="20"/>
          <w:szCs w:val="20"/>
          <w:color w:val="auto"/>
        </w:rPr>
      </w:pPr>
    </w:p>
    <w:p>
      <w:pPr>
        <w:ind w:right="20" w:firstLine="1304"/>
        <w:spacing w:after="0" w:line="236" w:lineRule="auto"/>
        <w:tabs>
          <w:tab w:leader="none" w:pos="1934" w:val="left"/>
        </w:tabs>
        <w:numPr>
          <w:ilvl w:val="0"/>
          <w:numId w:val="288"/>
        </w:numPr>
        <w:rPr>
          <w:rFonts w:ascii="Arial" w:cs="Arial" w:eastAsia="Arial" w:hAnsi="Arial"/>
          <w:sz w:val="20"/>
          <w:szCs w:val="20"/>
          <w:color w:val="auto"/>
        </w:rPr>
      </w:pPr>
      <w:r>
        <w:rPr>
          <w:rFonts w:ascii="Arial" w:cs="Arial" w:eastAsia="Arial" w:hAnsi="Arial"/>
          <w:sz w:val="20"/>
          <w:szCs w:val="20"/>
          <w:color w:val="auto"/>
        </w:rPr>
        <w:t>Except in the case of notices and other communications expressly permitted to be given by telephone (and subject to paragraph (b) below), all notices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182</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35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communications provided for herein shall be in writing and shall be delivered by hand or overnight courier service, mailed by certified or registered mail or sent by email, as follows:</w:t>
      </w:r>
    </w:p>
    <w:p>
      <w:pPr>
        <w:spacing w:after="0" w:line="169" w:lineRule="exact"/>
        <w:rPr>
          <w:sz w:val="20"/>
          <w:szCs w:val="20"/>
          <w:color w:val="auto"/>
        </w:rPr>
      </w:pPr>
    </w:p>
    <w:p>
      <w:pPr>
        <w:ind w:left="2600" w:hanging="648"/>
        <w:spacing w:after="0"/>
        <w:tabs>
          <w:tab w:leader="none" w:pos="260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if to the Borrowers or any Loan Party, to the Borrowers at:</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Chief Financial Officer with a copy to General Counsel</w:t>
      </w:r>
    </w:p>
    <w:p>
      <w:pPr>
        <w:ind w:left="1960"/>
        <w:spacing w:after="0" w:line="211" w:lineRule="auto"/>
        <w:rPr>
          <w:sz w:val="20"/>
          <w:szCs w:val="20"/>
          <w:color w:val="auto"/>
        </w:rPr>
      </w:pPr>
      <w:r>
        <w:rPr>
          <w:rFonts w:ascii="Arial" w:cs="Arial" w:eastAsia="Arial" w:hAnsi="Arial"/>
          <w:sz w:val="20"/>
          <w:szCs w:val="20"/>
          <w:color w:val="auto"/>
        </w:rPr>
        <w:t>ICON plc</w:t>
      </w:r>
    </w:p>
    <w:p>
      <w:pPr>
        <w:ind w:left="1960"/>
        <w:spacing w:after="0" w:line="211" w:lineRule="auto"/>
        <w:rPr>
          <w:sz w:val="20"/>
          <w:szCs w:val="20"/>
          <w:color w:val="auto"/>
        </w:rPr>
      </w:pPr>
      <w:r>
        <w:rPr>
          <w:rFonts w:ascii="Arial" w:cs="Arial" w:eastAsia="Arial" w:hAnsi="Arial"/>
          <w:sz w:val="20"/>
          <w:szCs w:val="20"/>
          <w:color w:val="auto"/>
        </w:rPr>
        <w:t>South County Business Park</w:t>
      </w:r>
    </w:p>
    <w:p>
      <w:pPr>
        <w:ind w:left="1960"/>
        <w:spacing w:after="0" w:line="197" w:lineRule="auto"/>
        <w:rPr>
          <w:sz w:val="20"/>
          <w:szCs w:val="20"/>
          <w:color w:val="auto"/>
        </w:rPr>
      </w:pPr>
      <w:r>
        <w:rPr>
          <w:rFonts w:ascii="Arial" w:cs="Arial" w:eastAsia="Arial" w:hAnsi="Arial"/>
          <w:sz w:val="20"/>
          <w:szCs w:val="20"/>
          <w:color w:val="auto"/>
        </w:rPr>
        <w:t>Leopardstown</w:t>
      </w:r>
    </w:p>
    <w:p>
      <w:pPr>
        <w:ind w:left="1960"/>
        <w:spacing w:after="0" w:line="212" w:lineRule="auto"/>
        <w:rPr>
          <w:sz w:val="20"/>
          <w:szCs w:val="20"/>
          <w:color w:val="auto"/>
        </w:rPr>
      </w:pPr>
      <w:r>
        <w:rPr>
          <w:rFonts w:ascii="Arial" w:cs="Arial" w:eastAsia="Arial" w:hAnsi="Arial"/>
          <w:sz w:val="20"/>
          <w:szCs w:val="20"/>
          <w:color w:val="auto"/>
        </w:rPr>
        <w:t>Dublin 18</w:t>
      </w:r>
    </w:p>
    <w:p>
      <w:pPr>
        <w:ind w:left="1960"/>
        <w:spacing w:after="0" w:line="211" w:lineRule="auto"/>
        <w:rPr>
          <w:sz w:val="20"/>
          <w:szCs w:val="20"/>
          <w:color w:val="auto"/>
        </w:rPr>
      </w:pPr>
      <w:r>
        <w:rPr>
          <w:rFonts w:ascii="Arial" w:cs="Arial" w:eastAsia="Arial" w:hAnsi="Arial"/>
          <w:sz w:val="20"/>
          <w:szCs w:val="20"/>
          <w:color w:val="auto"/>
        </w:rPr>
        <w:t>Ireland</w:t>
      </w:r>
    </w:p>
    <w:p>
      <w:pPr>
        <w:ind w:left="1960"/>
        <w:spacing w:after="0" w:line="219" w:lineRule="auto"/>
        <w:tabs>
          <w:tab w:leader="none" w:pos="2860" w:val="left"/>
          <w:tab w:leader="none" w:pos="6000" w:val="left"/>
          <w:tab w:leader="none" w:pos="6760" w:val="left"/>
          <w:tab w:leader="none" w:pos="7240" w:val="left"/>
          <w:tab w:leader="none" w:pos="8040" w:val="left"/>
          <w:tab w:leader="none" w:pos="8600" w:val="left"/>
          <w:tab w:leader="none" w:pos="9480" w:val="left"/>
          <w:tab w:leader="none" w:pos="105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u w:val="single" w:color="auto"/>
          <w:color w:val="0000FF"/>
        </w:rPr>
        <w:t>Libhin.NicGabhann@iconplc.com</w:t>
      </w:r>
      <w:r>
        <w:rPr>
          <w:sz w:val="20"/>
          <w:szCs w:val="20"/>
          <w:color w:val="auto"/>
        </w:rPr>
        <w:tab/>
      </w:r>
      <w:r>
        <w:rPr>
          <w:rFonts w:ascii="Arial" w:cs="Arial" w:eastAsia="Arial" w:hAnsi="Arial"/>
          <w:sz w:val="20"/>
          <w:szCs w:val="20"/>
          <w:color w:val="auto"/>
        </w:rPr>
        <w:t>with</w:t>
      </w:r>
      <w:r>
        <w:rPr>
          <w:sz w:val="20"/>
          <w:szCs w:val="20"/>
          <w:color w:val="auto"/>
        </w:rPr>
        <w:tab/>
      </w: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copy</w:t>
      </w:r>
      <w:r>
        <w:rPr>
          <w:sz w:val="20"/>
          <w:szCs w:val="20"/>
          <w:color w:val="auto"/>
        </w:rPr>
        <w:tab/>
      </w: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ICON</w:t>
      </w:r>
      <w:r>
        <w:rPr>
          <w:sz w:val="20"/>
          <w:szCs w:val="20"/>
          <w:color w:val="auto"/>
        </w:rPr>
        <w:tab/>
      </w:r>
      <w:r>
        <w:rPr>
          <w:rFonts w:ascii="Arial" w:cs="Arial" w:eastAsia="Arial" w:hAnsi="Arial"/>
          <w:sz w:val="20"/>
          <w:szCs w:val="20"/>
          <w:color w:val="auto"/>
        </w:rPr>
        <w:t>General</w:t>
      </w:r>
      <w:r>
        <w:rPr>
          <w:sz w:val="20"/>
          <w:szCs w:val="20"/>
          <w:color w:val="auto"/>
        </w:rPr>
        <w:tab/>
      </w:r>
      <w:r>
        <w:rPr>
          <w:rFonts w:ascii="Arial" w:cs="Arial" w:eastAsia="Arial" w:hAnsi="Arial"/>
          <w:sz w:val="18"/>
          <w:szCs w:val="18"/>
          <w:color w:val="auto"/>
        </w:rPr>
        <w:t>Counsel:</w:t>
      </w:r>
    </w:p>
    <w:p>
      <w:pPr>
        <w:ind w:left="1960"/>
        <w:spacing w:after="0" w:line="211" w:lineRule="auto"/>
        <w:rPr>
          <w:sz w:val="20"/>
          <w:szCs w:val="20"/>
          <w:color w:val="auto"/>
        </w:rPr>
      </w:pPr>
      <w:r>
        <w:rPr>
          <w:rFonts w:ascii="Arial" w:cs="Arial" w:eastAsia="Arial" w:hAnsi="Arial"/>
          <w:sz w:val="20"/>
          <w:szCs w:val="20"/>
          <w:u w:val="single" w:color="auto"/>
          <w:color w:val="0000FF"/>
        </w:rPr>
        <w:t>Diarmaid.Cunningham@iconplc.com</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Phone: +353 1 2912000</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Board of Directors</w:t>
      </w:r>
    </w:p>
    <w:p>
      <w:pPr>
        <w:ind w:left="1960"/>
        <w:spacing w:after="0" w:line="211" w:lineRule="auto"/>
        <w:rPr>
          <w:sz w:val="20"/>
          <w:szCs w:val="20"/>
          <w:color w:val="auto"/>
        </w:rPr>
      </w:pPr>
      <w:r>
        <w:rPr>
          <w:rFonts w:ascii="Arial" w:cs="Arial" w:eastAsia="Arial" w:hAnsi="Arial"/>
          <w:sz w:val="20"/>
          <w:szCs w:val="20"/>
          <w:color w:val="auto"/>
        </w:rPr>
        <w:t>ICON Luxembourg S.à r.l.</w:t>
      </w:r>
    </w:p>
    <w:p>
      <w:pPr>
        <w:ind w:left="1960"/>
        <w:spacing w:after="0" w:line="211" w:lineRule="auto"/>
        <w:rPr>
          <w:sz w:val="20"/>
          <w:szCs w:val="20"/>
          <w:color w:val="auto"/>
        </w:rPr>
      </w:pPr>
      <w:r>
        <w:rPr>
          <w:rFonts w:ascii="Arial" w:cs="Arial" w:eastAsia="Arial" w:hAnsi="Arial"/>
          <w:sz w:val="20"/>
          <w:szCs w:val="20"/>
          <w:color w:val="auto"/>
        </w:rPr>
        <w:t>61 rue de Rollingerfrund</w:t>
      </w:r>
    </w:p>
    <w:p>
      <w:pPr>
        <w:ind w:left="1960"/>
        <w:spacing w:after="0" w:line="197" w:lineRule="auto"/>
        <w:rPr>
          <w:sz w:val="20"/>
          <w:szCs w:val="20"/>
          <w:color w:val="auto"/>
        </w:rPr>
      </w:pPr>
      <w:r>
        <w:rPr>
          <w:rFonts w:ascii="Arial" w:cs="Arial" w:eastAsia="Arial" w:hAnsi="Arial"/>
          <w:sz w:val="20"/>
          <w:szCs w:val="20"/>
          <w:color w:val="auto"/>
        </w:rPr>
        <w:t>L- 2440</w:t>
      </w:r>
    </w:p>
    <w:p>
      <w:pPr>
        <w:ind w:left="1960"/>
        <w:spacing w:after="0" w:line="212" w:lineRule="auto"/>
        <w:rPr>
          <w:sz w:val="20"/>
          <w:szCs w:val="20"/>
          <w:color w:val="auto"/>
        </w:rPr>
      </w:pPr>
      <w:r>
        <w:rPr>
          <w:rFonts w:ascii="Arial" w:cs="Arial" w:eastAsia="Arial" w:hAnsi="Arial"/>
          <w:sz w:val="20"/>
          <w:szCs w:val="20"/>
          <w:color w:val="auto"/>
        </w:rPr>
        <w:t>Luxembourg</w:t>
      </w:r>
    </w:p>
    <w:p>
      <w:pPr>
        <w:ind w:left="1960"/>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Michael.Gleeson@iconplc.com</w:t>
      </w:r>
      <w:r>
        <w:rPr>
          <w:rFonts w:ascii="Arial" w:cs="Arial" w:eastAsia="Arial" w:hAnsi="Arial"/>
          <w:sz w:val="18"/>
          <w:szCs w:val="18"/>
          <w:color w:val="auto"/>
        </w:rPr>
        <w:t xml:space="preserve"> with a copy to ICON General Counsel: </w:t>
      </w:r>
      <w:r>
        <w:rPr>
          <w:rFonts w:ascii="Arial" w:cs="Arial" w:eastAsia="Arial" w:hAnsi="Arial"/>
          <w:sz w:val="18"/>
          <w:szCs w:val="18"/>
          <w:u w:val="single" w:color="auto"/>
          <w:color w:val="0000FF"/>
        </w:rPr>
        <w:t>Diarmaid.Cunningham@iconplc.com</w:t>
      </w:r>
    </w:p>
    <w:p>
      <w:pPr>
        <w:ind w:left="1060"/>
        <w:spacing w:after="0"/>
        <w:rPr>
          <w:sz w:val="20"/>
          <w:szCs w:val="20"/>
          <w:color w:val="auto"/>
        </w:rPr>
      </w:pPr>
      <w:r>
        <w:rPr>
          <w:rFonts w:ascii="Arial" w:cs="Arial" w:eastAsia="Arial" w:hAnsi="Arial"/>
          <w:sz w:val="20"/>
          <w:szCs w:val="20"/>
          <w:color w:val="auto"/>
        </w:rPr>
        <w:t>Phone: +353 1 2912000</w:t>
      </w:r>
    </w:p>
    <w:p>
      <w:pPr>
        <w:spacing w:after="0" w:line="200" w:lineRule="exact"/>
        <w:rPr>
          <w:sz w:val="20"/>
          <w:szCs w:val="20"/>
          <w:color w:val="auto"/>
        </w:rPr>
      </w:pPr>
    </w:p>
    <w:p>
      <w:pPr>
        <w:spacing w:after="0" w:line="202" w:lineRule="exact"/>
        <w:rPr>
          <w:sz w:val="20"/>
          <w:szCs w:val="20"/>
          <w:color w:val="auto"/>
        </w:rPr>
      </w:pPr>
    </w:p>
    <w:p>
      <w:pPr>
        <w:jc w:val="both"/>
        <w:ind w:left="660" w:firstLine="1292"/>
        <w:spacing w:after="0" w:line="229" w:lineRule="auto"/>
        <w:tabs>
          <w:tab w:leader="none" w:pos="2603" w:val="left"/>
        </w:tabs>
        <w:numPr>
          <w:ilvl w:val="1"/>
          <w:numId w:val="290"/>
        </w:numPr>
        <w:rPr>
          <w:rFonts w:ascii="Arial" w:cs="Arial" w:eastAsia="Arial" w:hAnsi="Arial"/>
          <w:sz w:val="19"/>
          <w:szCs w:val="19"/>
          <w:color w:val="auto"/>
        </w:rPr>
      </w:pPr>
      <w:r>
        <w:rPr>
          <w:rFonts w:ascii="Arial" w:cs="Arial" w:eastAsia="Arial" w:hAnsi="Arial"/>
          <w:sz w:val="19"/>
          <w:szCs w:val="19"/>
          <w:color w:val="auto"/>
        </w:rPr>
        <w:t xml:space="preserve">if to the Administrative Agent, to it at Citibank Delaware, One Penns Way, OPS 2/2, New Castle, DE 19720; Attn: Agency Operations; Phone: (302) 894-6010; Fax: (646) 274-5080; Borrower inquiries only: </w:t>
      </w:r>
      <w:r>
        <w:rPr>
          <w:rFonts w:ascii="Arial" w:cs="Arial" w:eastAsia="Arial" w:hAnsi="Arial"/>
          <w:sz w:val="19"/>
          <w:szCs w:val="19"/>
          <w:u w:val="single" w:color="auto"/>
          <w:color w:val="0000FF"/>
        </w:rPr>
        <w:t>AgencyABTFSupport@citi.com</w:t>
      </w:r>
      <w:r>
        <w:rPr>
          <w:rFonts w:ascii="Arial" w:cs="Arial" w:eastAsia="Arial" w:hAnsi="Arial"/>
          <w:sz w:val="19"/>
          <w:szCs w:val="19"/>
          <w:color w:val="auto"/>
        </w:rPr>
        <w:t xml:space="preserve">; Borrower notifications: </w:t>
      </w:r>
      <w:r>
        <w:rPr>
          <w:rFonts w:ascii="Arial" w:cs="Arial" w:eastAsia="Arial" w:hAnsi="Arial"/>
          <w:sz w:val="19"/>
          <w:szCs w:val="19"/>
          <w:u w:val="single" w:color="auto"/>
          <w:color w:val="0000FF"/>
        </w:rPr>
        <w:t>AgencyABTFSupport@citi.com</w:t>
      </w:r>
      <w:r>
        <w:rPr>
          <w:rFonts w:ascii="Arial" w:cs="Arial" w:eastAsia="Arial" w:hAnsi="Arial"/>
          <w:sz w:val="19"/>
          <w:szCs w:val="19"/>
          <w:color w:val="auto"/>
        </w:rPr>
        <w:t xml:space="preserve">; Disclosure Team Mail (Financial Reporting): </w:t>
      </w:r>
      <w:r>
        <w:rPr>
          <w:rFonts w:ascii="Arial" w:cs="Arial" w:eastAsia="Arial" w:hAnsi="Arial"/>
          <w:sz w:val="19"/>
          <w:szCs w:val="19"/>
          <w:u w:val="single" w:color="auto"/>
          <w:color w:val="0000FF"/>
        </w:rPr>
        <w:t>Oploanswebadmin@citi.com</w:t>
      </w:r>
      <w:r>
        <w:rPr>
          <w:rFonts w:ascii="Arial" w:cs="Arial" w:eastAsia="Arial" w:hAnsi="Arial"/>
          <w:sz w:val="19"/>
          <w:szCs w:val="19"/>
          <w:color w:val="auto"/>
        </w:rPr>
        <w:t xml:space="preserve">; Investor Relations Team (investor inquiries only): </w:t>
      </w:r>
      <w:r>
        <w:rPr>
          <w:rFonts w:ascii="Arial" w:cs="Arial" w:eastAsia="Arial" w:hAnsi="Arial"/>
          <w:sz w:val="19"/>
          <w:szCs w:val="19"/>
          <w:u w:val="single" w:color="auto"/>
          <w:color w:val="0000FF"/>
        </w:rPr>
        <w:t>global.loans.support@citi.com</w:t>
      </w:r>
      <w:r>
        <w:rPr>
          <w:rFonts w:ascii="Arial" w:cs="Arial" w:eastAsia="Arial" w:hAnsi="Arial"/>
          <w:sz w:val="19"/>
          <w:szCs w:val="19"/>
          <w:color w:val="auto"/>
        </w:rPr>
        <w:t>, or such other office or person as the Administrative Agent may hereafter designate in writing as such to the other parties hereto;</w:t>
      </w:r>
    </w:p>
    <w:p>
      <w:pPr>
        <w:spacing w:after="0" w:line="172" w:lineRule="exact"/>
        <w:rPr>
          <w:rFonts w:ascii="Arial" w:cs="Arial" w:eastAsia="Arial" w:hAnsi="Arial"/>
          <w:sz w:val="19"/>
          <w:szCs w:val="19"/>
          <w:color w:val="auto"/>
        </w:rPr>
      </w:pPr>
    </w:p>
    <w:p>
      <w:pPr>
        <w:ind w:left="660" w:firstLine="1292"/>
        <w:spacing w:after="0" w:line="269" w:lineRule="auto"/>
        <w:tabs>
          <w:tab w:leader="none" w:pos="260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if to the Collateral Agent, to it at Citibank, N.A., London Branch, 6th Floor CGC1, Citigroup Centre, Canada Square, London, E14 5LB, United Kingdom, Attention: PFLA Team, Agency and Trust (Email </w:t>
      </w:r>
      <w:r>
        <w:rPr>
          <w:rFonts w:ascii="Arial" w:cs="Arial" w:eastAsia="Arial" w:hAnsi="Arial"/>
          <w:sz w:val="18"/>
          <w:szCs w:val="18"/>
          <w:u w:val="single" w:color="auto"/>
          <w:color w:val="0000FF"/>
        </w:rPr>
        <w:t>issuerpfla@citi.com</w:t>
      </w:r>
      <w:r>
        <w:rPr>
          <w:rFonts w:ascii="Arial" w:cs="Arial" w:eastAsia="Arial" w:hAnsi="Arial"/>
          <w:sz w:val="18"/>
          <w:szCs w:val="18"/>
          <w:color w:val="auto"/>
        </w:rPr>
        <w:t>); and</w:t>
      </w:r>
    </w:p>
    <w:p>
      <w:pPr>
        <w:spacing w:after="0" w:line="143" w:lineRule="exact"/>
        <w:rPr>
          <w:rFonts w:ascii="Arial" w:cs="Arial" w:eastAsia="Arial" w:hAnsi="Arial"/>
          <w:sz w:val="18"/>
          <w:szCs w:val="18"/>
          <w:color w:val="auto"/>
        </w:rPr>
      </w:pPr>
    </w:p>
    <w:p>
      <w:pPr>
        <w:ind w:left="2580" w:hanging="628"/>
        <w:spacing w:after="0"/>
        <w:tabs>
          <w:tab w:leader="none" w:pos="2580" w:val="left"/>
        </w:tabs>
        <w:numPr>
          <w:ilvl w:val="1"/>
          <w:numId w:val="290"/>
        </w:numPr>
        <w:rPr>
          <w:rFonts w:ascii="Arial" w:cs="Arial" w:eastAsia="Arial" w:hAnsi="Arial"/>
          <w:sz w:val="19"/>
          <w:szCs w:val="19"/>
          <w:color w:val="auto"/>
        </w:rPr>
      </w:pPr>
      <w:r>
        <w:rPr>
          <w:rFonts w:ascii="Arial" w:cs="Arial" w:eastAsia="Arial" w:hAnsi="Arial"/>
          <w:sz w:val="19"/>
          <w:szCs w:val="19"/>
          <w:color w:val="auto"/>
        </w:rPr>
        <w:t>if to any Lender or Issuing Bank, to it at its address (or telecopy number) set forth in its Administrative</w:t>
      </w:r>
    </w:p>
    <w:p>
      <w:pPr>
        <w:ind w:left="660"/>
        <w:spacing w:after="0"/>
        <w:rPr>
          <w:rFonts w:ascii="Arial" w:cs="Arial" w:eastAsia="Arial" w:hAnsi="Arial"/>
          <w:sz w:val="19"/>
          <w:szCs w:val="19"/>
          <w:color w:val="auto"/>
        </w:rPr>
      </w:pPr>
      <w:r>
        <w:rPr>
          <w:rFonts w:ascii="Arial" w:cs="Arial" w:eastAsia="Arial" w:hAnsi="Arial"/>
          <w:sz w:val="20"/>
          <w:szCs w:val="20"/>
          <w:color w:val="auto"/>
        </w:rPr>
        <w:t>Questionnaire.</w:t>
      </w:r>
    </w:p>
    <w:p>
      <w:pPr>
        <w:spacing w:after="0" w:line="159" w:lineRule="exact"/>
        <w:rPr>
          <w:rFonts w:ascii="Arial" w:cs="Arial" w:eastAsia="Arial" w:hAnsi="Arial"/>
          <w:sz w:val="19"/>
          <w:szCs w:val="19"/>
          <w:color w:val="auto"/>
        </w:rPr>
      </w:pPr>
    </w:p>
    <w:p>
      <w:pPr>
        <w:jc w:val="both"/>
        <w:ind w:firstLine="1304"/>
        <w:spacing w:after="0" w:line="214" w:lineRule="auto"/>
        <w:tabs>
          <w:tab w:leader="none" w:pos="1932" w:val="left"/>
        </w:tabs>
        <w:numPr>
          <w:ilvl w:val="0"/>
          <w:numId w:val="291"/>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Administrative Agent or the Lenders hereunder may be delivered or furnished by electronic communications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pursuant to Article II unless otherwise agreed by the Administrative Agent and the applicable Lender. The Administrative Agent or the Borrowers may, in their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73" w:lineRule="exact"/>
        <w:rPr>
          <w:rFonts w:ascii="Arial" w:cs="Arial" w:eastAsia="Arial" w:hAnsi="Arial"/>
          <w:sz w:val="20"/>
          <w:szCs w:val="20"/>
          <w:color w:val="auto"/>
        </w:rPr>
      </w:pPr>
    </w:p>
    <w:p>
      <w:pPr>
        <w:ind w:left="1940" w:hanging="636"/>
        <w:spacing w:after="0"/>
        <w:tabs>
          <w:tab w:leader="none" w:pos="1940" w:val="left"/>
        </w:tabs>
        <w:numPr>
          <w:ilvl w:val="0"/>
          <w:numId w:val="291"/>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20" w:lineRule="auto"/>
        <w:rPr>
          <w:rFonts w:ascii="Arial" w:cs="Arial" w:eastAsia="Arial" w:hAnsi="Arial"/>
          <w:sz w:val="19"/>
          <w:szCs w:val="19"/>
          <w:color w:val="auto"/>
        </w:rPr>
      </w:pPr>
      <w:r>
        <w:rPr>
          <w:rFonts w:ascii="Arial" w:cs="Arial" w:eastAsia="Arial" w:hAnsi="Arial"/>
          <w:sz w:val="20"/>
          <w:szCs w:val="20"/>
          <w:color w:val="auto"/>
        </w:rPr>
        <w:t>DEFINED BELOW) DO NOT WARRANT THE ACCURACY OR COMPLETENESS OF THE BORROWER MATERIALS OR THE ADEQUACY OF THE PLATFORM, AND EXPRESSLY DISCLAIM LIABILITY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183</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357" w:lineRule="exact"/>
        <w:rPr>
          <w:sz w:val="20"/>
          <w:szCs w:val="20"/>
          <w:color w:val="auto"/>
        </w:rPr>
      </w:pPr>
    </w:p>
    <w:p>
      <w:pPr>
        <w:spacing w:after="0" w:line="223" w:lineRule="auto"/>
        <w:rPr>
          <w:sz w:val="20"/>
          <w:szCs w:val="20"/>
          <w:color w:val="auto"/>
        </w:rPr>
      </w:pPr>
      <w:r>
        <w:rPr>
          <w:rFonts w:ascii="Arial" w:cs="Arial" w:eastAsia="Arial" w:hAnsi="Arial"/>
          <w:sz w:val="19"/>
          <w:szCs w:val="19"/>
          <w:color w:val="auto"/>
        </w:rPr>
        <w:t>ERRORS IN OR OMISSIONS FROM THE BORROWER MATERIALS. NO WARRANTY OF ANY KIND, EXPRESS, IMPLIED OR STATUTORY, INCLUDING ANY WARRANTY OF MERCHANTABILITY, FITNESS FOR A PARTICULAR PURPOSE, NON-</w:t>
      </w:r>
    </w:p>
    <w:p>
      <w:pPr>
        <w:spacing w:after="0" w:line="224" w:lineRule="auto"/>
        <w:rPr>
          <w:sz w:val="20"/>
          <w:szCs w:val="20"/>
          <w:color w:val="auto"/>
        </w:rPr>
      </w:pPr>
      <w:r>
        <w:rPr>
          <w:rFonts w:ascii="Arial" w:cs="Arial" w:eastAsia="Arial" w:hAnsi="Arial"/>
          <w:sz w:val="19"/>
          <w:szCs w:val="19"/>
          <w:color w:val="auto"/>
        </w:rPr>
        <w:t>INFRINGEMENT OF THIRD PARTY RIGHTS OR FREEDOM FROM VIRUSES OR OTHER CODE DEFECTS, IS MADE BY ANY</w:t>
      </w:r>
    </w:p>
    <w:p>
      <w:pPr>
        <w:jc w:val="both"/>
        <w:spacing w:after="0" w:line="226" w:lineRule="auto"/>
        <w:rPr>
          <w:sz w:val="20"/>
          <w:szCs w:val="20"/>
          <w:color w:val="auto"/>
        </w:rPr>
      </w:pPr>
      <w:r>
        <w:rPr>
          <w:rFonts w:ascii="Arial" w:cs="Arial" w:eastAsia="Arial" w:hAnsi="Arial"/>
          <w:sz w:val="18"/>
          <w:szCs w:val="18"/>
          <w:color w:val="auto"/>
        </w:rPr>
        <w:t>AGENT PARTY IN CONNECTION WITH THE BORROWER MATERIALS OR THE PLATFORM. In no event shall the Administrative Agent or any of its Related Parties or any Lead Arranger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w:t>
      </w:r>
    </w:p>
    <w:p>
      <w:pPr>
        <w:spacing w:after="0" w:line="236" w:lineRule="auto"/>
        <w:rPr>
          <w:sz w:val="20"/>
          <w:szCs w:val="20"/>
          <w:color w:val="auto"/>
        </w:rPr>
      </w:pPr>
      <w:r>
        <w:rPr>
          <w:rFonts w:ascii="Arial" w:cs="Arial" w:eastAsia="Arial" w:hAnsi="Arial"/>
          <w:sz w:val="18"/>
          <w:szCs w:val="18"/>
          <w:color w:val="auto"/>
        </w:rPr>
        <w:t>or any other Person for losses, claims, damages, liabilities or expenses of any kind (whether in tort, contract or otherwise) arising out of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Party’s or the Administrative Agent’s transmission of Borrower Materials through the Internet, except to the extent that such losses, claims, damages, liabilities or expenses are determined by a court of competent jurisdiction by a final and nonappealable judgment to have</w:t>
      </w:r>
    </w:p>
    <w:p>
      <w:pPr>
        <w:spacing w:after="0" w:line="236" w:lineRule="auto"/>
        <w:rPr>
          <w:sz w:val="20"/>
          <w:szCs w:val="20"/>
          <w:color w:val="auto"/>
        </w:rPr>
      </w:pPr>
      <w:r>
        <w:rPr>
          <w:rFonts w:ascii="Arial" w:cs="Arial" w:eastAsia="Arial" w:hAnsi="Arial"/>
          <w:sz w:val="18"/>
          <w:szCs w:val="18"/>
          <w:color w:val="auto"/>
        </w:rPr>
        <w:t xml:space="preserve">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shall any Agent Party have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any liability to any Loan Party, any Lender or any other Person for indirect, special, incidental, consequential or punitive damages (as opposed to direct or actual damages).</w:t>
      </w:r>
    </w:p>
    <w:p>
      <w:pPr>
        <w:spacing w:after="0" w:line="170" w:lineRule="exact"/>
        <w:rPr>
          <w:sz w:val="20"/>
          <w:szCs w:val="20"/>
          <w:color w:val="auto"/>
        </w:rPr>
      </w:pPr>
    </w:p>
    <w:p>
      <w:pPr>
        <w:jc w:val="both"/>
        <w:ind w:firstLine="1304"/>
        <w:spacing w:after="0" w:line="223" w:lineRule="auto"/>
        <w:tabs>
          <w:tab w:leader="none" w:pos="1932"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Any party hereto may change its address, email address or telephone number for notices and other communications hereunder by notice to the other parties hereto. All notices and other communications given to any party hereto in accordance with the provisions of this Agreement shall be deemed to have been given on the date of receipt.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Holdings, the Borrowers or their respective subsidiaries and its or their securities for purposes of United States Federal or state securities laws.</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6"/>
          <w:szCs w:val="16"/>
          <w:u w:val="single" w:color="auto"/>
          <w:color w:val="auto"/>
        </w:rPr>
        <w:t>Waivers; Enforcement; Amendments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1" w:lineRule="auto"/>
        <w:tabs>
          <w:tab w:leader="none" w:pos="1934" w:val="left"/>
        </w:tabs>
        <w:numPr>
          <w:ilvl w:val="1"/>
          <w:numId w:val="293"/>
        </w:numPr>
        <w:rPr>
          <w:rFonts w:ascii="Arial" w:cs="Arial" w:eastAsia="Arial" w:hAnsi="Arial"/>
          <w:sz w:val="19"/>
          <w:szCs w:val="19"/>
          <w:color w:val="auto"/>
        </w:rPr>
      </w:pPr>
      <w:r>
        <w:rPr>
          <w:rFonts w:ascii="Arial" w:cs="Arial" w:eastAsia="Arial" w:hAnsi="Arial"/>
          <w:sz w:val="19"/>
          <w:szCs w:val="19"/>
          <w:color w:val="auto"/>
        </w:rPr>
        <w:t>(i) No failure or delay by the Administrative Agent, the Collateral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Applicable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issuance, extension or amendment of a Letter of Credit shall not be construed as a waiver of any Default, regardless of whether the Administrative Agent, the Collateral Agent, any Lender or any Issuing Bank may have had notice or knowledge of such Default at the time.</w:t>
      </w:r>
    </w:p>
    <w:p>
      <w:pPr>
        <w:spacing w:after="0" w:line="176" w:lineRule="exact"/>
        <w:rPr>
          <w:rFonts w:ascii="Arial" w:cs="Arial" w:eastAsia="Arial" w:hAnsi="Arial"/>
          <w:sz w:val="19"/>
          <w:szCs w:val="19"/>
          <w:color w:val="auto"/>
        </w:rPr>
      </w:pPr>
    </w:p>
    <w:p>
      <w:pPr>
        <w:jc w:val="both"/>
        <w:ind w:firstLine="1085"/>
        <w:spacing w:after="0" w:line="246" w:lineRule="auto"/>
        <w:tabs>
          <w:tab w:leader="none" w:pos="153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or the Collateral Agent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for the benefit of all the Lenders and the Issuing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357" w:lineRule="exact"/>
        <w:rPr>
          <w:sz w:val="20"/>
          <w:szCs w:val="20"/>
          <w:color w:val="auto"/>
        </w:rPr>
      </w:pPr>
    </w:p>
    <w:p>
      <w:pPr>
        <w:jc w:val="both"/>
        <w:ind w:firstLine="1304"/>
        <w:spacing w:after="0" w:line="229" w:lineRule="auto"/>
        <w:tabs>
          <w:tab w:leader="none" w:pos="193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Except as provided in Section 2.14, Section 2.20 with respect to an Incremental Amendment, Section 2.22 with respect to an Extension Amendment and Section 2.24 with respect to a Refinancing Amendment, neither this Agreement, any other Loan Document nor any provision hereof or thereof may be waived, amended or modified except pursuant to an agreement or agreements in writing entered into by (A) the Applicable Borrower and the Required Lenders or (B) by the Applicable Borrower and the Administrative Agent with the consent of the Required Lenders (in each case other than, with respect to any amendment or waiver contemplated in clauses (viii), (ix) and (xi) below, which shall only require the consent of the Required Revolving Lenders under the applicable Class of Revolving Commitments, as applicable (and not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reduce or waive any obligation of any Borrower to pay interest or fees at the applicable default rate set forth in Section 2.13(d), (iii) postpone the scheduled date of payment of the principal amount of any Loan (other than any reduction of the amount of, or any extension of the payment date for, the mandatory prepayments required under Section 2.11, in each case which shall only require the approval of the Required Lenders), or any interest thereon (other than interest payable at the applicable default rate of interest set forth in Section 2.13(d)),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directly and adversely affected thereby, (v) change any of the provisions of this Section 9.02 or the definitions of “Required Lenders” or “Majority in Interest”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or Section 2.24 to be parties to an Incremental Amendment or a Refinancing Amendment, as applicable, Incremental Loans and Other Refinancing Loans may be included in the determination of Required Lenders on substantially the same basis as the Term Loans are included on the Closing Date), (vi) except as provided in Section 9.13, release all or substantially all of the Guarantors from their obligations under the Guaranty without the written consent of each Lender, (vii) except as provided in Section 9.13 or in any Collateral Document, release all or substantially all of the Collateral, without the written consent of each Lender, (viii) amend, waive or otherwise modify any term or provision (including the waiver of any conditions set forth in Section 4.02 as to any credit extension under one or more Revolving Commitments) which directly affects Lenders under one or more Revolving Commitments and does not directly affect Lenders under any Term Loan Commitments, in each case, without the written consent of the Required Revolving Lenders under such applicable Class of Revolving Commitments (and in the case of multiple Revolving Commitments which are affected, such Required Revolving Lenders shall consent together as one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waivers described in this clause (viii) shall not require the consent of any Lenders other than the Required Revolving Lenders under the applicable Class of Revolving Commitments; (ix) amend, waive or otherwise modify the Financial Covenant or any definition related thereto (solely in respect of the use of such defined terms in the Financial Covenant) or waive any Default or Event of Default resulting from a failure to perform or observe the Financial Covenant without the written consent of the Required Revolving Lenders (and in the case of multiple Revolving Commitments which are affected, such Required Revolving Lenders shall consent together as one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amendments, waivers and other modifications described in this clause</w:t>
      </w:r>
    </w:p>
    <w:p>
      <w:pPr>
        <w:spacing w:after="0" w:line="29" w:lineRule="exact"/>
        <w:rPr>
          <w:rFonts w:ascii="Arial" w:cs="Arial" w:eastAsia="Arial" w:hAnsi="Arial"/>
          <w:sz w:val="18"/>
          <w:szCs w:val="18"/>
          <w:color w:val="auto"/>
        </w:rPr>
      </w:pPr>
    </w:p>
    <w:p>
      <w:pPr>
        <w:jc w:val="both"/>
        <w:ind w:firstLine="8"/>
        <w:spacing w:after="0" w:line="229" w:lineRule="auto"/>
        <w:tabs>
          <w:tab w:leader="none" w:pos="372" w:val="left"/>
        </w:tabs>
        <w:numPr>
          <w:ilvl w:val="0"/>
          <w:numId w:val="296"/>
        </w:numPr>
        <w:rPr>
          <w:rFonts w:ascii="Arial" w:cs="Arial" w:eastAsia="Arial" w:hAnsi="Arial"/>
          <w:sz w:val="19"/>
          <w:szCs w:val="19"/>
          <w:color w:val="auto"/>
        </w:rPr>
      </w:pPr>
      <w:r>
        <w:rPr>
          <w:rFonts w:ascii="Arial" w:cs="Arial" w:eastAsia="Arial" w:hAnsi="Arial"/>
          <w:sz w:val="19"/>
          <w:szCs w:val="19"/>
          <w:color w:val="auto"/>
        </w:rPr>
        <w:t>shall not require the consent of any Lenders other than the Required Revolving Lenders under the applicable Class of Revolving Commitments, (x) change any provisions of any Loan Document in a manner that by its terms adversely affects the rights in respect of payments due (including, for the avoidance of doubt, scheduled date of payment of the principal amount of any Loan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185</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interest thereon), mandatory prepayments or postpone the scheduled date of expiration of any Commitment) to Lenders holding Loans of any Class differently than those holding Loans of any other Class without the written consent of Lenders representing a Majority in Interest of</w:t>
      </w:r>
    </w:p>
    <w:p>
      <w:pPr>
        <w:spacing w:after="0" w:line="222" w:lineRule="auto"/>
        <w:rPr>
          <w:sz w:val="20"/>
          <w:szCs w:val="20"/>
          <w:color w:val="auto"/>
        </w:rPr>
      </w:pPr>
      <w:r>
        <w:rPr>
          <w:rFonts w:ascii="Arial" w:cs="Arial" w:eastAsia="Arial" w:hAnsi="Arial"/>
          <w:sz w:val="19"/>
          <w:szCs w:val="19"/>
          <w:color w:val="auto"/>
        </w:rPr>
        <w:t>each adversely affected Class, (xi) change the definition of “Required Revolving Lenders” or any other provision hereof specifying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number or percentage of Revolving Lenders required to waive, amend or modify any rights hereunder or make any determination or grant any consent hereunder, without the written consent of each Revolving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amendments, waivers and other</w:t>
      </w:r>
    </w:p>
    <w:p>
      <w:pPr>
        <w:spacing w:after="0" w:line="236" w:lineRule="auto"/>
        <w:rPr>
          <w:sz w:val="20"/>
          <w:szCs w:val="20"/>
          <w:color w:val="auto"/>
        </w:rPr>
      </w:pPr>
      <w:r>
        <w:rPr>
          <w:rFonts w:ascii="Arial" w:cs="Arial" w:eastAsia="Arial" w:hAnsi="Arial"/>
          <w:sz w:val="18"/>
          <w:szCs w:val="18"/>
          <w:color w:val="auto"/>
        </w:rPr>
        <w:t>modifications described in this clause (xi) shall not require the consent of any Lenders other than the Revolving Lenders under the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Class of Revolving Commitments or (xii) subordinate the Liens on the Collateral securing the Obligations to the Liens securing any other Indebtedness or subordinate the Obligations in right of payment to any other Indebtedness, other than indebtedness or liens in respect of</w:t>
      </w:r>
    </w:p>
    <w:p>
      <w:pPr>
        <w:spacing w:after="0" w:line="236" w:lineRule="auto"/>
        <w:rPr>
          <w:sz w:val="20"/>
          <w:szCs w:val="20"/>
          <w:color w:val="auto"/>
        </w:rPr>
      </w:pPr>
      <w:r>
        <w:rPr>
          <w:rFonts w:ascii="Arial" w:cs="Arial" w:eastAsia="Arial" w:hAnsi="Arial"/>
          <w:sz w:val="18"/>
          <w:szCs w:val="18"/>
          <w:color w:val="auto"/>
        </w:rPr>
        <w:t>which such subordination is permitted under Section 9.13 of this Agreement (as in effect on the Closing Date), in each case, without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agreement shall amend, modify or otherwise affect the rights or duties of the Administrative Agent, the Collateral Agent, the Issuing Banks or the Swingline Lender hereunder without the prior written consent of the</w:t>
      </w:r>
    </w:p>
    <w:p>
      <w:pPr>
        <w:spacing w:after="0" w:line="236" w:lineRule="auto"/>
        <w:rPr>
          <w:sz w:val="20"/>
          <w:szCs w:val="20"/>
          <w:color w:val="auto"/>
        </w:rPr>
      </w:pPr>
      <w:r>
        <w:rPr>
          <w:rFonts w:ascii="Arial" w:cs="Arial" w:eastAsia="Arial" w:hAnsi="Arial"/>
          <w:sz w:val="18"/>
          <w:szCs w:val="18"/>
          <w:color w:val="auto"/>
        </w:rPr>
        <w:t xml:space="preserve">Administrative Agent, the Collateral Agent, the Issuing Banks or the Swingline Lender,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this Agreement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any other Loan Document may be amended with the consent of the Administrative Agent and the Borrowers (and without the consent of any other party) to add parallel debt or other foreign law provisions that the Administrative Agent and the Borrowers determine are necessary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advisable with respect to the jurisdiction of organization or incorporation of any Loan Party.</w:t>
      </w:r>
    </w:p>
    <w:p>
      <w:pPr>
        <w:spacing w:after="0" w:line="173" w:lineRule="exact"/>
        <w:rPr>
          <w:sz w:val="20"/>
          <w:szCs w:val="20"/>
          <w:color w:val="auto"/>
        </w:rPr>
      </w:pPr>
    </w:p>
    <w:p>
      <w:pPr>
        <w:jc w:val="both"/>
        <w:ind w:firstLine="1304"/>
        <w:spacing w:after="0" w:line="223" w:lineRule="auto"/>
        <w:tabs>
          <w:tab w:leader="none" w:pos="1934" w:val="left"/>
        </w:tabs>
        <w:numPr>
          <w:ilvl w:val="0"/>
          <w:numId w:val="297"/>
        </w:numPr>
        <w:rPr>
          <w:rFonts w:ascii="Arial" w:cs="Arial" w:eastAsia="Arial" w:hAnsi="Arial"/>
          <w:sz w:val="19"/>
          <w:szCs w:val="19"/>
          <w:color w:val="auto"/>
        </w:rPr>
      </w:pPr>
      <w:r>
        <w:rPr>
          <w:rFonts w:ascii="Arial" w:cs="Arial" w:eastAsia="Arial" w:hAnsi="Arial"/>
          <w:sz w:val="19"/>
          <w:szCs w:val="19"/>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Amendment and any Credit Agreement Refinancing Indebtedness pursuant to a Refinancing Amendment) to this Agreement and to permit extensions of credit from time to time outstanding thereunder and the accrued interest and fees in respect thereof to share ratably in the benefits of this Agreement and the other Loan Documents with the Revolving Loans, the Term Loans, Incremental Term Loans and the accrued interest and fees in respect thereof and (y) to include appropriately the Lenders holding such credit facilities in any determination of the Required Lenders and Lenders, and for purposes of the relevant provisions of Section 2.18(b).</w:t>
      </w:r>
    </w:p>
    <w:p>
      <w:pPr>
        <w:spacing w:after="0" w:line="171" w:lineRule="exact"/>
        <w:rPr>
          <w:rFonts w:ascii="Arial" w:cs="Arial" w:eastAsia="Arial" w:hAnsi="Arial"/>
          <w:sz w:val="19"/>
          <w:szCs w:val="19"/>
          <w:color w:val="auto"/>
        </w:rPr>
      </w:pPr>
    </w:p>
    <w:p>
      <w:pPr>
        <w:jc w:val="both"/>
        <w:ind w:firstLine="1304"/>
        <w:spacing w:after="0" w:line="265" w:lineRule="auto"/>
        <w:tabs>
          <w:tab w:leader="none" w:pos="193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Applicable Borrower may elect to (i) if no Event of Default exists, permanently prepay all of the Loans of any Class owing by it to, and terminating any Commitments of, each such Non-Consenting Lender or (ii) replace a Non-Consenting Lender as a Lender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concurrently with such replacement, (i) another bank or other entity (which is reasonably satisfactory to the Applicable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Applicable Borrower shall pay to such Non-Consenting Lender in same day funds on the day of such replacement (1) all interest, fees and other amounts then accrued but unpaid to such Non-Consenting Lender by each Borrower hereunder to and including the date of termination, including without limitation payments due to such Non-Consenting Lender under Sections 2.15 and 2.17, (2) an amount, if any, equal to the payment which would have been due to such Lender on the day of such replacement under Section 2.19 had the Loans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such Non-Consenting Lender been prepaid on such date rather than sold to the replacement Lender and (3) any amounts owing to such Lender pursuant to Section 2.12. A Lender shall not be required to make any such assignment and delegation if, prior thereto, as a result of a</w:t>
      </w:r>
    </w:p>
    <w:p>
      <w:pPr>
        <w:spacing w:after="0" w:line="235" w:lineRule="auto"/>
        <w:rPr>
          <w:sz w:val="20"/>
          <w:szCs w:val="20"/>
          <w:color w:val="auto"/>
        </w:rPr>
      </w:pPr>
      <w:r>
        <w:rPr>
          <w:rFonts w:ascii="Arial" w:cs="Arial" w:eastAsia="Arial" w:hAnsi="Arial"/>
          <w:sz w:val="18"/>
          <w:szCs w:val="18"/>
          <w:color w:val="auto"/>
        </w:rPr>
        <w:t>waiver by such Lender or otherwise, the circumstances entitling the Applicable Borrower to require such assignment and delegation cease to</w:t>
      </w:r>
    </w:p>
    <w:p>
      <w:pPr>
        <w:spacing w:after="0" w:line="226" w:lineRule="auto"/>
        <w:rPr>
          <w:sz w:val="20"/>
          <w:szCs w:val="20"/>
          <w:color w:val="auto"/>
        </w:rPr>
      </w:pPr>
      <w:r>
        <w:rPr>
          <w:rFonts w:ascii="Arial" w:cs="Arial" w:eastAsia="Arial" w:hAnsi="Arial"/>
          <w:sz w:val="18"/>
          <w:szCs w:val="18"/>
          <w:color w:val="auto"/>
        </w:rPr>
        <w:t>apply. Each party hereto agrees that an assignment required pursuant to this clause (d) may be effected pursuant to an Assignment and Assumption executed by the Applicable Borrower, the Administrative Agent and the assignee and that the Non-Consenting Lender required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make such assignment need not be a party thereto, and each Lender hereby authorizes and directs the Administrative Agent to execute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deliver such documentation as may be required to give effect to an assignment in accordance with Section 9.04 on behalf of a Non-Consenting Lender and any such documentation so executed by the Administrative Agent shall be effective for purposes of documenting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assignment pursuant to Section 9.04.</w:t>
      </w:r>
    </w:p>
    <w:p>
      <w:pPr>
        <w:spacing w:after="0" w:line="173" w:lineRule="exact"/>
        <w:rPr>
          <w:sz w:val="20"/>
          <w:szCs w:val="20"/>
          <w:color w:val="auto"/>
        </w:rPr>
      </w:pPr>
    </w:p>
    <w:p>
      <w:pPr>
        <w:jc w:val="both"/>
        <w:ind w:firstLine="1304"/>
        <w:spacing w:after="0" w:line="234" w:lineRule="auto"/>
        <w:tabs>
          <w:tab w:leader="none" w:pos="193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Notwithstanding anything to the contrary herein, (i) if following the date hereof, the Administrative Agent and any Loan Party shall have jointly identified an ambiguity, inconsistency, obvious error or any error or omission of a technical or immaterial nature, in each case, in any provision of the Loan Documents, then the Administrative Agent and the Borrowers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 (which notice shall be given at least five (5) Business Days prior to any such amendment) and (ii) guarantees, collateral security agreements, pledge agreements and related documents (if any) executed by the Loan Parties in connection with this Agreement may be in a form reasonably determined by the Administrative Agent and may be amended, supplemented and/or waived with the consent of the Administrative Agent at the request of any Borrower without the input or need to obtain the consent of any other Lenders if such amendment or waiver is delivered in order (x) to comply with local law or advice of local counsel, (y) to cure ambiguities, omissions or defects or (z) to cause such guarantees, collateral security agreements, pledge agreement or other documents to be consistent with this Agreement and the other Loan Documents.</w:t>
      </w:r>
    </w:p>
    <w:p>
      <w:pPr>
        <w:spacing w:after="0" w:line="169" w:lineRule="exact"/>
        <w:rPr>
          <w:rFonts w:ascii="Arial" w:cs="Arial" w:eastAsia="Arial" w:hAnsi="Arial"/>
          <w:sz w:val="18"/>
          <w:szCs w:val="18"/>
          <w:color w:val="auto"/>
        </w:rPr>
      </w:pPr>
    </w:p>
    <w:p>
      <w:pPr>
        <w:jc w:val="both"/>
        <w:ind w:firstLine="1304"/>
        <w:spacing w:after="0" w:line="212" w:lineRule="auto"/>
        <w:tabs>
          <w:tab w:leader="none" w:pos="1939"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or the other Loan Documents to the contrary, the Revolving Commitments, Term Loans and Revolving Credit Exposure of any Lender that is at the time a Defaulting Lender or Disqualified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Commitment of any Defaulting Lender or Disqualified Lender may not be increased or extended without the consent of such Lender and (y) any waiver, amendment or modification requiring the consent of all Lenders or each affected Lender that affects any Defaulting Lender or Disqualified Lender more adversely than other affected Lenders shall require the consent of such Defaulting Lender or Disqualified Lender.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9" w:lineRule="auto"/>
        <w:tabs>
          <w:tab w:leader="none" w:pos="1934" w:val="left"/>
        </w:tabs>
        <w:numPr>
          <w:ilvl w:val="0"/>
          <w:numId w:val="299"/>
        </w:numPr>
        <w:rPr>
          <w:rFonts w:ascii="Arial" w:cs="Arial" w:eastAsia="Arial" w:hAnsi="Arial"/>
          <w:sz w:val="19"/>
          <w:szCs w:val="19"/>
          <w:color w:val="auto"/>
        </w:rPr>
      </w:pPr>
      <w:r>
        <w:rPr>
          <w:rFonts w:ascii="Arial" w:cs="Arial" w:eastAsia="Arial" w:hAnsi="Arial"/>
          <w:sz w:val="19"/>
          <w:szCs w:val="19"/>
          <w:color w:val="auto"/>
        </w:rPr>
        <w:t>Holdings and the Borrowers shall pay (i) all reasonable and documented out-of-pocket expenses incurred by the Agents, the Lead Arrangers and their respective Affiliates, including the reasonable fees, charges and disbursements of counsel for the Agents,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187</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contemplated hereby or thereby shall be consummated), (ii) all reasonable and documented out-of-pocket expenses incurred by the Issuing Banks in connection with the issuance, amendment, renewal or extension of any Letter of Credit or any demand for payment thereunder and</w:t>
      </w:r>
    </w:p>
    <w:p>
      <w:pPr>
        <w:jc w:val="both"/>
        <w:ind w:firstLine="8"/>
        <w:spacing w:after="0" w:line="232" w:lineRule="auto"/>
        <w:tabs>
          <w:tab w:leader="none" w:pos="36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all documented out-of-pocket expenses incurred by the Administrative Agent, the Collateral Agent, any Issuing Bank or any Lender, including the reasonable fees, charges and disbursements of any counsel (other than in-house counsel) for the Administrative Agent, the Collateral Agent, any Issuing Bank or any Lender, in connection with the enforcement or protection of its rights in connection with this Agreement and any other Loan Document, including its rights under this Section 9.03, or in connection with the Loans made or Letters of Credit issued hereunder, including all such out-of-pocket expenses incurred during any workout, restructuring or negotiations in respect of such Loans or Letters of Credit. Notwithstanding the foregoing, in no event shall Holdings or the Borrowers be required to reimburse the Lenders for more than one counsel to the Agents and the Lenders taken as a whole (and up to one local counsel in each applicable jurisdiction and regulatory counsel, and solely in the event of any actual or potential conflict of interest, one additional counsel in each relevant jurisdiction to each group of similarly situated affected persons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same shall be limited to (A) one counsel to the Administrative Agent, the Collateral Agent and for the Lenders (taken together as a single group or client), (B) if necessary, one local counsel required in any relevant local jurisdiction and applicable special regulatory counsel and (C) if representation of the Administrative Agent, the Collateral Agent and/or all Lenders in such matter by a single counsel would be inappropriate as determined by the Administrative Agent, the Collateral Agent and/or all Lenders due to the existence of an actual or potential conflict of interest, one additional counsel for the Administrative Agent, the Collateral Agent and for each Lender subject to such conflict.</w:t>
      </w:r>
    </w:p>
    <w:p>
      <w:pPr>
        <w:spacing w:after="0" w:line="166" w:lineRule="exact"/>
        <w:rPr>
          <w:rFonts w:ascii="Arial" w:cs="Arial" w:eastAsia="Arial" w:hAnsi="Arial"/>
          <w:sz w:val="18"/>
          <w:szCs w:val="18"/>
          <w:color w:val="auto"/>
        </w:rPr>
      </w:pPr>
    </w:p>
    <w:p>
      <w:pPr>
        <w:jc w:val="both"/>
        <w:ind w:firstLine="1304"/>
        <w:spacing w:after="0" w:line="263" w:lineRule="auto"/>
        <w:tabs>
          <w:tab w:leader="none" w:pos="193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Holdings and the Borrowers shall, and jointly and severally agree to, indemnify the Administrative Agent, the Collateral Agent, the Lead Arrangers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to Holdings or any of its Subsidiaries, or (iv) any actual or prospective claim, litigation, investigation or proceeding relating to any of the foregoing, whether based on contract, tort or any other theory and regardless of whether (x) any Indemnitee is a party thereto or (y) such matter is initiated by a third party or by Holdings, any of its affiliates, equity holders, security holders or creditors;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(w) other than with respect to the Administrative Agent or the Collateral Agent, resulted from a material breach of the Loan Documents by such Indemnitee (as determined by a court of competent jurisdiction in a final and non-appealable judgment), (x) are determined by a court of competent jurisdiction by final and nonappealable judgment to have resulted from the gross negligence or willful misconduct of such Indemnitee or any of its Related Parties, (y) other than with respect to the Administrative Agent or the Collateral Agent, result from a claim brought by any Loan Party against any Indemnitee for a material breach of such Indemnitee’s obligations hereunder or under any other Loan Document (as determined by a court of competent jurisdiction in a final and non-appealable judgment) (it being understood and agreed that the failure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188</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Lender to fund any portion of its Term Loan Commitment hereunder when the conditions set forth in Section 4.01 have been satisfied and/or waived in accordance with this Agreement shall be deemed a material breach, and (z) result from disputes solely among Indemnitees not</w:t>
      </w:r>
    </w:p>
    <w:p>
      <w:pPr>
        <w:spacing w:after="0"/>
        <w:rPr>
          <w:sz w:val="20"/>
          <w:szCs w:val="20"/>
          <w:color w:val="auto"/>
        </w:rPr>
      </w:pPr>
      <w:r>
        <w:rPr>
          <w:rFonts w:ascii="Arial" w:cs="Arial" w:eastAsia="Arial" w:hAnsi="Arial"/>
          <w:sz w:val="16"/>
          <w:szCs w:val="16"/>
          <w:color w:val="auto"/>
        </w:rPr>
        <w:t>involving any act or omission of any Loan Party or any of their respective Related Parties (other than a dispute against the Agents or the Lead</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Arrangers in their capacities as such). Without limiting or expanding the provisions of Section 2.17(c), this Section 9.03(b) shall not apply with respect to Taxes other than any Taxes that represent losses, claims, damages, etc. from a non-Tax claim.</w:t>
      </w:r>
    </w:p>
    <w:p>
      <w:pPr>
        <w:spacing w:after="0" w:line="170" w:lineRule="exact"/>
        <w:rPr>
          <w:sz w:val="20"/>
          <w:szCs w:val="20"/>
          <w:color w:val="auto"/>
        </w:rPr>
      </w:pPr>
    </w:p>
    <w:p>
      <w:pPr>
        <w:jc w:val="both"/>
        <w:ind w:firstLine="1304"/>
        <w:spacing w:after="0" w:line="237" w:lineRule="auto"/>
        <w:tabs>
          <w:tab w:leader="none" w:pos="193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To the extent that Holdings or the Borrowers fail to pay any amount required to be paid by it to the Administrative Agent, the Collateral Agent, the Issuing Banks or the Swingline Lender under paragraph (a) or (b) of this Section 9.03, each Lender severally agrees to pay to the Administrative Agent or the Collateral Agent, as the case may be, and each Revolving Lender severally agrees to pay to the Issuing Banks or the Swingline Lender, as the case may be, such Lender’s Applicable Percentage (determined as of the time that the applicable unreimbursed expense or indemnity payment is sought) of such unpaid amount (it being understood that the Borrowers’ failure to pay any such amount shall not relieve the Borrowers of any default in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the Collateral Agent, the Issuing Banks or the Swingline Lender in its capacity as such.</w:t>
      </w:r>
    </w:p>
    <w:p>
      <w:pPr>
        <w:spacing w:after="0" w:line="160" w:lineRule="exact"/>
        <w:rPr>
          <w:rFonts w:ascii="Arial" w:cs="Arial" w:eastAsia="Arial" w:hAnsi="Arial"/>
          <w:sz w:val="18"/>
          <w:szCs w:val="18"/>
          <w:color w:val="auto"/>
        </w:rPr>
      </w:pPr>
    </w:p>
    <w:p>
      <w:pPr>
        <w:jc w:val="both"/>
        <w:ind w:firstLine="1304"/>
        <w:spacing w:after="0" w:line="238" w:lineRule="auto"/>
        <w:tabs>
          <w:tab w:leader="none" w:pos="193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the extent permitted by applicable law, neither Holdings nor any Borrower shall assert, and hereby waive, any claim against any Indemnitee (i)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69" w:lineRule="exact"/>
        <w:rPr>
          <w:rFonts w:ascii="Arial" w:cs="Arial" w:eastAsia="Arial" w:hAnsi="Arial"/>
          <w:sz w:val="18"/>
          <w:szCs w:val="18"/>
          <w:color w:val="auto"/>
        </w:rPr>
      </w:pPr>
    </w:p>
    <w:p>
      <w:pPr>
        <w:ind w:left="1940" w:hanging="636"/>
        <w:spacing w:after="0"/>
        <w:tabs>
          <w:tab w:leader="none" w:pos="1940" w:val="left"/>
        </w:tabs>
        <w:numPr>
          <w:ilvl w:val="0"/>
          <w:numId w:val="301"/>
        </w:numPr>
        <w:rPr>
          <w:rFonts w:ascii="Arial" w:cs="Arial" w:eastAsia="Arial" w:hAnsi="Arial"/>
          <w:sz w:val="19"/>
          <w:szCs w:val="19"/>
          <w:color w:val="auto"/>
        </w:rPr>
      </w:pPr>
      <w:r>
        <w:rPr>
          <w:rFonts w:ascii="Arial" w:cs="Arial" w:eastAsia="Arial" w:hAnsi="Arial"/>
          <w:sz w:val="19"/>
          <w:szCs w:val="19"/>
          <w:color w:val="auto"/>
        </w:rPr>
        <w:t>All amounts due under this Section 9.03 shall be payable not later than fifteen (15) days after written demand</w:t>
      </w:r>
    </w:p>
    <w:p>
      <w:pPr>
        <w:spacing w:after="0"/>
        <w:rPr>
          <w:rFonts w:ascii="Arial" w:cs="Arial" w:eastAsia="Arial" w:hAnsi="Arial"/>
          <w:sz w:val="19"/>
          <w:szCs w:val="19"/>
          <w:color w:val="auto"/>
        </w:rPr>
      </w:pPr>
      <w:r>
        <w:rPr>
          <w:rFonts w:ascii="Arial" w:cs="Arial" w:eastAsia="Arial" w:hAnsi="Arial"/>
          <w:sz w:val="20"/>
          <w:szCs w:val="20"/>
          <w:color w:val="auto"/>
        </w:rPr>
        <w:t>therefor.</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5" w:lineRule="auto"/>
        <w:tabs>
          <w:tab w:leader="none" w:pos="193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branch or Affiliate of any Issuing Bank that issues any Letter of Credit), except that (i) neither Holdings nor any Borrower may assign or otherwise transfer any of their rights or obligations hereunder (and any attempted assignment or transfer by Holdings or any Borrower shall be null and void) and (ii) no Lender may assign or otherwise transfer its rights or obligations hereunder except to an Eligible Transferee. Nothing in this Agreement, expressed or implied, shall be construed to confer upon any Person (other than the parties hereto, their respective successors and assigns permitted hereby (including any branch or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173" w:lineRule="exact"/>
        <w:rPr>
          <w:rFonts w:ascii="Arial" w:cs="Arial" w:eastAsia="Arial" w:hAnsi="Arial"/>
          <w:sz w:val="18"/>
          <w:szCs w:val="18"/>
          <w:color w:val="auto"/>
        </w:rPr>
      </w:pPr>
    </w:p>
    <w:p>
      <w:pPr>
        <w:ind w:firstLine="1304"/>
        <w:spacing w:after="0" w:line="229" w:lineRule="auto"/>
        <w:tabs>
          <w:tab w:leader="none" w:pos="193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(b)(ii) below, any Lender may assign to one or more assignees (other than (x) Holdings and its Affiliates, except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189</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35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extent permitted in Section 2.23 and (y) any Person that is not an Eligible Transferee) all or a portion of its rights and obligations under this Agreement (including all or a portion of its Commitments and the Loans at the time owing to it) with the prior written consent of:</w:t>
      </w:r>
    </w:p>
    <w:p>
      <w:pPr>
        <w:spacing w:after="0" w:line="144" w:lineRule="exact"/>
        <w:rPr>
          <w:sz w:val="20"/>
          <w:szCs w:val="20"/>
          <w:color w:val="auto"/>
        </w:rPr>
      </w:pPr>
    </w:p>
    <w:p>
      <w:pPr>
        <w:jc w:val="both"/>
        <w:ind w:left="1300" w:firstLine="1300"/>
        <w:spacing w:after="0" w:line="214" w:lineRule="auto"/>
        <w:tabs>
          <w:tab w:leader="none" w:pos="3235" w:val="left"/>
        </w:tabs>
        <w:numPr>
          <w:ilvl w:val="1"/>
          <w:numId w:val="303"/>
        </w:numPr>
        <w:rPr>
          <w:rFonts w:ascii="Arial" w:cs="Arial" w:eastAsia="Arial" w:hAnsi="Arial"/>
          <w:sz w:val="20"/>
          <w:szCs w:val="20"/>
          <w:color w:val="auto"/>
        </w:rPr>
      </w:pPr>
      <w:r>
        <w:rPr>
          <w:rFonts w:ascii="Arial" w:cs="Arial" w:eastAsia="Arial" w:hAnsi="Arial"/>
          <w:sz w:val="20"/>
          <w:szCs w:val="20"/>
          <w:color w:val="auto"/>
        </w:rPr>
        <w:t xml:space="preserve">Holdings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Holdings shall be deemed to have consented to any assignment unless it shall object thereto by written notice to the Administrative Agent within ten (10) Business Days after having received written notice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consent of Holdings shall be required for (x) any assignment by any Agent or Lead Arranger (or any affiliate thereof) of Term Loans or related commitments pursuant to the primary syndication of such Term Loans and related commitments or (y) an assignment to a Lender, an Affiliate of a Lender, an Approved Fund or, if an Event of Default has occurred and is continuing, any other assignee;</w:t>
      </w:r>
    </w:p>
    <w:p>
      <w:pPr>
        <w:spacing w:after="0" w:line="171" w:lineRule="exact"/>
        <w:rPr>
          <w:rFonts w:ascii="Arial" w:cs="Arial" w:eastAsia="Arial" w:hAnsi="Arial"/>
          <w:sz w:val="20"/>
          <w:szCs w:val="20"/>
          <w:color w:val="auto"/>
        </w:rPr>
      </w:pPr>
    </w:p>
    <w:p>
      <w:pPr>
        <w:jc w:val="both"/>
        <w:ind w:left="1300" w:firstLine="1300"/>
        <w:spacing w:after="0" w:line="223" w:lineRule="auto"/>
        <w:tabs>
          <w:tab w:leader="none" w:pos="3238" w:val="left"/>
        </w:tabs>
        <w:numPr>
          <w:ilvl w:val="1"/>
          <w:numId w:val="303"/>
        </w:numPr>
        <w:rPr>
          <w:rFonts w:ascii="Arial" w:cs="Arial" w:eastAsia="Arial" w:hAnsi="Arial"/>
          <w:sz w:val="20"/>
          <w:szCs w:val="20"/>
          <w:color w:val="auto"/>
        </w:rPr>
      </w:pPr>
      <w:r>
        <w:rPr>
          <w:rFonts w:ascii="Arial" w:cs="Arial" w:eastAsia="Arial" w:hAnsi="Arial"/>
          <w:sz w:val="20"/>
          <w:szCs w:val="20"/>
          <w:color w:val="auto"/>
        </w:rPr>
        <w:t xml:space="preserve">the Administrative Agent (such consent not to be unreasonably withheld or delayed);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Term Loan to a Lender, an Affiliate of a Lender or an Approved Fund; and</w:t>
      </w:r>
    </w:p>
    <w:p>
      <w:pPr>
        <w:spacing w:after="0" w:line="168" w:lineRule="exact"/>
        <w:rPr>
          <w:rFonts w:ascii="Arial" w:cs="Arial" w:eastAsia="Arial" w:hAnsi="Arial"/>
          <w:sz w:val="20"/>
          <w:szCs w:val="20"/>
          <w:color w:val="auto"/>
        </w:rPr>
      </w:pPr>
    </w:p>
    <w:p>
      <w:pPr>
        <w:jc w:val="both"/>
        <w:ind w:left="1300" w:firstLine="1300"/>
        <w:spacing w:after="0" w:line="223" w:lineRule="auto"/>
        <w:tabs>
          <w:tab w:leader="none" w:pos="3238" w:val="left"/>
        </w:tabs>
        <w:numPr>
          <w:ilvl w:val="1"/>
          <w:numId w:val="303"/>
        </w:numPr>
        <w:rPr>
          <w:rFonts w:ascii="Arial" w:cs="Arial" w:eastAsia="Arial" w:hAnsi="Arial"/>
          <w:sz w:val="20"/>
          <w:szCs w:val="20"/>
          <w:color w:val="auto"/>
        </w:rPr>
      </w:pPr>
      <w:r>
        <w:rPr>
          <w:rFonts w:ascii="Arial" w:cs="Arial" w:eastAsia="Arial" w:hAnsi="Arial"/>
          <w:sz w:val="20"/>
          <w:szCs w:val="20"/>
          <w:color w:val="auto"/>
        </w:rPr>
        <w:t xml:space="preserve">the Issuing Banks and the Swingline Lender (such consent not to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any Issuing Bank or the Swingline Lender shall be required for an assignment of all or any portion of a Term Loan or any related commitment.</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75" w:lineRule="exact"/>
        <w:rPr>
          <w:rFonts w:ascii="Arial" w:cs="Arial" w:eastAsia="Arial" w:hAnsi="Arial"/>
          <w:sz w:val="20"/>
          <w:szCs w:val="20"/>
          <w:color w:val="auto"/>
        </w:rPr>
      </w:pPr>
    </w:p>
    <w:p>
      <w:pPr>
        <w:jc w:val="both"/>
        <w:ind w:left="1300" w:firstLine="1300"/>
        <w:spacing w:after="0" w:line="224" w:lineRule="auto"/>
        <w:tabs>
          <w:tab w:leader="none" w:pos="3235" w:val="left"/>
        </w:tabs>
        <w:numPr>
          <w:ilvl w:val="1"/>
          <w:numId w:val="304"/>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Approved Fund or an assignment of the entire remaining amount of the assigning Lender’s Commitment or Loans of any Class, the amount of the applicable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Term Loan) unless each of the Applicable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Applicable Borrower shall be required if an Event of Default has occurred and is continuing and this clause shall not be construed to prohibit the assignment of all the assigning Lender’s rights and obligations in respect of one Class of Commitments or Loans;</w:t>
      </w:r>
    </w:p>
    <w:p>
      <w:pPr>
        <w:spacing w:after="0" w:line="162" w:lineRule="exact"/>
        <w:rPr>
          <w:rFonts w:ascii="Arial" w:cs="Arial" w:eastAsia="Arial" w:hAnsi="Arial"/>
          <w:sz w:val="19"/>
          <w:szCs w:val="19"/>
          <w:color w:val="auto"/>
        </w:rPr>
      </w:pPr>
    </w:p>
    <w:p>
      <w:pPr>
        <w:jc w:val="both"/>
        <w:ind w:left="1300" w:firstLine="1300"/>
        <w:spacing w:after="0" w:line="220" w:lineRule="auto"/>
        <w:tabs>
          <w:tab w:leader="none" w:pos="3238" w:val="left"/>
        </w:tabs>
        <w:numPr>
          <w:ilvl w:val="1"/>
          <w:numId w:val="304"/>
        </w:numPr>
        <w:rPr>
          <w:rFonts w:ascii="Arial" w:cs="Arial" w:eastAsia="Arial" w:hAnsi="Arial"/>
          <w:sz w:val="20"/>
          <w:szCs w:val="20"/>
          <w:color w:val="auto"/>
        </w:rPr>
      </w:pPr>
      <w:r>
        <w:rPr>
          <w:rFonts w:ascii="Arial" w:cs="Arial" w:eastAsia="Arial" w:hAnsi="Arial"/>
          <w:sz w:val="20"/>
          <w:szCs w:val="20"/>
          <w:color w:val="auto"/>
        </w:rPr>
        <w:t xml:space="preserve">each partial assignment shall be made as an assignment of a proportionate part of all the assigning Lender’s rights and obligations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69" w:lineRule="exact"/>
        <w:rPr>
          <w:rFonts w:ascii="Arial" w:cs="Arial" w:eastAsia="Arial" w:hAnsi="Arial"/>
          <w:sz w:val="20"/>
          <w:szCs w:val="20"/>
          <w:color w:val="auto"/>
        </w:rPr>
      </w:pPr>
    </w:p>
    <w:p>
      <w:pPr>
        <w:jc w:val="both"/>
        <w:ind w:left="1300" w:right="20" w:firstLine="1300"/>
        <w:spacing w:after="0" w:line="220" w:lineRule="auto"/>
        <w:tabs>
          <w:tab w:leader="none" w:pos="3238" w:val="left"/>
        </w:tabs>
        <w:numPr>
          <w:ilvl w:val="1"/>
          <w:numId w:val="304"/>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 such fee to be paid by either the assigning Lender or the assignee Lender or shared between such Lenders, and which fee may be waived at the discretion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190</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357" w:lineRule="exact"/>
        <w:rPr>
          <w:sz w:val="20"/>
          <w:szCs w:val="20"/>
          <w:color w:val="auto"/>
        </w:rPr>
      </w:pPr>
    </w:p>
    <w:p>
      <w:pPr>
        <w:jc w:val="both"/>
        <w:ind w:left="640" w:firstLine="1300"/>
        <w:spacing w:after="0" w:line="227" w:lineRule="auto"/>
        <w:tabs>
          <w:tab w:leader="none" w:pos="2575"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Holdings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68" w:lineRule="exact"/>
        <w:rPr>
          <w:rFonts w:ascii="Arial" w:cs="Arial" w:eastAsia="Arial" w:hAnsi="Arial"/>
          <w:sz w:val="19"/>
          <w:szCs w:val="19"/>
          <w:color w:val="auto"/>
        </w:rPr>
      </w:pPr>
    </w:p>
    <w:p>
      <w:pPr>
        <w:ind w:left="640" w:firstLine="1300"/>
        <w:spacing w:after="0" w:line="285" w:lineRule="auto"/>
        <w:tabs>
          <w:tab w:leader="none" w:pos="2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without the prior written consent of the Administrative Agent, no assignment shall be made to a prospective assignee that bears a relationship to the Applicable Borrower as described in Section 108(e)(4) of the Code;</w:t>
      </w:r>
    </w:p>
    <w:p>
      <w:pPr>
        <w:spacing w:after="0" w:line="115" w:lineRule="exact"/>
        <w:rPr>
          <w:rFonts w:ascii="Arial" w:cs="Arial" w:eastAsia="Arial" w:hAnsi="Arial"/>
          <w:sz w:val="18"/>
          <w:szCs w:val="18"/>
          <w:color w:val="auto"/>
        </w:rPr>
      </w:pPr>
    </w:p>
    <w:p>
      <w:pPr>
        <w:jc w:val="both"/>
        <w:ind w:left="640" w:firstLine="1300"/>
        <w:spacing w:after="0" w:line="218" w:lineRule="auto"/>
        <w:tabs>
          <w:tab w:leader="none" w:pos="2583" w:val="left"/>
        </w:tabs>
        <w:numPr>
          <w:ilvl w:val="0"/>
          <w:numId w:val="305"/>
        </w:numPr>
        <w:rPr>
          <w:rFonts w:ascii="Arial" w:cs="Arial" w:eastAsia="Arial" w:hAnsi="Arial"/>
          <w:sz w:val="20"/>
          <w:szCs w:val="20"/>
          <w:color w:val="auto"/>
        </w:rPr>
      </w:pPr>
      <w:r>
        <w:rPr>
          <w:rFonts w:ascii="Arial" w:cs="Arial" w:eastAsia="Arial" w:hAnsi="Arial"/>
          <w:sz w:val="20"/>
          <w:szCs w:val="20"/>
          <w:color w:val="auto"/>
        </w:rPr>
        <w:t>if, at the time of any assignment, the respective assignee would be entitled to greater increased cost payments pursuant to Section 2.15 than those that apply to the respective assignor, then the respective assignee shall not be entitled to charge the Borrowers for any such increased costs which would otherwise be owed to it pursuant to Section 2.15, but in each case only to the extent in excess of those that would have applied to the respective assignor at the time of such assignment; and</w:t>
      </w:r>
    </w:p>
    <w:p>
      <w:pPr>
        <w:spacing w:after="0" w:line="170" w:lineRule="exact"/>
        <w:rPr>
          <w:rFonts w:ascii="Arial" w:cs="Arial" w:eastAsia="Arial" w:hAnsi="Arial"/>
          <w:sz w:val="20"/>
          <w:szCs w:val="20"/>
          <w:color w:val="auto"/>
        </w:rPr>
      </w:pPr>
    </w:p>
    <w:p>
      <w:pPr>
        <w:jc w:val="both"/>
        <w:ind w:left="640" w:firstLine="1300"/>
        <w:spacing w:after="0" w:line="215" w:lineRule="auto"/>
        <w:tabs>
          <w:tab w:leader="none" w:pos="2575" w:val="left"/>
        </w:tabs>
        <w:numPr>
          <w:ilvl w:val="0"/>
          <w:numId w:val="305"/>
        </w:numPr>
        <w:rPr>
          <w:rFonts w:ascii="Arial" w:cs="Arial" w:eastAsia="Arial" w:hAnsi="Arial"/>
          <w:sz w:val="20"/>
          <w:szCs w:val="20"/>
          <w:color w:val="auto"/>
        </w:rPr>
      </w:pPr>
      <w:r>
        <w:rPr>
          <w:rFonts w:ascii="Arial" w:cs="Arial" w:eastAsia="Arial" w:hAnsi="Arial"/>
          <w:sz w:val="20"/>
          <w:szCs w:val="20"/>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this Section 9.04(b), the term “</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following meaning:</w:t>
      </w:r>
    </w:p>
    <w:p>
      <w:pPr>
        <w:spacing w:after="0" w:line="162"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(or will be) engaged in making, purchasing, holding or investing in commercial loans and similar extensions of credit in the ordinary course of its business and that is</w:t>
      </w:r>
    </w:p>
    <w:p>
      <w:pPr>
        <w:ind w:right="20"/>
        <w:spacing w:after="0" w:line="220" w:lineRule="auto"/>
        <w:rPr>
          <w:sz w:val="20"/>
          <w:szCs w:val="20"/>
          <w:color w:val="auto"/>
        </w:rPr>
      </w:pPr>
      <w:r>
        <w:rPr>
          <w:rFonts w:ascii="Arial" w:cs="Arial" w:eastAsia="Arial" w:hAnsi="Arial"/>
          <w:sz w:val="20"/>
          <w:szCs w:val="20"/>
          <w:color w:val="auto"/>
        </w:rPr>
        <w:t>administered, advised or managed by (a) a Lender, (b) an Affiliate of a Lender or (c) an entity or an Affiliate of an entity that administers or manages a Lender.</w:t>
      </w:r>
    </w:p>
    <w:p>
      <w:pPr>
        <w:spacing w:after="0" w:line="156" w:lineRule="exact"/>
        <w:rPr>
          <w:sz w:val="20"/>
          <w:szCs w:val="20"/>
          <w:color w:val="auto"/>
        </w:rPr>
      </w:pPr>
    </w:p>
    <w:p>
      <w:pPr>
        <w:jc w:val="both"/>
        <w:ind w:firstLine="1292"/>
        <w:spacing w:after="0" w:line="235" w:lineRule="auto"/>
        <w:tabs>
          <w:tab w:leader="none" w:pos="194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9.04.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191</w:t>
      </w:r>
    </w:p>
    <w:p>
      <w:pPr>
        <w:sectPr>
          <w:pgSz w:w="11900" w:h="16838" w:orient="portrait"/>
          <w:cols w:equalWidth="0" w:num="1">
            <w:col w:w="10580"/>
          </w:cols>
          <w:pgMar w:left="980" w:top="1440" w:right="339" w:bottom="1440" w:gutter="0" w:footer="0" w:header="0"/>
        </w:sectPr>
      </w:pPr>
    </w:p>
    <w:bookmarkStart w:id="358" w:name="page359"/>
    <w:bookmarkEnd w:id="358"/>
    <w:p>
      <w:pPr>
        <w:spacing w:after="0" w:line="357" w:lineRule="exact"/>
        <w:rPr>
          <w:sz w:val="20"/>
          <w:szCs w:val="20"/>
          <w:color w:val="auto"/>
        </w:rPr>
      </w:pPr>
    </w:p>
    <w:p>
      <w:pPr>
        <w:jc w:val="both"/>
        <w:ind w:left="660" w:firstLine="1292"/>
        <w:spacing w:after="0" w:line="235" w:lineRule="auto"/>
        <w:tabs>
          <w:tab w:leader="none" w:pos="260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Borrowers, shall maintain at one of its offices located in the United States a copy of each Assignment and Assumption delivered to it and a register for the recordation of the names and addresses of the Lenders, and the Commitment of, and principal amount of and interest on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notwithstanding notice to the contrary. The Register shall be available for inspection by the Borrowers and, with respect to its interest, any Issuing Banks and any Lender, at any reasonable time and from time to time upon reasonable prior notice.</w:t>
      </w:r>
    </w:p>
    <w:p>
      <w:pPr>
        <w:spacing w:after="0" w:line="174" w:lineRule="exact"/>
        <w:rPr>
          <w:rFonts w:ascii="Arial" w:cs="Arial" w:eastAsia="Arial" w:hAnsi="Arial"/>
          <w:sz w:val="18"/>
          <w:szCs w:val="18"/>
          <w:color w:val="auto"/>
        </w:rPr>
      </w:pPr>
    </w:p>
    <w:p>
      <w:pPr>
        <w:jc w:val="both"/>
        <w:ind w:left="660" w:firstLine="1292"/>
        <w:spacing w:after="0" w:line="235" w:lineRule="auto"/>
        <w:tabs>
          <w:tab w:leader="none" w:pos="259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provided that if either the assigning Lender or the assignee shall have failed to make any payment required to be made by it pursuant to Section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73" w:lineRule="exact"/>
        <w:rPr>
          <w:rFonts w:ascii="Arial" w:cs="Arial" w:eastAsia="Arial" w:hAnsi="Arial"/>
          <w:sz w:val="18"/>
          <w:szCs w:val="18"/>
          <w:color w:val="auto"/>
        </w:rPr>
      </w:pPr>
    </w:p>
    <w:p>
      <w:pPr>
        <w:jc w:val="both"/>
        <w:ind w:firstLine="1304"/>
        <w:spacing w:after="0" w:line="232" w:lineRule="auto"/>
        <w:tabs>
          <w:tab w:leader="none" w:pos="193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 Any Lender may, without the consent of the Applicable Borrower, the Administrative Agent, the Issuing Banks or the Swingline Lender, sell participations to one or more banks or other entities (excluding (x) Holdings, the Borrowers and their respective Affiliates and (y) any Person that is not an Eligible Transferee) (a “Participant”)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(C) Holdings, the Borrowers and any Additional Borrower, the Administrative Agent, the Issuing Banks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Applicable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Borrowers agree that each Participant shall be entitled to the benefits of Sections 2.15, 2.16 and 2.17 (subject to the requirements and limitations therein including the requirements under Section 2.17(e) and (h), it being understood that the documentation required under Section 2.17(e) shall be delivered to the participating Lender (except in the case of an Irish Treaty Lender, where the documentation shall be delivered to the Administrative Agent and the Applicable Borrower or Additional Borrower) and the documentation required under Section 2.17(h) and the documentation required for the purposes of satisfying the procedural formalities referred to in paragraph (4) of the definition of “Irish Qualifying Lender” (if required) shall be delivered to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192</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applicable Borrower or Additional Borrower)) to the same extent as if it were a Lender and had acquired its interest by assignment pursuant to paragraph (b) of this Section 9.04. To the extent permitted by law, each Participant also shall be entitled to the benefits of Section 9.08 as</w:t>
      </w:r>
    </w:p>
    <w:p>
      <w:pPr>
        <w:spacing w:after="0"/>
        <w:rPr>
          <w:sz w:val="20"/>
          <w:szCs w:val="20"/>
          <w:color w:val="auto"/>
        </w:rPr>
      </w:pPr>
      <w:r>
        <w:rPr>
          <w:rFonts w:ascii="Arial" w:cs="Arial" w:eastAsia="Arial" w:hAnsi="Arial"/>
          <w:sz w:val="20"/>
          <w:szCs w:val="20"/>
          <w:color w:val="auto"/>
        </w:rPr>
        <w:t>though it were a Lender; provided such Participant agrees to be subject to Section 2.18(c) as though it were a Lender.</w:t>
      </w:r>
    </w:p>
    <w:p>
      <w:pPr>
        <w:spacing w:after="0" w:line="173" w:lineRule="exact"/>
        <w:rPr>
          <w:sz w:val="20"/>
          <w:szCs w:val="20"/>
          <w:color w:val="auto"/>
        </w:rPr>
      </w:pPr>
    </w:p>
    <w:p>
      <w:pPr>
        <w:jc w:val="both"/>
        <w:ind w:left="660" w:firstLine="1292"/>
        <w:spacing w:after="0" w:line="233" w:lineRule="auto"/>
        <w:tabs>
          <w:tab w:leader="none" w:pos="260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(not to be unreasonably withheld or delayed). Each Lender that sells a participation shall, acting solely for this purpose as a non-fiduciary agent of the applicable Borrower and Additional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and/or Irish law to the extent necessary to claim exemption from applicable Irish tax.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1" w:lineRule="exact"/>
        <w:rPr>
          <w:rFonts w:ascii="Arial" w:cs="Arial" w:eastAsia="Arial" w:hAnsi="Arial"/>
          <w:sz w:val="18"/>
          <w:szCs w:val="18"/>
          <w:color w:val="auto"/>
        </w:rPr>
      </w:pPr>
    </w:p>
    <w:p>
      <w:pPr>
        <w:jc w:val="both"/>
        <w:ind w:firstLine="1304"/>
        <w:spacing w:after="0" w:line="215" w:lineRule="auto"/>
        <w:tabs>
          <w:tab w:leader="none" w:pos="1932" w:val="left"/>
        </w:tabs>
        <w:numPr>
          <w:ilvl w:val="0"/>
          <w:numId w:val="310"/>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9.04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rFonts w:ascii="Arial" w:cs="Arial" w:eastAsia="Arial" w:hAnsi="Arial"/>
          <w:sz w:val="20"/>
          <w:szCs w:val="20"/>
          <w:color w:val="auto"/>
        </w:rPr>
      </w:pPr>
    </w:p>
    <w:p>
      <w:pPr>
        <w:jc w:val="both"/>
        <w:ind w:firstLine="1304"/>
        <w:spacing w:after="0" w:line="238" w:lineRule="auto"/>
        <w:tabs>
          <w:tab w:leader="none" w:pos="193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any assignment or transfer by a Lender to a new Lender, or any participation by such Lender in favor of a Participant, of all or any part of such Lender’s rights and obligations under this Agreement or any of the other Loan Documents, such Lender and the new Lender or Participant (as applicable) hereby agree that, for the purposes of Article 1278 and/or Article 1281 of the Luxembourg Civil Code (to the extent applicable), any assignment, amendment and/or transfer of any kind permitted under, and made in accordance with the provisions of, this Agreement or any agreement referred to herein to which a Luxembourg Loan Party is a party (including any Collateral Document), any security created or guarantee given under or in connection with this Agreement or any other Loan Document shall be preserved and shall continue in full force and effect for the benefit of such new Lender or Participant (as applicable).</w:t>
      </w:r>
    </w:p>
    <w:p>
      <w:pPr>
        <w:spacing w:after="0" w:line="156" w:lineRule="exact"/>
        <w:rPr>
          <w:rFonts w:ascii="Arial" w:cs="Arial" w:eastAsia="Arial" w:hAnsi="Arial"/>
          <w:sz w:val="18"/>
          <w:szCs w:val="18"/>
          <w:color w:val="auto"/>
        </w:rPr>
      </w:pPr>
    </w:p>
    <w:p>
      <w:pPr>
        <w:jc w:val="both"/>
        <w:ind w:firstLine="1304"/>
        <w:spacing w:after="0" w:line="227" w:lineRule="auto"/>
        <w:tabs>
          <w:tab w:leader="none" w:pos="1939" w:val="left"/>
        </w:tabs>
        <w:numPr>
          <w:ilvl w:val="0"/>
          <w:numId w:val="310"/>
        </w:numPr>
        <w:rPr>
          <w:rFonts w:ascii="Arial" w:cs="Arial" w:eastAsia="Arial" w:hAnsi="Arial"/>
          <w:sz w:val="20"/>
          <w:szCs w:val="20"/>
          <w:color w:val="auto"/>
        </w:rPr>
      </w:pPr>
      <w:r>
        <w:rPr>
          <w:rFonts w:ascii="Arial" w:cs="Arial" w:eastAsia="Arial" w:hAnsi="Arial"/>
          <w:sz w:val="20"/>
          <w:szCs w:val="20"/>
          <w:color w:val="auto"/>
        </w:rPr>
        <w:t>Notwithstanding the foregoing, no assignment may be made or participation sold to a Disqualified Lender without the prior written consent of Holdings; provided that upon inquiry by any Lender to the Administrative Agent as to whether a specified potential assignee or prospective participant is on the list of Disqualified Lenders,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193</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Administrative Agent shall be permitted to disclose to such Lender whether such specified potential assignee or prospective participant is on the list of Disqualified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inclusion on the list of Disqualified Lenders shall not apply retroactively to disqualify</w:t>
      </w:r>
    </w:p>
    <w:p>
      <w:pPr>
        <w:spacing w:after="0" w:line="222" w:lineRule="auto"/>
        <w:rPr>
          <w:sz w:val="20"/>
          <w:szCs w:val="20"/>
          <w:color w:val="auto"/>
        </w:rPr>
      </w:pPr>
      <w:r>
        <w:rPr>
          <w:rFonts w:ascii="Arial" w:cs="Arial" w:eastAsia="Arial" w:hAnsi="Arial"/>
          <w:sz w:val="19"/>
          <w:szCs w:val="19"/>
          <w:color w:val="auto"/>
        </w:rPr>
        <w:t>any persons that have previously acquired an assignment or participation in the Loan if such person was not included on the list of</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Disqualified Lenders at the time of such assignment or participation. Notwithstanding anything contained in this Agreement or any other Loan Document to the contrary, if any Lender was a Disqualified Lender at the time of the assignment of any Loans or Commitments to such</w:t>
      </w:r>
    </w:p>
    <w:p>
      <w:pPr>
        <w:spacing w:after="0" w:line="236" w:lineRule="auto"/>
        <w:rPr>
          <w:sz w:val="20"/>
          <w:szCs w:val="20"/>
          <w:color w:val="auto"/>
        </w:rPr>
      </w:pPr>
      <w:r>
        <w:rPr>
          <w:rFonts w:ascii="Arial" w:cs="Arial" w:eastAsia="Arial" w:hAnsi="Arial"/>
          <w:sz w:val="18"/>
          <w:szCs w:val="18"/>
          <w:color w:val="auto"/>
        </w:rPr>
        <w:t>Lender, following written notice from the Applicable Borrower to such Lender and the Administrative Agent and otherwise in accordance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with Section 2.19(b), as applicable: (1) such Lender shall promptly assign all Loans and Commitments held by such Lender to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Administrative Agent shall not have any obligation to the Borrowers, such Lender or any other Person to find</w:t>
      </w:r>
    </w:p>
    <w:p>
      <w:pPr>
        <w:spacing w:after="0" w:line="236" w:lineRule="auto"/>
        <w:rPr>
          <w:sz w:val="20"/>
          <w:szCs w:val="20"/>
          <w:color w:val="auto"/>
        </w:rPr>
      </w:pPr>
      <w:r>
        <w:rPr>
          <w:rFonts w:ascii="Arial" w:cs="Arial" w:eastAsia="Arial" w:hAnsi="Arial"/>
          <w:sz w:val="18"/>
          <w:szCs w:val="18"/>
          <w:color w:val="auto"/>
        </w:rPr>
        <w:t>such a replacement Lender, (B) the Borrowers shall not have any obligation to such Disqualified Lender or any other Person to find such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replacement Lender or accept or consent to any such assignment to itself or any other Person subject to the Borrowers’ consent in accordance with Section 9.04(b) and (C) the assignment of such Loans and/or Commitments, as the case may be, shall be at par plus accrued and unpaid</w:t>
      </w:r>
    </w:p>
    <w:p>
      <w:pPr>
        <w:spacing w:after="0" w:line="223" w:lineRule="auto"/>
        <w:rPr>
          <w:sz w:val="20"/>
          <w:szCs w:val="20"/>
          <w:color w:val="auto"/>
        </w:rPr>
      </w:pPr>
      <w:r>
        <w:rPr>
          <w:rFonts w:ascii="Arial" w:cs="Arial" w:eastAsia="Arial" w:hAnsi="Arial"/>
          <w:sz w:val="19"/>
          <w:szCs w:val="19"/>
          <w:color w:val="auto"/>
        </w:rPr>
        <w:t>interest and fees; (2) such Lender shall not have any voting or approval rights under the Loan Documents and shall be excluded in</w:t>
      </w:r>
    </w:p>
    <w:p>
      <w:pPr>
        <w:spacing w:after="0" w:line="215" w:lineRule="auto"/>
        <w:rPr>
          <w:sz w:val="20"/>
          <w:szCs w:val="20"/>
          <w:color w:val="auto"/>
        </w:rPr>
      </w:pPr>
      <w:r>
        <w:rPr>
          <w:rFonts w:ascii="Arial" w:cs="Arial" w:eastAsia="Arial" w:hAnsi="Arial"/>
          <w:sz w:val="19"/>
          <w:szCs w:val="19"/>
          <w:color w:val="auto"/>
        </w:rPr>
        <w:t>determining whether all Lenders (or all Lenders of any Class), all affected Lenders (or all affected Lenders of any Class), a Majority in Interest of Lenders of any Class or the Required Lenders have taken or may take any action hereunder (including any consent to any</w:t>
      </w:r>
    </w:p>
    <w:p>
      <w:pPr>
        <w:spacing w:after="0" w:line="234" w:lineRule="auto"/>
        <w:rPr>
          <w:sz w:val="20"/>
          <w:szCs w:val="20"/>
          <w:color w:val="auto"/>
        </w:rPr>
      </w:pPr>
      <w:r>
        <w:rPr>
          <w:rFonts w:ascii="Arial" w:cs="Arial" w:eastAsia="Arial" w:hAnsi="Arial"/>
          <w:sz w:val="18"/>
          <w:szCs w:val="18"/>
          <w:color w:val="auto"/>
        </w:rPr>
        <w:t xml:space="preserve">amendment or waiver pursuant to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Commitment of any Disqualified Lender may not be increased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extended without the consent of such Lender and (y) any waiver, amendment or modification requiring the consent of all Lenders or each affected Lender that affects any Disqualified Lender adversely and in a manner that is disproportionate to other affected Lenders shall require</w:t>
      </w:r>
    </w:p>
    <w:p>
      <w:pPr>
        <w:spacing w:after="0" w:line="236" w:lineRule="auto"/>
        <w:rPr>
          <w:sz w:val="20"/>
          <w:szCs w:val="20"/>
          <w:color w:val="auto"/>
        </w:rPr>
      </w:pPr>
      <w:r>
        <w:rPr>
          <w:rFonts w:ascii="Arial" w:cs="Arial" w:eastAsia="Arial" w:hAnsi="Arial"/>
          <w:sz w:val="18"/>
          <w:szCs w:val="18"/>
          <w:color w:val="auto"/>
        </w:rPr>
        <w:t>the consent of such Disqualified Lender; and (3) no Disqualified Lender is entitled to receive information provided solely to Lenders by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Administrative Agent or any Lender or will be permitted to attend or participate in meetings attended solely by the Lenders and the Administrative Agent, other than the right to receive notices of Borrowings, notices of prepayments and other administrative notices in</w:t>
      </w:r>
    </w:p>
    <w:p>
      <w:pPr>
        <w:spacing w:after="0"/>
        <w:rPr>
          <w:sz w:val="20"/>
          <w:szCs w:val="20"/>
          <w:color w:val="auto"/>
        </w:rPr>
      </w:pPr>
      <w:r>
        <w:rPr>
          <w:rFonts w:ascii="Arial" w:cs="Arial" w:eastAsia="Arial" w:hAnsi="Arial"/>
          <w:sz w:val="20"/>
          <w:szCs w:val="20"/>
          <w:color w:val="auto"/>
        </w:rPr>
        <w:t>respect of its Loans or Commitments required to be delivered to Lenders pursuant to Article II.</w:t>
      </w:r>
    </w:p>
    <w:p>
      <w:pPr>
        <w:spacing w:after="0" w:line="173" w:lineRule="exact"/>
        <w:rPr>
          <w:sz w:val="20"/>
          <w:szCs w:val="20"/>
          <w:color w:val="auto"/>
        </w:rPr>
      </w:pPr>
    </w:p>
    <w:p>
      <w:pPr>
        <w:jc w:val="both"/>
        <w:ind w:firstLine="1304"/>
        <w:spacing w:after="0" w:line="235" w:lineRule="auto"/>
        <w:tabs>
          <w:tab w:leader="none" w:pos="1932" w:val="left"/>
        </w:tabs>
        <w:numPr>
          <w:ilvl w:val="0"/>
          <w:numId w:val="31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Lender may assign all or a portion of its rights and obligations with respect to the Term Loans or the Term Loan Commitments, under this Agreement to Holdings, a Borrower or any Subsidiaries through open market purchases on a pro-rata or non-pro rata basis, in each case subject to the following limitations:</w:t>
      </w:r>
    </w:p>
    <w:p>
      <w:pPr>
        <w:spacing w:after="0" w:line="168" w:lineRule="exact"/>
        <w:rPr>
          <w:rFonts w:ascii="Arial" w:cs="Arial" w:eastAsia="Arial" w:hAnsi="Arial"/>
          <w:sz w:val="19"/>
          <w:szCs w:val="19"/>
          <w:color w:val="auto"/>
        </w:rPr>
      </w:pPr>
    </w:p>
    <w:p>
      <w:pPr>
        <w:jc w:val="both"/>
        <w:ind w:left="660" w:firstLine="1292"/>
        <w:spacing w:after="0" w:line="226" w:lineRule="auto"/>
        <w:tabs>
          <w:tab w:leader="none" w:pos="2602" w:val="left"/>
        </w:tabs>
        <w:numPr>
          <w:ilvl w:val="1"/>
          <w:numId w:val="311"/>
        </w:numPr>
        <w:rPr>
          <w:rFonts w:ascii="Arial" w:cs="Arial" w:eastAsia="Arial" w:hAnsi="Arial"/>
          <w:sz w:val="19"/>
          <w:szCs w:val="19"/>
          <w:color w:val="auto"/>
        </w:rPr>
      </w:pPr>
      <w:r>
        <w:rPr>
          <w:rFonts w:ascii="Arial" w:cs="Arial" w:eastAsia="Arial" w:hAnsi="Arial"/>
          <w:sz w:val="19"/>
          <w:szCs w:val="19"/>
          <w:color w:val="auto"/>
        </w:rPr>
        <w:t>(x) if the assignee is Holdings or a Subsidiary, upon such assignment, the applicable assignee will automatically be deemed to have contributed or transferred the principal amount of such Term Loans, plus all accrued and unpaid interest thereon, to a Borrower or (y) if the assignee is a Borrower, (including through the contribution or other transfers set forth in clause (x)), the principal amount of such Term Loans, along with all accrued and unpaid interest thereon, so contributed, assigned or transferred to such Borrower (with the consent of such Borrower) in exchange for debt or equity securities will be deemed automatically cancelled and extinguished upon such assignment, contribution or transfer;</w:t>
      </w:r>
    </w:p>
    <w:p>
      <w:pPr>
        <w:spacing w:after="0" w:line="144" w:lineRule="exact"/>
        <w:rPr>
          <w:rFonts w:ascii="Arial" w:cs="Arial" w:eastAsia="Arial" w:hAnsi="Arial"/>
          <w:sz w:val="19"/>
          <w:szCs w:val="19"/>
          <w:color w:val="auto"/>
        </w:rPr>
      </w:pPr>
    </w:p>
    <w:p>
      <w:pPr>
        <w:ind w:left="2600" w:hanging="648"/>
        <w:spacing w:after="0"/>
        <w:tabs>
          <w:tab w:leader="none" w:pos="260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no Event of Default shall be continuing or shall result therefrom immediately prior to or after such</w:t>
      </w:r>
    </w:p>
    <w:p>
      <w:pPr>
        <w:ind w:left="660"/>
        <w:spacing w:after="0"/>
        <w:rPr>
          <w:rFonts w:ascii="Arial" w:cs="Arial" w:eastAsia="Arial" w:hAnsi="Arial"/>
          <w:sz w:val="20"/>
          <w:szCs w:val="20"/>
          <w:color w:val="auto"/>
        </w:rPr>
      </w:pPr>
      <w:r>
        <w:rPr>
          <w:rFonts w:ascii="Arial" w:cs="Arial" w:eastAsia="Arial" w:hAnsi="Arial"/>
          <w:sz w:val="20"/>
          <w:szCs w:val="20"/>
          <w:color w:val="auto"/>
        </w:rPr>
        <w:t>assignment; and</w:t>
      </w:r>
    </w:p>
    <w:p>
      <w:pPr>
        <w:spacing w:after="0" w:line="172" w:lineRule="exact"/>
        <w:rPr>
          <w:rFonts w:ascii="Arial" w:cs="Arial" w:eastAsia="Arial" w:hAnsi="Arial"/>
          <w:sz w:val="20"/>
          <w:szCs w:val="20"/>
          <w:color w:val="auto"/>
        </w:rPr>
      </w:pPr>
    </w:p>
    <w:p>
      <w:pPr>
        <w:ind w:left="660" w:firstLine="1292"/>
        <w:spacing w:after="0" w:line="269" w:lineRule="auto"/>
        <w:tabs>
          <w:tab w:leader="none" w:pos="260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U.S. Term Loans and the Lux Term Loans shall trade as a strip, and each assignment of Initial Term Loans from any Term Lender to an assignee shall consist of an equal percentage of the respective principal amounts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194</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357" w:lineRule="exact"/>
        <w:rPr>
          <w:sz w:val="20"/>
          <w:szCs w:val="20"/>
          <w:color w:val="auto"/>
        </w:rPr>
      </w:pPr>
    </w:p>
    <w:p>
      <w:pPr>
        <w:ind w:left="660"/>
        <w:spacing w:after="0" w:line="269" w:lineRule="auto"/>
        <w:rPr>
          <w:sz w:val="20"/>
          <w:szCs w:val="20"/>
          <w:color w:val="auto"/>
        </w:rPr>
      </w:pPr>
      <w:r>
        <w:rPr>
          <w:rFonts w:ascii="Arial" w:cs="Arial" w:eastAsia="Arial" w:hAnsi="Arial"/>
          <w:sz w:val="18"/>
          <w:szCs w:val="18"/>
          <w:color w:val="auto"/>
        </w:rPr>
        <w:t>Assignor’s U.S. Term Loans and Lux Term Loans (i.e., the percentage of the principal amount of an assignor’s U.S. Term Loans that are assigned shall equal the percentage of the principal amount of such assignor’s Lux Term Loans that are assigned); and</w:t>
      </w:r>
    </w:p>
    <w:p>
      <w:pPr>
        <w:spacing w:after="0" w:line="144" w:lineRule="exact"/>
        <w:rPr>
          <w:sz w:val="20"/>
          <w:szCs w:val="20"/>
          <w:color w:val="auto"/>
        </w:rPr>
      </w:pPr>
    </w:p>
    <w:p>
      <w:pPr>
        <w:ind w:left="660" w:right="20" w:firstLine="1292"/>
        <w:spacing w:after="0" w:line="236" w:lineRule="auto"/>
        <w:tabs>
          <w:tab w:leader="none" w:pos="2593" w:val="left"/>
        </w:tabs>
        <w:numPr>
          <w:ilvl w:val="0"/>
          <w:numId w:val="312"/>
        </w:numPr>
        <w:rPr>
          <w:rFonts w:ascii="Arial" w:cs="Arial" w:eastAsia="Arial" w:hAnsi="Arial"/>
          <w:sz w:val="20"/>
          <w:szCs w:val="20"/>
          <w:color w:val="auto"/>
        </w:rPr>
      </w:pPr>
      <w:r>
        <w:rPr>
          <w:rFonts w:ascii="Arial" w:cs="Arial" w:eastAsia="Arial" w:hAnsi="Arial"/>
          <w:sz w:val="20"/>
          <w:szCs w:val="20"/>
          <w:color w:val="auto"/>
        </w:rPr>
        <w:t>no assignment of any Term Loans or Term Loan Commitments shall be made from the proceeds of any Revolving Loan or Swingline Loan.</w:t>
      </w:r>
    </w:p>
    <w:p>
      <w:pPr>
        <w:spacing w:after="0" w:line="15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the Loan Documents and in the certificates or other instruments delivered in connection with or pursuant to this Agreement or any other Loan</w:t>
      </w:r>
    </w:p>
    <w:p>
      <w:pPr>
        <w:spacing w:after="0" w:line="226" w:lineRule="auto"/>
        <w:rPr>
          <w:sz w:val="20"/>
          <w:szCs w:val="20"/>
          <w:color w:val="auto"/>
        </w:rPr>
      </w:pPr>
      <w:r>
        <w:rPr>
          <w:rFonts w:ascii="Arial" w:cs="Arial" w:eastAsia="Arial" w:hAnsi="Arial"/>
          <w:sz w:val="18"/>
          <w:szCs w:val="18"/>
          <w:color w:val="auto"/>
        </w:rPr>
        <w:t>Document shall be considered to have been relied upon by the other parties hereto and shall survive the execution and delivery of the Loan Documents and the making of any Loans and issuance of any Letters of Credit, regardless of any investigation made by any such other party</w:t>
      </w:r>
    </w:p>
    <w:p>
      <w:pPr>
        <w:spacing w:after="0" w:line="236" w:lineRule="auto"/>
        <w:rPr>
          <w:sz w:val="20"/>
          <w:szCs w:val="20"/>
          <w:color w:val="auto"/>
        </w:rPr>
      </w:pPr>
      <w:r>
        <w:rPr>
          <w:rFonts w:ascii="Arial" w:cs="Arial" w:eastAsia="Arial" w:hAnsi="Arial"/>
          <w:sz w:val="18"/>
          <w:szCs w:val="18"/>
          <w:color w:val="auto"/>
        </w:rPr>
        <w:t>or on its behalf and notwithstanding that the Administrative Agent, the Collateral Agent, any Issuing Bank or any Lender may have had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notice or knowledge of any Default or incorrect representation or warranty at the time any credit is extended hereunder, and shall continue in full force and effect as long as the principal of or any accrued interest on any Loan or any fee or any other amount payable under this</w:t>
      </w:r>
    </w:p>
    <w:p>
      <w:pPr>
        <w:spacing w:after="0" w:line="224" w:lineRule="auto"/>
        <w:rPr>
          <w:sz w:val="20"/>
          <w:szCs w:val="20"/>
          <w:color w:val="auto"/>
        </w:rPr>
      </w:pPr>
      <w:r>
        <w:rPr>
          <w:rFonts w:ascii="Arial" w:cs="Arial" w:eastAsia="Arial" w:hAnsi="Arial"/>
          <w:sz w:val="19"/>
          <w:szCs w:val="19"/>
          <w:color w:val="auto"/>
        </w:rPr>
        <w:t>Agreement or any other Loan Document is outstanding and unpaid (except for Unliquidated Obligations) or any Letter of Credit is</w:t>
      </w:r>
    </w:p>
    <w:p>
      <w:pPr>
        <w:spacing w:after="0" w:line="255" w:lineRule="auto"/>
        <w:rPr>
          <w:sz w:val="20"/>
          <w:szCs w:val="20"/>
          <w:color w:val="auto"/>
        </w:rPr>
      </w:pPr>
      <w:r>
        <w:rPr>
          <w:rFonts w:ascii="Arial" w:cs="Arial" w:eastAsia="Arial" w:hAnsi="Arial"/>
          <w:sz w:val="16"/>
          <w:szCs w:val="16"/>
          <w:color w:val="auto"/>
        </w:rPr>
        <w:t>outstanding (unless such Letter of Credit has been Cash Collateralized) and so long as the Commitments have not expired or terminated. The provisions of Sections 2.15, 2.16, 2.17 and 9.03 and Article VIII shall survive and remain in full force and effect regardless of the resignation</w:t>
      </w:r>
    </w:p>
    <w:p>
      <w:pPr>
        <w:spacing w:after="0" w:line="235" w:lineRule="auto"/>
        <w:rPr>
          <w:sz w:val="20"/>
          <w:szCs w:val="20"/>
          <w:color w:val="auto"/>
        </w:rPr>
      </w:pPr>
      <w:r>
        <w:rPr>
          <w:rFonts w:ascii="Arial" w:cs="Arial" w:eastAsia="Arial" w:hAnsi="Arial"/>
          <w:sz w:val="18"/>
          <w:szCs w:val="18"/>
          <w:color w:val="auto"/>
        </w:rPr>
        <w:t>or replacement of the Administrative Agent or the Collateral Agent or any assignment of rights by, or the replacement of, a Lender, the</w:t>
      </w:r>
    </w:p>
    <w:p>
      <w:pPr>
        <w:spacing w:after="0" w:line="232" w:lineRule="auto"/>
        <w:rPr>
          <w:sz w:val="20"/>
          <w:szCs w:val="20"/>
          <w:color w:val="auto"/>
        </w:rPr>
      </w:pPr>
      <w:r>
        <w:rPr>
          <w:rFonts w:ascii="Arial" w:cs="Arial" w:eastAsia="Arial" w:hAnsi="Arial"/>
          <w:sz w:val="19"/>
          <w:szCs w:val="19"/>
          <w:color w:val="auto"/>
        </w:rPr>
        <w:t>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w:t>
      </w:r>
    </w:p>
    <w:p>
      <w:pPr>
        <w:spacing w:after="0" w:line="255" w:lineRule="auto"/>
        <w:rPr>
          <w:sz w:val="20"/>
          <w:szCs w:val="20"/>
          <w:color w:val="auto"/>
        </w:rPr>
      </w:pPr>
      <w:r>
        <w:rPr>
          <w:rFonts w:ascii="Arial" w:cs="Arial" w:eastAsia="Arial" w:hAnsi="Arial"/>
          <w:sz w:val="16"/>
          <w:szCs w:val="16"/>
          <w:color w:val="auto"/>
        </w:rPr>
        <w:t>hereto in different counterparts), each of which shall constitute an original, but all of which when taken together shall constitute a single contract. This Agreement, the other Loan Documents and any separate letter agreements with respect to fees payable to the Agents constitute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entire contract among the parties relating to the subject matter hereof and supersede any and all previous agreements and understandings,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oral or written, relating to the subject matter hereof. This Agreement shall become effective upon the delivery by the Agents, the Lenders, Holdings, the Borrowers and each Subsidiary Guarantor of executed counterparts of the signature page to this Agreement. For the avoidance</w:t>
      </w:r>
    </w:p>
    <w:p>
      <w:pPr>
        <w:spacing w:after="0" w:line="236" w:lineRule="auto"/>
        <w:rPr>
          <w:sz w:val="20"/>
          <w:szCs w:val="20"/>
          <w:color w:val="auto"/>
        </w:rPr>
      </w:pPr>
      <w:r>
        <w:rPr>
          <w:rFonts w:ascii="Arial" w:cs="Arial" w:eastAsia="Arial" w:hAnsi="Arial"/>
          <w:sz w:val="18"/>
          <w:szCs w:val="18"/>
          <w:color w:val="auto"/>
        </w:rPr>
        <w:t>of doubt, upon the effectiveness of this Agreement, the Commitments shall become enforceable by the Borrowers. Delivery of an executed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counterpart of a signature page of this Agreement by facsimile or by email as a “.pdf” or “.tif” attachment shall be effective as delivery of a manually executed counterpart of this Agreement. The words “execution,” “signed”, “signature” and words of like import herein shall be</w:t>
      </w:r>
    </w:p>
    <w:p>
      <w:pPr>
        <w:spacing w:after="0" w:line="236" w:lineRule="auto"/>
        <w:rPr>
          <w:sz w:val="20"/>
          <w:szCs w:val="20"/>
          <w:color w:val="auto"/>
        </w:rPr>
      </w:pPr>
      <w:r>
        <w:rPr>
          <w:rFonts w:ascii="Arial" w:cs="Arial" w:eastAsia="Arial" w:hAnsi="Arial"/>
          <w:sz w:val="18"/>
          <w:szCs w:val="18"/>
          <w:color w:val="auto"/>
        </w:rPr>
        <w:t>deemed to include electronic signatures, the electronic matching of assignment terms and contract formations on the electronic platform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DocuSign, digital copies of a signatory’s manual signature and deliveries or the keeping of records in electronic form, each of which shall be of the same legal effect, validity or enforceability as a manually executed signature to the extent and as provided in any applicable law,</w:t>
      </w:r>
    </w:p>
    <w:p>
      <w:pPr>
        <w:spacing w:after="0" w:line="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including the Federal Electronic Signatures in Global and National Commerce Act, the New York State Electronic Signatures and Records Act, or any other similar state laws based on the Uniform Electronic Transactions Act.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3.07</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any Loan Document held to be invalid, illegal or unenforceable in any jurisdiction</w:t>
      </w:r>
    </w:p>
    <w:p>
      <w:pPr>
        <w:ind w:right="20"/>
        <w:spacing w:after="0" w:line="226" w:lineRule="auto"/>
        <w:rPr>
          <w:sz w:val="20"/>
          <w:szCs w:val="20"/>
          <w:color w:val="auto"/>
        </w:rPr>
      </w:pPr>
      <w:r>
        <w:rPr>
          <w:rFonts w:ascii="Arial" w:cs="Arial" w:eastAsia="Arial" w:hAnsi="Arial"/>
          <w:sz w:val="18"/>
          <w:szCs w:val="18"/>
          <w:color w:val="auto"/>
        </w:rPr>
        <w:t>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invalidate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195</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35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and each of its Affiliates is hereby authorized at any time and from time to time, to the fullest extent permitted by law, to set off and apply any and all deposits</w:t>
      </w:r>
    </w:p>
    <w:p>
      <w:pPr>
        <w:spacing w:after="0" w:line="235" w:lineRule="auto"/>
        <w:rPr>
          <w:sz w:val="20"/>
          <w:szCs w:val="20"/>
          <w:color w:val="auto"/>
        </w:rPr>
      </w:pPr>
      <w:r>
        <w:rPr>
          <w:rFonts w:ascii="Arial" w:cs="Arial" w:eastAsia="Arial" w:hAnsi="Arial"/>
          <w:sz w:val="18"/>
          <w:szCs w:val="18"/>
          <w:color w:val="auto"/>
        </w:rPr>
        <w:t>(general or special, time or demand, provisional or final and in whatever currency denominated) at any time held and other obligations at any</w:t>
      </w:r>
    </w:p>
    <w:p>
      <w:pPr>
        <w:spacing w:after="0" w:line="215" w:lineRule="auto"/>
        <w:rPr>
          <w:sz w:val="20"/>
          <w:szCs w:val="20"/>
          <w:color w:val="auto"/>
        </w:rPr>
      </w:pPr>
      <w:r>
        <w:rPr>
          <w:rFonts w:ascii="Arial" w:cs="Arial" w:eastAsia="Arial" w:hAnsi="Arial"/>
          <w:sz w:val="19"/>
          <w:szCs w:val="19"/>
          <w:color w:val="auto"/>
        </w:rPr>
        <w:t>time owing by such Lender or Affiliate to or for the credit or the account of any Borrower or any Guarantor against any of and all of the Secured Obligations held by such Lender, irrespective of whether or not such Lender shall have made any demand under the Loan</w:t>
      </w:r>
    </w:p>
    <w:p>
      <w:pPr>
        <w:spacing w:after="0" w:line="234" w:lineRule="auto"/>
        <w:rPr>
          <w:sz w:val="20"/>
          <w:szCs w:val="20"/>
          <w:color w:val="auto"/>
        </w:rPr>
      </w:pPr>
      <w:r>
        <w:rPr>
          <w:rFonts w:ascii="Arial" w:cs="Arial" w:eastAsia="Arial" w:hAnsi="Arial"/>
          <w:sz w:val="18"/>
          <w:szCs w:val="18"/>
          <w:color w:val="auto"/>
        </w:rPr>
        <w:t xml:space="preserve">Documents and although such obligations may be unmatured;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recovery by any Lender or any Affiliate pursuant to its setoff</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rights under this Section 9.08 is subject to the provisions of Section 2.18(c). The rights of each Lender under this Section 9.08 are in addition to other rights and remedies (including other rights of setoff) which such Lender may have.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3.09</w:t>
      </w:r>
      <w:r>
        <w:rPr>
          <w:sz w:val="20"/>
          <w:szCs w:val="20"/>
          <w:color w:val="auto"/>
        </w:rPr>
        <w:tab/>
      </w:r>
      <w:r>
        <w:rPr>
          <w:rFonts w:ascii="Arial" w:cs="Arial" w:eastAsia="Arial" w:hAnsi="Arial"/>
          <w:sz w:val="16"/>
          <w:szCs w:val="16"/>
          <w:u w:val="single" w:color="auto"/>
          <w:color w:val="auto"/>
        </w:rPr>
        <w:t>Governing Law; Jurisdiction; Consent to Service of Process; Foreign Process Agent</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31" w:lineRule="auto"/>
        <w:tabs>
          <w:tab w:leader="none" w:pos="193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This Agreement and each other Loan Document (except, as to any other Loan Document, as expressly set forth therein) shall be construed in accordance with and governed by the law of the State of New York; provided, however, that (i) the interpretation of the definition of “Company Material Adverse Effect” and whether there shall have occurred a “Company Material Adverse Effect”, (ii) whether the Acquisition has been consummated in accordance with the terms and conditions of the Acquisition Agreement, and</w:t>
      </w:r>
    </w:p>
    <w:p>
      <w:pPr>
        <w:spacing w:after="0" w:line="2"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whether the representations and warranties made by Target and its Subsidiaries in the Acquisition Agreement are true and correct and</w:t>
      </w:r>
    </w:p>
    <w:p>
      <w:pPr>
        <w:spacing w:after="0" w:line="223" w:lineRule="auto"/>
        <w:rPr>
          <w:sz w:val="20"/>
          <w:szCs w:val="20"/>
          <w:color w:val="auto"/>
        </w:rPr>
      </w:pPr>
      <w:r>
        <w:rPr>
          <w:rFonts w:ascii="Arial" w:cs="Arial" w:eastAsia="Arial" w:hAnsi="Arial"/>
          <w:sz w:val="19"/>
          <w:szCs w:val="19"/>
          <w:color w:val="auto"/>
        </w:rPr>
        <w:t>whether as a result of any failure thereof Holdings (or its applicable Subsidiaries) has the right to terminate its obligations under the</w:t>
      </w:r>
    </w:p>
    <w:p>
      <w:pPr>
        <w:spacing w:after="0" w:line="226" w:lineRule="auto"/>
        <w:rPr>
          <w:sz w:val="20"/>
          <w:szCs w:val="20"/>
          <w:color w:val="auto"/>
        </w:rPr>
      </w:pPr>
      <w:r>
        <w:rPr>
          <w:rFonts w:ascii="Arial" w:cs="Arial" w:eastAsia="Arial" w:hAnsi="Arial"/>
          <w:sz w:val="18"/>
          <w:szCs w:val="18"/>
          <w:color w:val="auto"/>
        </w:rPr>
        <w:t>Acquisition Agreement (or the right not to consummate the Acquisition pursuant to the Acquisition Agreement) shall be determined in accordance with the laws of the State of Delaware without regards to conflicts of laws principles that would result in the application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laws of another jurisdiction.</w:t>
      </w:r>
    </w:p>
    <w:p>
      <w:pPr>
        <w:spacing w:after="0" w:line="173" w:lineRule="exact"/>
        <w:rPr>
          <w:sz w:val="20"/>
          <w:szCs w:val="20"/>
          <w:color w:val="auto"/>
        </w:rPr>
      </w:pPr>
    </w:p>
    <w:p>
      <w:pPr>
        <w:jc w:val="both"/>
        <w:ind w:firstLine="1304"/>
        <w:spacing w:after="0" w:line="223" w:lineRule="auto"/>
        <w:tabs>
          <w:tab w:leader="none" w:pos="1932" w:val="left"/>
        </w:tabs>
        <w:numPr>
          <w:ilvl w:val="0"/>
          <w:numId w:val="315"/>
        </w:numPr>
        <w:rPr>
          <w:rFonts w:ascii="Arial" w:cs="Arial" w:eastAsia="Arial" w:hAnsi="Arial"/>
          <w:sz w:val="19"/>
          <w:szCs w:val="19"/>
          <w:color w:val="auto"/>
        </w:rPr>
      </w:pPr>
      <w:r>
        <w:rPr>
          <w:rFonts w:ascii="Arial" w:cs="Arial" w:eastAsia="Arial" w:hAnsi="Arial"/>
          <w:sz w:val="19"/>
          <w:szCs w:val="19"/>
          <w:color w:val="auto"/>
        </w:rPr>
        <w:t>Each of Holdings, each Borrower and each Subsidiary Guarantor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competent jurisdiction.</w:t>
      </w:r>
    </w:p>
    <w:p>
      <w:pPr>
        <w:spacing w:after="0" w:line="156"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315"/>
        </w:numPr>
        <w:rPr>
          <w:rFonts w:ascii="Arial" w:cs="Arial" w:eastAsia="Arial" w:hAnsi="Arial"/>
          <w:sz w:val="20"/>
          <w:szCs w:val="20"/>
          <w:color w:val="auto"/>
        </w:rPr>
      </w:pPr>
      <w:r>
        <w:rPr>
          <w:rFonts w:ascii="Arial" w:cs="Arial" w:eastAsia="Arial" w:hAnsi="Arial"/>
          <w:sz w:val="20"/>
          <w:szCs w:val="20"/>
          <w:color w:val="auto"/>
        </w:rPr>
        <w:t>Each of Holdings, each Borrower and each Subsidiary Guarantor hereby irrevocably and unconditionally waives, to the fullest extent they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20"/>
          <w:szCs w:val="20"/>
          <w:color w:val="auto"/>
        </w:rPr>
      </w:pPr>
    </w:p>
    <w:p>
      <w:pPr>
        <w:ind w:right="20" w:firstLine="1304"/>
        <w:spacing w:after="0" w:line="236" w:lineRule="auto"/>
        <w:tabs>
          <w:tab w:leader="none" w:pos="1932" w:val="left"/>
        </w:tabs>
        <w:numPr>
          <w:ilvl w:val="0"/>
          <w:numId w:val="315"/>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9.01. Nothing in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196</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Document will affect the right of any party to this Agreement to serve process in any other manner permitted by law.</w:t>
      </w:r>
    </w:p>
    <w:p>
      <w:pPr>
        <w:spacing w:after="0" w:line="175" w:lineRule="exact"/>
        <w:rPr>
          <w:sz w:val="20"/>
          <w:szCs w:val="20"/>
          <w:color w:val="auto"/>
        </w:rPr>
      </w:pPr>
    </w:p>
    <w:p>
      <w:pPr>
        <w:jc w:val="both"/>
        <w:ind w:firstLine="1304"/>
        <w:spacing w:after="0" w:line="234" w:lineRule="auto"/>
        <w:tabs>
          <w:tab w:leader="none" w:pos="193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Holdings and each Subsidiary Guarantor hereby irrevocably and unconditionally appoints the U.S. Borrower and its successors hereunder (the “</w:t>
      </w:r>
      <w:r>
        <w:rPr>
          <w:rFonts w:ascii="Arial" w:cs="Arial" w:eastAsia="Arial" w:hAnsi="Arial"/>
          <w:sz w:val="18"/>
          <w:szCs w:val="18"/>
          <w:u w:val="single" w:color="auto"/>
          <w:color w:val="auto"/>
        </w:rPr>
        <w:t>Process Agent</w:t>
      </w:r>
      <w:r>
        <w:rPr>
          <w:rFonts w:ascii="Arial" w:cs="Arial" w:eastAsia="Arial" w:hAnsi="Arial"/>
          <w:sz w:val="18"/>
          <w:szCs w:val="18"/>
          <w:color w:val="auto"/>
        </w:rPr>
        <w:t>”), as its agent to receive on behalf of Holdings and each Subsidiary Guarantor and their respective property all writs, claims, process and summonses in any action or proceeding brought against it in the State of New York. Such service may be made by mailing or delivering a copy of such process to Holdings and each Subsidiary Guarantor in care of the Process Agent at the address specified above for the Process Agent, and Holdings and each Subsidiary Guarantor irrevocably authorizes and directs the Process Agent to accept such service on its behalf. Failure by the Process Agent to give notice to Holdings and each Subsidiary Guarantor or failure of Holdings and each Subsidiary Guarantor to receive notice of such service of process shall not impair or affect the validity of such service on the Process Agent, Holdings and each Subsidiary Guarantor, or of any judgment based thereon. Holdings and each Subsidiary Guarantor covenants and agrees that it shall take any and all reasonable action, including the execution and filing of any and all documents that may be necessary to continue the delegation of the Process Agent above in full force and effect, and to cause the Process Agent to act as such. Holdings and each Subsidiary Guarantor hereto further covenants and agrees to maintain at all times an agent with offices in New York City to act as its Process Agent. Nothing herein shall in any way be deemed to limit the ability to serve any such writs, process or summonses in any other manner permitted by applicable law.</w:t>
      </w:r>
    </w:p>
    <w:p>
      <w:pPr>
        <w:spacing w:after="0" w:line="15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WAIVES, TO THE FULLEST EXTENT</w:t>
      </w:r>
    </w:p>
    <w:p>
      <w:pPr>
        <w:spacing w:after="0" w:line="215" w:lineRule="auto"/>
        <w:rPr>
          <w:sz w:val="20"/>
          <w:szCs w:val="20"/>
          <w:color w:val="auto"/>
        </w:rPr>
      </w:pPr>
      <w:r>
        <w:rPr>
          <w:rFonts w:ascii="Arial" w:cs="Arial" w:eastAsia="Arial" w:hAnsi="Arial"/>
          <w:sz w:val="19"/>
          <w:szCs w:val="19"/>
          <w:color w:val="auto"/>
        </w:rPr>
        <w:t>PERMITTED BY APPLICABLE LAW, ANY RIGHT IT MAY HAVE TO A TRIAL BY JURY IN ANY LEGAL PROCEEDING DIRECTLY OR INDIRECTLY ARISING OUT OF OR RELATING TO THIS AGREEMENT, ANY OTHER LOAN DOCUMENT OR</w:t>
      </w:r>
    </w:p>
    <w:p>
      <w:pPr>
        <w:spacing w:after="0" w:line="222" w:lineRule="auto"/>
        <w:rPr>
          <w:sz w:val="20"/>
          <w:szCs w:val="20"/>
          <w:color w:val="auto"/>
        </w:rPr>
      </w:pPr>
      <w:r>
        <w:rPr>
          <w:rFonts w:ascii="Arial" w:cs="Arial" w:eastAsia="Arial" w:hAnsi="Arial"/>
          <w:sz w:val="19"/>
          <w:szCs w:val="19"/>
          <w:color w:val="auto"/>
        </w:rPr>
        <w:t>THE TRANSACTIONS CONTEMPLATED HEREBY OR THEREBY (WHETHER BASED ON CONTRACT, TORT OR ANY OTHER</w:t>
      </w:r>
    </w:p>
    <w:p>
      <w:pPr>
        <w:spacing w:after="0" w:line="215" w:lineRule="auto"/>
        <w:rPr>
          <w:sz w:val="20"/>
          <w:szCs w:val="20"/>
          <w:color w:val="auto"/>
        </w:rPr>
      </w:pPr>
      <w:r>
        <w:rPr>
          <w:rFonts w:ascii="Arial" w:cs="Arial" w:eastAsia="Arial" w:hAnsi="Arial"/>
          <w:sz w:val="19"/>
          <w:szCs w:val="19"/>
          <w:color w:val="auto"/>
        </w:rPr>
        <w:t>THEORY). EACH PARTY HERETO (A) CERTIFIES THAT NO REPRESENTATIVE, AGENT OR ATTORNEY OF ANY OTHER PARTY HAS REPRESENTED, EXPRESSLY OR OTHERWISE, THAT SUCH OTHER PARTY WOULD NOT, IN THE EVENT OF</w:t>
      </w:r>
    </w:p>
    <w:p>
      <w:pPr>
        <w:spacing w:after="0" w:line="222" w:lineRule="auto"/>
        <w:rPr>
          <w:sz w:val="20"/>
          <w:szCs w:val="20"/>
          <w:color w:val="auto"/>
        </w:rPr>
      </w:pPr>
      <w:r>
        <w:rPr>
          <w:rFonts w:ascii="Arial" w:cs="Arial" w:eastAsia="Arial" w:hAnsi="Arial"/>
          <w:sz w:val="19"/>
          <w:szCs w:val="19"/>
          <w:color w:val="auto"/>
        </w:rPr>
        <w:t>LITIGATION, SEEK TO ENFORCE THE FOREGOING WAIVER AND (B) ACKNOWLEDGES THAT IT AND THE OTHER PARTIES</w:t>
      </w:r>
    </w:p>
    <w:p>
      <w:pPr>
        <w:ind w:right="20"/>
        <w:spacing w:after="0" w:line="220" w:lineRule="auto"/>
        <w:rPr>
          <w:sz w:val="20"/>
          <w:szCs w:val="20"/>
          <w:color w:val="auto"/>
        </w:rPr>
      </w:pPr>
      <w:r>
        <w:rPr>
          <w:rFonts w:ascii="Arial" w:cs="Arial" w:eastAsia="Arial" w:hAnsi="Arial"/>
          <w:sz w:val="20"/>
          <w:szCs w:val="20"/>
          <w:color w:val="auto"/>
        </w:rPr>
        <w:t>HERETO HAVE BEEN INDUCED TO ENTER INTO THIS AGREEMENT AND THE OTHER LOAN DOCUMENTS BY, AMONG OTHER THINGS, THE MUTUAL WAIVERS AND CERTIFICATIONS IN THIS SECTION 9.10.</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1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Collateral Agent, the Swingline Lender, the Issuing Banks and the Lenders agrees to maintain the confidentiality of the Information (as defined below), except that Information may be disclosed (a) to</w:t>
      </w:r>
    </w:p>
    <w:p>
      <w:pPr>
        <w:spacing w:after="0" w:line="226" w:lineRule="auto"/>
        <w:rPr>
          <w:sz w:val="20"/>
          <w:szCs w:val="20"/>
          <w:color w:val="auto"/>
        </w:rPr>
      </w:pPr>
      <w:r>
        <w:rPr>
          <w:rFonts w:ascii="Arial" w:cs="Arial" w:eastAsia="Arial" w:hAnsi="Arial"/>
          <w:sz w:val="18"/>
          <w:szCs w:val="18"/>
          <w:color w:val="auto"/>
        </w:rPr>
        <w:t>its Affiliates and its and their respective directors, officers, employees and agents, including accountants, legal counsel and other advisors (it being understood that the Persons to whom such disclosure is made will be informed of the confidential nature of such Information and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instructed to keep such Information confidential), (b) to the extent required or requested by any regulatory authority purporting to have jurisdiction over such Person or its Related Parties (including any self-regulatory authority, such as the National Association of Insurance</w:t>
      </w:r>
    </w:p>
    <w:p>
      <w:pPr>
        <w:spacing w:after="0" w:line="236" w:lineRule="auto"/>
        <w:rPr>
          <w:sz w:val="20"/>
          <w:szCs w:val="20"/>
          <w:color w:val="auto"/>
        </w:rPr>
      </w:pPr>
      <w:r>
        <w:rPr>
          <w:rFonts w:ascii="Arial" w:cs="Arial" w:eastAsia="Arial" w:hAnsi="Arial"/>
          <w:sz w:val="18"/>
          <w:szCs w:val="18"/>
          <w:color w:val="auto"/>
        </w:rPr>
        <w:t>Commissioners), (c) to the extent required by applicable laws or regulations or by any subpoena or similar legal process, (d) to any other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party to this Agreement, (e) in connection with the exercise of any remedies under this Agreement or any other Loan Document or any suit, action or proceeding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197</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Agreement or any other Loan Document or the enforcement of rights hereunder or thereunder, (f) subject to an agreement containing provisions substantially the same as those of this Section 9.12, to (i) any assignee of or Participant in, or any prospective assignee of or</w:t>
      </w:r>
    </w:p>
    <w:p>
      <w:pPr>
        <w:spacing w:after="0" w:line="226" w:lineRule="auto"/>
        <w:rPr>
          <w:sz w:val="20"/>
          <w:szCs w:val="20"/>
          <w:color w:val="auto"/>
        </w:rPr>
      </w:pPr>
      <w:r>
        <w:rPr>
          <w:rFonts w:ascii="Arial" w:cs="Arial" w:eastAsia="Arial" w:hAnsi="Arial"/>
          <w:sz w:val="18"/>
          <w:szCs w:val="18"/>
          <w:color w:val="auto"/>
        </w:rPr>
        <w:t>Participant in, any of its rights or obligations under this Agreement or (ii) any actual or prospective counterparty (or its Related Parties) to any swap, derivative or other transaction relating to Holdings or its Restricted Subsidiaries and their obligations, (g) on a confidential basis to</w:t>
      </w:r>
    </w:p>
    <w:p>
      <w:pPr>
        <w:spacing w:after="0" w:line="2" w:lineRule="exact"/>
        <w:rPr>
          <w:sz w:val="20"/>
          <w:szCs w:val="20"/>
          <w:color w:val="auto"/>
        </w:rPr>
      </w:pPr>
    </w:p>
    <w:p>
      <w:pPr>
        <w:jc w:val="both"/>
        <w:ind w:firstLine="8"/>
        <w:spacing w:after="0" w:line="230" w:lineRule="auto"/>
        <w:tabs>
          <w:tab w:leader="none" w:pos="25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any rating agency in connection with rating Holdings or its Subsidiaries or the facilities evidenced by this Agreement or (ii) the CUSIP Service Bureau or any similar agency in connection with the issuance and monitoring of CUSIP numbers with respect to the facilities evidenced by this Agreement, (h) with the prior written consent of Holdings, (i) to the extent such Information (i) becomes publicly available other than as a result of a breach of this Section 9.12 by the disclosing party or its Affiliates, (ii) is independently developed by the Agents or</w:t>
      </w:r>
    </w:p>
    <w:p>
      <w:pPr>
        <w:spacing w:after="0" w:line="3" w:lineRule="exact"/>
        <w:rPr>
          <w:rFonts w:ascii="Arial" w:cs="Arial" w:eastAsia="Arial" w:hAnsi="Arial"/>
          <w:sz w:val="18"/>
          <w:szCs w:val="18"/>
          <w:color w:val="auto"/>
        </w:rPr>
      </w:pPr>
    </w:p>
    <w:p>
      <w:pPr>
        <w:jc w:val="both"/>
        <w:ind w:firstLine="8"/>
        <w:spacing w:after="0" w:line="221" w:lineRule="auto"/>
        <w:tabs>
          <w:tab w:leader="none" w:pos="366" w:val="left"/>
        </w:tabs>
        <w:numPr>
          <w:ilvl w:val="0"/>
          <w:numId w:val="318"/>
        </w:numPr>
        <w:rPr>
          <w:rFonts w:ascii="Arial" w:cs="Arial" w:eastAsia="Arial" w:hAnsi="Arial"/>
          <w:sz w:val="19"/>
          <w:szCs w:val="19"/>
          <w:color w:val="auto"/>
        </w:rPr>
      </w:pPr>
      <w:r>
        <w:rPr>
          <w:rFonts w:ascii="Arial" w:cs="Arial" w:eastAsia="Arial" w:hAnsi="Arial"/>
          <w:sz w:val="19"/>
          <w:szCs w:val="19"/>
          <w:color w:val="auto"/>
        </w:rPr>
        <w:t>becomes available to the Administrative Agent, any Issuing Bank or any Lender on a nonconfidential basis from a source other than Holdings or any Borrower, (j) in consultation with the Lead Arrangers, to any prospective additional Agent and to such additional Agent’s respective officers, directors, employees, attorneys, accountants and advisors, in each case on a confidential basis or (k) for purposes of establishing a “due diligence” defense. For the purposes of this Section 9.12, “Information” means all information received from Holdings or any Borrower relating to Holdings or any Borrower or their respective businesses, other than any such information that is available to the Administrative Agent, the Collateral Agent, any Issuing Bank or any Lender on a nonconfidential basis prior to disclosure by Holdings or any Borrower.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34" w:val="left"/>
        </w:tabs>
        <w:numPr>
          <w:ilvl w:val="0"/>
          <w:numId w:val="319"/>
        </w:numPr>
        <w:rPr>
          <w:rFonts w:ascii="Arial" w:cs="Arial" w:eastAsia="Arial" w:hAnsi="Arial"/>
          <w:sz w:val="19"/>
          <w:szCs w:val="19"/>
          <w:color w:val="auto"/>
        </w:rPr>
      </w:pPr>
      <w:r>
        <w:rPr>
          <w:rFonts w:ascii="Arial" w:cs="Arial" w:eastAsia="Arial" w:hAnsi="Arial"/>
          <w:sz w:val="19"/>
          <w:szCs w:val="19"/>
          <w:color w:val="auto"/>
        </w:rPr>
        <w:t>A Subsidiary Guarantor (that is not a Borrower) shall automatically be released from its obligations under the Loan Documents upon the consummation of any transaction permitted by this Agreement as a result of which such Subsidiary Guarantor ceases to be a Restricted Subsidiary or ceases to be organized in a Covered Jurisdiction. In addition, a Subsidiary Guarantor (that is not a Borrower) shall be released from its obligations under the Loan Documents upon the request of Holdings in connection with a transaction not prohibited under this Agreement, as a result of which such Subsidiary Guarantor becomes an Excluded Subsidiary. Notwithstanding the foregoing, no Subsidiary Guarantor (nor the security interest granted by such Subsidiary Guarantor) will be released solely as a result of such Subsidiary Guarantor ceasing to be a wholly-owned Subsidiary unless such Subsidiary ceased to be a wholly-owned Subsidiary as a result of a transaction that was entered into for a bona fide business purpose (as determined in good faith by Holdings) and, for the avoidance of doubt, not for the primary purpose of causing such release.</w:t>
      </w:r>
    </w:p>
    <w:p>
      <w:pPr>
        <w:spacing w:after="0" w:line="170" w:lineRule="exact"/>
        <w:rPr>
          <w:rFonts w:ascii="Arial" w:cs="Arial" w:eastAsia="Arial" w:hAnsi="Arial"/>
          <w:sz w:val="19"/>
          <w:szCs w:val="19"/>
          <w:color w:val="auto"/>
        </w:rPr>
      </w:pPr>
    </w:p>
    <w:p>
      <w:pPr>
        <w:jc w:val="both"/>
        <w:ind w:firstLine="1304"/>
        <w:spacing w:after="0" w:line="216" w:lineRule="auto"/>
        <w:tabs>
          <w:tab w:leader="none" w:pos="193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Upon the termination of all the Commitments and payment and satisfaction in full in cash of all Secured Obligations (other than Unliquidated Obligations for which no claim has been made and Secured Obligations with respect to Cash Management Agreements and Swap Agreements), the security interests in the Collateral created by the Collateral Documents shall be automatically released.</w:t>
      </w:r>
    </w:p>
    <w:p>
      <w:pPr>
        <w:spacing w:after="0" w:line="171"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Upon (i) any Disposition (other than any lease or license) by any Loan Party (other than to another Loan Party, except where, in any jurisdiction outside of the United States, in order to effect such Disposition the Lien on such assets is required to be released (provided that in the case of such Disposition to another Loan Party outside of the United States, such other Loan Party shall concurrently (or on such later date as may be agreed by the Administrative Agent) grant a security interest on the released Collateral)) of any Collateral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198</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transaction permitted under this Agreement, (ii) any Disposition in connection with any exercise of remedies of the Administrative Agent, the Collateral Agent and the Lenders pursuant to Article VII, (iii) any Disposition by any Loan Party of any Securitization Assets in connection</w:t>
      </w:r>
    </w:p>
    <w:p>
      <w:pPr>
        <w:spacing w:after="0" w:line="235" w:lineRule="auto"/>
        <w:rPr>
          <w:sz w:val="20"/>
          <w:szCs w:val="20"/>
          <w:color w:val="auto"/>
        </w:rPr>
      </w:pPr>
      <w:r>
        <w:rPr>
          <w:rFonts w:ascii="Arial" w:cs="Arial" w:eastAsia="Arial" w:hAnsi="Arial"/>
          <w:sz w:val="18"/>
          <w:szCs w:val="18"/>
          <w:color w:val="auto"/>
        </w:rPr>
        <w:t>with a Qualified Securitization Financing or a Qualified Receivables Factoring, (iv) the effectiveness of any written consent to the release of</w:t>
      </w:r>
    </w:p>
    <w:p>
      <w:pPr>
        <w:spacing w:after="0" w:line="226" w:lineRule="auto"/>
        <w:rPr>
          <w:sz w:val="20"/>
          <w:szCs w:val="20"/>
          <w:color w:val="auto"/>
        </w:rPr>
      </w:pPr>
      <w:r>
        <w:rPr>
          <w:rFonts w:ascii="Arial" w:cs="Arial" w:eastAsia="Arial" w:hAnsi="Arial"/>
          <w:sz w:val="18"/>
          <w:szCs w:val="18"/>
          <w:color w:val="auto"/>
        </w:rPr>
        <w:t>the security interest created under any Collateral Document in any Collateral pursuant to Section 9.02, (v) a Guarantor ceasing to be a Guarantor in accordance with the terms of this Agreement, with respect to the Collateral held by such Guarantor or (vi) any Collateral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becoming Excluded Assets, the security interests in such Collateral created by the Collateral Documents shall be automatically released.</w:t>
      </w:r>
    </w:p>
    <w:p>
      <w:pPr>
        <w:spacing w:after="0" w:line="196" w:lineRule="exact"/>
        <w:rPr>
          <w:sz w:val="20"/>
          <w:szCs w:val="20"/>
          <w:color w:val="auto"/>
        </w:rPr>
      </w:pPr>
    </w:p>
    <w:p>
      <w:pPr>
        <w:jc w:val="both"/>
        <w:ind w:firstLine="1304"/>
        <w:spacing w:after="0" w:line="214" w:lineRule="auto"/>
        <w:tabs>
          <w:tab w:leader="none" w:pos="1932"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In addition, upon the request of any holder (or prospective holder) of obligations secured by such Lien or, in the case of a license or sub-license, the applicable licensee or sub-licensee (or prospective licensee or sub-licensee), the Collateral Agent shall, at the reasonable request of any Borrower, (A) subordinate any Lien on any Collateral to the holder of any Liens on such Collateral permitted under clauses (4), (5), (7) (insofar as such Liens are replacements or substitutes for Liens permitted by clause (4) or (5)), (9), (10), (11), (21), (22) and (25) of the definition of “Permitted Liens,” and (B) enter into subordination, non-disturbance and similar agreements in connection with the licensing of intellectual property and other general intangibles permitted under this Agreement to the extent reasonably requested by a licensee or sub-licensee thereof.</w:t>
      </w:r>
    </w:p>
    <w:p>
      <w:pPr>
        <w:spacing w:after="0" w:line="157" w:lineRule="exact"/>
        <w:rPr>
          <w:rFonts w:ascii="Arial" w:cs="Arial" w:eastAsia="Arial" w:hAnsi="Arial"/>
          <w:sz w:val="20"/>
          <w:szCs w:val="20"/>
          <w:color w:val="auto"/>
        </w:rPr>
      </w:pPr>
    </w:p>
    <w:p>
      <w:pPr>
        <w:jc w:val="both"/>
        <w:ind w:firstLine="1304"/>
        <w:spacing w:after="0" w:line="235" w:lineRule="auto"/>
        <w:tabs>
          <w:tab w:leader="none" w:pos="193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In connection with any termination, release or subordination, or in connection with any Indebtedness incurred pursuant to Section 6.01(b)(xvi)(ii) or in connection with any licensing or sub-licensing transactions permitted pursuant to Sections 6.02 and 6.03, the entry into non-disturbance or similar agreement, in each case, pursuant to this Section 9.13, the Collateral Agent shall execute and deliver to any Loan Party, at such Loan Party’s expense, all documents that such Loan Party shall reasonably request to evidence such termination, release or subordination, or reasonably required in order to reflect such non-disturbance or similar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Collateral Agent shall have received a certificate of a Responsible Officer of Holdings certifying that any such transaction has been consummated in compliance with this Agreement and the other Loan Documents and that such termination, release or subordination is permitted hereby, and (ii) any such release shall not in any manner discharge, affect or impair the Secured Obligations or any Liens upon (or obligations of Holdings or any Subsidiary in respect of) all interests retained by Holdings or any Subsidiary, including (without limitation) the proceeds of the sale, all of which shall continue to constitute part of the Collateral. Any execution and delivery of documents pursuant to this Section 9.13 shall be without representation, recourse to or warranty by the Collateral Agent.</w:t>
      </w:r>
    </w:p>
    <w:p>
      <w:pPr>
        <w:spacing w:after="0" w:line="17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hereby notifies each Loan Party that pursuant to the requirements of the</w:t>
      </w:r>
    </w:p>
    <w:p>
      <w:pPr>
        <w:spacing w:after="0" w:line="235" w:lineRule="auto"/>
        <w:rPr>
          <w:sz w:val="20"/>
          <w:szCs w:val="20"/>
          <w:color w:val="auto"/>
        </w:rPr>
      </w:pPr>
      <w:r>
        <w:rPr>
          <w:rFonts w:ascii="Arial" w:cs="Arial" w:eastAsia="Arial" w:hAnsi="Arial"/>
          <w:sz w:val="18"/>
          <w:szCs w:val="18"/>
          <w:color w:val="auto"/>
        </w:rPr>
        <w:t>USA Patriot Act, it is required to obtain, verify and record information that identifies such Loan Party, which information includes the name</w:t>
      </w:r>
    </w:p>
    <w:p>
      <w:pPr>
        <w:ind w:right="20"/>
        <w:spacing w:after="0" w:line="220" w:lineRule="auto"/>
        <w:rPr>
          <w:sz w:val="20"/>
          <w:szCs w:val="20"/>
          <w:color w:val="auto"/>
        </w:rPr>
      </w:pPr>
      <w:r>
        <w:rPr>
          <w:rFonts w:ascii="Arial" w:cs="Arial" w:eastAsia="Arial" w:hAnsi="Arial"/>
          <w:sz w:val="20"/>
          <w:szCs w:val="20"/>
          <w:color w:val="auto"/>
        </w:rPr>
        <w:t>and address of such Loan Party and other information that will allow such Lender to identify such Loan Party in accordance with the USA Patriot Act.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the Collateral Agent and each other Lender as its agent for the purpose of perfecting Liens, for the benefit of the Administrative Agent, the Collateral Agent and the Secured Parties, in assets which, in</w:t>
      </w:r>
    </w:p>
    <w:p>
      <w:pPr>
        <w:spacing w:after="0" w:line="222" w:lineRule="auto"/>
        <w:rPr>
          <w:sz w:val="20"/>
          <w:szCs w:val="20"/>
          <w:color w:val="auto"/>
        </w:rPr>
      </w:pPr>
      <w:r>
        <w:rPr>
          <w:rFonts w:ascii="Arial" w:cs="Arial" w:eastAsia="Arial" w:hAnsi="Arial"/>
          <w:sz w:val="19"/>
          <w:szCs w:val="19"/>
          <w:color w:val="auto"/>
        </w:rPr>
        <w:t>accordance with Article 9 of the UCC or any other applicable law can be perfected by possession. Should any Lender (other than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Collateral Agent) obtain possession of any such Collateral, such Lender shall notify the Collateral Agent thereof, and, promptly upon the Administrative Agent’s request therefor shall deliver such Collateral to the Collateral Agent or otherwise deal with such Collateral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accordance with the Collateral Agent’s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199</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357"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Each of Holdings and Borrower, on behalf of itself and its Subsidiaries, agrees that, in connection with all aspects of the transactions contemplated hereby (including in connection with any amendment, waiver or other</w:t>
      </w:r>
    </w:p>
    <w:p>
      <w:pPr>
        <w:spacing w:after="0" w:line="224" w:lineRule="auto"/>
        <w:rPr>
          <w:sz w:val="20"/>
          <w:szCs w:val="20"/>
          <w:color w:val="auto"/>
        </w:rPr>
      </w:pPr>
      <w:r>
        <w:rPr>
          <w:rFonts w:ascii="Arial" w:cs="Arial" w:eastAsia="Arial" w:hAnsi="Arial"/>
          <w:sz w:val="19"/>
          <w:szCs w:val="19"/>
          <w:color w:val="auto"/>
        </w:rPr>
        <w:t>modification hereof or of any other Loan Document) and any communications in connection therewith: (i) (A) the arranging and other</w:t>
      </w:r>
    </w:p>
    <w:p>
      <w:pPr>
        <w:spacing w:after="0" w:line="226" w:lineRule="auto"/>
        <w:rPr>
          <w:sz w:val="20"/>
          <w:szCs w:val="20"/>
          <w:color w:val="auto"/>
        </w:rPr>
      </w:pPr>
      <w:r>
        <w:rPr>
          <w:rFonts w:ascii="Arial" w:cs="Arial" w:eastAsia="Arial" w:hAnsi="Arial"/>
          <w:sz w:val="18"/>
          <w:szCs w:val="18"/>
          <w:color w:val="auto"/>
        </w:rPr>
        <w:t>services regarding this Agreement provided by the Lenders are arm’s-length commercial transactions between Holdings and its Affiliates, on the one hand, and the Lenders and their Affiliates, on the other hand, (B) it has consulted its own legal, accounting, regulatory and tax</w:t>
      </w:r>
    </w:p>
    <w:p>
      <w:pPr>
        <w:spacing w:after="0" w:line="236" w:lineRule="auto"/>
        <w:rPr>
          <w:sz w:val="20"/>
          <w:szCs w:val="20"/>
          <w:color w:val="auto"/>
        </w:rPr>
      </w:pPr>
      <w:r>
        <w:rPr>
          <w:rFonts w:ascii="Arial" w:cs="Arial" w:eastAsia="Arial" w:hAnsi="Arial"/>
          <w:sz w:val="18"/>
          <w:szCs w:val="18"/>
          <w:color w:val="auto"/>
        </w:rPr>
        <w:t>advisors to the extent it has deemed appropriate, and (C) it is capable of evaluating, and understands and accepts, the terms, risks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conditions of the transactions contemplated hereby and by the other Loan Documents; (ii) (A) each of the Lenders and their Affiliates is and has been acting solely as a principal and, except as expressly agreed in writing by the relevant parties, has not been, is not, and will not be</w:t>
      </w:r>
    </w:p>
    <w:p>
      <w:pPr>
        <w:spacing w:after="0" w:line="224" w:lineRule="auto"/>
        <w:rPr>
          <w:sz w:val="20"/>
          <w:szCs w:val="20"/>
          <w:color w:val="auto"/>
        </w:rPr>
      </w:pPr>
      <w:r>
        <w:rPr>
          <w:rFonts w:ascii="Arial" w:cs="Arial" w:eastAsia="Arial" w:hAnsi="Arial"/>
          <w:sz w:val="19"/>
          <w:szCs w:val="19"/>
          <w:color w:val="auto"/>
        </w:rPr>
        <w:t>acting as an advisor, agent or fiduciary for Holdings, any Borrower or any of their respective Affiliates, or any other Person and (B) no</w:t>
      </w:r>
    </w:p>
    <w:p>
      <w:pPr>
        <w:spacing w:after="0" w:line="215" w:lineRule="auto"/>
        <w:rPr>
          <w:sz w:val="20"/>
          <w:szCs w:val="20"/>
          <w:color w:val="auto"/>
        </w:rPr>
      </w:pPr>
      <w:r>
        <w:rPr>
          <w:rFonts w:ascii="Arial" w:cs="Arial" w:eastAsia="Arial" w:hAnsi="Arial"/>
          <w:sz w:val="19"/>
          <w:szCs w:val="19"/>
          <w:color w:val="auto"/>
        </w:rPr>
        <w:t>Lender or any of its Affiliates has any obligation to Holdings, any Borrower or any of their respective Affiliates with respect to the transactions contemplated hereby except, in the case of a Lender, those obligations expressly set forth herein and in the other Loan</w:t>
      </w:r>
    </w:p>
    <w:p>
      <w:pPr>
        <w:spacing w:after="0"/>
        <w:rPr>
          <w:sz w:val="20"/>
          <w:szCs w:val="20"/>
          <w:color w:val="auto"/>
        </w:rPr>
      </w:pPr>
      <w:r>
        <w:rPr>
          <w:rFonts w:ascii="Arial" w:cs="Arial" w:eastAsia="Arial" w:hAnsi="Arial"/>
          <w:sz w:val="16"/>
          <w:szCs w:val="16"/>
          <w:color w:val="auto"/>
        </w:rPr>
        <w:t>Documents; and (iii) each of the Lenders and their respective Affiliates may be engaged in a broad range of transactions that involve interests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differ from those of Holdings and its Affiliates, and no Lender or any of its Affiliates has any obligation to disclose any of such interests to Holdings, the Borrowers or their respective Affiliates. To the fullest extent permitted by law, Holdings and the Borrowers hereby waive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and release any claims that they may have against each of the Lenders and their Affiliates with respect to any breach or alleged breach of agency or fiduciary duty in connection with any aspect of any transaction contemplated hereby.</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w:t>
      </w:r>
    </w:p>
    <w:p>
      <w:pPr>
        <w:spacing w:after="0" w:line="22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Borrowers. In determining</w:t>
      </w:r>
    </w:p>
    <w:p>
      <w:pPr>
        <w:spacing w:after="0" w:line="236" w:lineRule="auto"/>
        <w:rPr>
          <w:sz w:val="20"/>
          <w:szCs w:val="20"/>
          <w:color w:val="auto"/>
        </w:rPr>
      </w:pPr>
      <w:r>
        <w:rPr>
          <w:rFonts w:ascii="Arial" w:cs="Arial" w:eastAsia="Arial" w:hAnsi="Arial"/>
          <w:sz w:val="18"/>
          <w:szCs w:val="18"/>
          <w:color w:val="auto"/>
        </w:rPr>
        <w:t>whether the interest contracted for, charged, or received by the Administrative Agent or a Lender exceeds the Maximum Rate, such Person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may, to the extent permitted by applicable law, (a) characterize any payment that is not principal as an expense, fee, or premium rather than interest, (b) exclude voluntary prepayments and the effects thereof, and (c) amortize, prorate, allocate, and spread in equal or unequal parts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total amount of interest throughout the contemplated term of the Obligations hereunder.</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3.18</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31" w:lineRule="auto"/>
        <w:tabs>
          <w:tab w:leader="none" w:pos="1934" w:val="left"/>
        </w:tabs>
        <w:numPr>
          <w:ilvl w:val="0"/>
          <w:numId w:val="321"/>
        </w:numPr>
        <w:rPr>
          <w:rFonts w:ascii="Arial" w:cs="Arial" w:eastAsia="Arial" w:hAnsi="Arial"/>
          <w:sz w:val="19"/>
          <w:szCs w:val="19"/>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rFonts w:ascii="Arial" w:cs="Arial" w:eastAsia="Arial" w:hAnsi="Arial"/>
          <w:sz w:val="19"/>
          <w:szCs w:val="19"/>
          <w:color w:val="auto"/>
        </w:rPr>
      </w:pPr>
    </w:p>
    <w:p>
      <w:pPr>
        <w:ind w:left="660" w:firstLine="1292"/>
        <w:spacing w:after="0" w:line="269" w:lineRule="auto"/>
        <w:tabs>
          <w:tab w:leader="none" w:pos="2602"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3" w:lineRule="exact"/>
        <w:rPr>
          <w:rFonts w:ascii="Arial" w:cs="Arial" w:eastAsia="Arial" w:hAnsi="Arial"/>
          <w:sz w:val="18"/>
          <w:szCs w:val="18"/>
          <w:color w:val="auto"/>
        </w:rPr>
      </w:pPr>
    </w:p>
    <w:p>
      <w:pPr>
        <w:ind w:left="2600" w:hanging="648"/>
        <w:spacing w:after="0"/>
        <w:tabs>
          <w:tab w:leader="none" w:pos="2600" w:val="left"/>
        </w:tabs>
        <w:numPr>
          <w:ilvl w:val="1"/>
          <w:numId w:val="321"/>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357" w:lineRule="exact"/>
        <w:rPr>
          <w:sz w:val="20"/>
          <w:szCs w:val="20"/>
          <w:color w:val="auto"/>
        </w:rPr>
      </w:pPr>
    </w:p>
    <w:p>
      <w:pPr>
        <w:ind w:left="3240" w:hanging="640"/>
        <w:spacing w:after="0"/>
        <w:tabs>
          <w:tab w:leader="none" w:pos="324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75" w:lineRule="exact"/>
        <w:rPr>
          <w:rFonts w:ascii="Arial" w:cs="Arial" w:eastAsia="Arial" w:hAnsi="Arial"/>
          <w:sz w:val="20"/>
          <w:szCs w:val="20"/>
          <w:color w:val="auto"/>
        </w:rPr>
      </w:pPr>
    </w:p>
    <w:p>
      <w:pPr>
        <w:jc w:val="both"/>
        <w:ind w:left="1300" w:firstLine="1300"/>
        <w:spacing w:after="0" w:line="220" w:lineRule="auto"/>
        <w:tabs>
          <w:tab w:leader="none" w:pos="323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rFonts w:ascii="Arial" w:cs="Arial" w:eastAsia="Arial" w:hAnsi="Arial"/>
          <w:sz w:val="20"/>
          <w:szCs w:val="20"/>
          <w:color w:val="auto"/>
        </w:rPr>
      </w:pPr>
    </w:p>
    <w:p>
      <w:pPr>
        <w:ind w:left="1300" w:firstLine="1300"/>
        <w:spacing w:after="0" w:line="236" w:lineRule="auto"/>
        <w:tabs>
          <w:tab w:leader="none" w:pos="3238" w:val="left"/>
        </w:tabs>
        <w:numPr>
          <w:ilvl w:val="0"/>
          <w:numId w:val="32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3.19</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189" w:lineRule="exact"/>
        <w:rPr>
          <w:sz w:val="20"/>
          <w:szCs w:val="20"/>
          <w:color w:val="auto"/>
        </w:rPr>
      </w:pPr>
    </w:p>
    <w:p>
      <w:pPr>
        <w:jc w:val="both"/>
        <w:ind w:firstLine="1304"/>
        <w:spacing w:after="0" w:line="231" w:lineRule="auto"/>
        <w:tabs>
          <w:tab w:leader="none" w:pos="193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any Borrower or any other Loan Party, that at least one of the following is and will be true:</w:t>
      </w:r>
    </w:p>
    <w:p>
      <w:pPr>
        <w:spacing w:after="0" w:line="171" w:lineRule="exact"/>
        <w:rPr>
          <w:rFonts w:ascii="Arial" w:cs="Arial" w:eastAsia="Arial" w:hAnsi="Arial"/>
          <w:sz w:val="19"/>
          <w:szCs w:val="19"/>
          <w:color w:val="auto"/>
        </w:rPr>
      </w:pPr>
    </w:p>
    <w:p>
      <w:pPr>
        <w:jc w:val="both"/>
        <w:ind w:left="660" w:firstLine="1292"/>
        <w:spacing w:after="0" w:line="223" w:lineRule="auto"/>
        <w:tabs>
          <w:tab w:leader="none" w:pos="2602" w:val="left"/>
        </w:tabs>
        <w:numPr>
          <w:ilvl w:val="1"/>
          <w:numId w:val="32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68" w:lineRule="exact"/>
        <w:rPr>
          <w:rFonts w:ascii="Arial" w:cs="Arial" w:eastAsia="Arial" w:hAnsi="Arial"/>
          <w:sz w:val="20"/>
          <w:szCs w:val="20"/>
          <w:color w:val="auto"/>
        </w:rPr>
      </w:pPr>
    </w:p>
    <w:p>
      <w:pPr>
        <w:jc w:val="both"/>
        <w:ind w:left="660" w:firstLine="1292"/>
        <w:spacing w:after="0" w:line="274" w:lineRule="auto"/>
        <w:tabs>
          <w:tab w:leader="none" w:pos="2603"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43" w:lineRule="exact"/>
        <w:rPr>
          <w:rFonts w:ascii="Arial" w:cs="Arial" w:eastAsia="Arial" w:hAnsi="Arial"/>
          <w:sz w:val="16"/>
          <w:szCs w:val="16"/>
          <w:color w:val="auto"/>
        </w:rPr>
      </w:pPr>
    </w:p>
    <w:p>
      <w:pPr>
        <w:jc w:val="both"/>
        <w:ind w:left="660" w:firstLine="1292"/>
        <w:spacing w:after="0" w:line="225" w:lineRule="auto"/>
        <w:tabs>
          <w:tab w:leader="none" w:pos="2604" w:val="left"/>
        </w:tabs>
        <w:numPr>
          <w:ilvl w:val="1"/>
          <w:numId w:val="323"/>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9" w:lineRule="exact"/>
        <w:rPr>
          <w:rFonts w:ascii="Arial" w:cs="Arial" w:eastAsia="Arial" w:hAnsi="Arial"/>
          <w:sz w:val="19"/>
          <w:szCs w:val="19"/>
          <w:color w:val="auto"/>
        </w:rPr>
      </w:pPr>
    </w:p>
    <w:p>
      <w:pPr>
        <w:ind w:left="660" w:firstLine="1292"/>
        <w:spacing w:after="0" w:line="236" w:lineRule="auto"/>
        <w:tabs>
          <w:tab w:leader="none" w:pos="2593" w:val="left"/>
        </w:tabs>
        <w:numPr>
          <w:ilvl w:val="1"/>
          <w:numId w:val="32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357" w:lineRule="exact"/>
        <w:rPr>
          <w:sz w:val="20"/>
          <w:szCs w:val="20"/>
          <w:color w:val="auto"/>
        </w:rPr>
      </w:pPr>
    </w:p>
    <w:p>
      <w:pPr>
        <w:jc w:val="both"/>
        <w:ind w:firstLine="1304"/>
        <w:spacing w:after="0" w:line="235" w:lineRule="auto"/>
        <w:tabs>
          <w:tab w:leader="none" w:pos="193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or any of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any Permitted Hedging Obligations or any other agreement or instrument that is a QFC (such support,</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w:t>
      </w:r>
    </w:p>
    <w:p>
      <w:pPr>
        <w:spacing w:after="0" w:line="226" w:lineRule="auto"/>
        <w:rPr>
          <w:sz w:val="20"/>
          <w:szCs w:val="20"/>
          <w:color w:val="auto"/>
        </w:rPr>
      </w:pPr>
      <w:r>
        <w:rPr>
          <w:rFonts w:ascii="Arial" w:cs="Arial" w:eastAsia="Arial" w:hAnsi="Arial"/>
          <w:sz w:val="18"/>
          <w:szCs w:val="18"/>
          <w:color w:val="auto"/>
        </w:rPr>
        <w:t>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w:t>
      </w:r>
    </w:p>
    <w:p>
      <w:pPr>
        <w:spacing w:after="0" w:line="236" w:lineRule="auto"/>
        <w:rPr>
          <w:sz w:val="20"/>
          <w:szCs w:val="20"/>
          <w:color w:val="auto"/>
        </w:rPr>
      </w:pPr>
      <w:r>
        <w:rPr>
          <w:rFonts w:ascii="Arial" w:cs="Arial" w:eastAsia="Arial" w:hAnsi="Arial"/>
          <w:sz w:val="18"/>
          <w:szCs w:val="18"/>
          <w:color w:val="auto"/>
        </w:rPr>
        <w:t>respect of such Supported QFC and QFC Credit Support (with the provisions below applicable notwithstanding that the Loan Documents and</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1304"/>
        <w:spacing w:after="0" w:line="234" w:lineRule="auto"/>
        <w:tabs>
          <w:tab w:leader="none" w:pos="193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As used in this Section 9.20, the following terms have the following meanings: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ind w:left="660" w:firstLine="72"/>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3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(iii) a “covered FSI” as that term is defined in, and interpreted in accordance with, 12 C.F.R. § 382.2(b).</w:t>
      </w:r>
    </w:p>
    <w:p>
      <w:pPr>
        <w:spacing w:after="0" w:line="202" w:lineRule="exact"/>
        <w:rPr>
          <w:sz w:val="20"/>
          <w:szCs w:val="20"/>
          <w:color w:val="auto"/>
        </w:rPr>
      </w:pPr>
    </w:p>
    <w:p>
      <w:pPr>
        <w:ind w:left="660" w:firstLine="1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90" w:lineRule="exact"/>
        <w:rPr>
          <w:sz w:val="20"/>
          <w:szCs w:val="20"/>
          <w:color w:val="auto"/>
        </w:rPr>
      </w:pPr>
    </w:p>
    <w:p>
      <w:pPr>
        <w:ind w:left="660" w:firstLine="279"/>
        <w:spacing w:after="0" w:line="23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w:t>
      </w:r>
      <w:r>
        <w:rPr>
          <w:rFonts w:ascii="Arial" w:cs="Arial" w:eastAsia="Arial" w:hAnsi="Arial"/>
          <w:sz w:val="20"/>
          <w:szCs w:val="20"/>
          <w:b w:val="1"/>
          <w:bCs w:val="1"/>
          <w:color w:val="auto"/>
        </w:rPr>
        <w:t xml:space="preserve"> </w:t>
      </w:r>
      <w:r>
        <w:rPr>
          <w:rFonts w:ascii="Arial" w:cs="Arial" w:eastAsia="Arial" w:hAnsi="Arial"/>
          <w:sz w:val="20"/>
          <w:szCs w:val="20"/>
          <w:color w:val="auto"/>
        </w:rPr>
        <w:t>U.S.C. 5390(c)(8)(D).</w:t>
      </w:r>
    </w:p>
    <w:p>
      <w:pPr>
        <w:spacing w:after="0" w:line="19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X</w:t>
      </w:r>
    </w:p>
    <w:p>
      <w:pPr>
        <w:spacing w:after="0" w:line="162"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The Guaranty</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The Guarantee</w:t>
      </w:r>
      <w:r>
        <w:rPr>
          <w:rFonts w:ascii="Arial" w:cs="Arial" w:eastAsia="Arial" w:hAnsi="Arial"/>
          <w:sz w:val="16"/>
          <w:szCs w:val="16"/>
          <w:color w:val="auto"/>
        </w:rPr>
        <w:t>.</w:t>
      </w:r>
    </w:p>
    <w:p>
      <w:pPr>
        <w:spacing w:after="0" w:line="189" w:lineRule="exact"/>
        <w:rPr>
          <w:sz w:val="20"/>
          <w:szCs w:val="20"/>
          <w:color w:val="auto"/>
        </w:rPr>
      </w:pPr>
    </w:p>
    <w:p>
      <w:pPr>
        <w:jc w:val="both"/>
        <w:ind w:firstLine="1304"/>
        <w:spacing w:after="0" w:line="223" w:lineRule="auto"/>
        <w:tabs>
          <w:tab w:leader="none" w:pos="1934"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Guarantors hereby, jointly and severally, guarantee to each Secured Party as hereinafter provided, as primary obligor and not merely as surety, the payment and performance of the Secured Obligations in full in cash when due (whether at stated maturity, as a mandatory prepayment, by acceleration, as a mandatory cash collateralization or otherwise) strictly in accordance with the terms hereof and thereof. Each Guarantor hereby further jointly and severally agrees that if any of the Secured Obligations are not paid in full in cash when due (whether at stated maturity, as a mandatory prepayment, by acceleration, as a mandatory cash collateralization or otherwise), each Guarantor will promptly pay the same, without any demand or notice whatsoever, and that in the case of any extension of time of payment or renewal of any of the Secured Obligations, the same will be promptly paid in full in cash when due (whether at extended maturity, as a mandatory prepayment, by acceleration, as a mandatory cash collateralization or otherwise) in accordance with the terms of such extension or renewal.</w:t>
      </w:r>
    </w:p>
    <w:p>
      <w:pPr>
        <w:spacing w:after="0" w:line="170"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326"/>
        </w:numPr>
        <w:rPr>
          <w:rFonts w:ascii="Arial" w:cs="Arial" w:eastAsia="Arial" w:hAnsi="Arial"/>
          <w:sz w:val="19"/>
          <w:szCs w:val="19"/>
          <w:color w:val="auto"/>
        </w:rPr>
      </w:pPr>
      <w:r>
        <w:rPr>
          <w:rFonts w:ascii="Arial" w:cs="Arial" w:eastAsia="Arial" w:hAnsi="Arial"/>
          <w:sz w:val="19"/>
          <w:szCs w:val="19"/>
          <w:color w:val="auto"/>
        </w:rPr>
        <w:t>Each Guarantor, and by its acceptance of this Guaranty, the Administrative Agent and each other Secured Party, hereby confirms that it is the intention of all such Persons that this Guaranty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this Guaranty and the Obligations of each Guarantor hereunder. To effectuate the foregoing intention, the Administrative Agent, the other Secured Parties and the Guarantors hereby irrevocably agree that the Obligations of each Guarantor under this Guaranty at any time shall be limited to the maximum amount as will result in the Obligations of such Guarantor under this Guaranty not constituting a fraudulent transfer or conveyance under applicable law after giving full effect to such Guarantor’s contribution rights but before taking into account any liabilities of such Guarantor under any other guarantee of such Guarantor.</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 The obligations of the Guarantors under Section 10.01 are absolute and unconditional, irrespective of the value, genuineness, validity, regularity or enforceability of any of the Loan Documents or other documents relating to the</w:t>
      </w:r>
    </w:p>
    <w:p>
      <w:pPr>
        <w:spacing w:after="0" w:line="226" w:lineRule="auto"/>
        <w:rPr>
          <w:sz w:val="20"/>
          <w:szCs w:val="20"/>
          <w:color w:val="auto"/>
        </w:rPr>
      </w:pPr>
      <w:r>
        <w:rPr>
          <w:rFonts w:ascii="Arial" w:cs="Arial" w:eastAsia="Arial" w:hAnsi="Arial"/>
          <w:sz w:val="18"/>
          <w:szCs w:val="18"/>
          <w:color w:val="auto"/>
        </w:rPr>
        <w:t>Secured Obligations, or any substitution, release, impairment or exchange of any other guarantee of or security for any of the Secured Obligations, and, to the fullest extent permitted by applicable law, irrespective of any other circumstance whatsoever which might otherwise</w:t>
      </w:r>
    </w:p>
    <w:p>
      <w:pPr>
        <w:spacing w:after="0" w:line="236" w:lineRule="auto"/>
        <w:rPr>
          <w:sz w:val="20"/>
          <w:szCs w:val="20"/>
          <w:color w:val="auto"/>
        </w:rPr>
      </w:pPr>
      <w:r>
        <w:rPr>
          <w:rFonts w:ascii="Arial" w:cs="Arial" w:eastAsia="Arial" w:hAnsi="Arial"/>
          <w:sz w:val="18"/>
          <w:szCs w:val="18"/>
          <w:color w:val="auto"/>
        </w:rPr>
        <w:t>constitute a legal or equitable discharge or defense of a surety or guarantor (other than payment in full in cash of the Secured Obligations,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than Unliquidated Obligations for which no claim has been made), it being the intent of this Section 10.02 that the obligations of the Guarantors hereunder shall be absolute and unconditional under any and all circumstances. Each Guarantor agrees that it shall have no right</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of subrogation, indemnity, reimbursement or contribution against any other Guarantor for amounts paid under this Article X until such time as the Secured Obligations (other than Unliquidated Obligations for which no claim has been made) have been indefeasibly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203</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3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full in cash and the Commitments have expired or terminated. Without limiting the generality of the foregoing, it is agreed that, to the fullest extent permitted by law, the occurrence of any one or more of the following shall not alter or impair the liability of any Guarantor hereunder,</w:t>
      </w:r>
    </w:p>
    <w:p>
      <w:pPr>
        <w:spacing w:after="0"/>
        <w:rPr>
          <w:sz w:val="20"/>
          <w:szCs w:val="20"/>
          <w:color w:val="auto"/>
        </w:rPr>
      </w:pPr>
      <w:r>
        <w:rPr>
          <w:rFonts w:ascii="Arial" w:cs="Arial" w:eastAsia="Arial" w:hAnsi="Arial"/>
          <w:sz w:val="20"/>
          <w:szCs w:val="20"/>
          <w:color w:val="auto"/>
        </w:rPr>
        <w:t>which shall remain absolute and unconditional as described above:</w:t>
      </w:r>
    </w:p>
    <w:p>
      <w:pPr>
        <w:spacing w:after="0" w:line="173" w:lineRule="exact"/>
        <w:rPr>
          <w:sz w:val="20"/>
          <w:szCs w:val="20"/>
          <w:color w:val="auto"/>
        </w:rPr>
      </w:pPr>
    </w:p>
    <w:p>
      <w:pPr>
        <w:ind w:right="20" w:firstLine="1304"/>
        <w:spacing w:after="0" w:line="229" w:lineRule="auto"/>
        <w:tabs>
          <w:tab w:leader="none" w:pos="1934"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at any time or from time to time, without notice to any Guarantor, the time for any performance of or compliance with any of the Secured Obligations shall be extended, or such performance or compliance shall be waived;</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93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maturity of any of the Secured Obligations shall be accelerated, or any of the Secured Obligations shall be modified, supplemented or amended in any respect, or any right under any of the Loan Documents or other documents relating to the Secured Obligations shall be waived or any other guarantee of any of the Secured Obligations or any security therefor shall be released, impaired or exchanged in whole or in part or otherwise dealt with;</w:t>
      </w:r>
    </w:p>
    <w:p>
      <w:pPr>
        <w:spacing w:after="0" w:line="169" w:lineRule="exact"/>
        <w:rPr>
          <w:rFonts w:ascii="Arial" w:cs="Arial" w:eastAsia="Arial" w:hAnsi="Arial"/>
          <w:sz w:val="20"/>
          <w:szCs w:val="20"/>
          <w:color w:val="auto"/>
        </w:rPr>
      </w:pPr>
    </w:p>
    <w:p>
      <w:pPr>
        <w:ind w:right="20" w:firstLine="1304"/>
        <w:spacing w:after="0" w:line="229" w:lineRule="auto"/>
        <w:tabs>
          <w:tab w:leader="none" w:pos="1934"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Lien granted to, or in favor of, the Administrative Agent, the Collateral Agent or any other holder of the Secured Obligations as security for any of the Secured Obligations shall fail to attach or be perfected;</w:t>
      </w:r>
    </w:p>
    <w:p>
      <w:pPr>
        <w:spacing w:after="0" w:line="168" w:lineRule="exact"/>
        <w:rPr>
          <w:rFonts w:ascii="Arial" w:cs="Arial" w:eastAsia="Arial" w:hAnsi="Arial"/>
          <w:sz w:val="20"/>
          <w:szCs w:val="20"/>
          <w:color w:val="auto"/>
        </w:rPr>
      </w:pPr>
    </w:p>
    <w:p>
      <w:pPr>
        <w:jc w:val="both"/>
        <w:ind w:firstLine="1304"/>
        <w:spacing w:after="0" w:line="223" w:lineRule="auto"/>
        <w:tabs>
          <w:tab w:leader="none" w:pos="193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of the Secured Obligations shall be determined to be void or voidable (including, without limitation, for the benefit of any creditor of any Guarantor) or shall be subordinated to the claims of any Person (including, without limitation, any creditor of Guarantor);</w:t>
      </w:r>
    </w:p>
    <w:p>
      <w:pPr>
        <w:spacing w:after="0" w:line="168"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Swap Agreement or any Cash Management Agreement, at law, in equity or otherwise) with respect to the Secured Obligations or any agreement relating thereto, or with respect to any other guaranty of or security for the payment of the Secured Obligations;</w:t>
      </w:r>
    </w:p>
    <w:p>
      <w:pPr>
        <w:spacing w:after="0" w:line="157" w:lineRule="exact"/>
        <w:rPr>
          <w:rFonts w:ascii="Arial" w:cs="Arial" w:eastAsia="Arial" w:hAnsi="Arial"/>
          <w:sz w:val="20"/>
          <w:szCs w:val="20"/>
          <w:color w:val="auto"/>
        </w:rPr>
      </w:pPr>
    </w:p>
    <w:p>
      <w:pPr>
        <w:jc w:val="both"/>
        <w:ind w:firstLine="1304"/>
        <w:spacing w:after="0" w:line="225" w:lineRule="auto"/>
        <w:tabs>
          <w:tab w:leader="none" w:pos="193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Collateral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including without limitation, California Civil Code Sections 2809, 2810, 2819, 2939, 2845, 2848, 2849, 2850, 2855, 2899 and 3433;</w:t>
      </w:r>
    </w:p>
    <w:p>
      <w:pPr>
        <w:spacing w:after="0" w:line="170" w:lineRule="exact"/>
        <w:rPr>
          <w:rFonts w:ascii="Arial" w:cs="Arial" w:eastAsia="Arial" w:hAnsi="Arial"/>
          <w:sz w:val="19"/>
          <w:szCs w:val="19"/>
          <w:color w:val="auto"/>
        </w:rPr>
      </w:pPr>
    </w:p>
    <w:p>
      <w:pPr>
        <w:jc w:val="both"/>
        <w:ind w:firstLine="1304"/>
        <w:spacing w:after="0" w:line="215" w:lineRule="auto"/>
        <w:tabs>
          <w:tab w:leader="none" w:pos="193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any other circumstance whatsoever which may or might in any manner or to any extent vary the risk of any Guarantor as an obligor in respect of the Secured Obligations or which constitutes, or might be construed to constitute, an equitable or legal discharge of any Borrower or any other Guarantor for the Secured Obligations, or of such Guarantor under the guarantee contained in this Article X or of any security interest granted by any Guarantor, whether in an Insolvency or Liquidation Proceeding or in any other instance; or</w:t>
      </w:r>
    </w:p>
    <w:p>
      <w:pPr>
        <w:spacing w:after="0" w:line="171" w:lineRule="exact"/>
        <w:rPr>
          <w:rFonts w:ascii="Arial" w:cs="Arial" w:eastAsia="Arial" w:hAnsi="Arial"/>
          <w:sz w:val="20"/>
          <w:szCs w:val="20"/>
          <w:color w:val="auto"/>
        </w:rPr>
      </w:pPr>
    </w:p>
    <w:p>
      <w:pPr>
        <w:ind w:firstLine="1304"/>
        <w:spacing w:after="0" w:line="229" w:lineRule="auto"/>
        <w:tabs>
          <w:tab w:leader="none" w:pos="193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with respect to its obligations hereunder, each Guarantor hereby expressly waives diligence, presentment, demand of payment, protest and all notices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204</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3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and any requirement that the Administrative Agent, the Collateral Agent or any other holder of the Secured Obligations exhaust any right, power or remedy or proceed against any Person under any of the Loan Documents or other documents relating to the Secured Obligations,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against any other Person under any other guarantee of, or security for, any of the Secured Obligations.</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Reinstatement</w:t>
      </w:r>
      <w:r>
        <w:rPr>
          <w:rFonts w:ascii="Arial" w:cs="Arial" w:eastAsia="Arial" w:hAnsi="Arial"/>
          <w:sz w:val="16"/>
          <w:szCs w:val="16"/>
          <w:color w:val="auto"/>
        </w:rPr>
        <w:t>. The obligations of each Guarantor under this Article X shall be automatically reinstated if and to the extent that for any reason any payment by or on behalf of any Person in respect of the Secured Obligations is rescinded or must be otherwise</w:t>
      </w:r>
    </w:p>
    <w:p>
      <w:pPr>
        <w:spacing w:after="0" w:line="236" w:lineRule="auto"/>
        <w:rPr>
          <w:sz w:val="20"/>
          <w:szCs w:val="20"/>
          <w:color w:val="auto"/>
        </w:rPr>
      </w:pPr>
      <w:r>
        <w:rPr>
          <w:rFonts w:ascii="Arial" w:cs="Arial" w:eastAsia="Arial" w:hAnsi="Arial"/>
          <w:sz w:val="18"/>
          <w:szCs w:val="18"/>
          <w:color w:val="auto"/>
        </w:rPr>
        <w:t>restored by any holder of any of the Secured Obligations, whether as a result of any proceedings under any Debtor Relief Law, and each</w:t>
      </w:r>
    </w:p>
    <w:p>
      <w:pPr>
        <w:spacing w:after="0" w:line="226" w:lineRule="auto"/>
        <w:rPr>
          <w:sz w:val="20"/>
          <w:szCs w:val="20"/>
          <w:color w:val="auto"/>
        </w:rPr>
      </w:pPr>
      <w:r>
        <w:rPr>
          <w:rFonts w:ascii="Arial" w:cs="Arial" w:eastAsia="Arial" w:hAnsi="Arial"/>
          <w:sz w:val="18"/>
          <w:szCs w:val="18"/>
          <w:color w:val="auto"/>
        </w:rPr>
        <w:t>Guarantor agrees that it will jointly and severally indemnify the Administrative Agent and each holder of the Secured Obligations on demand for all reasonable costs and expenses (including, without limitation, the fees, charges and disbursements of counsel) incurred by the</w:t>
      </w:r>
    </w:p>
    <w:p>
      <w:pPr>
        <w:spacing w:after="0" w:line="236" w:lineRule="auto"/>
        <w:rPr>
          <w:sz w:val="20"/>
          <w:szCs w:val="20"/>
          <w:color w:val="auto"/>
        </w:rPr>
      </w:pPr>
      <w:r>
        <w:rPr>
          <w:rFonts w:ascii="Arial" w:cs="Arial" w:eastAsia="Arial" w:hAnsi="Arial"/>
          <w:sz w:val="18"/>
          <w:szCs w:val="18"/>
          <w:color w:val="auto"/>
        </w:rPr>
        <w:t>Administrative Agent or such holder of the Secured Obligations in connection with such rescission or restoration, including any such costs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expenses incurred in defending against any claim alleging that such payment constituted a preference, fraudulent transfer or similar payment under any proceedings under any debtor relief law.</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 Each Guarantor further agrees that it shall have no right of recourse to security for the</w:t>
      </w:r>
    </w:p>
    <w:p>
      <w:pPr>
        <w:spacing w:after="0" w:line="220" w:lineRule="auto"/>
        <w:rPr>
          <w:sz w:val="20"/>
          <w:szCs w:val="20"/>
          <w:color w:val="auto"/>
        </w:rPr>
      </w:pPr>
      <w:r>
        <w:rPr>
          <w:rFonts w:ascii="Arial" w:cs="Arial" w:eastAsia="Arial" w:hAnsi="Arial"/>
          <w:sz w:val="20"/>
          <w:szCs w:val="20"/>
          <w:color w:val="auto"/>
        </w:rPr>
        <w:t>Secured Obligations, except through the exercise of rights of subrogation pursuant to Section 10.02 and through the exercise of rights of contribution pursuant to Section 10.06.</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 Each Guarantor agrees that, to the fullest extent permitted by law, as between the Guarantors, on the one</w:t>
      </w:r>
    </w:p>
    <w:p>
      <w:pPr>
        <w:spacing w:after="0" w:line="226" w:lineRule="auto"/>
        <w:rPr>
          <w:sz w:val="20"/>
          <w:szCs w:val="20"/>
          <w:color w:val="auto"/>
        </w:rPr>
      </w:pPr>
      <w:r>
        <w:rPr>
          <w:rFonts w:ascii="Arial" w:cs="Arial" w:eastAsia="Arial" w:hAnsi="Arial"/>
          <w:sz w:val="18"/>
          <w:szCs w:val="18"/>
          <w:color w:val="auto"/>
        </w:rPr>
        <w:t>hand, and the Administrative Agent, the Collateral Agent and the other holders of the Secured Obligations, on the other hand, the Secured Obligations may be declared to be forthwith due and payable as provided in Article VII (and shall be deemed to have become automatically</w:t>
      </w:r>
    </w:p>
    <w:p>
      <w:pPr>
        <w:spacing w:after="0" w:line="236" w:lineRule="auto"/>
        <w:rPr>
          <w:sz w:val="20"/>
          <w:szCs w:val="20"/>
          <w:color w:val="auto"/>
        </w:rPr>
      </w:pPr>
      <w:r>
        <w:rPr>
          <w:rFonts w:ascii="Arial" w:cs="Arial" w:eastAsia="Arial" w:hAnsi="Arial"/>
          <w:sz w:val="18"/>
          <w:szCs w:val="18"/>
          <w:color w:val="auto"/>
        </w:rPr>
        <w:t>due and payable in the circumstances provided in said Article VII) for purposes of Section 10.01 notwithstanding any stay, injunction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prohibition preventing such declaration (or preventing the Secured Obligations from becoming automatically due and payable) as against any other Person and that, in the event of such declaration (or the Secured Obligations being deemed to have become automatically</w:t>
      </w:r>
    </w:p>
    <w:p>
      <w:pPr>
        <w:spacing w:after="0" w:line="236" w:lineRule="auto"/>
        <w:rPr>
          <w:sz w:val="20"/>
          <w:szCs w:val="20"/>
          <w:color w:val="auto"/>
        </w:rPr>
      </w:pPr>
      <w:r>
        <w:rPr>
          <w:rFonts w:ascii="Arial" w:cs="Arial" w:eastAsia="Arial" w:hAnsi="Arial"/>
          <w:sz w:val="18"/>
          <w:szCs w:val="18"/>
          <w:color w:val="auto"/>
        </w:rPr>
        <w:t>due and payable), the Secured Obligations (whether or not due and payable by any other Person) shall forthwith become due and payable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each Guarantor for purposes of Section 10.01. Each Guarantor acknowledges and agrees that its respective obligations hereunder are secured in accordance with the terms of the Collateral Documents and that the holders of the Secured Obligations may exercise their remedies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thereunder in accordance with the terms thereof.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Rights of Contribution</w:t>
      </w:r>
      <w:r>
        <w:rPr>
          <w:rFonts w:ascii="Arial" w:cs="Arial" w:eastAsia="Arial" w:hAnsi="Arial"/>
          <w:sz w:val="18"/>
          <w:szCs w:val="18"/>
          <w:color w:val="auto"/>
        </w:rPr>
        <w:t>. Each Guarantor agrees that, in connection with payments made hereunder, each Guarantor shall have contribution rights against the other Guarantors as permitted under applicable law. Such contribution rights shall be subordinate</w:t>
      </w:r>
    </w:p>
    <w:p>
      <w:pPr>
        <w:spacing w:after="0" w:line="235" w:lineRule="auto"/>
        <w:rPr>
          <w:sz w:val="20"/>
          <w:szCs w:val="20"/>
          <w:color w:val="auto"/>
        </w:rPr>
      </w:pPr>
      <w:r>
        <w:rPr>
          <w:rFonts w:ascii="Arial" w:cs="Arial" w:eastAsia="Arial" w:hAnsi="Arial"/>
          <w:sz w:val="18"/>
          <w:szCs w:val="18"/>
          <w:color w:val="auto"/>
        </w:rPr>
        <w:t>and subject in right of payment to the obligations of such Guarantors under the Loan Documents and no Guarantor shall exercise such rights</w:t>
      </w:r>
    </w:p>
    <w:p>
      <w:pPr>
        <w:spacing w:after="0" w:line="220" w:lineRule="auto"/>
        <w:rPr>
          <w:sz w:val="20"/>
          <w:szCs w:val="20"/>
          <w:color w:val="auto"/>
        </w:rPr>
      </w:pPr>
      <w:r>
        <w:rPr>
          <w:rFonts w:ascii="Arial" w:cs="Arial" w:eastAsia="Arial" w:hAnsi="Arial"/>
          <w:sz w:val="20"/>
          <w:szCs w:val="20"/>
          <w:color w:val="auto"/>
        </w:rPr>
        <w:t>of contribution until all Secured Obligations (other than Unliquidated Obligations for which no claim has been made) have been indefeasibly paid in full in cash and the Commitments have terminated.</w:t>
      </w:r>
    </w:p>
    <w:p>
      <w:pPr>
        <w:spacing w:after="0" w:line="170" w:lineRule="exact"/>
        <w:rPr>
          <w:sz w:val="20"/>
          <w:szCs w:val="20"/>
          <w:color w:val="auto"/>
        </w:rPr>
      </w:pPr>
    </w:p>
    <w:p>
      <w:pPr>
        <w:ind w:right="20" w:firstLine="648"/>
        <w:spacing w:after="0" w:line="242"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Guaranty of Payment; Continuing Guarantee</w:t>
      </w:r>
      <w:r>
        <w:rPr>
          <w:rFonts w:ascii="Arial" w:cs="Arial" w:eastAsia="Arial" w:hAnsi="Arial"/>
          <w:sz w:val="19"/>
          <w:szCs w:val="19"/>
          <w:color w:val="auto"/>
        </w:rPr>
        <w:t xml:space="preserve">. The guarantee given by each Guarantor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is a guaranty of payment and not of collection, is a continuing guarantee, and shall apply to all Secured Obligations whenever arising.</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8"/>
          <w:szCs w:val="18"/>
          <w:u w:val="single" w:color="auto"/>
          <w:color w:val="auto"/>
        </w:rPr>
        <w:t>Guarantee Limitations</w:t>
      </w:r>
      <w:r>
        <w:rPr>
          <w:rFonts w:ascii="Arial" w:cs="Arial" w:eastAsia="Arial" w:hAnsi="Arial"/>
          <w:sz w:val="18"/>
          <w:szCs w:val="18"/>
          <w:color w:val="auto"/>
        </w:rPr>
        <w:t>. The guarantee given by each Guarantor incorporated in Ireland does not apply to any liability</w:t>
      </w:r>
    </w:p>
    <w:p>
      <w:pPr>
        <w:ind w:right="20"/>
        <w:spacing w:after="0" w:line="220" w:lineRule="auto"/>
        <w:rPr>
          <w:sz w:val="20"/>
          <w:szCs w:val="20"/>
          <w:color w:val="auto"/>
        </w:rPr>
      </w:pPr>
      <w:r>
        <w:rPr>
          <w:rFonts w:ascii="Arial" w:cs="Arial" w:eastAsia="Arial" w:hAnsi="Arial"/>
          <w:sz w:val="20"/>
          <w:szCs w:val="20"/>
          <w:color w:val="auto"/>
        </w:rPr>
        <w:t>to the extent that it would result in this guarantee constituting unlawful financial assistance within the meaning of Section 82. Notwithstanding anything to the contrary contained in this Agreement or in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205</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3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Documents, the guarantee obligations of each Guarantor established in Luxembourg or having its “centre of main interests” (as this term is used in Article 3(1) of the Insolvency Regulation) in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in respect of the obligations of Holdings or</w:t>
      </w:r>
    </w:p>
    <w:p>
      <w:pPr>
        <w:spacing w:after="0" w:line="227" w:lineRule="auto"/>
        <w:rPr>
          <w:sz w:val="20"/>
          <w:szCs w:val="20"/>
          <w:color w:val="auto"/>
        </w:rPr>
      </w:pPr>
      <w:r>
        <w:rPr>
          <w:rFonts w:ascii="Arial" w:cs="Arial" w:eastAsia="Arial" w:hAnsi="Arial"/>
          <w:sz w:val="20"/>
          <w:szCs w:val="20"/>
          <w:color w:val="auto"/>
        </w:rPr>
        <w:t>any of its Subsidiaries which is not a direct or indirect subsidiary of such relevant Luxembourg Guarantor shall be limited at any time to an aggregate amount not exceeding 95% of the greater of:</w:t>
      </w:r>
    </w:p>
    <w:p>
      <w:pPr>
        <w:spacing w:after="0" w:line="156" w:lineRule="exact"/>
        <w:rPr>
          <w:sz w:val="20"/>
          <w:szCs w:val="20"/>
          <w:color w:val="auto"/>
        </w:rPr>
      </w:pPr>
    </w:p>
    <w:p>
      <w:pPr>
        <w:jc w:val="both"/>
        <w:ind w:firstLine="1304"/>
        <w:spacing w:after="0" w:line="214" w:lineRule="auto"/>
        <w:tabs>
          <w:tab w:leader="none" w:pos="193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Luxembourg Guarantor's own funds (</w:t>
      </w:r>
      <w:r>
        <w:rPr>
          <w:rFonts w:ascii="Arial" w:cs="Arial" w:eastAsia="Arial" w:hAnsi="Arial"/>
          <w:sz w:val="20"/>
          <w:szCs w:val="20"/>
          <w:i w:val="1"/>
          <w:iCs w:val="1"/>
          <w:color w:val="auto"/>
        </w:rPr>
        <w:t>capitaux propres</w:t>
      </w:r>
      <w:r>
        <w:rPr>
          <w:rFonts w:ascii="Arial" w:cs="Arial" w:eastAsia="Arial" w:hAnsi="Arial"/>
          <w:sz w:val="20"/>
          <w:szCs w:val="20"/>
          <w:color w:val="auto"/>
        </w:rPr>
        <w:t>), as referred to in Annex I to the grand-ducal regulation dated 18 December 2015 defining the form and content of the presentation of the balance sheet and profit and loss account, and enforcing the Luxembourg Law dated 19 December 2002 concerning the trade and companies register and the accounting and annual accounts of undertakings (the “</w:t>
      </w:r>
      <w:r>
        <w:rPr>
          <w:rFonts w:ascii="Arial" w:cs="Arial" w:eastAsia="Arial" w:hAnsi="Arial"/>
          <w:sz w:val="20"/>
          <w:szCs w:val="20"/>
          <w:u w:val="single" w:color="auto"/>
          <w:color w:val="auto"/>
        </w:rPr>
        <w:t>Regulation</w:t>
      </w:r>
      <w:r>
        <w:rPr>
          <w:rFonts w:ascii="Arial" w:cs="Arial" w:eastAsia="Arial" w:hAnsi="Arial"/>
          <w:sz w:val="20"/>
          <w:szCs w:val="20"/>
          <w:color w:val="auto"/>
        </w:rPr>
        <w:t>”), as increased by the amount of any debts owed to the Luxembourg Guarantor by a company of the same group of the Luxembourg Guarantor, as shown in (x) the latest interim financial statements available (if any), at the date of demand of payment under this Agreement or, if not available, (y) the latest annual financial statements (</w:t>
      </w:r>
      <w:r>
        <w:rPr>
          <w:rFonts w:ascii="Arial" w:cs="Arial" w:eastAsia="Arial" w:hAnsi="Arial"/>
          <w:sz w:val="20"/>
          <w:szCs w:val="20"/>
          <w:i w:val="1"/>
          <w:iCs w:val="1"/>
          <w:color w:val="auto"/>
        </w:rPr>
        <w:t>comptes annuels</w:t>
      </w:r>
      <w:r>
        <w:rPr>
          <w:rFonts w:ascii="Arial" w:cs="Arial" w:eastAsia="Arial" w:hAnsi="Arial"/>
          <w:sz w:val="20"/>
          <w:szCs w:val="20"/>
          <w:color w:val="auto"/>
        </w:rPr>
        <w:t>) available at the date of demand of payment under this Agreement; and</w:t>
      </w:r>
    </w:p>
    <w:p>
      <w:pPr>
        <w:spacing w:after="0" w:line="171" w:lineRule="exact"/>
        <w:rPr>
          <w:rFonts w:ascii="Arial" w:cs="Arial" w:eastAsia="Arial" w:hAnsi="Arial"/>
          <w:sz w:val="20"/>
          <w:szCs w:val="20"/>
          <w:color w:val="auto"/>
        </w:rPr>
      </w:pPr>
    </w:p>
    <w:p>
      <w:pPr>
        <w:jc w:val="both"/>
        <w:ind w:firstLine="1304"/>
        <w:spacing w:after="0" w:line="223" w:lineRule="auto"/>
        <w:tabs>
          <w:tab w:leader="none" w:pos="193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Luxembourg Guarantor’s own funds (</w:t>
      </w:r>
      <w:r>
        <w:rPr>
          <w:rFonts w:ascii="Arial" w:cs="Arial" w:eastAsia="Arial" w:hAnsi="Arial"/>
          <w:sz w:val="20"/>
          <w:szCs w:val="20"/>
          <w:i w:val="1"/>
          <w:iCs w:val="1"/>
          <w:color w:val="auto"/>
        </w:rPr>
        <w:t>capitaux propres</w:t>
      </w:r>
      <w:r>
        <w:rPr>
          <w:rFonts w:ascii="Arial" w:cs="Arial" w:eastAsia="Arial" w:hAnsi="Arial"/>
          <w:sz w:val="20"/>
          <w:szCs w:val="20"/>
          <w:color w:val="auto"/>
        </w:rPr>
        <w:t>), as referred to in the Regulation, as increased by the amount of any debts owed to the Luxembourg Guarantor by a company of the same group of the Luxembourg Guarantor, at the date of entry into this Agreement.</w:t>
      </w:r>
    </w:p>
    <w:p>
      <w:pPr>
        <w:spacing w:after="0" w:line="169" w:lineRule="exact"/>
        <w:rPr>
          <w:sz w:val="20"/>
          <w:szCs w:val="20"/>
          <w:color w:val="auto"/>
        </w:rPr>
      </w:pPr>
    </w:p>
    <w:p>
      <w:pPr>
        <w:ind w:firstLine="1296"/>
        <w:spacing w:after="0" w:line="257" w:lineRule="auto"/>
        <w:rPr>
          <w:sz w:val="20"/>
          <w:szCs w:val="20"/>
          <w:color w:val="auto"/>
        </w:rPr>
      </w:pPr>
      <w:r>
        <w:rPr>
          <w:rFonts w:ascii="Arial" w:cs="Arial" w:eastAsia="Arial" w:hAnsi="Arial"/>
          <w:sz w:val="19"/>
          <w:szCs w:val="19"/>
          <w:color w:val="auto"/>
        </w:rPr>
        <w:t>The limitation set forth under items (a) and (b) above shall not apply to any amounts borrowed under this Agreement and made available, in any form whatsoever, to the Luxembourg Guarantor or any of its direct or indirect subsidiaries.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Should the financial information referred to in clause (a) and (b) above not be available on the date of this Agreement or 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date the guarantee is called, as the case may be, such financial information will be determined by Administrative Agent or any other person designated by Administrative Agent, acting reasonably, in accordance with the Luxembourg accounting principles applicable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Luxembourg Guarantor and at the cost of the Luxembourg Guarantor.</w:t>
      </w:r>
    </w:p>
    <w:p>
      <w:pPr>
        <w:spacing w:after="0" w:line="14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Keepwell.</w:t>
      </w:r>
      <w:r>
        <w:rPr>
          <w:rFonts w:ascii="Arial" w:cs="Arial" w:eastAsia="Arial" w:hAnsi="Arial"/>
          <w:sz w:val="18"/>
          <w:szCs w:val="18"/>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w:t>
      </w:r>
    </w:p>
    <w:p>
      <w:pPr>
        <w:spacing w:after="0" w:line="226" w:lineRule="auto"/>
        <w:rPr>
          <w:sz w:val="20"/>
          <w:szCs w:val="20"/>
          <w:color w:val="auto"/>
        </w:rPr>
      </w:pPr>
      <w:r>
        <w:rPr>
          <w:rFonts w:ascii="Arial" w:cs="Arial" w:eastAsia="Arial" w:hAnsi="Arial"/>
          <w:sz w:val="18"/>
          <w:szCs w:val="18"/>
          <w:color w:val="auto"/>
        </w:rPr>
        <w:t>under the Guarantees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Qualified ECP Guarantor shall only be liable under this Section 10.09 for the maximum amount of such liability that can be hereby incurred without rendering its obligations under this Section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10.09, or otherwise under the Guarantees, as it relates to such Loan Party, voidable under applicable law relating to fraudulent conveyance or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fraudulent transfer, and not for any greater amount). The obligations of each Qualified ECP Guarantor under this Section 10.09 shall remain in full force and effect until a discharge of Secured Obligations. Each Qualified ECP Guarantor intends that this Section 10.09 constitute, and</w:t>
      </w:r>
    </w:p>
    <w:p>
      <w:pPr>
        <w:spacing w:after="0" w:line="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this Section 10.09 shall be deemed to constitute, a “keepwell, support, or other agreement” for the benefit of each other Loan Party for all purposes of Section 1a(18)(A)(v)(II) of the Commodity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206</w:t>
      </w:r>
    </w:p>
    <w:p>
      <w:pPr>
        <w:sectPr>
          <w:pgSz w:w="11900" w:h="16838" w:orient="portrait"/>
          <w:cols w:equalWidth="0" w:num="1">
            <w:col w:w="11240"/>
          </w:cols>
          <w:pgMar w:left="320" w:top="1440" w:right="339" w:bottom="1440" w:gutter="0" w:footer="0" w:header="0"/>
        </w:sectPr>
      </w:pPr>
    </w:p>
    <w:bookmarkStart w:id="373" w:name="page374"/>
    <w:bookmarkEnd w:id="373"/>
    <w:p>
      <w:pPr>
        <w:ind w:left="5140"/>
        <w:spacing w:after="0"/>
        <w:rPr>
          <w:sz w:val="20"/>
          <w:szCs w:val="20"/>
          <w:color w:val="auto"/>
        </w:rPr>
      </w:pPr>
      <w:r>
        <w:rPr>
          <w:rFonts w:ascii="Arial" w:cs="Arial" w:eastAsia="Arial" w:hAnsi="Arial"/>
          <w:sz w:val="20"/>
          <w:szCs w:val="20"/>
          <w:b w:val="1"/>
          <w:bCs w:val="1"/>
          <w:color w:val="auto"/>
        </w:rPr>
        <w:t>EXHIBIT I</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[Form of]</w:t>
      </w:r>
    </w:p>
    <w:p>
      <w:pPr>
        <w:jc w:val="center"/>
        <w:spacing w:after="0"/>
        <w:rPr>
          <w:sz w:val="20"/>
          <w:szCs w:val="20"/>
          <w:color w:val="auto"/>
        </w:rPr>
      </w:pPr>
      <w:r>
        <w:rPr>
          <w:rFonts w:ascii="Arial" w:cs="Arial" w:eastAsia="Arial" w:hAnsi="Arial"/>
          <w:sz w:val="20"/>
          <w:szCs w:val="20"/>
          <w:color w:val="auto"/>
        </w:rPr>
        <w:t>BORROWING REQUEST</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 20[ ]</w:t>
      </w:r>
      <w:r>
        <w:rPr>
          <w:rFonts w:ascii="Arial" w:cs="Arial" w:eastAsia="Arial" w:hAnsi="Arial"/>
          <w:sz w:val="25"/>
          <w:szCs w:val="25"/>
          <w:color w:val="auto"/>
          <w:vertAlign w:val="superscript"/>
        </w:rPr>
        <w:t>1</w:t>
      </w:r>
    </w:p>
    <w:p>
      <w:pPr>
        <w:spacing w:after="0" w:line="10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Citibank, N.A. as Administrative Agent</w:t>
      </w:r>
    </w:p>
    <w:p>
      <w:pPr>
        <w:ind w:left="200"/>
        <w:spacing w:after="0" w:line="211" w:lineRule="auto"/>
        <w:rPr>
          <w:sz w:val="20"/>
          <w:szCs w:val="20"/>
          <w:color w:val="auto"/>
        </w:rPr>
      </w:pPr>
      <w:r>
        <w:rPr>
          <w:rFonts w:ascii="Arial" w:cs="Arial" w:eastAsia="Arial" w:hAnsi="Arial"/>
          <w:sz w:val="20"/>
          <w:szCs w:val="20"/>
          <w:color w:val="auto"/>
        </w:rPr>
        <w:t>One Penns Way</w:t>
      </w:r>
    </w:p>
    <w:p>
      <w:pPr>
        <w:ind w:left="200"/>
        <w:spacing w:after="0" w:line="211" w:lineRule="auto"/>
        <w:rPr>
          <w:sz w:val="20"/>
          <w:szCs w:val="20"/>
          <w:color w:val="auto"/>
        </w:rPr>
      </w:pPr>
      <w:r>
        <w:rPr>
          <w:rFonts w:ascii="Arial" w:cs="Arial" w:eastAsia="Arial" w:hAnsi="Arial"/>
          <w:sz w:val="20"/>
          <w:szCs w:val="20"/>
          <w:color w:val="auto"/>
        </w:rPr>
        <w:t>OPS 2/2</w:t>
      </w:r>
    </w:p>
    <w:p>
      <w:pPr>
        <w:ind w:left="200"/>
        <w:spacing w:after="0" w:line="197" w:lineRule="auto"/>
        <w:rPr>
          <w:sz w:val="20"/>
          <w:szCs w:val="20"/>
          <w:color w:val="auto"/>
        </w:rPr>
      </w:pPr>
      <w:r>
        <w:rPr>
          <w:rFonts w:ascii="Arial" w:cs="Arial" w:eastAsia="Arial" w:hAnsi="Arial"/>
          <w:sz w:val="20"/>
          <w:szCs w:val="20"/>
          <w:color w:val="auto"/>
        </w:rPr>
        <w:t>New Castle, DE 19720</w:t>
      </w:r>
    </w:p>
    <w:p>
      <w:pPr>
        <w:ind w:left="200"/>
        <w:spacing w:after="0" w:line="212" w:lineRule="auto"/>
        <w:rPr>
          <w:sz w:val="20"/>
          <w:szCs w:val="20"/>
          <w:color w:val="auto"/>
        </w:rPr>
      </w:pPr>
      <w:r>
        <w:rPr>
          <w:rFonts w:ascii="Arial" w:cs="Arial" w:eastAsia="Arial" w:hAnsi="Arial"/>
          <w:sz w:val="20"/>
          <w:szCs w:val="20"/>
          <w:color w:val="auto"/>
        </w:rPr>
        <w:t>Attn: Agency Operations</w:t>
      </w:r>
    </w:p>
    <w:p>
      <w:pPr>
        <w:ind w:left="200"/>
        <w:spacing w:after="0" w:line="211" w:lineRule="auto"/>
        <w:rPr>
          <w:sz w:val="20"/>
          <w:szCs w:val="20"/>
          <w:color w:val="auto"/>
        </w:rPr>
      </w:pPr>
      <w:r>
        <w:rPr>
          <w:rFonts w:ascii="Arial" w:cs="Arial" w:eastAsia="Arial" w:hAnsi="Arial"/>
          <w:sz w:val="20"/>
          <w:szCs w:val="20"/>
          <w:color w:val="auto"/>
        </w:rPr>
        <w:t>Phone: (302) 894-6010</w:t>
      </w:r>
    </w:p>
    <w:p>
      <w:pPr>
        <w:ind w:left="200"/>
        <w:spacing w:after="0" w:line="197" w:lineRule="auto"/>
        <w:rPr>
          <w:sz w:val="20"/>
          <w:szCs w:val="20"/>
          <w:color w:val="auto"/>
        </w:rPr>
      </w:pPr>
      <w:r>
        <w:rPr>
          <w:rFonts w:ascii="Arial" w:cs="Arial" w:eastAsia="Arial" w:hAnsi="Arial"/>
          <w:sz w:val="20"/>
          <w:szCs w:val="20"/>
          <w:color w:val="auto"/>
        </w:rPr>
        <w:t>Fax: (646) 274-5080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0000FF"/>
        </w:rPr>
        <w:t>AgencyABTFSupport@citi.com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Reference is hereby made to the Credit Agreement, dated as of July 1, 2021 (as amended, restated,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among ICON LUXEMBOURG, S.À R.L., a </w:t>
      </w:r>
      <w:r>
        <w:rPr>
          <w:rFonts w:ascii="Arial" w:cs="Arial" w:eastAsia="Arial" w:hAnsi="Arial"/>
          <w:sz w:val="19"/>
          <w:szCs w:val="19"/>
          <w:i w:val="1"/>
          <w:iCs w:val="1"/>
          <w:color w:val="auto"/>
        </w:rPr>
        <w:t>société à</w:t>
      </w:r>
    </w:p>
    <w:p>
      <w:pPr>
        <w:spacing w:after="0" w:line="236" w:lineRule="auto"/>
        <w:rPr>
          <w:sz w:val="20"/>
          <w:szCs w:val="20"/>
          <w:color w:val="auto"/>
        </w:rPr>
      </w:pPr>
      <w:r>
        <w:rPr>
          <w:rFonts w:ascii="Arial" w:cs="Arial" w:eastAsia="Arial" w:hAnsi="Arial"/>
          <w:sz w:val="18"/>
          <w:szCs w:val="18"/>
          <w:i w:val="1"/>
          <w:iCs w:val="1"/>
          <w:color w:val="auto"/>
        </w:rPr>
        <w:t xml:space="preserve">responsabilité limitée </w:t>
      </w:r>
      <w:r>
        <w:rPr>
          <w:rFonts w:ascii="Arial" w:cs="Arial" w:eastAsia="Arial" w:hAnsi="Arial"/>
          <w:sz w:val="18"/>
          <w:szCs w:val="18"/>
          <w:color w:val="auto"/>
        </w:rPr>
        <w:t>incorporated and existing under Luxembourg law, having its registered office at 61, rue de Rollingergrund, L-2440,</w:t>
      </w:r>
    </w:p>
    <w:p>
      <w:pPr>
        <w:jc w:val="both"/>
        <w:spacing w:after="0" w:line="226" w:lineRule="auto"/>
        <w:rPr>
          <w:sz w:val="20"/>
          <w:szCs w:val="20"/>
          <w:color w:val="auto"/>
        </w:rPr>
      </w:pPr>
      <w:r>
        <w:rPr>
          <w:rFonts w:ascii="Arial" w:cs="Arial" w:eastAsia="Arial" w:hAnsi="Arial"/>
          <w:sz w:val="18"/>
          <w:szCs w:val="18"/>
          <w:color w:val="auto"/>
        </w:rPr>
        <w:t>Luxembourg and registered with the Luxembourg register of commerce and companies (</w:t>
      </w:r>
      <w:r>
        <w:rPr>
          <w:rFonts w:ascii="Arial" w:cs="Arial" w:eastAsia="Arial" w:hAnsi="Arial"/>
          <w:sz w:val="18"/>
          <w:szCs w:val="18"/>
          <w:i w:val="1"/>
          <w:iCs w:val="1"/>
          <w:color w:val="auto"/>
        </w:rPr>
        <w:t>R.C.S. Luxembourg</w:t>
      </w:r>
      <w:r>
        <w:rPr>
          <w:rFonts w:ascii="Arial" w:cs="Arial" w:eastAsia="Arial" w:hAnsi="Arial"/>
          <w:sz w:val="18"/>
          <w:szCs w:val="18"/>
          <w:color w:val="auto"/>
        </w:rPr>
        <w:t>) under number B66588 (the “</w:t>
      </w:r>
      <w:r>
        <w:rPr>
          <w:rFonts w:ascii="Arial" w:cs="Arial" w:eastAsia="Arial" w:hAnsi="Arial"/>
          <w:sz w:val="18"/>
          <w:szCs w:val="18"/>
          <w:u w:val="single" w:color="auto"/>
          <w:color w:val="auto"/>
        </w:rPr>
        <w:t>Lux Borrower</w:t>
      </w:r>
      <w:r>
        <w:rPr>
          <w:rFonts w:ascii="Arial" w:cs="Arial" w:eastAsia="Arial" w:hAnsi="Arial"/>
          <w:sz w:val="18"/>
          <w:szCs w:val="18"/>
          <w:color w:val="auto"/>
        </w:rPr>
        <w:t>”), ICON CLINICAL INVESTMENTS, LLC, a Delaware limited liability company (the “</w:t>
      </w:r>
      <w:r>
        <w:rPr>
          <w:rFonts w:ascii="Arial" w:cs="Arial" w:eastAsia="Arial" w:hAnsi="Arial"/>
          <w:sz w:val="18"/>
          <w:szCs w:val="18"/>
          <w:u w:val="single" w:color="auto"/>
          <w:color w:val="auto"/>
        </w:rPr>
        <w:t>Lux U.S. Subsidiary Borrower</w:t>
      </w:r>
      <w:r>
        <w:rPr>
          <w:rFonts w:ascii="Arial" w:cs="Arial" w:eastAsia="Arial" w:hAnsi="Arial"/>
          <w:sz w:val="18"/>
          <w:szCs w:val="18"/>
          <w:color w:val="auto"/>
        </w:rPr>
        <w:t>”),</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INDIGO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prior to the consummation of the Acquisition,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(which, after giving effect to the Acquisition on the Closing Date, shall be succeeded by PRA Health Sciences, Inc., a Delaware</w:t>
      </w:r>
    </w:p>
    <w:p>
      <w:pPr>
        <w:spacing w:after="0" w:line="236"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Target</w:t>
      </w:r>
      <w:r>
        <w:rPr>
          <w:rFonts w:ascii="Arial" w:cs="Arial" w:eastAsia="Arial" w:hAnsi="Arial"/>
          <w:sz w:val="18"/>
          <w:szCs w:val="18"/>
          <w:color w:val="auto"/>
        </w:rPr>
        <w:t>” and, following the consummation of the Acquisition, the “</w:t>
      </w:r>
      <w:r>
        <w:rPr>
          <w:rFonts w:ascii="Arial" w:cs="Arial" w:eastAsia="Arial" w:hAnsi="Arial"/>
          <w:sz w:val="18"/>
          <w:szCs w:val="18"/>
          <w:u w:val="single" w:color="auto"/>
          <w:color w:val="auto"/>
        </w:rPr>
        <w:t>U.S. Borrower</w:t>
      </w:r>
      <w:r>
        <w:rPr>
          <w:rFonts w:ascii="Arial" w:cs="Arial" w:eastAsia="Arial" w:hAnsi="Arial"/>
          <w:sz w:val="18"/>
          <w:szCs w:val="18"/>
          <w:color w:val="auto"/>
        </w:rPr>
        <w:t>”), ICON PUBLIC LIMITED COMPANY,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 Irish public limited company (“</w:t>
      </w:r>
      <w:r>
        <w:rPr>
          <w:rFonts w:ascii="Arial" w:cs="Arial" w:eastAsia="Arial" w:hAnsi="Arial"/>
          <w:sz w:val="18"/>
          <w:szCs w:val="18"/>
          <w:u w:val="single" w:color="auto"/>
          <w:color w:val="auto"/>
        </w:rPr>
        <w:t>Holdings</w:t>
      </w:r>
      <w:r>
        <w:rPr>
          <w:rFonts w:ascii="Arial" w:cs="Arial" w:eastAsia="Arial" w:hAnsi="Arial"/>
          <w:sz w:val="18"/>
          <w:szCs w:val="18"/>
          <w:color w:val="auto"/>
        </w:rPr>
        <w:t>”), the Revolving Borrowers, each Additional Borrower, the Subsidiary Guarantors party thereto, the LENDERS from time to time party thereto, CITIBANK, N.A., as Administrative Agent and CITIBANK, N.A., LONDON BRANCH, as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Collateral Agent. Unless otherwise defined herein, terms defined in the Credit Agreement and used herein shall have the meanings given to them in the Credit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Applicable Borrower hereby requests: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[A Borrowing of Loans][A conversion of Loans][A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continuation of Loans]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0"/>
          <w:szCs w:val="20"/>
          <w:color w:val="auto"/>
        </w:rPr>
        <w:t>to be made on the terms set forth below:</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(A) Aggregate amount of the requested Borrowing: 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14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3" w:lineRule="exact"/>
        <w:rPr>
          <w:sz w:val="20"/>
          <w:szCs w:val="20"/>
          <w:color w:val="auto"/>
        </w:rPr>
      </w:pPr>
    </w:p>
    <w:p>
      <w:pPr>
        <w:jc w:val="both"/>
        <w:ind w:firstLine="8"/>
        <w:spacing w:after="0" w:line="207" w:lineRule="auto"/>
        <w:tabs>
          <w:tab w:leader="none" w:pos="293" w:val="left"/>
        </w:tabs>
        <w:numPr>
          <w:ilvl w:val="0"/>
          <w:numId w:val="329"/>
        </w:numPr>
        <w:rPr>
          <w:rFonts w:ascii="Arial" w:cs="Arial" w:eastAsia="Arial" w:hAnsi="Arial"/>
          <w:sz w:val="23"/>
          <w:szCs w:val="23"/>
          <w:color w:val="auto"/>
          <w:vertAlign w:val="superscript"/>
        </w:rPr>
      </w:pPr>
      <w:r>
        <w:rPr>
          <w:rFonts w:ascii="Arial" w:cs="Arial" w:eastAsia="Arial" w:hAnsi="Arial"/>
          <w:sz w:val="18"/>
          <w:szCs w:val="18"/>
          <w:color w:val="auto"/>
        </w:rPr>
        <w:t>To be delivered to the Administrative Agent (a) in the case of a USD Term SOFR Borrowing, by telephonic notice not later than 11:00 a.m., New York City time, three (3) Business Days before the date of the proposed Borrowing, (b) in the case of a Eurocurrency Borrowing or an RFR Borrowing, by telephonic notice not later than 11:00 a.m., New York City time, four (4) Business Days before the date of the proposed Borrowing or (c) in the case of an ABR Borrowing, by telephonic notice not later than 11:00 a.m., New York City time, one (1) Business Day before the date of the proposed Borrowing, except as expressly permitted by Section 2.03 of the Credit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|US-DOCS\137541226.2||</w:t>
      </w:r>
    </w:p>
    <w:p>
      <w:pPr>
        <w:sectPr>
          <w:pgSz w:w="11900" w:h="16838" w:orient="portrait"/>
          <w:cols w:equalWidth="0" w:num="1">
            <w:col w:w="11240"/>
          </w:cols>
          <w:pgMar w:left="320" w:top="1399" w:right="339" w:bottom="1440" w:gutter="0" w:footer="0" w:header="0"/>
        </w:sectPr>
      </w:pPr>
    </w:p>
    <w:bookmarkStart w:id="374" w:name="page375"/>
    <w:bookmarkEnd w:id="374"/>
    <w:p>
      <w:pPr>
        <w:spacing w:after="0" w:line="397"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5700" w:type="dxa"/>
            <w:vAlign w:val="bottom"/>
          </w:tcPr>
          <w:p>
            <w:pPr>
              <w:spacing w:after="0"/>
              <w:rPr>
                <w:sz w:val="20"/>
                <w:szCs w:val="20"/>
                <w:color w:val="auto"/>
              </w:rPr>
            </w:pPr>
            <w:r>
              <w:rPr>
                <w:rFonts w:ascii="Arial" w:cs="Arial" w:eastAsia="Arial" w:hAnsi="Arial"/>
                <w:sz w:val="20"/>
                <w:szCs w:val="20"/>
                <w:color w:val="auto"/>
              </w:rPr>
              <w:t>(B) Date of such Borrowing:</w:t>
            </w:r>
            <w:r>
              <w:rPr>
                <w:rFonts w:ascii="Arial" w:cs="Arial" w:eastAsia="Arial" w:hAnsi="Arial"/>
                <w:sz w:val="25"/>
                <w:szCs w:val="25"/>
                <w:color w:val="auto"/>
                <w:vertAlign w:val="superscript"/>
              </w:rPr>
              <w:t>2</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20"/>
                <w:szCs w:val="20"/>
                <w:color w:val="auto"/>
              </w:rPr>
              <w:t>(C) Class of such Borrowing</w:t>
            </w:r>
            <w:r>
              <w:rPr>
                <w:rFonts w:ascii="Arial" w:cs="Arial" w:eastAsia="Arial" w:hAnsi="Arial"/>
                <w:sz w:val="25"/>
                <w:szCs w:val="25"/>
                <w:color w:val="auto"/>
                <w:vertAlign w:val="superscript"/>
              </w:rPr>
              <w:t>3</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700" w:type="dxa"/>
            <w:vAlign w:val="bottom"/>
            <w:vMerge w:val="restart"/>
          </w:tcPr>
          <w:p>
            <w:pPr>
              <w:spacing w:after="0"/>
              <w:rPr>
                <w:sz w:val="20"/>
                <w:szCs w:val="20"/>
                <w:color w:val="auto"/>
              </w:rPr>
            </w:pPr>
            <w:r>
              <w:rPr>
                <w:rFonts w:ascii="Arial" w:cs="Arial" w:eastAsia="Arial" w:hAnsi="Arial"/>
                <w:sz w:val="20"/>
                <w:szCs w:val="20"/>
                <w:color w:val="auto"/>
              </w:rPr>
              <w:t>(D) Type of such Borrowing</w:t>
            </w: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3"/>
              </w:rPr>
              <w:t>[ABR Borrowing][Eurocurrency Borrowing][USD Term SOFR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5700" w:type="dxa"/>
            <w:vAlign w:val="bottom"/>
            <w:vMerge w:val="continue"/>
          </w:tcPr>
          <w:p>
            <w:pPr>
              <w:spacing w:after="0"/>
              <w:rPr>
                <w:sz w:val="6"/>
                <w:szCs w:val="6"/>
                <w:color w:val="auto"/>
              </w:rPr>
            </w:pPr>
          </w:p>
        </w:tc>
        <w:tc>
          <w:tcPr>
            <w:tcW w:w="5060" w:type="dxa"/>
            <w:vAlign w:val="bottom"/>
            <w:gridSpan w:val="4"/>
            <w:vMerge w:val="restart"/>
          </w:tcPr>
          <w:p>
            <w:pPr>
              <w:spacing w:after="0" w:line="223" w:lineRule="exact"/>
              <w:rPr>
                <w:sz w:val="20"/>
                <w:szCs w:val="20"/>
                <w:color w:val="auto"/>
              </w:rPr>
            </w:pPr>
            <w:r>
              <w:rPr>
                <w:rFonts w:ascii="Arial" w:cs="Arial" w:eastAsia="Arial" w:hAnsi="Arial"/>
                <w:sz w:val="20"/>
                <w:szCs w:val="20"/>
                <w:color w:val="auto"/>
              </w:rPr>
              <w:t>Borrowing][RFR Borrowing]</w:t>
            </w:r>
          </w:p>
        </w:tc>
        <w:tc>
          <w:tcPr>
            <w:tcW w:w="0" w:type="dxa"/>
            <w:vAlign w:val="bottom"/>
          </w:tcPr>
          <w:p>
            <w:pPr>
              <w:spacing w:after="0"/>
              <w:rPr>
                <w:sz w:val="1"/>
                <w:szCs w:val="1"/>
                <w:color w:val="auto"/>
              </w:rPr>
            </w:pPr>
          </w:p>
        </w:tc>
      </w:tr>
      <w:tr>
        <w:trPr>
          <w:trHeight w:val="144"/>
        </w:trPr>
        <w:tc>
          <w:tcPr>
            <w:tcW w:w="5700" w:type="dxa"/>
            <w:vAlign w:val="bottom"/>
          </w:tcPr>
          <w:p>
            <w:pPr>
              <w:spacing w:after="0"/>
              <w:rPr>
                <w:sz w:val="12"/>
                <w:szCs w:val="12"/>
                <w:color w:val="auto"/>
              </w:rPr>
            </w:pPr>
          </w:p>
        </w:tc>
        <w:tc>
          <w:tcPr>
            <w:tcW w:w="5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Pr>
          <w:p>
            <w:pPr>
              <w:spacing w:after="0" w:line="263" w:lineRule="exact"/>
              <w:rPr>
                <w:sz w:val="20"/>
                <w:szCs w:val="20"/>
                <w:color w:val="auto"/>
              </w:rPr>
            </w:pPr>
            <w:r>
              <w:rPr>
                <w:rFonts w:ascii="Arial" w:cs="Arial" w:eastAsia="Arial" w:hAnsi="Arial"/>
                <w:sz w:val="20"/>
                <w:szCs w:val="20"/>
                <w:color w:val="auto"/>
              </w:rPr>
              <w:t>(E) Agreed Currency</w:t>
            </w:r>
            <w:r>
              <w:rPr>
                <w:rFonts w:ascii="Arial" w:cs="Arial" w:eastAsia="Arial" w:hAnsi="Arial"/>
                <w:sz w:val="25"/>
                <w:szCs w:val="25"/>
                <w:color w:val="auto"/>
                <w:vertAlign w:val="superscript"/>
              </w:rPr>
              <w:t>4</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20"/>
                <w:szCs w:val="20"/>
                <w:color w:val="auto"/>
              </w:rPr>
              <w:t>(F) Interest Period</w:t>
            </w:r>
            <w:r>
              <w:rPr>
                <w:rFonts w:ascii="Arial" w:cs="Arial" w:eastAsia="Arial" w:hAnsi="Arial"/>
                <w:sz w:val="25"/>
                <w:szCs w:val="25"/>
                <w:color w:val="auto"/>
                <w:vertAlign w:val="superscript"/>
              </w:rPr>
              <w:t>5</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700" w:type="dxa"/>
            <w:vAlign w:val="bottom"/>
          </w:tcPr>
          <w:p>
            <w:pPr>
              <w:spacing w:after="0"/>
              <w:rPr>
                <w:sz w:val="20"/>
                <w:szCs w:val="20"/>
                <w:color w:val="auto"/>
              </w:rPr>
            </w:pPr>
            <w:r>
              <w:rPr>
                <w:rFonts w:ascii="Arial" w:cs="Arial" w:eastAsia="Arial" w:hAnsi="Arial"/>
                <w:sz w:val="20"/>
                <w:szCs w:val="20"/>
                <w:color w:val="auto"/>
              </w:rPr>
              <w:t>(G) Applicable Borrower</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5700" w:type="dxa"/>
            <w:vAlign w:val="bottom"/>
          </w:tcPr>
          <w:p>
            <w:pPr>
              <w:spacing w:after="0"/>
              <w:rPr>
                <w:sz w:val="20"/>
                <w:szCs w:val="20"/>
                <w:color w:val="auto"/>
              </w:rPr>
            </w:pPr>
            <w:r>
              <w:rPr>
                <w:rFonts w:ascii="Arial" w:cs="Arial" w:eastAsia="Arial" w:hAnsi="Arial"/>
                <w:sz w:val="20"/>
                <w:szCs w:val="20"/>
                <w:color w:val="auto"/>
              </w:rPr>
              <w:t>(H) Wire instructions for the Applicable Borrower account(s) and</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00" w:type="dxa"/>
            <w:vAlign w:val="bottom"/>
          </w:tcPr>
          <w:p>
            <w:pPr>
              <w:spacing w:after="0"/>
              <w:rPr>
                <w:sz w:val="20"/>
                <w:szCs w:val="20"/>
                <w:color w:val="auto"/>
              </w:rPr>
            </w:pPr>
            <w:r>
              <w:rPr>
                <w:rFonts w:ascii="Arial" w:cs="Arial" w:eastAsia="Arial" w:hAnsi="Arial"/>
                <w:sz w:val="20"/>
                <w:szCs w:val="20"/>
                <w:color w:val="auto"/>
                <w:w w:val="97"/>
              </w:rPr>
              <w:t>amount of requested Borrowing to be allocated to each Applicable</w:t>
            </w:r>
          </w:p>
        </w:tc>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_________________________________</w:t>
            </w: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20"/>
                <w:szCs w:val="20"/>
                <w:color w:val="auto"/>
              </w:rPr>
              <w:t>Borrower:</w:t>
            </w: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714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hanging="292"/>
        <w:spacing w:after="0"/>
        <w:tabs>
          <w:tab w:leader="none" w:pos="300" w:val="left"/>
        </w:tabs>
        <w:numPr>
          <w:ilvl w:val="0"/>
          <w:numId w:val="330"/>
        </w:numPr>
        <w:rPr>
          <w:rFonts w:ascii="Arial" w:cs="Arial" w:eastAsia="Arial" w:hAnsi="Arial"/>
          <w:sz w:val="23"/>
          <w:szCs w:val="23"/>
          <w:color w:val="auto"/>
          <w:vertAlign w:val="superscript"/>
        </w:rPr>
      </w:pPr>
      <w:r>
        <w:rPr>
          <w:rFonts w:ascii="Arial" w:cs="Arial" w:eastAsia="Arial" w:hAnsi="Arial"/>
          <w:sz w:val="18"/>
          <w:szCs w:val="18"/>
          <w:color w:val="auto"/>
        </w:rPr>
        <w:t>Shall be a Business Day.</w:t>
      </w:r>
    </w:p>
    <w:p>
      <w:pPr>
        <w:spacing w:after="0" w:line="58" w:lineRule="exact"/>
        <w:rPr>
          <w:sz w:val="20"/>
          <w:szCs w:val="20"/>
          <w:color w:val="auto"/>
        </w:rPr>
      </w:pPr>
    </w:p>
    <w:p>
      <w:pPr>
        <w:ind w:firstLine="8"/>
        <w:spacing w:after="0" w:line="204" w:lineRule="auto"/>
        <w:tabs>
          <w:tab w:leader="none" w:pos="283" w:val="left"/>
        </w:tabs>
        <w:numPr>
          <w:ilvl w:val="0"/>
          <w:numId w:val="331"/>
        </w:numPr>
        <w:rPr>
          <w:rFonts w:ascii="Arial" w:cs="Arial" w:eastAsia="Arial" w:hAnsi="Arial"/>
          <w:sz w:val="23"/>
          <w:szCs w:val="23"/>
          <w:color w:val="auto"/>
          <w:vertAlign w:val="superscript"/>
        </w:rPr>
      </w:pPr>
      <w:r>
        <w:rPr>
          <w:rFonts w:ascii="Arial" w:cs="Arial" w:eastAsia="Arial" w:hAnsi="Arial"/>
          <w:sz w:val="18"/>
          <w:szCs w:val="18"/>
          <w:color w:val="auto"/>
        </w:rPr>
        <w:t>If no election as to the Type of Borrowing is specified, then, in the case of a Borrowing denominated in Dollars, the requested Borrowing shall be an ABR Borrowing.</w:t>
      </w:r>
    </w:p>
    <w:p>
      <w:pPr>
        <w:spacing w:after="0" w:line="33" w:lineRule="exact"/>
        <w:rPr>
          <w:sz w:val="20"/>
          <w:szCs w:val="20"/>
          <w:color w:val="auto"/>
        </w:rPr>
      </w:pPr>
    </w:p>
    <w:p>
      <w:pPr>
        <w:ind w:left="300" w:hanging="292"/>
        <w:spacing w:after="0"/>
        <w:tabs>
          <w:tab w:leader="none" w:pos="300" w:val="left"/>
        </w:tabs>
        <w:numPr>
          <w:ilvl w:val="0"/>
          <w:numId w:val="332"/>
        </w:numPr>
        <w:rPr>
          <w:rFonts w:ascii="Arial" w:cs="Arial" w:eastAsia="Arial" w:hAnsi="Arial"/>
          <w:sz w:val="23"/>
          <w:szCs w:val="23"/>
          <w:color w:val="auto"/>
          <w:vertAlign w:val="superscript"/>
        </w:rPr>
      </w:pPr>
      <w:r>
        <w:rPr>
          <w:rFonts w:ascii="Arial" w:cs="Arial" w:eastAsia="Arial" w:hAnsi="Arial"/>
          <w:sz w:val="18"/>
          <w:szCs w:val="18"/>
          <w:color w:val="auto"/>
        </w:rPr>
        <w:t>In the case of a Eurocurrency Borrowing or an RFR Borrowing.</w:t>
      </w:r>
    </w:p>
    <w:p>
      <w:pPr>
        <w:spacing w:after="0" w:line="58" w:lineRule="exact"/>
        <w:rPr>
          <w:sz w:val="20"/>
          <w:szCs w:val="20"/>
          <w:color w:val="auto"/>
        </w:rPr>
      </w:pPr>
    </w:p>
    <w:p>
      <w:pPr>
        <w:ind w:firstLine="8"/>
        <w:spacing w:after="0" w:line="208" w:lineRule="auto"/>
        <w:tabs>
          <w:tab w:leader="none" w:pos="283" w:val="left"/>
        </w:tabs>
        <w:numPr>
          <w:ilvl w:val="0"/>
          <w:numId w:val="333"/>
        </w:numPr>
        <w:rPr>
          <w:rFonts w:ascii="Arial" w:cs="Arial" w:eastAsia="Arial" w:hAnsi="Arial"/>
          <w:sz w:val="23"/>
          <w:szCs w:val="23"/>
          <w:color w:val="auto"/>
          <w:vertAlign w:val="superscript"/>
        </w:rPr>
      </w:pPr>
      <w:r>
        <w:rPr>
          <w:rFonts w:ascii="Arial" w:cs="Arial" w:eastAsia="Arial" w:hAnsi="Arial"/>
          <w:sz w:val="18"/>
          <w:szCs w:val="18"/>
          <w:color w:val="auto"/>
        </w:rPr>
        <w:t>In the case of a Eurocurrency Borrowing, USD Term SOFR Borrowing or an RFR Borrowing. If no Interest Period is specified with respect to any requested Eurocurrency Borrowing, USD Term SOFR Borrowing or RFR Borrowing, then the Applicable Borrower shall be deemed to have selected an Interest Period of one month’s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I-2</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|US-DOCS\137541226.2||</w:t>
      </w:r>
    </w:p>
    <w:p>
      <w:pPr>
        <w:sectPr>
          <w:pgSz w:w="11900" w:h="16838" w:orient="portrait"/>
          <w:cols w:equalWidth="0" w:num="1">
            <w:col w:w="10980"/>
          </w:cols>
          <w:pgMar w:left="320" w:top="1440" w:right="599" w:bottom="1440" w:gutter="0" w:footer="0" w:header="0"/>
        </w:sectPr>
      </w:pPr>
    </w:p>
    <w:bookmarkStart w:id="375" w:name="page376"/>
    <w:bookmarkEnd w:id="375"/>
    <w:p>
      <w:pPr>
        <w:spacing w:after="0" w:line="176"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color w:val="auto"/>
        </w:rPr>
        <w:t>[APPLICABLE BORROWER]</w:t>
      </w:r>
    </w:p>
    <w:p>
      <w:pPr>
        <w:spacing w:after="0" w:line="39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410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-127000</wp:posOffset>
            </wp:positionV>
            <wp:extent cx="2514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-6985</wp:posOffset>
            </wp:positionV>
            <wp:extent cx="1257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|US-DOCS\137541226.2||</w:t>
      </w:r>
    </w:p>
    <w:p>
      <w:pPr>
        <w:sectPr>
          <w:pgSz w:w="11900" w:h="16838" w:orient="portrait"/>
          <w:cols w:equalWidth="0" w:num="1">
            <w:col w:w="10139"/>
          </w:cols>
          <w:pgMar w:left="320" w:top="1440" w:right="1440" w:bottom="1440" w:gutter="0" w:footer="0" w:header="0"/>
        </w:sectPr>
      </w:pPr>
    </w:p>
    <w:bookmarkStart w:id="376" w:name="page377"/>
    <w:bookmarkEnd w:id="376"/>
    <w:p>
      <w:pPr>
        <w:ind w:left="10140"/>
        <w:spacing w:after="0"/>
        <w:rPr>
          <w:sz w:val="20"/>
          <w:szCs w:val="20"/>
          <w:color w:val="auto"/>
        </w:rPr>
      </w:pPr>
      <w:r>
        <w:rPr>
          <w:rFonts w:ascii="Arial" w:cs="Arial" w:eastAsia="Arial" w:hAnsi="Arial"/>
          <w:sz w:val="16"/>
          <w:szCs w:val="16"/>
          <w:b w:val="1"/>
          <w:bCs w:val="1"/>
          <w:color w:val="auto"/>
        </w:rPr>
        <w:t>Exhibit 12.1</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302 of the Sarbanes-Oxley Act of</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2002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Brendan Brennan, certify that:</w:t>
      </w:r>
    </w:p>
    <w:p>
      <w:pPr>
        <w:spacing w:after="0" w:line="221" w:lineRule="exact"/>
        <w:rPr>
          <w:sz w:val="20"/>
          <w:szCs w:val="20"/>
          <w:color w:val="auto"/>
        </w:rPr>
      </w:pPr>
    </w:p>
    <w:p>
      <w:pPr>
        <w:ind w:left="180" w:hanging="173"/>
        <w:spacing w:after="0"/>
        <w:tabs>
          <w:tab w:leader="none" w:pos="1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34" w:lineRule="exact"/>
        <w:rPr>
          <w:rFonts w:ascii="Arial" w:cs="Arial" w:eastAsia="Arial" w:hAnsi="Arial"/>
          <w:sz w:val="16"/>
          <w:szCs w:val="16"/>
          <w:color w:val="auto"/>
        </w:rPr>
      </w:pPr>
    </w:p>
    <w:p>
      <w:pPr>
        <w:ind w:right="20" w:firstLine="7"/>
        <w:spacing w:after="0" w:line="278" w:lineRule="auto"/>
        <w:tabs>
          <w:tab w:leader="none" w:pos="19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16"/>
          <w:szCs w:val="16"/>
          <w:color w:val="auto"/>
        </w:rPr>
      </w:pPr>
    </w:p>
    <w:p>
      <w:pPr>
        <w:ind w:firstLine="7"/>
        <w:spacing w:after="0" w:line="278" w:lineRule="auto"/>
        <w:tabs>
          <w:tab w:leader="none" w:pos="20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16"/>
          <w:szCs w:val="16"/>
          <w:color w:val="auto"/>
        </w:rPr>
      </w:pPr>
    </w:p>
    <w:p>
      <w:pPr>
        <w:jc w:val="both"/>
        <w:ind w:firstLine="7"/>
        <w:spacing w:after="0" w:line="271" w:lineRule="auto"/>
        <w:tabs>
          <w:tab w:leader="none" w:pos="21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7" w:lineRule="exact"/>
        <w:rPr>
          <w:rFonts w:ascii="Arial" w:cs="Arial" w:eastAsia="Arial" w:hAnsi="Arial"/>
          <w:sz w:val="16"/>
          <w:szCs w:val="16"/>
          <w:color w:val="auto"/>
        </w:rPr>
      </w:pPr>
    </w:p>
    <w:p>
      <w:pPr>
        <w:ind w:left="660" w:hanging="410"/>
        <w:spacing w:after="0" w:line="262" w:lineRule="auto"/>
        <w:tabs>
          <w:tab w:leader="none" w:pos="45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7" w:lineRule="exact"/>
        <w:rPr>
          <w:rFonts w:ascii="Arial" w:cs="Arial" w:eastAsia="Arial" w:hAnsi="Arial"/>
          <w:sz w:val="16"/>
          <w:szCs w:val="16"/>
          <w:color w:val="auto"/>
        </w:rPr>
      </w:pPr>
    </w:p>
    <w:p>
      <w:pPr>
        <w:ind w:left="660" w:right="20" w:hanging="410"/>
        <w:spacing w:after="0" w:line="262" w:lineRule="auto"/>
        <w:tabs>
          <w:tab w:leader="none" w:pos="44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4" w:lineRule="exact"/>
        <w:rPr>
          <w:rFonts w:ascii="Arial" w:cs="Arial" w:eastAsia="Arial" w:hAnsi="Arial"/>
          <w:sz w:val="16"/>
          <w:szCs w:val="16"/>
          <w:color w:val="auto"/>
        </w:rPr>
      </w:pPr>
    </w:p>
    <w:p>
      <w:pPr>
        <w:ind w:left="660" w:right="20" w:hanging="410"/>
        <w:spacing w:after="0" w:line="278" w:lineRule="auto"/>
        <w:tabs>
          <w:tab w:leader="none" w:pos="475"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16"/>
          <w:szCs w:val="16"/>
          <w:color w:val="auto"/>
        </w:rPr>
      </w:pPr>
    </w:p>
    <w:p>
      <w:pPr>
        <w:ind w:left="660" w:right="20" w:hanging="410"/>
        <w:spacing w:after="0" w:line="278" w:lineRule="auto"/>
        <w:tabs>
          <w:tab w:leader="none" w:pos="44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35" w:lineRule="exact"/>
        <w:rPr>
          <w:rFonts w:ascii="Arial" w:cs="Arial" w:eastAsia="Arial" w:hAnsi="Arial"/>
          <w:sz w:val="16"/>
          <w:szCs w:val="16"/>
          <w:color w:val="auto"/>
        </w:rPr>
      </w:pPr>
    </w:p>
    <w:p>
      <w:pPr>
        <w:ind w:right="20" w:firstLine="7"/>
        <w:spacing w:after="0" w:line="260" w:lineRule="auto"/>
        <w:tabs>
          <w:tab w:leader="none" w:pos="201"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sz w:val="20"/>
          <w:szCs w:val="20"/>
          <w:color w:val="auto"/>
        </w:rPr>
      </w:pPr>
    </w:p>
    <w:p>
      <w:pPr>
        <w:ind w:firstLine="7"/>
        <w:spacing w:after="0" w:line="260" w:lineRule="auto"/>
        <w:tabs>
          <w:tab w:leader="none" w:pos="19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9" w:lineRule="exact"/>
        <w:rPr>
          <w:rFonts w:ascii="Arial" w:cs="Arial" w:eastAsia="Arial" w:hAnsi="Arial"/>
          <w:sz w:val="16"/>
          <w:szCs w:val="16"/>
          <w:color w:val="auto"/>
        </w:rPr>
      </w:pPr>
    </w:p>
    <w:p>
      <w:pPr>
        <w:ind w:right="20" w:firstLine="7"/>
        <w:spacing w:after="0" w:line="260" w:lineRule="auto"/>
        <w:tabs>
          <w:tab w:leader="none" w:pos="20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24, 2023</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Brendan Brennan</w:t>
      </w:r>
      <w:r>
        <w:rPr>
          <w:rFonts w:ascii="Arial" w:cs="Arial" w:eastAsia="Arial" w:hAnsi="Arial"/>
          <w:sz w:val="16"/>
          <w:szCs w:val="16"/>
          <w:color w:val="auto"/>
        </w:rPr>
        <w:t xml:space="preserve"> Brendan Brennan Chief</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080"/>
          </w:cols>
          <w:pgMar w:left="420" w:top="837" w:right="399" w:bottom="1440" w:gutter="0" w:footer="0" w:header="0"/>
        </w:sectPr>
      </w:pPr>
    </w:p>
    <w:bookmarkStart w:id="377" w:name="page378"/>
    <w:bookmarkEnd w:id="377"/>
    <w:p>
      <w:pPr>
        <w:jc w:val="center"/>
        <w:ind w:right="40"/>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302 of the Sarbanes-Oxley Act of</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2002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Steve Cutler, certify that:</w:t>
      </w:r>
    </w:p>
    <w:p>
      <w:pPr>
        <w:spacing w:after="0" w:line="221" w:lineRule="exact"/>
        <w:rPr>
          <w:sz w:val="20"/>
          <w:szCs w:val="20"/>
          <w:color w:val="auto"/>
        </w:rPr>
      </w:pPr>
    </w:p>
    <w:p>
      <w:pPr>
        <w:ind w:left="180" w:hanging="173"/>
        <w:spacing w:after="0"/>
        <w:tabs>
          <w:tab w:leader="none" w:pos="1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34" w:lineRule="exact"/>
        <w:rPr>
          <w:rFonts w:ascii="Arial" w:cs="Arial" w:eastAsia="Arial" w:hAnsi="Arial"/>
          <w:sz w:val="16"/>
          <w:szCs w:val="16"/>
          <w:color w:val="auto"/>
        </w:rPr>
      </w:pPr>
    </w:p>
    <w:p>
      <w:pPr>
        <w:ind w:right="20" w:firstLine="7"/>
        <w:spacing w:after="0" w:line="278" w:lineRule="auto"/>
        <w:tabs>
          <w:tab w:leader="none" w:pos="19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6"/>
          <w:szCs w:val="16"/>
          <w:color w:val="auto"/>
        </w:rPr>
      </w:pPr>
    </w:p>
    <w:p>
      <w:pPr>
        <w:ind w:firstLine="7"/>
        <w:spacing w:after="0" w:line="260" w:lineRule="auto"/>
        <w:tabs>
          <w:tab w:leader="none" w:pos="20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9" w:lineRule="exact"/>
        <w:rPr>
          <w:rFonts w:ascii="Arial" w:cs="Arial" w:eastAsia="Arial" w:hAnsi="Arial"/>
          <w:sz w:val="16"/>
          <w:szCs w:val="16"/>
          <w:color w:val="auto"/>
        </w:rPr>
      </w:pPr>
    </w:p>
    <w:p>
      <w:pPr>
        <w:jc w:val="both"/>
        <w:ind w:firstLine="7"/>
        <w:spacing w:after="0" w:line="262" w:lineRule="auto"/>
        <w:tabs>
          <w:tab w:leader="none" w:pos="21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6"/>
          <w:szCs w:val="16"/>
          <w:color w:val="auto"/>
        </w:rPr>
      </w:pPr>
    </w:p>
    <w:p>
      <w:pPr>
        <w:ind w:left="660" w:hanging="410"/>
        <w:spacing w:after="0" w:line="262" w:lineRule="auto"/>
        <w:tabs>
          <w:tab w:leader="none" w:pos="457" w:val="left"/>
        </w:tabs>
        <w:numPr>
          <w:ilvl w:val="1"/>
          <w:numId w:val="3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7" w:lineRule="exact"/>
        <w:rPr>
          <w:rFonts w:ascii="Arial" w:cs="Arial" w:eastAsia="Arial" w:hAnsi="Arial"/>
          <w:sz w:val="16"/>
          <w:szCs w:val="16"/>
          <w:color w:val="auto"/>
        </w:rPr>
      </w:pPr>
    </w:p>
    <w:p>
      <w:pPr>
        <w:ind w:left="660" w:right="20" w:hanging="410"/>
        <w:spacing w:after="0" w:line="262" w:lineRule="auto"/>
        <w:tabs>
          <w:tab w:leader="none" w:pos="44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4" w:lineRule="exact"/>
        <w:rPr>
          <w:rFonts w:ascii="Arial" w:cs="Arial" w:eastAsia="Arial" w:hAnsi="Arial"/>
          <w:sz w:val="16"/>
          <w:szCs w:val="16"/>
          <w:color w:val="auto"/>
        </w:rPr>
      </w:pPr>
    </w:p>
    <w:p>
      <w:pPr>
        <w:ind w:left="660" w:right="20" w:hanging="410"/>
        <w:spacing w:after="0" w:line="278" w:lineRule="auto"/>
        <w:tabs>
          <w:tab w:leader="none" w:pos="475"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6"/>
          <w:szCs w:val="16"/>
          <w:color w:val="auto"/>
        </w:rPr>
      </w:pPr>
    </w:p>
    <w:p>
      <w:pPr>
        <w:ind w:left="660" w:right="20" w:hanging="410"/>
        <w:spacing w:after="0" w:line="260" w:lineRule="auto"/>
        <w:tabs>
          <w:tab w:leader="none" w:pos="44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49" w:lineRule="exact"/>
        <w:rPr>
          <w:rFonts w:ascii="Arial" w:cs="Arial" w:eastAsia="Arial" w:hAnsi="Arial"/>
          <w:sz w:val="16"/>
          <w:szCs w:val="16"/>
          <w:color w:val="auto"/>
        </w:rPr>
      </w:pPr>
    </w:p>
    <w:p>
      <w:pPr>
        <w:ind w:right="20" w:firstLine="7"/>
        <w:spacing w:after="0" w:line="260" w:lineRule="auto"/>
        <w:tabs>
          <w:tab w:leader="none" w:pos="20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sz w:val="20"/>
          <w:szCs w:val="20"/>
          <w:color w:val="auto"/>
        </w:rPr>
      </w:pPr>
    </w:p>
    <w:p>
      <w:pPr>
        <w:ind w:firstLine="7"/>
        <w:spacing w:after="0" w:line="260" w:lineRule="auto"/>
        <w:tabs>
          <w:tab w:leader="none" w:pos="19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9" w:lineRule="exact"/>
        <w:rPr>
          <w:rFonts w:ascii="Arial" w:cs="Arial" w:eastAsia="Arial" w:hAnsi="Arial"/>
          <w:sz w:val="16"/>
          <w:szCs w:val="16"/>
          <w:color w:val="auto"/>
        </w:rPr>
      </w:pPr>
    </w:p>
    <w:p>
      <w:pPr>
        <w:ind w:right="20" w:firstLine="7"/>
        <w:spacing w:after="0" w:line="260" w:lineRule="auto"/>
        <w:tabs>
          <w:tab w:leader="none" w:pos="20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24, 2023</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080"/>
          </w:cols>
          <w:pgMar w:left="420" w:top="837" w:right="399" w:bottom="1440" w:gutter="0" w:footer="0" w:header="0"/>
        </w:sectPr>
      </w:pPr>
    </w:p>
    <w:bookmarkStart w:id="378" w:name="page379"/>
    <w:bookmarkEnd w:id="378"/>
    <w:p>
      <w:pPr>
        <w:ind w:left="10140"/>
        <w:spacing w:after="0"/>
        <w:rPr>
          <w:sz w:val="20"/>
          <w:szCs w:val="20"/>
          <w:color w:val="auto"/>
        </w:rPr>
      </w:pPr>
      <w:r>
        <w:rPr>
          <w:rFonts w:ascii="Arial" w:cs="Arial" w:eastAsia="Arial" w:hAnsi="Arial"/>
          <w:sz w:val="16"/>
          <w:szCs w:val="16"/>
          <w:b w:val="1"/>
          <w:bCs w:val="1"/>
          <w:color w:val="auto"/>
        </w:rPr>
        <w:t>Exhibit 12.2</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2022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21" w:lineRule="exact"/>
        <w:rPr>
          <w:sz w:val="20"/>
          <w:szCs w:val="20"/>
          <w:color w:val="auto"/>
        </w:rPr>
      </w:pPr>
    </w:p>
    <w:p>
      <w:pPr>
        <w:ind w:left="260" w:hanging="253"/>
        <w:spacing w:after="0"/>
        <w:tabs>
          <w:tab w:leader="none" w:pos="2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680" w:firstLine="7"/>
        <w:spacing w:after="0" w:line="577" w:lineRule="auto"/>
        <w:tabs>
          <w:tab w:leader="none" w:pos="243"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24, 2023</w:t>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Brendan Brennan</w:t>
      </w:r>
      <w:r>
        <w:rPr>
          <w:rFonts w:ascii="Arial" w:cs="Arial" w:eastAsia="Arial" w:hAnsi="Arial"/>
          <w:sz w:val="16"/>
          <w:szCs w:val="16"/>
          <w:color w:val="auto"/>
        </w:rPr>
        <w:t xml:space="preserve"> Brendan Brennan Chief</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Financial Officer</w:t>
      </w:r>
    </w:p>
    <w:p>
      <w:pPr>
        <w:spacing w:after="0" w:line="356"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080"/>
          </w:cols>
          <w:pgMar w:left="420" w:top="837" w:right="399" w:bottom="1440" w:gutter="0" w:footer="0" w:header="0"/>
        </w:sectPr>
      </w:pPr>
    </w:p>
    <w:bookmarkStart w:id="379" w:name="page380"/>
    <w:bookmarkEnd w:id="379"/>
    <w:p>
      <w:pPr>
        <w:jc w:val="center"/>
        <w:ind w:right="40"/>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2022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234" w:lineRule="exact"/>
        <w:rPr>
          <w:sz w:val="20"/>
          <w:szCs w:val="20"/>
          <w:color w:val="auto"/>
        </w:rPr>
      </w:pPr>
    </w:p>
    <w:p>
      <w:pPr>
        <w:ind w:left="260" w:hanging="253"/>
        <w:spacing w:after="0"/>
        <w:tabs>
          <w:tab w:leader="none" w:pos="26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right="680" w:firstLine="7"/>
        <w:spacing w:after="0" w:line="559" w:lineRule="auto"/>
        <w:tabs>
          <w:tab w:leader="none" w:pos="2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24, 2023</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 Steve Cutler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Steve Cutler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080"/>
          </w:cols>
          <w:pgMar w:left="420" w:top="837" w:right="399" w:bottom="1440" w:gutter="0" w:footer="0" w:header="0"/>
        </w:sectPr>
      </w:pPr>
    </w:p>
    <w:bookmarkStart w:id="380" w:name="page381"/>
    <w:bookmarkEnd w:id="380"/>
    <w:p>
      <w:pPr>
        <w:ind w:left="1024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21"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consent to the incorporation by reference in the registration statements (No. 333-231527, 333-204153, 333-190068, 333-152802, 333-257578 and 333-254891) each on Form S-8 of ICON plc of our reports dated February 24, 2023, with respect to the consolidated balance sheets of ICON plc as of December 31, 2022 and 2021, the related consolidated statements of operations, comprehensive income, shareholders’ equity and comprehensive income, and cash flows for each of the years in the three-year period ended December 31, 2022, and the related notes and the effectiveness of internal control over financial reporting as of December 31, 2022, which reports appear in the December 31, 2022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ICON plc.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KPMG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w:t>
      </w:r>
    </w:p>
    <w:sectPr>
      <w:pgSz w:w="11900" w:h="16838" w:orient="portrait"/>
      <w:cols w:equalWidth="0" w:num="1">
        <w:col w:w="11140"/>
      </w:cols>
      <w:pgMar w:left="320" w:top="9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23D5F2"/>
    <w:multiLevelType w:val="hybridMultilevel"/>
    <w:lvl w:ilvl="0">
      <w:lvlJc w:val="left"/>
      <w:lvlText w:val="☐"/>
      <w:numFmt w:val="bullet"/>
      <w:start w:val="1"/>
    </w:lvl>
  </w:abstractNum>
  <w:abstractNum w:abstractNumId="1">
    <w:nsid w:val="135B8110"/>
    <w:multiLevelType w:val="hybridMultilevel"/>
    <w:lvl w:ilvl="0">
      <w:lvlJc w:val="left"/>
      <w:lvlText w:val="☒"/>
      <w:numFmt w:val="bullet"/>
      <w:start w:val="1"/>
    </w:lvl>
  </w:abstractNum>
  <w:abstractNum w:abstractNumId="2">
    <w:nsid w:val="94927A8"/>
    <w:multiLevelType w:val="hybridMultilevel"/>
    <w:lvl w:ilvl="0">
      <w:lvlJc w:val="left"/>
      <w:lvlText w:val="☐"/>
      <w:numFmt w:val="bullet"/>
      <w:start w:val="1"/>
    </w:lvl>
    <w:lvl w:ilvl="1">
      <w:lvlJc w:val="left"/>
      <w:lvlText w:val="☐"/>
      <w:numFmt w:val="bullet"/>
      <w:start w:val="1"/>
    </w:lvl>
  </w:abstractNum>
  <w:abstractNum w:abstractNumId="3">
    <w:nsid w:val="DCDF8F6"/>
    <w:multiLevelType w:val="hybridMultilevel"/>
    <w:lvl w:ilvl="0">
      <w:lvlJc w:val="left"/>
      <w:lvlText w:val="%1."/>
      <w:numFmt w:val="upperLetter"/>
      <w:start w:val="1"/>
    </w:lvl>
  </w:abstractNum>
  <w:abstractNum w:abstractNumId="4">
    <w:nsid w:val="52D7B105"/>
    <w:multiLevelType w:val="hybridMultilevel"/>
    <w:lvl w:ilvl="0">
      <w:lvlJc w:val="left"/>
      <w:lvlText w:val="•"/>
      <w:numFmt w:val="bullet"/>
      <w:start w:val="1"/>
    </w:lvl>
  </w:abstractNum>
  <w:abstractNum w:abstractNumId="5">
    <w:nsid w:val="2E8A6394"/>
    <w:multiLevelType w:val="hybridMultilevel"/>
    <w:lvl w:ilvl="0">
      <w:lvlJc w:val="left"/>
      <w:lvlText w:val="•"/>
      <w:numFmt w:val="bullet"/>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
      <w:numFmt w:val="bullet"/>
      <w:start w:val="1"/>
    </w:lvl>
  </w:abstractNum>
  <w:abstractNum w:abstractNumId="9">
    <w:nsid w:val="36B2ACBC"/>
    <w:multiLevelType w:val="hybridMultilevel"/>
    <w:lvl w:ilvl="0">
      <w:lvlJc w:val="left"/>
      <w:lvlText w:val="•"/>
      <w:numFmt w:val="bullet"/>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
      <w:numFmt w:val="bullet"/>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1"/>
      <w:numFmt w:val="upperLetter"/>
      <w:start w:val="61"/>
    </w:lvl>
  </w:abstractNum>
  <w:abstractNum w:abstractNumId="21">
    <w:nsid w:val="475E256A"/>
    <w:multiLevelType w:val="hybridMultilevel"/>
    <w:lvl w:ilvl="0">
      <w:lvlJc w:val="left"/>
      <w:lvlText w:val="•"/>
      <w:numFmt w:val="bullet"/>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
      <w:numFmt w:val="bullet"/>
      <w:start w:val="1"/>
    </w:lvl>
  </w:abstractNum>
  <w:abstractNum w:abstractNumId="26">
    <w:nsid w:val="29BACF25"/>
    <w:multiLevelType w:val="hybridMultilevel"/>
    <w:lvl w:ilvl="0">
      <w:lvlJc w:val="left"/>
      <w:lvlText w:val="•"/>
      <w:numFmt w:val="bullet"/>
      <w:start w:val="1"/>
    </w:lvl>
  </w:abstractNum>
  <w:abstractNum w:abstractNumId="27">
    <w:nsid w:val="5D5BABB3"/>
    <w:multiLevelType w:val="hybridMultilevel"/>
    <w:lvl w:ilvl="0">
      <w:lvlJc w:val="left"/>
      <w:lvlText w:val="▪"/>
      <w:numFmt w:val="bullet"/>
      <w:start w:val="1"/>
    </w:lvl>
  </w:abstractNum>
  <w:abstractNum w:abstractNumId="28">
    <w:nsid w:val="51BF6B48"/>
    <w:multiLevelType w:val="hybridMultilevel"/>
    <w:lvl w:ilvl="0">
      <w:lvlJc w:val="left"/>
      <w:lvlText w:val="•"/>
      <w:numFmt w:val="bullet"/>
      <w:start w:val="1"/>
    </w:lvl>
  </w:abstractNum>
  <w:abstractNum w:abstractNumId="29">
    <w:nsid w:val="7E0F6384"/>
    <w:multiLevelType w:val="hybridMultilevel"/>
    <w:lvl w:ilvl="0">
      <w:lvlJc w:val="left"/>
      <w:lvlText w:val="•"/>
      <w:numFmt w:val="bullet"/>
      <w:start w:val="1"/>
    </w:lvl>
  </w:abstractNum>
  <w:abstractNum w:abstractNumId="30">
    <w:nsid w:val="2B4B8B53"/>
    <w:multiLevelType w:val="hybridMultilevel"/>
    <w:lvl w:ilvl="0">
      <w:lvlJc w:val="left"/>
      <w:lvlText w:val="•"/>
      <w:numFmt w:val="bullet"/>
      <w:start w:val="1"/>
    </w:lvl>
  </w:abstractNum>
  <w:abstractNum w:abstractNumId="31">
    <w:nsid w:val="72E3413A"/>
    <w:multiLevelType w:val="hybridMultilevel"/>
    <w:lvl w:ilvl="0">
      <w:lvlJc w:val="left"/>
      <w:lvlText w:val="•"/>
      <w:numFmt w:val="bullet"/>
      <w:start w:val="1"/>
    </w:lvl>
  </w:abstractNum>
  <w:abstractNum w:abstractNumId="32">
    <w:nsid w:val="116AE494"/>
    <w:multiLevelType w:val="hybridMultilevel"/>
    <w:lvl w:ilvl="0">
      <w:lvlJc w:val="left"/>
      <w:lvlText w:val="•"/>
      <w:numFmt w:val="bullet"/>
      <w:start w:val="1"/>
    </w:lvl>
  </w:abstractNum>
  <w:abstractNum w:abstractNumId="33">
    <w:nsid w:val="3494B2FB"/>
    <w:multiLevelType w:val="hybridMultilevel"/>
    <w:lvl w:ilvl="0">
      <w:lvlJc w:val="left"/>
      <w:lvlText w:val="%1."/>
      <w:numFmt w:val="upperLetter"/>
      <w:start w:val="1"/>
    </w:lvl>
  </w:abstractNum>
  <w:abstractNum w:abstractNumId="34">
    <w:nsid w:val="B13A31"/>
    <w:multiLevelType w:val="hybridMultilevel"/>
    <w:lvl w:ilvl="0">
      <w:lvlJc w:val="left"/>
      <w:lvlText w:val="%1."/>
      <w:numFmt w:val="upperLetter"/>
      <w:start w:val="2"/>
    </w:lvl>
  </w:abstractNum>
  <w:abstractNum w:abstractNumId="35">
    <w:nsid w:val="64429599"/>
    <w:multiLevelType w:val="hybridMultilevel"/>
    <w:lvl w:ilvl="0">
      <w:lvlJc w:val="left"/>
      <w:lvlText w:val="%1."/>
      <w:numFmt w:val="upperLetter"/>
      <w:start w:val="3"/>
    </w:lvl>
  </w:abstractNum>
  <w:abstractNum w:abstractNumId="36">
    <w:nsid w:val="631F1690"/>
    <w:multiLevelType w:val="hybridMultilevel"/>
    <w:lvl w:ilvl="0">
      <w:lvlJc w:val="left"/>
      <w:lvlText w:val="%1."/>
      <w:numFmt w:val="upperLetter"/>
      <w:start w:val="4"/>
    </w:lvl>
  </w:abstractNum>
  <w:abstractNum w:abstractNumId="37">
    <w:nsid w:val="25973E32"/>
    <w:multiLevelType w:val="hybridMultilevel"/>
    <w:lvl w:ilvl="0">
      <w:lvlJc w:val="left"/>
      <w:lvlText w:val="%1."/>
      <w:numFmt w:val="upperLetter"/>
      <w:start w:val="5"/>
    </w:lvl>
  </w:abstractNum>
  <w:abstractNum w:abstractNumId="38">
    <w:nsid w:val="EAD6F57"/>
    <w:multiLevelType w:val="hybridMultilevel"/>
    <w:lvl w:ilvl="0">
      <w:lvlJc w:val="left"/>
      <w:lvlText w:val="(%1)"/>
      <w:numFmt w:val="decimal"/>
      <w:start w:val="1"/>
    </w:lvl>
  </w:abstractNum>
  <w:abstractNum w:abstractNumId="39">
    <w:nsid w:val="6EC9D844"/>
    <w:multiLevelType w:val="hybridMultilevel"/>
    <w:lvl w:ilvl="0">
      <w:lvlJc w:val="left"/>
      <w:lvlText w:val="*"/>
      <w:numFmt w:val="bullet"/>
      <w:start w:val="1"/>
    </w:lvl>
  </w:abstractNum>
  <w:abstractNum w:abstractNumId="40">
    <w:nsid w:val="5C49EAEE"/>
    <w:multiLevelType w:val="hybridMultilevel"/>
    <w:lvl w:ilvl="0">
      <w:lvlJc w:val="left"/>
      <w:lvlText w:val="(%1)"/>
      <w:numFmt w:val="decimal"/>
      <w:start w:val="1"/>
    </w:lvl>
  </w:abstractNum>
  <w:abstractNum w:abstractNumId="41">
    <w:nsid w:val="64AF49B"/>
    <w:multiLevelType w:val="hybridMultilevel"/>
    <w:lvl w:ilvl="0">
      <w:lvlJc w:val="left"/>
      <w:lvlText w:val="%1."/>
      <w:numFmt w:val="upperLetter"/>
      <w:start w:val="5"/>
    </w:lvl>
  </w:abstractNum>
  <w:abstractNum w:abstractNumId="42">
    <w:nsid w:val="397C46BC"/>
    <w:multiLevelType w:val="hybridMultilevel"/>
    <w:lvl w:ilvl="0">
      <w:lvlJc w:val="left"/>
      <w:lvlText w:val="(%1)"/>
      <w:numFmt w:val="decimal"/>
      <w:start w:val="1"/>
    </w:lvl>
  </w:abstractNum>
  <w:abstractNum w:abstractNumId="43">
    <w:nsid w:val="7E448DE9"/>
    <w:multiLevelType w:val="hybridMultilevel"/>
    <w:lvl w:ilvl="0">
      <w:lvlJc w:val="left"/>
      <w:lvlText w:val="(%1)"/>
      <w:numFmt w:val="decimal"/>
      <w:start w:val="1"/>
    </w:lvl>
  </w:abstractNum>
  <w:abstractNum w:abstractNumId="44">
    <w:nsid w:val="5A9CC3E5"/>
    <w:multiLevelType w:val="hybridMultilevel"/>
    <w:lvl w:ilvl="0">
      <w:lvlJc w:val="left"/>
      <w:lvlText w:val="(%1)"/>
      <w:numFmt w:val="lowerRoman"/>
      <w:start w:val="2"/>
    </w:lvl>
  </w:abstractNum>
  <w:abstractNum w:abstractNumId="45">
    <w:nsid w:val="1AFE3625"/>
    <w:multiLevelType w:val="hybridMultilevel"/>
    <w:lvl w:ilvl="0">
      <w:lvlJc w:val="left"/>
      <w:lvlText w:val="(%1)"/>
      <w:numFmt w:val="decimal"/>
      <w:start w:val="1"/>
    </w:lvl>
  </w:abstractNum>
  <w:abstractNum w:abstractNumId="46">
    <w:nsid w:val="3CA88ECF"/>
    <w:multiLevelType w:val="hybridMultilevel"/>
    <w:lvl w:ilvl="0">
      <w:lvlJc w:val="left"/>
      <w:lvlText w:val="%1."/>
      <w:numFmt w:val="upperLetter"/>
      <w:start w:val="2"/>
    </w:lvl>
  </w:abstractNum>
  <w:abstractNum w:abstractNumId="47">
    <w:nsid w:val="6EBE4208"/>
    <w:multiLevelType w:val="hybridMultilevel"/>
    <w:lvl w:ilvl="0">
      <w:lvlJc w:val="left"/>
      <w:lvlText w:val="%1."/>
      <w:numFmt w:val="upperLetter"/>
      <w:start w:val="1"/>
    </w:lvl>
  </w:abstractNum>
  <w:abstractNum w:abstractNumId="48">
    <w:nsid w:val="C058DF5"/>
    <w:multiLevelType w:val="hybridMultilevel"/>
    <w:lvl w:ilvl="0">
      <w:lvlJc w:val="left"/>
      <w:lvlText w:val="%1"/>
      <w:numFmt w:val="upperLetter"/>
      <w:start w:val="1"/>
    </w:lvl>
    <w:lvl w:ilvl="1">
      <w:lvlJc w:val="left"/>
      <w:lvlText w:val="(%2)"/>
      <w:numFmt w:val="lowerRoman"/>
      <w:start w:val="1"/>
    </w:lvl>
  </w:abstractNum>
  <w:abstractNum w:abstractNumId="49">
    <w:nsid w:val="CBE5BE9"/>
    <w:multiLevelType w:val="hybridMultilevel"/>
    <w:lvl w:ilvl="0">
      <w:lvlJc w:val="left"/>
      <w:lvlText w:val="•"/>
      <w:numFmt w:val="bullet"/>
      <w:start w:val="1"/>
    </w:lvl>
  </w:abstractNum>
  <w:abstractNum w:abstractNumId="50">
    <w:nsid w:val="3102BBE2"/>
    <w:multiLevelType w:val="hybridMultilevel"/>
    <w:lvl w:ilvl="0">
      <w:lvlJc w:val="left"/>
      <w:lvlText w:val="(%1)"/>
      <w:numFmt w:val="lowerRoman"/>
      <w:start w:val="2"/>
    </w:lvl>
  </w:abstractNum>
  <w:abstractNum w:abstractNumId="51">
    <w:nsid w:val="26A02C5E"/>
    <w:multiLevelType w:val="hybridMultilevel"/>
    <w:lvl w:ilvl="0">
      <w:lvlJc w:val="left"/>
      <w:lvlText w:val="%1."/>
      <w:numFmt w:val="upperLetter"/>
      <w:start w:val="5"/>
    </w:lvl>
  </w:abstractNum>
  <w:abstractNum w:abstractNumId="52">
    <w:nsid w:val="541C8153"/>
    <w:multiLevelType w:val="hybridMultilevel"/>
    <w:lvl w:ilvl="0">
      <w:lvlJc w:val="left"/>
      <w:lvlText w:val="•"/>
      <w:numFmt w:val="bullet"/>
      <w:start w:val="1"/>
    </w:lvl>
  </w:abstractNum>
  <w:abstractNum w:abstractNumId="53">
    <w:nsid w:val="67906F60"/>
    <w:multiLevelType w:val="hybridMultilevel"/>
    <w:lvl w:ilvl="0">
      <w:lvlJc w:val="left"/>
      <w:lvlText w:val="•"/>
      <w:numFmt w:val="bullet"/>
      <w:start w:val="1"/>
    </w:lvl>
  </w:abstractNum>
  <w:abstractNum w:abstractNumId="54">
    <w:nsid w:val="10DB9DAA"/>
    <w:multiLevelType w:val="hybridMultilevel"/>
    <w:lvl w:ilvl="0">
      <w:lvlJc w:val="left"/>
      <w:lvlText w:val="•"/>
      <w:numFmt w:val="bullet"/>
      <w:start w:val="1"/>
    </w:lvl>
  </w:abstractNum>
  <w:abstractNum w:abstractNumId="55">
    <w:nsid w:val="697D2D2"/>
    <w:multiLevelType w:val="hybridMultilevel"/>
    <w:lvl w:ilvl="0">
      <w:lvlJc w:val="left"/>
      <w:lvlText w:val="•"/>
      <w:numFmt w:val="bullet"/>
      <w:start w:val="1"/>
    </w:lvl>
  </w:abstractNum>
  <w:abstractNum w:abstractNumId="56">
    <w:nsid w:val="6D68AB2"/>
    <w:multiLevelType w:val="hybridMultilevel"/>
    <w:lvl w:ilvl="0">
      <w:lvlJc w:val="left"/>
      <w:lvlText w:val="•"/>
      <w:numFmt w:val="bullet"/>
      <w:start w:val="1"/>
    </w:lvl>
  </w:abstractNum>
  <w:abstractNum w:abstractNumId="57">
    <w:nsid w:val="3A966CD0"/>
    <w:multiLevelType w:val="hybridMultilevel"/>
    <w:lvl w:ilvl="0">
      <w:lvlJc w:val="left"/>
      <w:lvlText w:val="•"/>
      <w:numFmt w:val="bullet"/>
      <w:start w:val="1"/>
    </w:lvl>
  </w:abstractNum>
  <w:abstractNum w:abstractNumId="58">
    <w:nsid w:val="63F37E85"/>
    <w:multiLevelType w:val="hybridMultilevel"/>
    <w:lvl w:ilvl="0">
      <w:lvlJc w:val="left"/>
      <w:lvlText w:val="•"/>
      <w:numFmt w:val="bullet"/>
      <w:start w:val="1"/>
    </w:lvl>
  </w:abstractNum>
  <w:abstractNum w:abstractNumId="59">
    <w:nsid w:val="5895F5FA"/>
    <w:multiLevelType w:val="hybridMultilevel"/>
    <w:lvl w:ilvl="0">
      <w:lvlJc w:val="left"/>
      <w:lvlText w:val="%1."/>
      <w:numFmt w:val="upperLetter"/>
      <w:start w:val="6"/>
    </w:lvl>
  </w:abstractNum>
  <w:abstractNum w:abstractNumId="60">
    <w:nsid w:val="38A5D054"/>
    <w:multiLevelType w:val="hybridMultilevel"/>
    <w:lvl w:ilvl="0">
      <w:lvlJc w:val="left"/>
      <w:lvlText w:val="%1."/>
      <w:numFmt w:val="upperLetter"/>
      <w:start w:val="9"/>
    </w:lvl>
  </w:abstractNum>
  <w:abstractNum w:abstractNumId="61">
    <w:nsid w:val="F3F09D8"/>
    <w:multiLevelType w:val="hybridMultilevel"/>
    <w:lvl w:ilvl="0">
      <w:lvlJc w:val="left"/>
      <w:lvlText w:val="•"/>
      <w:numFmt w:val="bullet"/>
      <w:start w:val="1"/>
    </w:lvl>
  </w:abstractNum>
  <w:abstractNum w:abstractNumId="62">
    <w:nsid w:val="4B793735"/>
    <w:multiLevelType w:val="hybridMultilevel"/>
    <w:lvl w:ilvl="0">
      <w:lvlJc w:val="left"/>
      <w:lvlText w:val="%1."/>
      <w:numFmt w:val="upperLetter"/>
      <w:start w:val="2"/>
    </w:lvl>
  </w:abstractNum>
  <w:abstractNum w:abstractNumId="63">
    <w:nsid w:val="4A10B4E8"/>
    <w:multiLevelType w:val="hybridMultilevel"/>
    <w:lvl w:ilvl="0">
      <w:lvlJc w:val="left"/>
      <w:lvlText w:val="(%1)"/>
      <w:numFmt w:val="decimal"/>
      <w:start w:val="1"/>
    </w:lvl>
  </w:abstractNum>
  <w:abstractNum w:abstractNumId="64">
    <w:nsid w:val="43D3BCD4"/>
    <w:multiLevelType w:val="hybridMultilevel"/>
    <w:lvl w:ilvl="0">
      <w:lvlJc w:val="left"/>
      <w:lvlText w:val="\endash "/>
      <w:numFmt w:val="bullet"/>
      <w:start w:val="1"/>
    </w:lvl>
  </w:abstractNum>
  <w:abstractNum w:abstractNumId="65">
    <w:nsid w:val="4C2A7166"/>
    <w:multiLevelType w:val="hybridMultilevel"/>
    <w:lvl w:ilvl="0">
      <w:lvlJc w:val="left"/>
      <w:lvlText w:val="•"/>
      <w:numFmt w:val="bullet"/>
      <w:start w:val="1"/>
    </w:lvl>
  </w:abstractNum>
  <w:abstractNum w:abstractNumId="66">
    <w:nsid w:val="2E534A82"/>
    <w:multiLevelType w:val="hybridMultilevel"/>
    <w:lvl w:ilvl="0">
      <w:lvlJc w:val="left"/>
      <w:lvlText w:val="*"/>
      <w:numFmt w:val="bullet"/>
      <w:start w:val="1"/>
    </w:lvl>
  </w:abstractNum>
  <w:abstractNum w:abstractNumId="67">
    <w:nsid w:val="26F2D364"/>
    <w:multiLevelType w:val="hybridMultilevel"/>
    <w:lvl w:ilvl="0">
      <w:lvlJc w:val="left"/>
      <w:lvlText w:val="*"/>
      <w:numFmt w:val="bullet"/>
      <w:start w:val="1"/>
    </w:lvl>
  </w:abstractNum>
  <w:abstractNum w:abstractNumId="68">
    <w:nsid w:val="71C1AF98"/>
    <w:multiLevelType w:val="hybridMultilevel"/>
    <w:lvl w:ilvl="0">
      <w:lvlJc w:val="left"/>
      <w:lvlText w:val="*"/>
      <w:numFmt w:val="bullet"/>
      <w:start w:val="1"/>
    </w:lvl>
  </w:abstractNum>
  <w:abstractNum w:abstractNumId="69">
    <w:nsid w:val="3D00B9D9"/>
    <w:multiLevelType w:val="hybridMultilevel"/>
    <w:lvl w:ilvl="0">
      <w:lvlJc w:val="left"/>
      <w:lvlText w:val="**"/>
      <w:numFmt w:val="bullet"/>
      <w:start w:val="1"/>
    </w:lvl>
  </w:abstractNum>
  <w:abstractNum w:abstractNumId="70">
    <w:nsid w:val="15BCABA8"/>
    <w:multiLevelType w:val="hybridMultilevel"/>
    <w:lvl w:ilvl="0">
      <w:lvlJc w:val="left"/>
      <w:lvlText w:val="•"/>
      <w:numFmt w:val="bullet"/>
      <w:start w:val="1"/>
    </w:lvl>
  </w:abstractNum>
  <w:abstractNum w:abstractNumId="71">
    <w:nsid w:val="4E0B9A87"/>
    <w:multiLevelType w:val="hybridMultilevel"/>
    <w:lvl w:ilvl="0">
      <w:lvlJc w:val="left"/>
      <w:lvlText w:val="(%1)"/>
      <w:numFmt w:val="lowerLetter"/>
      <w:start w:val="1"/>
    </w:lvl>
  </w:abstractNum>
  <w:abstractNum w:abstractNumId="72">
    <w:nsid w:val="434BAE75"/>
    <w:multiLevelType w:val="hybridMultilevel"/>
    <w:lvl w:ilvl="0">
      <w:lvlJc w:val="left"/>
      <w:lvlText w:val="(%1)"/>
      <w:numFmt w:val="lowerLetter"/>
      <w:start w:val="1"/>
    </w:lvl>
  </w:abstractNum>
  <w:abstractNum w:abstractNumId="73">
    <w:nsid w:val="4F38F265"/>
    <w:multiLevelType w:val="hybridMultilevel"/>
    <w:lvl w:ilvl="0">
      <w:lvlJc w:val="left"/>
      <w:lvlText w:val="(%1)"/>
      <w:numFmt w:val="lowerLetter"/>
      <w:start w:val="2"/>
    </w:lvl>
  </w:abstractNum>
  <w:abstractNum w:abstractNumId="74">
    <w:nsid w:val="4C502870"/>
    <w:multiLevelType w:val="hybridMultilevel"/>
    <w:lvl w:ilvl="0">
      <w:lvlJc w:val="left"/>
      <w:lvlText w:val="(%1)"/>
      <w:numFmt w:val="lowerLetter"/>
      <w:start w:val="3"/>
    </w:lvl>
  </w:abstractNum>
  <w:abstractNum w:abstractNumId="75">
    <w:nsid w:val="1DE8725A"/>
    <w:multiLevelType w:val="hybridMultilevel"/>
    <w:lvl w:ilvl="0">
      <w:lvlJc w:val="left"/>
      <w:lvlText w:val="*"/>
      <w:numFmt w:val="bullet"/>
      <w:start w:val="1"/>
    </w:lvl>
  </w:abstractNum>
  <w:abstractNum w:abstractNumId="76">
    <w:nsid w:val="6A37288A"/>
    <w:multiLevelType w:val="hybridMultilevel"/>
    <w:lvl w:ilvl="0">
      <w:lvlJc w:val="left"/>
      <w:lvlText w:val="(%1)"/>
      <w:numFmt w:val="lowerLetter"/>
      <w:start w:val="1"/>
    </w:lvl>
  </w:abstractNum>
  <w:abstractNum w:abstractNumId="77">
    <w:nsid w:val="8F8B73F"/>
    <w:multiLevelType w:val="hybridMultilevel"/>
    <w:lvl w:ilvl="0">
      <w:lvlJc w:val="left"/>
      <w:lvlText w:val="(%1)"/>
      <w:numFmt w:val="lowerLetter"/>
      <w:start w:val="1"/>
    </w:lvl>
  </w:abstractNum>
  <w:abstractNum w:abstractNumId="78">
    <w:nsid w:val="CA6B462"/>
    <w:multiLevelType w:val="hybridMultilevel"/>
    <w:lvl w:ilvl="0">
      <w:lvlJc w:val="left"/>
      <w:lvlText w:val="(%1)"/>
      <w:numFmt w:val="lowerLetter"/>
      <w:start w:val="1"/>
    </w:lvl>
  </w:abstractNum>
  <w:abstractNum w:abstractNumId="79">
    <w:nsid w:val="763CB680"/>
    <w:multiLevelType w:val="hybridMultilevel"/>
    <w:lvl w:ilvl="0">
      <w:lvlJc w:val="left"/>
      <w:lvlText w:val="(%1)"/>
      <w:numFmt w:val="lowerLetter"/>
      <w:start w:val="1"/>
    </w:lvl>
  </w:abstractNum>
  <w:abstractNum w:abstractNumId="80">
    <w:nsid w:val="15B71329"/>
    <w:multiLevelType w:val="hybridMultilevel"/>
    <w:lvl w:ilvl="0">
      <w:lvlJc w:val="left"/>
      <w:lvlText w:val="(%1)"/>
      <w:numFmt w:val="lowerLetter"/>
      <w:start w:val="2"/>
    </w:lvl>
  </w:abstractNum>
  <w:abstractNum w:abstractNumId="81">
    <w:nsid w:val="3DA97044"/>
    <w:multiLevelType w:val="hybridMultilevel"/>
    <w:lvl w:ilvl="0">
      <w:lvlJc w:val="left"/>
      <w:lvlText w:val="(%1)"/>
      <w:numFmt w:val="decimal"/>
      <w:start w:val="1"/>
    </w:lvl>
  </w:abstractNum>
  <w:abstractNum w:abstractNumId="82">
    <w:nsid w:val="1CDCE2DE"/>
    <w:multiLevelType w:val="hybridMultilevel"/>
    <w:lvl w:ilvl="0">
      <w:lvlJc w:val="left"/>
      <w:lvlText w:val="(%1)"/>
      <w:numFmt w:val="decimal"/>
      <w:start w:val="1"/>
    </w:lvl>
  </w:abstractNum>
  <w:abstractNum w:abstractNumId="83">
    <w:nsid w:val="69D3947C"/>
    <w:multiLevelType w:val="hybridMultilevel"/>
    <w:lvl w:ilvl="0">
      <w:lvlJc w:val="left"/>
      <w:lvlText w:val="(%1)"/>
      <w:numFmt w:val="decimal"/>
      <w:start w:val="1"/>
    </w:lvl>
  </w:abstractNum>
  <w:abstractNum w:abstractNumId="84">
    <w:nsid w:val="2539DFA5"/>
    <w:multiLevelType w:val="hybridMultilevel"/>
    <w:lvl w:ilvl="0">
      <w:lvlJc w:val="left"/>
      <w:lvlText w:val="(%1)"/>
      <w:numFmt w:val="decimal"/>
      <w:start w:val="1"/>
    </w:lvl>
  </w:abstractNum>
  <w:abstractNum w:abstractNumId="85">
    <w:nsid w:val="2DB88089"/>
    <w:multiLevelType w:val="hybridMultilevel"/>
    <w:lvl w:ilvl="0">
      <w:lvlJc w:val="left"/>
      <w:lvlText w:val="(%1)"/>
      <w:numFmt w:val="lowerRoman"/>
      <w:start w:val="3"/>
    </w:lvl>
  </w:abstractNum>
  <w:abstractNum w:abstractNumId="86">
    <w:nsid w:val="706B674E"/>
    <w:multiLevelType w:val="hybridMultilevel"/>
    <w:lvl w:ilvl="0">
      <w:lvlJc w:val="left"/>
      <w:lvlText w:val="(%1)"/>
      <w:numFmt w:val="lowerRoman"/>
      <w:start w:val="10"/>
    </w:lvl>
  </w:abstractNum>
  <w:abstractNum w:abstractNumId="87">
    <w:nsid w:val="2C106A57"/>
    <w:multiLevelType w:val="hybridMultilevel"/>
    <w:lvl w:ilvl="0">
      <w:lvlJc w:val="left"/>
      <w:lvlText w:val="(%1)"/>
      <w:numFmt w:val="lowerLetter"/>
      <w:start w:val="5"/>
    </w:lvl>
    <w:lvl w:ilvl="1">
      <w:lvlJc w:val="left"/>
      <w:lvlText w:val="(%2)"/>
      <w:numFmt w:val="lowerLetter"/>
      <w:start w:val="9"/>
    </w:lvl>
  </w:abstractNum>
  <w:abstractNum w:abstractNumId="88">
    <w:nsid w:val="684EED59"/>
    <w:multiLevelType w:val="hybridMultilevel"/>
    <w:lvl w:ilvl="0">
      <w:lvlJc w:val="left"/>
      <w:lvlText w:val="(%1)"/>
      <w:numFmt w:val="lowerRoman"/>
      <w:start w:val="2"/>
    </w:lvl>
  </w:abstractNum>
  <w:abstractNum w:abstractNumId="89">
    <w:nsid w:val="545EE5D3"/>
    <w:multiLevelType w:val="hybridMultilevel"/>
    <w:lvl w:ilvl="0">
      <w:lvlJc w:val="left"/>
      <w:lvlText w:val="(%1)"/>
      <w:numFmt w:val="lowerRoman"/>
      <w:start w:val="3"/>
    </w:lvl>
  </w:abstractNum>
  <w:abstractNum w:abstractNumId="90">
    <w:nsid w:val="4A66051"/>
    <w:multiLevelType w:val="hybridMultilevel"/>
    <w:lvl w:ilvl="0">
      <w:lvlJc w:val="left"/>
      <w:lvlText w:val="(%1)"/>
      <w:numFmt w:val="decimal"/>
      <w:start w:val="1"/>
    </w:lvl>
  </w:abstractNum>
  <w:abstractNum w:abstractNumId="91">
    <w:nsid w:val="20F4BDAD"/>
    <w:multiLevelType w:val="hybridMultilevel"/>
    <w:lvl w:ilvl="0">
      <w:lvlJc w:val="left"/>
      <w:lvlText w:val="(%1)"/>
      <w:numFmt w:val="lowerRoman"/>
      <w:start w:val="1"/>
    </w:lvl>
  </w:abstractNum>
  <w:abstractNum w:abstractNumId="92">
    <w:nsid w:val="639DEFAC"/>
    <w:multiLevelType w:val="hybridMultilevel"/>
    <w:lvl w:ilvl="0">
      <w:lvlJc w:val="left"/>
      <w:lvlText w:val="(%1)"/>
      <w:numFmt w:val="lowerRoman"/>
      <w:start w:val="4"/>
    </w:lvl>
  </w:abstractNum>
  <w:abstractNum w:abstractNumId="93">
    <w:nsid w:val="501F9786"/>
    <w:multiLevelType w:val="hybridMultilevel"/>
    <w:lvl w:ilvl="0">
      <w:lvlJc w:val="left"/>
      <w:lvlText w:val="(%1)"/>
      <w:numFmt w:val="lowerRoman"/>
      <w:start w:val="18"/>
    </w:lvl>
  </w:abstractNum>
  <w:abstractNum w:abstractNumId="94">
    <w:nsid w:val="6B057295"/>
    <w:multiLevelType w:val="hybridMultilevel"/>
    <w:lvl w:ilvl="0">
      <w:lvlJc w:val="left"/>
      <w:lvlText w:val="(%1)"/>
      <w:numFmt w:val="decimal"/>
      <w:start w:val="1"/>
    </w:lvl>
  </w:abstractNum>
  <w:abstractNum w:abstractNumId="95">
    <w:nsid w:val="2771AC80"/>
    <w:multiLevelType w:val="hybridMultilevel"/>
    <w:lvl w:ilvl="0">
      <w:lvlJc w:val="left"/>
      <w:lvlText w:val="(%1)"/>
      <w:numFmt w:val="lowerLetter"/>
      <w:start w:val="1"/>
    </w:lvl>
  </w:abstractNum>
  <w:abstractNum w:abstractNumId="96">
    <w:nsid w:val="1C4A08EC"/>
    <w:multiLevelType w:val="hybridMultilevel"/>
    <w:lvl w:ilvl="0">
      <w:lvlJc w:val="left"/>
      <w:lvlText w:val="%1"/>
      <w:numFmt w:val="lowerLetter"/>
      <w:start w:val="1"/>
    </w:lvl>
    <w:lvl w:ilvl="1">
      <w:lvlJc w:val="left"/>
      <w:lvlText w:val="(%2)"/>
      <w:numFmt w:val="lowerLetter"/>
      <w:start w:val="3"/>
    </w:lvl>
  </w:abstractNum>
  <w:abstractNum w:abstractNumId="97">
    <w:nsid w:val="1958BD17"/>
    <w:multiLevelType w:val="hybridMultilevel"/>
    <w:lvl w:ilvl="0">
      <w:lvlJc w:val="left"/>
      <w:lvlText w:val="(%1)"/>
      <w:numFmt w:val="lowerLetter"/>
      <w:start w:val="8"/>
    </w:lvl>
    <w:lvl w:ilvl="1">
      <w:lvlJc w:val="left"/>
      <w:lvlText w:val="(%2)"/>
      <w:numFmt w:val="lowerLetter"/>
      <w:start w:val="10"/>
    </w:lvl>
  </w:abstractNum>
  <w:abstractNum w:abstractNumId="98">
    <w:nsid w:val="4E647FE4"/>
    <w:multiLevelType w:val="hybridMultilevel"/>
    <w:lvl w:ilvl="0">
      <w:lvlJc w:val="left"/>
      <w:lvlText w:val="(%1)"/>
      <w:numFmt w:val="lowerLetter"/>
      <w:start w:val="1"/>
    </w:lvl>
  </w:abstractNum>
  <w:abstractNum w:abstractNumId="99">
    <w:nsid w:val="E0BB885"/>
    <w:multiLevelType w:val="hybridMultilevel"/>
    <w:lvl w:ilvl="0">
      <w:lvlJc w:val="left"/>
      <w:lvlText w:val="(%1)"/>
      <w:numFmt w:val="lowerLetter"/>
      <w:start w:val="2"/>
    </w:lvl>
  </w:abstractNum>
  <w:abstractNum w:abstractNumId="100">
    <w:nsid w:val="565976F1"/>
    <w:multiLevelType w:val="hybridMultilevel"/>
    <w:lvl w:ilvl="0">
      <w:lvlJc w:val="left"/>
      <w:lvlText w:val="(%1)"/>
      <w:numFmt w:val="lowerRoman"/>
      <w:start w:val="7"/>
    </w:lvl>
    <w:lvl w:ilvl="1">
      <w:lvlJc w:val="left"/>
      <w:lvlText w:val="(%2)"/>
      <w:numFmt w:val="lowerRoman"/>
      <w:start w:val="1"/>
    </w:lvl>
  </w:abstractNum>
  <w:abstractNum w:abstractNumId="101">
    <w:nsid w:val="64212B8C"/>
    <w:multiLevelType w:val="hybridMultilevel"/>
    <w:lvl w:ilvl="0">
      <w:lvlJc w:val="left"/>
      <w:lvlText w:val="(%1)"/>
      <w:numFmt w:val="lowerRoman"/>
      <w:start w:val="8"/>
    </w:lvl>
  </w:abstractNum>
  <w:abstractNum w:abstractNumId="102">
    <w:nsid w:val="5C17530C"/>
    <w:multiLevelType w:val="hybridMultilevel"/>
    <w:lvl w:ilvl="0">
      <w:lvlJc w:val="left"/>
      <w:lvlText w:val="(%1)"/>
      <w:numFmt w:val="lowerRoman"/>
      <w:start w:val="15"/>
    </w:lvl>
  </w:abstractNum>
  <w:abstractNum w:abstractNumId="103">
    <w:nsid w:val="19A52566"/>
    <w:multiLevelType w:val="hybridMultilevel"/>
    <w:lvl w:ilvl="0">
      <w:lvlJc w:val="left"/>
      <w:lvlText w:val="(%1)"/>
      <w:numFmt w:val="lowerRoman"/>
      <w:start w:val="20"/>
    </w:lvl>
  </w:abstractNum>
  <w:abstractNum w:abstractNumId="104">
    <w:nsid w:val="335A1DF1"/>
    <w:multiLevelType w:val="hybridMultilevel"/>
    <w:lvl w:ilvl="0">
      <w:lvlJc w:val="left"/>
      <w:lvlText w:val="(%1)"/>
      <w:numFmt w:val="decimal"/>
      <w:start w:val="1"/>
    </w:lvl>
  </w:abstractNum>
  <w:abstractNum w:abstractNumId="105">
    <w:nsid w:val="28677B7C"/>
    <w:multiLevelType w:val="hybridMultilevel"/>
    <w:lvl w:ilvl="0">
      <w:lvlJc w:val="left"/>
      <w:lvlText w:val="(%1)"/>
      <w:numFmt w:val="upperLetter"/>
      <w:start w:val="2"/>
    </w:lvl>
  </w:abstractNum>
  <w:abstractNum w:abstractNumId="106">
    <w:nsid w:val="378D97C0"/>
    <w:multiLevelType w:val="hybridMultilevel"/>
    <w:lvl w:ilvl="0">
      <w:lvlJc w:val="left"/>
      <w:lvlText w:val="(%1)"/>
      <w:numFmt w:val="lowerLetter"/>
      <w:start w:val="1"/>
    </w:lvl>
  </w:abstractNum>
  <w:abstractNum w:abstractNumId="107">
    <w:nsid w:val="1D91467C"/>
    <w:multiLevelType w:val="hybridMultilevel"/>
    <w:lvl w:ilvl="0">
      <w:lvlJc w:val="left"/>
      <w:lvlText w:val="(%1)"/>
      <w:numFmt w:val="lowerLetter"/>
      <w:start w:val="5"/>
    </w:lvl>
  </w:abstractNum>
  <w:abstractNum w:abstractNumId="108">
    <w:nsid w:val="316032BB"/>
    <w:multiLevelType w:val="hybridMultilevel"/>
    <w:lvl w:ilvl="0">
      <w:lvlJc w:val="left"/>
      <w:lvlText w:val="(%1)"/>
      <w:numFmt w:val="lowerLetter"/>
      <w:start w:val="16"/>
    </w:lvl>
  </w:abstractNum>
  <w:abstractNum w:abstractNumId="109">
    <w:nsid w:val="44344C22"/>
    <w:multiLevelType w:val="hybridMultilevel"/>
    <w:lvl w:ilvl="0">
      <w:lvlJc w:val="left"/>
      <w:lvlText w:val="(%1)"/>
      <w:numFmt w:val="lowerLetter"/>
      <w:start w:val="4"/>
    </w:lvl>
  </w:abstractNum>
  <w:abstractNum w:abstractNumId="110">
    <w:nsid w:val="13CDFCFC"/>
    <w:multiLevelType w:val="hybridMultilevel"/>
    <w:lvl w:ilvl="0">
      <w:lvlJc w:val="left"/>
      <w:lvlText w:val="(%1)"/>
      <w:numFmt w:val="decimal"/>
      <w:start w:val="1"/>
    </w:lvl>
  </w:abstractNum>
  <w:abstractNum w:abstractNumId="111">
    <w:nsid w:val="471745E4"/>
    <w:multiLevelType w:val="hybridMultilevel"/>
    <w:lvl w:ilvl="0">
      <w:lvlJc w:val="left"/>
      <w:lvlText w:val="(%1)"/>
      <w:numFmt w:val="lowerLetter"/>
      <w:start w:val="25"/>
    </w:lvl>
  </w:abstractNum>
  <w:abstractNum w:abstractNumId="112">
    <w:nsid w:val="1DDBC66"/>
    <w:multiLevelType w:val="hybridMultilevel"/>
    <w:lvl w:ilvl="0">
      <w:lvlJc w:val="left"/>
      <w:lvlText w:val="(%1)"/>
      <w:numFmt w:val="lowerLetter"/>
      <w:start w:val="1"/>
    </w:lvl>
    <w:lvl w:ilvl="1">
      <w:lvlJc w:val="left"/>
      <w:lvlText w:val="(%2)"/>
      <w:numFmt w:val="lowerRoman"/>
      <w:start w:val="1"/>
    </w:lvl>
  </w:abstractNum>
  <w:abstractNum w:abstractNumId="113">
    <w:nsid w:val="30AADFDA"/>
    <w:multiLevelType w:val="hybridMultilevel"/>
    <w:lvl w:ilvl="0">
      <w:lvlJc w:val="left"/>
      <w:lvlText w:val="(%1)"/>
      <w:numFmt w:val="lowerRoman"/>
      <w:start w:val="3"/>
    </w:lvl>
  </w:abstractNum>
  <w:abstractNum w:abstractNumId="114">
    <w:nsid w:val="30EADA61"/>
    <w:multiLevelType w:val="hybridMultilevel"/>
    <w:lvl w:ilvl="0">
      <w:lvlJc w:val="left"/>
      <w:lvlText w:val="(%1)"/>
      <w:numFmt w:val="lowerRoman"/>
      <w:start w:val="9"/>
    </w:lvl>
  </w:abstractNum>
  <w:abstractNum w:abstractNumId="115">
    <w:nsid w:val="27179C0B"/>
    <w:multiLevelType w:val="hybridMultilevel"/>
    <w:lvl w:ilvl="0">
      <w:lvlJc w:val="left"/>
      <w:lvlText w:val="(%1)"/>
      <w:numFmt w:val="lowerRoman"/>
      <w:start w:val="2"/>
    </w:lvl>
  </w:abstractNum>
  <w:abstractNum w:abstractNumId="116">
    <w:nsid w:val="5E636063"/>
    <w:multiLevelType w:val="hybridMultilevel"/>
    <w:lvl w:ilvl="0">
      <w:lvlJc w:val="left"/>
      <w:lvlText w:val="(%1)"/>
      <w:numFmt w:val="lowerLetter"/>
      <w:start w:val="3"/>
    </w:lvl>
  </w:abstractNum>
  <w:abstractNum w:abstractNumId="117">
    <w:nsid w:val="215641AF"/>
    <w:multiLevelType w:val="hybridMultilevel"/>
    <w:lvl w:ilvl="0">
      <w:lvlJc w:val="left"/>
      <w:lvlText w:val="(%1)"/>
      <w:numFmt w:val="lowerLetter"/>
      <w:start w:val="9"/>
    </w:lvl>
  </w:abstractNum>
  <w:abstractNum w:abstractNumId="118">
    <w:nsid w:val="53280662"/>
    <w:multiLevelType w:val="hybridMultilevel"/>
    <w:lvl w:ilvl="0">
      <w:lvlJc w:val="left"/>
      <w:lvlText w:val="(%1)"/>
      <w:numFmt w:val="lowerLetter"/>
      <w:start w:val="1"/>
    </w:lvl>
  </w:abstractNum>
  <w:abstractNum w:abstractNumId="119">
    <w:nsid w:val="46B24DBC"/>
    <w:multiLevelType w:val="hybridMultilevel"/>
    <w:lvl w:ilvl="0">
      <w:lvlJc w:val="left"/>
      <w:lvlText w:val="(%1)"/>
      <w:numFmt w:val="lowerLetter"/>
      <w:start w:val="4"/>
    </w:lvl>
  </w:abstractNum>
  <w:abstractNum w:abstractNumId="120">
    <w:nsid w:val="75B52783"/>
    <w:multiLevelType w:val="hybridMultilevel"/>
    <w:lvl w:ilvl="0">
      <w:lvlJc w:val="left"/>
      <w:lvlText w:val="(%1)"/>
      <w:numFmt w:val="decimal"/>
      <w:start w:val="1"/>
    </w:lvl>
  </w:abstractNum>
  <w:abstractNum w:abstractNumId="121">
    <w:nsid w:val="57CE66B4"/>
    <w:multiLevelType w:val="hybridMultilevel"/>
    <w:lvl w:ilvl="0">
      <w:lvlJc w:val="left"/>
      <w:lvlText w:val="(%1)"/>
      <w:numFmt w:val="upperLetter"/>
      <w:start w:val="1"/>
    </w:lvl>
  </w:abstractNum>
  <w:abstractNum w:abstractNumId="122">
    <w:nsid w:val="67A70B69"/>
    <w:multiLevelType w:val="hybridMultilevel"/>
    <w:lvl w:ilvl="0">
      <w:lvlJc w:val="left"/>
      <w:lvlText w:val="%1"/>
      <w:numFmt w:val="upperLetter"/>
      <w:start w:val="1"/>
    </w:lvl>
    <w:lvl w:ilvl="1">
      <w:lvlJc w:val="left"/>
      <w:lvlText w:val="(%2)"/>
      <w:numFmt w:val="lowerLetter"/>
      <w:start w:val="1"/>
    </w:lvl>
  </w:abstractNum>
  <w:abstractNum w:abstractNumId="123">
    <w:nsid w:val="5953172F"/>
    <w:multiLevelType w:val="hybridMultilevel"/>
    <w:lvl w:ilvl="0">
      <w:lvlJc w:val="left"/>
      <w:lvlText w:val="(%1)"/>
      <w:numFmt w:val="upperLetter"/>
      <w:start w:val="1"/>
    </w:lvl>
    <w:lvl w:ilvl="1">
      <w:lvlJc w:val="left"/>
      <w:lvlText w:val="(%2)"/>
      <w:numFmt w:val="lowerLetter"/>
      <w:start w:val="1"/>
    </w:lvl>
  </w:abstractNum>
  <w:abstractNum w:abstractNumId="124">
    <w:nsid w:val="27EDFE3A"/>
    <w:multiLevelType w:val="hybridMultilevel"/>
    <w:lvl w:ilvl="0">
      <w:lvlJc w:val="left"/>
      <w:lvlText w:val="%1"/>
      <w:numFmt w:val="lowerLetter"/>
      <w:start w:val="1"/>
    </w:lvl>
    <w:lvl w:ilvl="1">
      <w:lvlJc w:val="left"/>
      <w:lvlText w:val="(%2)"/>
      <w:numFmt w:val="decimal"/>
      <w:start w:val="3"/>
    </w:lvl>
  </w:abstractNum>
  <w:abstractNum w:abstractNumId="125">
    <w:nsid w:val="52AC7DFF"/>
    <w:multiLevelType w:val="hybridMultilevel"/>
    <w:lvl w:ilvl="0">
      <w:lvlJc w:val="left"/>
      <w:lvlText w:val="(%1)"/>
      <w:numFmt w:val="lowerLetter"/>
      <w:start w:val="1"/>
    </w:lvl>
    <w:lvl w:ilvl="1">
      <w:lvlJc w:val="left"/>
      <w:lvlText w:val="(%2)"/>
      <w:numFmt w:val="decimal"/>
      <w:start w:val="5"/>
    </w:lvl>
  </w:abstractNum>
  <w:abstractNum w:abstractNumId="126">
    <w:nsid w:val="C4C3AF"/>
    <w:multiLevelType w:val="hybridMultilevel"/>
    <w:lvl w:ilvl="0">
      <w:lvlJc w:val="left"/>
      <w:lvlText w:val="(%1)"/>
      <w:numFmt w:val="lowerRoman"/>
      <w:start w:val="1"/>
    </w:lvl>
  </w:abstractNum>
  <w:abstractNum w:abstractNumId="127">
    <w:nsid w:val="44380727"/>
    <w:multiLevelType w:val="hybridMultilevel"/>
    <w:lvl w:ilvl="0">
      <w:lvlJc w:val="left"/>
      <w:lvlText w:val="(%1)"/>
      <w:numFmt w:val="decimal"/>
      <w:start w:val="1"/>
    </w:lvl>
  </w:abstractNum>
  <w:abstractNum w:abstractNumId="128">
    <w:nsid w:val="6C053B16"/>
    <w:multiLevelType w:val="hybridMultilevel"/>
    <w:lvl w:ilvl="0">
      <w:lvlJc w:val="left"/>
      <w:lvlText w:val="(%1)"/>
      <w:numFmt w:val="decimal"/>
      <w:start w:val="8"/>
    </w:lvl>
  </w:abstractNum>
  <w:abstractNum w:abstractNumId="129">
    <w:nsid w:val="4F294393"/>
    <w:multiLevelType w:val="hybridMultilevel"/>
    <w:lvl w:ilvl="0">
      <w:lvlJc w:val="left"/>
      <w:lvlText w:val="(%1)"/>
      <w:numFmt w:val="decimal"/>
      <w:start w:val="16"/>
    </w:lvl>
  </w:abstractNum>
  <w:abstractNum w:abstractNumId="130">
    <w:nsid w:val="5243BFAC"/>
    <w:multiLevelType w:val="hybridMultilevel"/>
    <w:lvl w:ilvl="0">
      <w:lvlJc w:val="left"/>
      <w:lvlText w:val="(%1)"/>
      <w:numFmt w:val="decimal"/>
      <w:start w:val="24"/>
    </w:lvl>
  </w:abstractNum>
  <w:abstractNum w:abstractNumId="131">
    <w:nsid w:val="425EB207"/>
    <w:multiLevelType w:val="hybridMultilevel"/>
    <w:lvl w:ilvl="0">
      <w:lvlJc w:val="left"/>
      <w:lvlText w:val="(%1)"/>
      <w:numFmt w:val="decimal"/>
      <w:start w:val="32"/>
    </w:lvl>
  </w:abstractNum>
  <w:abstractNum w:abstractNumId="132">
    <w:nsid w:val="334A6F1F"/>
    <w:multiLevelType w:val="hybridMultilevel"/>
    <w:lvl w:ilvl="0">
      <w:lvlJc w:val="left"/>
      <w:lvlText w:val="(%1)"/>
      <w:numFmt w:val="decimal"/>
      <w:start w:val="1"/>
    </w:lvl>
  </w:abstractNum>
  <w:abstractNum w:abstractNumId="133">
    <w:nsid w:val="2E5B12B8"/>
    <w:multiLevelType w:val="hybridMultilevel"/>
    <w:lvl w:ilvl="0">
      <w:lvlJc w:val="left"/>
      <w:lvlText w:val="(%1)"/>
      <w:numFmt w:val="decimal"/>
      <w:start w:val="5"/>
    </w:lvl>
  </w:abstractNum>
  <w:abstractNum w:abstractNumId="134">
    <w:nsid w:val="5C03D76D"/>
    <w:multiLevelType w:val="hybridMultilevel"/>
    <w:lvl w:ilvl="0">
      <w:lvlJc w:val="left"/>
      <w:lvlText w:val="(%1)"/>
      <w:numFmt w:val="decimal"/>
      <w:start w:val="15"/>
    </w:lvl>
  </w:abstractNum>
  <w:abstractNum w:abstractNumId="135">
    <w:nsid w:val="66A48D11"/>
    <w:multiLevelType w:val="hybridMultilevel"/>
    <w:lvl w:ilvl="0">
      <w:lvlJc w:val="left"/>
      <w:lvlText w:val="(%1)"/>
      <w:numFmt w:val="decimal"/>
      <w:start w:val="26"/>
    </w:lvl>
  </w:abstractNum>
  <w:abstractNum w:abstractNumId="136">
    <w:nsid w:val="56C28E34"/>
    <w:multiLevelType w:val="hybridMultilevel"/>
    <w:lvl w:ilvl="0">
      <w:lvlJc w:val="left"/>
      <w:lvlText w:val="%1"/>
      <w:numFmt w:val="decimal"/>
      <w:start w:val="1"/>
    </w:lvl>
    <w:lvl w:ilvl="1">
      <w:lvlJc w:val="left"/>
      <w:lvlText w:val="(%2)"/>
      <w:numFmt w:val="decimal"/>
      <w:start w:val="35"/>
    </w:lvl>
  </w:abstractNum>
  <w:abstractNum w:abstractNumId="137">
    <w:nsid w:val="13916F2D"/>
    <w:multiLevelType w:val="hybridMultilevel"/>
    <w:lvl w:ilvl="0">
      <w:lvlJc w:val="left"/>
      <w:lvlText w:val="(%1)"/>
      <w:numFmt w:val="decimal"/>
      <w:start w:val="40"/>
    </w:lvl>
    <w:lvl w:ilvl="1">
      <w:lvlJc w:val="left"/>
      <w:lvlText w:val="%2"/>
      <w:numFmt w:val="decimal"/>
      <w:start w:val="1"/>
    </w:lvl>
  </w:abstractNum>
  <w:abstractNum w:abstractNumId="138">
    <w:nsid w:val="435D38D"/>
    <w:multiLevelType w:val="hybridMultilevel"/>
    <w:lvl w:ilvl="0">
      <w:lvlJc w:val="left"/>
      <w:lvlText w:val="(%1)"/>
      <w:numFmt w:val="decimal"/>
      <w:start w:val="1"/>
    </w:lvl>
  </w:abstractNum>
  <w:abstractNum w:abstractNumId="139">
    <w:nsid w:val="822C0EF"/>
    <w:multiLevelType w:val="hybridMultilevel"/>
    <w:lvl w:ilvl="0">
      <w:lvlJc w:val="left"/>
      <w:lvlText w:val="(%1)"/>
      <w:numFmt w:val="lowerRoman"/>
      <w:start w:val="5"/>
    </w:lvl>
  </w:abstractNum>
  <w:abstractNum w:abstractNumId="140">
    <w:nsid w:val="57C5BB4F"/>
    <w:multiLevelType w:val="hybridMultilevel"/>
    <w:lvl w:ilvl="0">
      <w:lvlJc w:val="left"/>
      <w:lvlText w:val="(%1)"/>
      <w:numFmt w:val="lowerLetter"/>
      <w:start w:val="1"/>
    </w:lvl>
    <w:lvl w:ilvl="1">
      <w:lvlJc w:val="left"/>
      <w:lvlText w:val="(%2)"/>
      <w:numFmt w:val="lowerRoman"/>
      <w:start w:val="1"/>
    </w:lvl>
  </w:abstractNum>
  <w:abstractNum w:abstractNumId="141">
    <w:nsid w:val="1803D089"/>
    <w:multiLevelType w:val="hybridMultilevel"/>
    <w:lvl w:ilvl="0">
      <w:lvlJc w:val="left"/>
      <w:lvlText w:val="(%1)"/>
      <w:numFmt w:val="upperLetter"/>
      <w:start w:val="1"/>
    </w:lvl>
  </w:abstractNum>
  <w:abstractNum w:abstractNumId="142">
    <w:nsid w:val="4F3A06D4"/>
    <w:multiLevelType w:val="hybridMultilevel"/>
    <w:lvl w:ilvl="0">
      <w:lvlJc w:val="left"/>
      <w:lvlText w:val="(%1)"/>
      <w:numFmt w:val="lowerRoman"/>
      <w:start w:val="1"/>
    </w:lvl>
  </w:abstractNum>
  <w:abstractNum w:abstractNumId="143">
    <w:nsid w:val="59A377B6"/>
    <w:multiLevelType w:val="hybridMultilevel"/>
    <w:lvl w:ilvl="0">
      <w:lvlJc w:val="left"/>
      <w:lvlText w:val="%1"/>
      <w:numFmt w:val="lowerLetter"/>
      <w:start w:val="1"/>
    </w:lvl>
    <w:lvl w:ilvl="1">
      <w:lvlJc w:val="left"/>
      <w:lvlText w:val="(%2)"/>
      <w:numFmt w:val="lowerLetter"/>
      <w:start w:val="1"/>
    </w:lvl>
  </w:abstractNum>
  <w:abstractNum w:abstractNumId="144">
    <w:nsid w:val="48AEB063"/>
    <w:multiLevelType w:val="hybridMultilevel"/>
    <w:lvl w:ilvl="0">
      <w:lvlJc w:val="left"/>
      <w:lvlText w:val="(%1)"/>
      <w:numFmt w:val="lowerLetter"/>
      <w:start w:val="2"/>
    </w:lvl>
    <w:lvl w:ilvl="1">
      <w:lvlJc w:val="left"/>
      <w:lvlText w:val="%2"/>
      <w:numFmt w:val="lowerLetter"/>
      <w:start w:val="1"/>
    </w:lvl>
  </w:abstractNum>
  <w:abstractNum w:abstractNumId="145">
    <w:nsid w:val="24E135"/>
    <w:multiLevelType w:val="hybridMultilevel"/>
    <w:lvl w:ilvl="0">
      <w:lvlJc w:val="left"/>
      <w:lvlText w:val="(%1)"/>
      <w:numFmt w:val="lowerLetter"/>
      <w:start w:val="5"/>
    </w:lvl>
  </w:abstractNum>
  <w:abstractNum w:abstractNumId="146">
    <w:nsid w:val="BB13C1"/>
    <w:multiLevelType w:val="hybridMultilevel"/>
    <w:lvl w:ilvl="0">
      <w:lvlJc w:val="left"/>
      <w:lvlText w:val="(%1)"/>
      <w:numFmt w:val="lowerLetter"/>
      <w:start w:val="1"/>
    </w:lvl>
  </w:abstractNum>
  <w:abstractNum w:abstractNumId="147">
    <w:nsid w:val="271210C7"/>
    <w:multiLevelType w:val="hybridMultilevel"/>
    <w:lvl w:ilvl="0">
      <w:lvlJc w:val="left"/>
      <w:lvlText w:val="(%1)"/>
      <w:numFmt w:val="lowerLetter"/>
      <w:start w:val="2"/>
    </w:lvl>
  </w:abstractNum>
  <w:abstractNum w:abstractNumId="148">
    <w:nsid w:val="217B22E4"/>
    <w:multiLevelType w:val="hybridMultilevel"/>
    <w:lvl w:ilvl="0">
      <w:lvlJc w:val="left"/>
      <w:lvlText w:val="%1"/>
      <w:numFmt w:val="lowerLetter"/>
      <w:start w:val="1"/>
    </w:lvl>
    <w:lvl w:ilvl="1">
      <w:lvlJc w:val="left"/>
      <w:lvlText w:val="(%2)"/>
      <w:numFmt w:val="lowerLetter"/>
      <w:start w:val="4"/>
    </w:lvl>
  </w:abstractNum>
  <w:abstractNum w:abstractNumId="149">
    <w:nsid w:val="53E31A24"/>
    <w:multiLevelType w:val="hybridMultilevel"/>
    <w:lvl w:ilvl="0">
      <w:lvlJc w:val="left"/>
      <w:lvlText w:val="(%1)"/>
      <w:numFmt w:val="lowerLetter"/>
      <w:start w:val="24"/>
    </w:lvl>
    <w:lvl w:ilvl="1">
      <w:lvlJc w:val="left"/>
      <w:lvlText w:val="(%2)"/>
      <w:numFmt w:val="lowerLetter"/>
      <w:start w:val="5"/>
    </w:lvl>
  </w:abstractNum>
  <w:abstractNum w:abstractNumId="150">
    <w:nsid w:val="6DC45E83"/>
    <w:multiLevelType w:val="hybridMultilevel"/>
    <w:lvl w:ilvl="0">
      <w:lvlJc w:val="left"/>
      <w:lvlText w:val="(%1)"/>
      <w:numFmt w:val="lowerLetter"/>
      <w:start w:val="7"/>
    </w:lvl>
  </w:abstractNum>
  <w:abstractNum w:abstractNumId="151">
    <w:nsid w:val="17304A67"/>
    <w:multiLevelType w:val="hybridMultilevel"/>
    <w:lvl w:ilvl="0">
      <w:lvlJc w:val="left"/>
      <w:lvlText w:val="(%1)"/>
      <w:numFmt w:val="lowerLetter"/>
      <w:start w:val="1"/>
    </w:lvl>
  </w:abstractNum>
  <w:abstractNum w:abstractNumId="152">
    <w:nsid w:val="2BB180D8"/>
    <w:multiLevelType w:val="hybridMultilevel"/>
    <w:lvl w:ilvl="0">
      <w:lvlJc w:val="left"/>
      <w:lvlText w:val="(%1)"/>
      <w:numFmt w:val="lowerLetter"/>
      <w:start w:val="1"/>
    </w:lvl>
  </w:abstractNum>
  <w:abstractNum w:abstractNumId="153">
    <w:nsid w:val="556B69ED"/>
    <w:multiLevelType w:val="hybridMultilevel"/>
    <w:lvl w:ilvl="0">
      <w:lvlJc w:val="left"/>
      <w:lvlText w:val="(%1)"/>
      <w:numFmt w:val="lowerLetter"/>
      <w:start w:val="2"/>
    </w:lvl>
  </w:abstractNum>
  <w:abstractNum w:abstractNumId="154">
    <w:nsid w:val="70836196"/>
    <w:multiLevelType w:val="hybridMultilevel"/>
    <w:lvl w:ilvl="0">
      <w:lvlJc w:val="left"/>
      <w:lvlText w:val="(%1)"/>
      <w:numFmt w:val="lowerLetter"/>
      <w:start w:val="1"/>
    </w:lvl>
  </w:abstractNum>
  <w:abstractNum w:abstractNumId="155">
    <w:nsid w:val="539F7F12"/>
    <w:multiLevelType w:val="hybridMultilevel"/>
    <w:lvl w:ilvl="0">
      <w:lvlJc w:val="left"/>
      <w:lvlText w:val="(%1)"/>
      <w:numFmt w:val="lowerLetter"/>
      <w:start w:val="1"/>
    </w:lvl>
  </w:abstractNum>
  <w:abstractNum w:abstractNumId="156">
    <w:nsid w:val="2817E7EC"/>
    <w:multiLevelType w:val="hybridMultilevel"/>
    <w:lvl w:ilvl="0">
      <w:lvlJc w:val="left"/>
      <w:lvlText w:val="(%1)"/>
      <w:numFmt w:val="lowerLetter"/>
      <w:start w:val="3"/>
    </w:lvl>
  </w:abstractNum>
  <w:abstractNum w:abstractNumId="157">
    <w:nsid w:val="71482545"/>
    <w:multiLevelType w:val="hybridMultilevel"/>
    <w:lvl w:ilvl="0">
      <w:lvlJc w:val="left"/>
      <w:lvlText w:val="(%1)"/>
      <w:numFmt w:val="lowerLetter"/>
      <w:start w:val="1"/>
    </w:lvl>
  </w:abstractNum>
  <w:abstractNum w:abstractNumId="158">
    <w:nsid w:val="17D78639"/>
    <w:multiLevelType w:val="hybridMultilevel"/>
    <w:lvl w:ilvl="0">
      <w:lvlJc w:val="left"/>
      <w:lvlText w:val="(%1)"/>
      <w:numFmt w:val="lowerLetter"/>
      <w:start w:val="4"/>
    </w:lvl>
  </w:abstractNum>
  <w:abstractNum w:abstractNumId="159">
    <w:nsid w:val="141D2302"/>
    <w:multiLevelType w:val="hybridMultilevel"/>
    <w:lvl w:ilvl="0">
      <w:lvlJc w:val="left"/>
      <w:lvlText w:val="(%1)"/>
      <w:numFmt w:val="lowerLetter"/>
      <w:start w:val="1"/>
    </w:lvl>
  </w:abstractNum>
  <w:abstractNum w:abstractNumId="160">
    <w:nsid w:val="407168D8"/>
    <w:multiLevelType w:val="hybridMultilevel"/>
    <w:lvl w:ilvl="0">
      <w:lvlJc w:val="left"/>
      <w:lvlText w:val="(%1)"/>
      <w:numFmt w:val="lowerLetter"/>
      <w:start w:val="3"/>
    </w:lvl>
  </w:abstractNum>
  <w:abstractNum w:abstractNumId="161">
    <w:nsid w:val="6A1B45E5"/>
    <w:multiLevelType w:val="hybridMultilevel"/>
    <w:lvl w:ilvl="0">
      <w:lvlJc w:val="left"/>
      <w:lvlText w:val="(%1)"/>
      <w:numFmt w:val="lowerLetter"/>
      <w:start w:val="5"/>
    </w:lvl>
  </w:abstractNum>
  <w:abstractNum w:abstractNumId="162">
    <w:nsid w:val="567BD50A"/>
    <w:multiLevelType w:val="hybridMultilevel"/>
    <w:lvl w:ilvl="0">
      <w:lvlJc w:val="left"/>
      <w:lvlText w:val="(%1)"/>
      <w:numFmt w:val="lowerLetter"/>
      <w:start w:val="6"/>
    </w:lvl>
  </w:abstractNum>
  <w:abstractNum w:abstractNumId="163">
    <w:nsid w:val="73BBD7F8"/>
    <w:multiLevelType w:val="hybridMultilevel"/>
    <w:lvl w:ilvl="0">
      <w:lvlJc w:val="left"/>
      <w:lvlText w:val="(%1)"/>
      <w:numFmt w:val="lowerLetter"/>
      <w:start w:val="9"/>
    </w:lvl>
  </w:abstractNum>
  <w:abstractNum w:abstractNumId="164">
    <w:nsid w:val="1876589D"/>
    <w:multiLevelType w:val="hybridMultilevel"/>
    <w:lvl w:ilvl="0">
      <w:lvlJc w:val="left"/>
      <w:lvlText w:val="(%1)"/>
      <w:numFmt w:val="lowerLetter"/>
      <w:start w:val="11"/>
    </w:lvl>
  </w:abstractNum>
  <w:abstractNum w:abstractNumId="165">
    <w:nsid w:val="327FAC77"/>
    <w:multiLevelType w:val="hybridMultilevel"/>
    <w:lvl w:ilvl="0">
      <w:lvlJc w:val="left"/>
      <w:lvlText w:val="(%1)"/>
      <w:numFmt w:val="lowerRoman"/>
      <w:start w:val="2"/>
    </w:lvl>
  </w:abstractNum>
  <w:abstractNum w:abstractNumId="166">
    <w:nsid w:val="5A606509"/>
    <w:multiLevelType w:val="hybridMultilevel"/>
    <w:lvl w:ilvl="0">
      <w:lvlJc w:val="left"/>
      <w:lvlText w:val="(%1)"/>
      <w:numFmt w:val="lowerLetter"/>
      <w:start w:val="13"/>
    </w:lvl>
  </w:abstractNum>
  <w:abstractNum w:abstractNumId="167">
    <w:nsid w:val="6F38E6D1"/>
    <w:multiLevelType w:val="hybridMultilevel"/>
    <w:lvl w:ilvl="0">
      <w:lvlJc w:val="left"/>
      <w:lvlText w:val="(%1)"/>
      <w:numFmt w:val="lowerLetter"/>
      <w:start w:val="1"/>
    </w:lvl>
  </w:abstractNum>
  <w:abstractNum w:abstractNumId="168">
    <w:nsid w:val="46111BA5"/>
    <w:multiLevelType w:val="hybridMultilevel"/>
    <w:lvl w:ilvl="0">
      <w:lvlJc w:val="left"/>
      <w:lvlText w:val="(%1)"/>
      <w:numFmt w:val="lowerLetter"/>
      <w:start w:val="1"/>
    </w:lvl>
  </w:abstractNum>
  <w:abstractNum w:abstractNumId="169">
    <w:nsid w:val="5E963896"/>
    <w:multiLevelType w:val="hybridMultilevel"/>
    <w:lvl w:ilvl="0">
      <w:lvlJc w:val="left"/>
      <w:lvlText w:val="(%1)"/>
      <w:numFmt w:val="lowerLetter"/>
      <w:start w:val="2"/>
    </w:lvl>
    <w:lvl w:ilvl="1">
      <w:lvlJc w:val="left"/>
      <w:lvlText w:val="(%2)"/>
      <w:numFmt w:val="lowerRoman"/>
      <w:start w:val="1"/>
    </w:lvl>
  </w:abstractNum>
  <w:abstractNum w:abstractNumId="170">
    <w:nsid w:val="775BA7C1"/>
    <w:multiLevelType w:val="hybridMultilevel"/>
    <w:lvl w:ilvl="0">
      <w:lvlJc w:val="left"/>
      <w:lvlText w:val="(%1)"/>
      <w:numFmt w:val="lowerLetter"/>
      <w:start w:val="4"/>
    </w:lvl>
  </w:abstractNum>
  <w:abstractNum w:abstractNumId="171">
    <w:nsid w:val="1DD6D6F4"/>
    <w:multiLevelType w:val="hybridMultilevel"/>
    <w:lvl w:ilvl="0">
      <w:lvlJc w:val="left"/>
      <w:lvlText w:val="(%1)"/>
      <w:numFmt w:val="lowerLetter"/>
      <w:start w:val="1"/>
    </w:lvl>
  </w:abstractNum>
  <w:abstractNum w:abstractNumId="172">
    <w:nsid w:val="769A091F"/>
    <w:multiLevelType w:val="hybridMultilevel"/>
    <w:lvl w:ilvl="0">
      <w:lvlJc w:val="left"/>
      <w:lvlText w:val="%1"/>
      <w:numFmt w:val="lowerRoman"/>
      <w:start w:val="1"/>
    </w:lvl>
    <w:lvl w:ilvl="1">
      <w:lvlJc w:val="left"/>
      <w:lvlText w:val="(%2)"/>
      <w:numFmt w:val="lowerLetter"/>
      <w:start w:val="1"/>
    </w:lvl>
  </w:abstractNum>
  <w:abstractNum w:abstractNumId="173">
    <w:nsid w:val="4695AE95"/>
    <w:multiLevelType w:val="hybridMultilevel"/>
    <w:lvl w:ilvl="0">
      <w:lvlJc w:val="left"/>
      <w:lvlText w:val="(%1)"/>
      <w:numFmt w:val="lowerRoman"/>
      <w:start w:val="2"/>
    </w:lvl>
    <w:lvl w:ilvl="1">
      <w:lvlJc w:val="left"/>
      <w:lvlText w:val="(%2)"/>
      <w:numFmt w:val="lowerLetter"/>
      <w:start w:val="2"/>
    </w:lvl>
  </w:abstractNum>
  <w:abstractNum w:abstractNumId="174">
    <w:nsid w:val="777A4EAA"/>
    <w:multiLevelType w:val="hybridMultilevel"/>
    <w:lvl w:ilvl="0">
      <w:lvlJc w:val="left"/>
      <w:lvlText w:val="(%1)"/>
      <w:numFmt w:val="lowerLetter"/>
      <w:start w:val="5"/>
    </w:lvl>
  </w:abstractNum>
  <w:abstractNum w:abstractNumId="175">
    <w:nsid w:val="3F48B982"/>
    <w:multiLevelType w:val="hybridMultilevel"/>
    <w:lvl w:ilvl="0">
      <w:lvlJc w:val="left"/>
      <w:lvlText w:val="%1"/>
      <w:numFmt w:val="lowerLetter"/>
      <w:start w:val="1"/>
    </w:lvl>
    <w:lvl w:ilvl="1">
      <w:lvlJc w:val="left"/>
      <w:lvlText w:val="(%2)"/>
      <w:numFmt w:val="lowerLetter"/>
      <w:start w:val="1"/>
    </w:lvl>
  </w:abstractNum>
  <w:abstractNum w:abstractNumId="176">
    <w:nsid w:val="46BA8FCA"/>
    <w:multiLevelType w:val="hybridMultilevel"/>
    <w:lvl w:ilvl="0">
      <w:lvlJc w:val="left"/>
      <w:lvlText w:val="(%1)"/>
      <w:numFmt w:val="lowerLetter"/>
      <w:start w:val="35"/>
    </w:lvl>
    <w:lvl w:ilvl="1">
      <w:lvlJc w:val="left"/>
      <w:lvlText w:val="%2"/>
      <w:numFmt w:val="lowerLetter"/>
      <w:start w:val="1"/>
    </w:lvl>
  </w:abstractNum>
  <w:abstractNum w:abstractNumId="177">
    <w:nsid w:val="7835626C"/>
    <w:multiLevelType w:val="hybridMultilevel"/>
    <w:lvl w:ilvl="0">
      <w:lvlJc w:val="left"/>
      <w:lvlText w:val="(%1)"/>
      <w:numFmt w:val="lowerLetter"/>
      <w:start w:val="3"/>
    </w:lvl>
    <w:lvl w:ilvl="1">
      <w:lvlJc w:val="left"/>
      <w:lvlText w:val="(%2)"/>
      <w:numFmt w:val="lowerRoman"/>
    </w:lvl>
    <w:lvl w:ilvl="2">
      <w:lvlJc w:val="left"/>
      <w:lvlText w:val="(%3)"/>
      <w:numFmt w:val="decimal"/>
      <w:start w:val="1"/>
    </w:lvl>
  </w:abstractNum>
  <w:abstractNum w:abstractNumId="178">
    <w:nsid w:val="665ACA49"/>
    <w:multiLevelType w:val="hybridMultilevel"/>
    <w:lvl w:ilvl="0">
      <w:lvlJc w:val="left"/>
      <w:lvlText w:val="%1"/>
      <w:numFmt w:val="decimal"/>
      <w:start w:val="1"/>
    </w:lvl>
    <w:lvl w:ilvl="1">
      <w:lvlJc w:val="left"/>
      <w:lvlText w:val="(%2)"/>
      <w:numFmt w:val="lowerRoman"/>
      <w:start w:val="2"/>
    </w:lvl>
  </w:abstractNum>
  <w:abstractNum w:abstractNumId="179">
    <w:nsid w:val="6835B2AE"/>
    <w:multiLevelType w:val="hybridMultilevel"/>
    <w:lvl w:ilvl="0">
      <w:lvlJc w:val="left"/>
      <w:lvlText w:val="(%1)"/>
      <w:numFmt w:val="decimal"/>
      <w:start w:val="2"/>
    </w:lvl>
    <w:lvl w:ilvl="1">
      <w:lvlJc w:val="left"/>
      <w:lvlText w:val="%2"/>
      <w:numFmt w:val="lowerRoman"/>
      <w:start w:val="1"/>
    </w:lvl>
  </w:abstractNum>
  <w:abstractNum w:abstractNumId="180">
    <w:nsid w:val="4C187C90"/>
    <w:multiLevelType w:val="hybridMultilevel"/>
    <w:lvl w:ilvl="0">
      <w:lvlJc w:val="left"/>
      <w:lvlText w:val="(%1)"/>
      <w:numFmt w:val="lowerLetter"/>
      <w:start w:val="4"/>
    </w:lvl>
  </w:abstractNum>
  <w:abstractNum w:abstractNumId="181">
    <w:nsid w:val="541F28CD"/>
    <w:multiLevelType w:val="hybridMultilevel"/>
    <w:lvl w:ilvl="0">
      <w:lvlJc w:val="left"/>
      <w:lvlText w:val="(%1)"/>
      <w:numFmt w:val="lowerLetter"/>
      <w:start w:val="9"/>
    </w:lvl>
    <w:lvl w:ilvl="1">
      <w:lvlJc w:val="left"/>
      <w:lvlText w:val="(%2)"/>
      <w:numFmt w:val="lowerLetter"/>
      <w:start w:val="6"/>
    </w:lvl>
  </w:abstractNum>
  <w:abstractNum w:abstractNumId="182">
    <w:nsid w:val="7F65FD16"/>
    <w:multiLevelType w:val="hybridMultilevel"/>
    <w:lvl w:ilvl="0">
      <w:lvlJc w:val="left"/>
      <w:lvlText w:val="(%1)"/>
      <w:numFmt w:val="lowerLetter"/>
      <w:start w:val="1"/>
    </w:lvl>
  </w:abstractNum>
  <w:abstractNum w:abstractNumId="183">
    <w:nsid w:val="77C9FD68"/>
    <w:multiLevelType w:val="hybridMultilevel"/>
    <w:lvl w:ilvl="0">
      <w:lvlJc w:val="left"/>
      <w:lvlText w:val="(%1)"/>
      <w:numFmt w:val="lowerLetter"/>
      <w:start w:val="3"/>
    </w:lvl>
  </w:abstractNum>
  <w:abstractNum w:abstractNumId="184">
    <w:nsid w:val="298A92BA"/>
    <w:multiLevelType w:val="hybridMultilevel"/>
    <w:lvl w:ilvl="0">
      <w:lvlJc w:val="left"/>
      <w:lvlText w:val="(%1)"/>
      <w:numFmt w:val="lowerLetter"/>
      <w:start w:val="1"/>
    </w:lvl>
  </w:abstractNum>
  <w:abstractNum w:abstractNumId="185">
    <w:nsid w:val="6FE95EAC"/>
    <w:multiLevelType w:val="hybridMultilevel"/>
    <w:lvl w:ilvl="0">
      <w:lvlJc w:val="left"/>
      <w:lvlText w:val="(%1)"/>
      <w:numFmt w:val="lowerLetter"/>
      <w:start w:val="1"/>
    </w:lvl>
  </w:abstractNum>
  <w:abstractNum w:abstractNumId="186">
    <w:nsid w:val="4B697C7A"/>
    <w:multiLevelType w:val="hybridMultilevel"/>
    <w:lvl w:ilvl="0">
      <w:lvlJc w:val="left"/>
      <w:lvlText w:val="(%1)"/>
      <w:numFmt w:val="lowerLetter"/>
      <w:start w:val="3"/>
    </w:lvl>
  </w:abstractNum>
  <w:abstractNum w:abstractNumId="187">
    <w:nsid w:val="51A27AA6"/>
    <w:multiLevelType w:val="hybridMultilevel"/>
    <w:lvl w:ilvl="0">
      <w:lvlJc w:val="left"/>
      <w:lvlText w:val="(%1)"/>
      <w:numFmt w:val="lowerLetter"/>
      <w:start w:val="5"/>
    </w:lvl>
  </w:abstractNum>
  <w:abstractNum w:abstractNumId="188">
    <w:nsid w:val="613183F2"/>
    <w:multiLevelType w:val="hybridMultilevel"/>
    <w:lvl w:ilvl="0">
      <w:lvlJc w:val="left"/>
      <w:lvlText w:val="(%1)"/>
      <w:numFmt w:val="lowerLetter"/>
      <w:start w:val="9"/>
    </w:lvl>
  </w:abstractNum>
  <w:abstractNum w:abstractNumId="189">
    <w:nsid w:val="634102B4"/>
    <w:multiLevelType w:val="hybridMultilevel"/>
    <w:lvl w:ilvl="0">
      <w:lvlJc w:val="left"/>
      <w:lvlText w:val="(%1)"/>
      <w:numFmt w:val="lowerLetter"/>
      <w:start w:val="11"/>
    </w:lvl>
  </w:abstractNum>
  <w:abstractNum w:abstractNumId="190">
    <w:nsid w:val="65BF9DA8"/>
    <w:multiLevelType w:val="hybridMultilevel"/>
    <w:lvl w:ilvl="0">
      <w:lvlJc w:val="left"/>
      <w:lvlText w:val="(%1)"/>
      <w:numFmt w:val="lowerLetter"/>
      <w:start w:val="1"/>
    </w:lvl>
    <w:lvl w:ilvl="1">
      <w:lvlJc w:val="left"/>
      <w:lvlText w:val="(%2)"/>
      <w:numFmt w:val="lowerRoman"/>
      <w:start w:val="1"/>
    </w:lvl>
  </w:abstractNum>
  <w:abstractNum w:abstractNumId="191">
    <w:nsid w:val="21A2ECCA"/>
    <w:multiLevelType w:val="hybridMultilevel"/>
    <w:lvl w:ilvl="0">
      <w:lvlJc w:val="left"/>
      <w:lvlText w:val="(%1)"/>
      <w:numFmt w:val="lowerLetter"/>
      <w:start w:val="2"/>
    </w:lvl>
  </w:abstractNum>
  <w:abstractNum w:abstractNumId="192">
    <w:nsid w:val="4D5C4899"/>
    <w:multiLevelType w:val="hybridMultilevel"/>
    <w:lvl w:ilvl="0">
      <w:lvlJc w:val="left"/>
      <w:lvlText w:val="%1"/>
      <w:numFmt w:val="lowerLetter"/>
      <w:start w:val="1"/>
    </w:lvl>
    <w:lvl w:ilvl="1">
      <w:lvlJc w:val="left"/>
      <w:lvlText w:val="(%2)"/>
      <w:numFmt w:val="lowerLetter"/>
      <w:start w:val="3"/>
    </w:lvl>
  </w:abstractNum>
  <w:abstractNum w:abstractNumId="193">
    <w:nsid w:val="3C3B72B2"/>
    <w:multiLevelType w:val="hybridMultilevel"/>
    <w:lvl w:ilvl="0">
      <w:lvlJc w:val="left"/>
      <w:lvlText w:val="(%1)"/>
      <w:numFmt w:val="lowerLetter"/>
      <w:start w:val="2"/>
    </w:lvl>
    <w:lvl w:ilvl="1">
      <w:lvlJc w:val="left"/>
      <w:lvlText w:val="(%2)"/>
      <w:numFmt w:val="lowerLetter"/>
      <w:start w:val="4"/>
    </w:lvl>
  </w:abstractNum>
  <w:abstractNum w:abstractNumId="194">
    <w:nsid w:val="155EC4C2"/>
    <w:multiLevelType w:val="hybridMultilevel"/>
    <w:lvl w:ilvl="0">
      <w:lvlJc w:val="left"/>
      <w:lvlText w:val="(%1)"/>
      <w:numFmt w:val="lowerLetter"/>
      <w:start w:val="1"/>
    </w:lvl>
  </w:abstractNum>
  <w:abstractNum w:abstractNumId="195">
    <w:nsid w:val="65D2A137"/>
    <w:multiLevelType w:val="hybridMultilevel"/>
    <w:lvl w:ilvl="0">
      <w:lvlJc w:val="left"/>
      <w:lvlText w:val="(%1)"/>
      <w:numFmt w:val="lowerRoman"/>
      <w:start w:val="1"/>
    </w:lvl>
    <w:lvl w:ilvl="1">
      <w:lvlJc w:val="left"/>
      <w:lvlText w:val="(%2)"/>
      <w:numFmt w:val="upperLetter"/>
      <w:start w:val="1"/>
    </w:lvl>
  </w:abstractNum>
  <w:abstractNum w:abstractNumId="196">
    <w:nsid w:val="6EBB1F2A"/>
    <w:multiLevelType w:val="hybridMultilevel"/>
    <w:lvl w:ilvl="0">
      <w:lvlJc w:val="left"/>
      <w:lvlText w:val="(%1)"/>
      <w:numFmt w:val="lowerRoman"/>
      <w:start w:val="19"/>
    </w:lvl>
    <w:lvl w:ilvl="1">
      <w:lvlJc w:val="left"/>
      <w:lvlText w:val="(%2)"/>
      <w:numFmt w:val="upperLetter"/>
      <w:start w:val="2"/>
    </w:lvl>
  </w:abstractNum>
  <w:abstractNum w:abstractNumId="197">
    <w:nsid w:val="6FBF29CB"/>
    <w:multiLevelType w:val="hybridMultilevel"/>
    <w:lvl w:ilvl="0">
      <w:lvlJc w:val="left"/>
      <w:lvlText w:val="%1"/>
      <w:numFmt w:val="lowerRoman"/>
      <w:start w:val="1"/>
    </w:lvl>
    <w:lvl w:ilvl="1">
      <w:lvlJc w:val="left"/>
      <w:lvlText w:val="(%2)"/>
      <w:numFmt w:val="upperLetter"/>
      <w:start w:val="3"/>
    </w:lvl>
  </w:abstractNum>
  <w:abstractNum w:abstractNumId="198">
    <w:nsid w:val="550B8808"/>
    <w:multiLevelType w:val="hybridMultilevel"/>
    <w:lvl w:ilvl="0">
      <w:lvlJc w:val="left"/>
      <w:lvlText w:val="(%1)"/>
      <w:numFmt w:val="lowerRoman"/>
      <w:start w:val="2"/>
    </w:lvl>
    <w:lvl w:ilvl="1">
      <w:lvlJc w:val="left"/>
      <w:lvlText w:val="%2"/>
      <w:numFmt w:val="upperLetter"/>
      <w:start w:val="1"/>
    </w:lvl>
  </w:abstractNum>
  <w:abstractNum w:abstractNumId="199">
    <w:nsid w:val="34CC3ACF"/>
    <w:multiLevelType w:val="hybridMultilevel"/>
    <w:lvl w:ilvl="0">
      <w:lvlJc w:val="left"/>
      <w:lvlText w:val="%1"/>
      <w:numFmt w:val="lowerLetter"/>
      <w:start w:val="1"/>
    </w:lvl>
    <w:lvl w:ilvl="1">
      <w:lvlJc w:val="left"/>
      <w:lvlText w:val="(%2)"/>
      <w:numFmt w:val="lowerRoman"/>
      <w:start w:val="4"/>
    </w:lvl>
  </w:abstractNum>
  <w:abstractNum w:abstractNumId="200">
    <w:nsid w:val="4E556261"/>
    <w:multiLevelType w:val="hybridMultilevel"/>
    <w:lvl w:ilvl="0">
      <w:lvlJc w:val="left"/>
      <w:lvlText w:val="(%1)"/>
      <w:numFmt w:val="lowerLetter"/>
      <w:start w:val="6"/>
    </w:lvl>
    <w:lvl w:ilvl="1">
      <w:lvlJc w:val="left"/>
      <w:lvlText w:val="%2"/>
      <w:numFmt w:val="lowerRoman"/>
      <w:start w:val="1"/>
    </w:lvl>
  </w:abstractNum>
  <w:abstractNum w:abstractNumId="201">
    <w:nsid w:val="4C672FC9"/>
    <w:multiLevelType w:val="hybridMultilevel"/>
    <w:lvl w:ilvl="0">
      <w:lvlJc w:val="left"/>
      <w:lvlText w:val="(%1)"/>
      <w:numFmt w:val="lowerRoman"/>
      <w:start w:val="1"/>
    </w:lvl>
  </w:abstractNum>
  <w:abstractNum w:abstractNumId="202">
    <w:nsid w:val="52A311C3"/>
    <w:multiLevelType w:val="hybridMultilevel"/>
    <w:lvl w:ilvl="0">
      <w:lvlJc w:val="left"/>
      <w:lvlText w:val="(%1)"/>
      <w:numFmt w:val="lowerRoman"/>
      <w:start w:val="1"/>
    </w:lvl>
  </w:abstractNum>
  <w:abstractNum w:abstractNumId="203">
    <w:nsid w:val="44EF6B80"/>
    <w:multiLevelType w:val="hybridMultilevel"/>
    <w:lvl w:ilvl="0">
      <w:lvlJc w:val="left"/>
      <w:lvlText w:val="(%1)"/>
      <w:numFmt w:val="lowerLetter"/>
      <w:start w:val="1"/>
    </w:lvl>
  </w:abstractNum>
  <w:abstractNum w:abstractNumId="204">
    <w:nsid w:val="12FCDE5E"/>
    <w:multiLevelType w:val="hybridMultilevel"/>
    <w:lvl w:ilvl="0">
      <w:lvlJc w:val="left"/>
      <w:lvlText w:val="(%1)"/>
      <w:numFmt w:val="lowerLetter"/>
      <w:start w:val="2"/>
    </w:lvl>
  </w:abstractNum>
  <w:abstractNum w:abstractNumId="205">
    <w:nsid w:val="4A1D606E"/>
    <w:multiLevelType w:val="hybridMultilevel"/>
    <w:lvl w:ilvl="0">
      <w:lvlJc w:val="left"/>
      <w:lvlText w:val="(%1)"/>
      <w:numFmt w:val="lowerLetter"/>
      <w:start w:val="3"/>
    </w:lvl>
  </w:abstractNum>
  <w:abstractNum w:abstractNumId="206">
    <w:nsid w:val="4382503"/>
    <w:multiLevelType w:val="hybridMultilevel"/>
    <w:lvl w:ilvl="0">
      <w:lvlJc w:val="left"/>
      <w:lvlText w:val="(%1)"/>
      <w:numFmt w:val="lowerLetter"/>
      <w:start w:val="1"/>
    </w:lvl>
  </w:abstractNum>
  <w:abstractNum w:abstractNumId="207">
    <w:nsid w:val="59B76E28"/>
    <w:multiLevelType w:val="hybridMultilevel"/>
    <w:lvl w:ilvl="0">
      <w:lvlJc w:val="left"/>
      <w:lvlText w:val="%1"/>
      <w:numFmt w:val="lowerLetter"/>
      <w:start w:val="1"/>
    </w:lvl>
    <w:lvl w:ilvl="1">
      <w:lvlJc w:val="left"/>
      <w:lvlText w:val="(%2)"/>
      <w:numFmt w:val="lowerLetter"/>
      <w:start w:val="1"/>
    </w:lvl>
  </w:abstractNum>
  <w:abstractNum w:abstractNumId="208">
    <w:nsid w:val="4252C2DA"/>
    <w:multiLevelType w:val="hybridMultilevel"/>
    <w:lvl w:ilvl="0">
      <w:lvlJc w:val="left"/>
      <w:lvlText w:val="(%1)"/>
      <w:numFmt w:val="lowerLetter"/>
      <w:start w:val="9"/>
    </w:lvl>
    <w:lvl w:ilvl="1">
      <w:lvlJc w:val="left"/>
      <w:lvlText w:val="%2"/>
      <w:numFmt w:val="lowerLetter"/>
      <w:start w:val="1"/>
    </w:lvl>
  </w:abstractNum>
  <w:abstractNum w:abstractNumId="209">
    <w:nsid w:val="6A92EF4C"/>
    <w:multiLevelType w:val="hybridMultilevel"/>
    <w:lvl w:ilvl="0">
      <w:lvlJc w:val="left"/>
      <w:lvlText w:val="%1"/>
      <w:numFmt w:val="lowerLetter"/>
      <w:start w:val="1"/>
    </w:lvl>
    <w:lvl w:ilvl="1">
      <w:lvlJc w:val="left"/>
      <w:lvlText w:val="(%2)"/>
      <w:numFmt w:val="lowerLetter"/>
      <w:start w:val="2"/>
    </w:lvl>
  </w:abstractNum>
  <w:abstractNum w:abstractNumId="210">
    <w:nsid w:val="41ED20D7"/>
    <w:multiLevelType w:val="hybridMultilevel"/>
    <w:lvl w:ilvl="0">
      <w:lvlJc w:val="left"/>
      <w:lvlText w:val="(%1)"/>
      <w:numFmt w:val="lowerLetter"/>
      <w:start w:val="25"/>
    </w:lvl>
    <w:lvl w:ilvl="1">
      <w:lvlJc w:val="left"/>
      <w:lvlText w:val="%2"/>
      <w:numFmt w:val="lowerLetter"/>
      <w:start w:val="1"/>
    </w:lvl>
  </w:abstractNum>
  <w:abstractNum w:abstractNumId="211">
    <w:nsid w:val="E6B3F6A"/>
    <w:multiLevelType w:val="hybridMultilevel"/>
    <w:lvl w:ilvl="0">
      <w:lvlJc w:val="left"/>
      <w:lvlText w:val="(%1)"/>
      <w:numFmt w:val="upperLetter"/>
      <w:start w:val="2"/>
    </w:lvl>
  </w:abstractNum>
  <w:abstractNum w:abstractNumId="212">
    <w:nsid w:val="3EB21819"/>
    <w:multiLevelType w:val="hybridMultilevel"/>
    <w:lvl w:ilvl="0">
      <w:lvlJc w:val="left"/>
      <w:lvlText w:val="%1"/>
      <w:numFmt w:val="lowerLetter"/>
      <w:start w:val="1"/>
    </w:lvl>
    <w:lvl w:ilvl="1">
      <w:lvlJc w:val="left"/>
      <w:lvlText w:val="(%2)"/>
      <w:numFmt w:val="lowerLetter"/>
      <w:start w:val="3"/>
    </w:lvl>
  </w:abstractNum>
  <w:abstractNum w:abstractNumId="213">
    <w:nsid w:val="41531DED"/>
    <w:multiLevelType w:val="hybridMultilevel"/>
    <w:lvl w:ilvl="0">
      <w:lvlJc w:val="left"/>
      <w:lvlText w:val="(%1)"/>
      <w:numFmt w:val="lowerLetter"/>
      <w:start w:val="9"/>
    </w:lvl>
    <w:lvl w:ilvl="1">
      <w:lvlJc w:val="left"/>
      <w:lvlText w:val="%2"/>
      <w:numFmt w:val="lowerLetter"/>
      <w:start w:val="1"/>
    </w:lvl>
  </w:abstractNum>
  <w:abstractNum w:abstractNumId="214">
    <w:nsid w:val="6353CD2"/>
    <w:multiLevelType w:val="hybridMultilevel"/>
    <w:lvl w:ilvl="0">
      <w:lvlJc w:val="left"/>
      <w:lvlText w:val="(%1)"/>
      <w:numFmt w:val="lowerLetter"/>
      <w:start w:val="1"/>
    </w:lvl>
  </w:abstractNum>
  <w:abstractNum w:abstractNumId="215">
    <w:nsid w:val="683CAAD3"/>
    <w:multiLevelType w:val="hybridMultilevel"/>
    <w:lvl w:ilvl="0">
      <w:lvlJc w:val="left"/>
      <w:lvlText w:val="(%1)"/>
      <w:numFmt w:val="lowerLetter"/>
      <w:start w:val="5"/>
    </w:lvl>
  </w:abstractNum>
  <w:abstractNum w:abstractNumId="216">
    <w:nsid w:val="313C7C99"/>
    <w:multiLevelType w:val="hybridMultilevel"/>
    <w:lvl w:ilvl="0">
      <w:lvlJc w:val="left"/>
      <w:lvlText w:val="(%1)"/>
      <w:numFmt w:val="lowerLetter"/>
      <w:start w:val="1"/>
    </w:lvl>
    <w:lvl w:ilvl="1">
      <w:lvlJc w:val="left"/>
      <w:lvlText w:val="(%2)"/>
      <w:numFmt w:val="lowerRoman"/>
      <w:start w:val="1"/>
    </w:lvl>
  </w:abstractNum>
  <w:abstractNum w:abstractNumId="217">
    <w:nsid w:val="519EB94C"/>
    <w:multiLevelType w:val="hybridMultilevel"/>
    <w:lvl w:ilvl="0">
      <w:lvlJc w:val="left"/>
      <w:lvlText w:val="(%1)"/>
      <w:numFmt w:val="lowerRoman"/>
      <w:start w:val="4"/>
    </w:lvl>
  </w:abstractNum>
  <w:abstractNum w:abstractNumId="218">
    <w:nsid w:val="39DF2579"/>
    <w:multiLevelType w:val="hybridMultilevel"/>
    <w:lvl w:ilvl="0">
      <w:lvlJc w:val="left"/>
      <w:lvlText w:val="%1"/>
      <w:numFmt w:val="lowerLetter"/>
      <w:start w:val="1"/>
    </w:lvl>
    <w:lvl w:ilvl="1">
      <w:lvlJc w:val="left"/>
      <w:lvlText w:val="(%2)"/>
      <w:numFmt w:val="lowerRoman"/>
      <w:start w:val="11"/>
    </w:lvl>
  </w:abstractNum>
  <w:abstractNum w:abstractNumId="219">
    <w:nsid w:val="126E008B"/>
    <w:multiLevelType w:val="hybridMultilevel"/>
    <w:lvl w:ilvl="0">
      <w:lvlJc w:val="left"/>
      <w:lvlText w:val="(%1)"/>
      <w:numFmt w:val="lowerLetter"/>
      <w:start w:val="2"/>
    </w:lvl>
    <w:lvl w:ilvl="1">
      <w:lvlJc w:val="left"/>
      <w:lvlText w:val="%2"/>
      <w:numFmt w:val="lowerRoman"/>
      <w:start w:val="1"/>
    </w:lvl>
  </w:abstractNum>
  <w:abstractNum w:abstractNumId="220">
    <w:nsid w:val="34DFBC00"/>
    <w:multiLevelType w:val="hybridMultilevel"/>
    <w:lvl w:ilvl="0">
      <w:lvlJc w:val="left"/>
      <w:lvlText w:val="(%1)"/>
      <w:numFmt w:val="lowerLetter"/>
      <w:start w:val="1"/>
    </w:lvl>
    <w:lvl w:ilvl="1">
      <w:lvlJc w:val="left"/>
      <w:lvlText w:val="(%2)"/>
      <w:numFmt w:val="lowerRoman"/>
      <w:start w:val="1"/>
    </w:lvl>
  </w:abstractNum>
  <w:abstractNum w:abstractNumId="221">
    <w:nsid w:val="1F9EC322"/>
    <w:multiLevelType w:val="hybridMultilevel"/>
    <w:lvl w:ilvl="0">
      <w:lvlJc w:val="left"/>
      <w:lvlText w:val="(%1)"/>
      <w:numFmt w:val="lowerLetter"/>
      <w:start w:val="3"/>
    </w:lvl>
  </w:abstractNum>
  <w:abstractNum w:abstractNumId="222">
    <w:nsid w:val="3410ED5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3">
    <w:nsid w:val="23C049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24">
    <w:nsid w:val="5BDA35D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25">
    <w:nsid w:val="496FB21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6">
    <w:nsid w:val="680EA5D1"/>
    <w:multiLevelType w:val="hybridMultilevel"/>
    <w:lvl w:ilvl="0">
      <w:lvlJc w:val="left"/>
      <w:lvlText w:val="(%1)"/>
      <w:numFmt w:val="lowerRoman"/>
      <w:start w:val="1"/>
    </w:lvl>
  </w:abstractNum>
  <w:abstractNum w:abstractNumId="227">
    <w:nsid w:val="4A9554FE"/>
    <w:multiLevelType w:val="hybridMultilevel"/>
    <w:lvl w:ilvl="0">
      <w:lvlJc w:val="left"/>
      <w:lvlText w:val="(%1)"/>
      <w:numFmt w:val="lowerLetter"/>
      <w:start w:val="1"/>
    </w:lvl>
  </w:abstractNum>
  <w:abstractNum w:abstractNumId="228">
    <w:nsid w:val="392EDBE4"/>
    <w:multiLevelType w:val="hybridMultilevel"/>
    <w:lvl w:ilvl="0">
      <w:lvlJc w:val="left"/>
      <w:lvlText w:val="(%1)"/>
      <w:numFmt w:val="lowerLetter"/>
      <w:start w:val="1"/>
    </w:lvl>
  </w:abstractNum>
  <w:abstractNum w:abstractNumId="229">
    <w:nsid w:val="3D1A2DD9"/>
    <w:multiLevelType w:val="hybridMultilevel"/>
    <w:lvl w:ilvl="0">
      <w:lvlJc w:val="left"/>
      <w:lvlText w:val="(%1)"/>
      <w:numFmt w:val="lowerLetter"/>
      <w:start w:val="1"/>
    </w:lvl>
  </w:abstractNum>
  <w:abstractNum w:abstractNumId="230">
    <w:nsid w:val="7F618FCD"/>
    <w:multiLevelType w:val="hybridMultilevel"/>
    <w:lvl w:ilvl="0">
      <w:lvlJc w:val="left"/>
      <w:lvlText w:val="(%1)"/>
      <w:numFmt w:val="lowerLetter"/>
      <w:start w:val="1"/>
    </w:lvl>
  </w:abstractNum>
  <w:abstractNum w:abstractNumId="231">
    <w:nsid w:val="7843E45"/>
    <w:multiLevelType w:val="hybridMultilevel"/>
    <w:lvl w:ilvl="0">
      <w:lvlJc w:val="left"/>
      <w:lvlText w:val="(%1)"/>
      <w:numFmt w:val="lowerLetter"/>
      <w:start w:val="1"/>
    </w:lvl>
  </w:abstractNum>
  <w:abstractNum w:abstractNumId="232">
    <w:nsid w:val="9815DA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233">
    <w:nsid w:val="5204A191"/>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3"/>
    </w:lvl>
  </w:abstractNum>
  <w:abstractNum w:abstractNumId="234">
    <w:nsid w:val="4C73A9C6"/>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35">
    <w:nsid w:val="1C7E3C01"/>
    <w:multiLevelType w:val="hybridMultilevel"/>
    <w:lvl w:ilvl="0">
      <w:lvlJc w:val="left"/>
      <w:lvlText w:val="(%1)"/>
      <w:numFmt w:val="lowerLetter"/>
      <w:start w:val="5"/>
    </w:lvl>
    <w:lvl w:ilvl="1">
      <w:lvlJc w:val="left"/>
      <w:lvlText w:val="%2"/>
      <w:numFmt w:val="upperLetter"/>
      <w:start w:val="1"/>
    </w:lvl>
    <w:lvl w:ilvl="2">
      <w:lvlJc w:val="left"/>
      <w:lvlText w:val="%3"/>
      <w:numFmt w:val="decimal"/>
      <w:start w:val="1"/>
    </w:lvl>
  </w:abstractNum>
  <w:abstractNum w:abstractNumId="236">
    <w:nsid w:val="1C2201FF"/>
    <w:multiLevelType w:val="hybridMultilevel"/>
    <w:lvl w:ilvl="0">
      <w:lvlJc w:val="left"/>
      <w:lvlText w:val="(%1)"/>
      <w:numFmt w:val="lowerLetter"/>
      <w:start w:val="9"/>
    </w:lvl>
  </w:abstractNum>
  <w:abstractNum w:abstractNumId="237">
    <w:nsid w:val="50ABCEC9"/>
    <w:multiLevelType w:val="hybridMultilevel"/>
    <w:lvl w:ilvl="0">
      <w:lvlJc w:val="left"/>
      <w:lvlText w:val="(%1)"/>
      <w:numFmt w:val="lowerLetter"/>
      <w:start w:val="1"/>
    </w:lvl>
  </w:abstractNum>
  <w:abstractNum w:abstractNumId="238">
    <w:nsid w:val="7635AA2A"/>
    <w:multiLevelType w:val="hybridMultilevel"/>
    <w:lvl w:ilvl="0">
      <w:lvlJc w:val="left"/>
      <w:lvlText w:val="(%1)"/>
      <w:numFmt w:val="lowerLetter"/>
      <w:start w:val="1"/>
    </w:lvl>
  </w:abstractNum>
  <w:abstractNum w:abstractNumId="239">
    <w:nsid w:val="5E74C4D9"/>
    <w:multiLevelType w:val="hybridMultilevel"/>
    <w:lvl w:ilvl="0">
      <w:lvlJc w:val="left"/>
      <w:lvlText w:val="(%1)"/>
      <w:numFmt w:val="lowerLetter"/>
      <w:start w:val="6"/>
    </w:lvl>
  </w:abstractNum>
  <w:abstractNum w:abstractNumId="240">
    <w:nsid w:val="3B3EBE15"/>
    <w:multiLevelType w:val="hybridMultilevel"/>
    <w:lvl w:ilvl="0">
      <w:lvlJc w:val="left"/>
      <w:lvlText w:val="(%1)"/>
      <w:numFmt w:val="lowerLetter"/>
      <w:start w:val="1"/>
    </w:lvl>
  </w:abstractNum>
  <w:abstractNum w:abstractNumId="241">
    <w:nsid w:val="3822CB01"/>
    <w:multiLevelType w:val="hybridMultilevel"/>
    <w:lvl w:ilvl="0">
      <w:lvlJc w:val="left"/>
      <w:lvlText w:val="(%1)"/>
      <w:numFmt w:val="lowerLetter"/>
      <w:start w:val="1"/>
    </w:lvl>
  </w:abstractNum>
  <w:abstractNum w:abstractNumId="242">
    <w:nsid w:val="6CE00443"/>
    <w:multiLevelType w:val="hybridMultilevel"/>
    <w:lvl w:ilvl="0">
      <w:lvlJc w:val="left"/>
      <w:lvlText w:val="%1"/>
      <w:numFmt w:val="lowerLetter"/>
      <w:start w:val="1"/>
    </w:lvl>
    <w:lvl w:ilvl="1">
      <w:lvlJc w:val="left"/>
      <w:lvlText w:val="(%2)"/>
      <w:numFmt w:val="lowerLetter"/>
      <w:start w:val="4"/>
    </w:lvl>
  </w:abstractNum>
  <w:abstractNum w:abstractNumId="243">
    <w:nsid w:val="79F0D62F"/>
    <w:multiLevelType w:val="hybridMultilevel"/>
    <w:lvl w:ilvl="0">
      <w:lvlJc w:val="left"/>
      <w:lvlText w:val="(%1)"/>
      <w:numFmt w:val="lowerLetter"/>
      <w:start w:val="61"/>
    </w:lvl>
    <w:lvl w:ilvl="1">
      <w:lvlJc w:val="left"/>
      <w:lvlText w:val="(%2)"/>
      <w:numFmt w:val="lowerLetter"/>
      <w:start w:val="6"/>
    </w:lvl>
  </w:abstractNum>
  <w:abstractNum w:abstractNumId="244">
    <w:nsid w:val="7975E8EE"/>
    <w:multiLevelType w:val="hybridMultilevel"/>
    <w:lvl w:ilvl="0">
      <w:lvlJc w:val="left"/>
      <w:lvlText w:val="(%1)"/>
      <w:numFmt w:val="lowerLetter"/>
      <w:start w:val="1"/>
    </w:lvl>
    <w:lvl w:ilvl="1">
      <w:lvlJc w:val="left"/>
      <w:lvlText w:val="(%2)"/>
      <w:numFmt w:val="lowerLetter"/>
      <w:start w:val="9"/>
    </w:lvl>
  </w:abstractNum>
  <w:abstractNum w:abstractNumId="245">
    <w:nsid w:val="73154115"/>
    <w:multiLevelType w:val="hybridMultilevel"/>
    <w:lvl w:ilvl="0">
      <w:lvlJc w:val="left"/>
      <w:lvlText w:val="%1"/>
      <w:numFmt w:val="lowerLetter"/>
      <w:start w:val="1"/>
    </w:lvl>
    <w:lvl w:ilvl="1">
      <w:lvlJc w:val="left"/>
      <w:lvlText w:val="(%2)"/>
      <w:numFmt w:val="lowerLetter"/>
      <w:start w:val="35"/>
    </w:lvl>
  </w:abstractNum>
  <w:abstractNum w:abstractNumId="246">
    <w:nsid w:val="622D8102"/>
    <w:multiLevelType w:val="hybridMultilevel"/>
    <w:lvl w:ilvl="0">
      <w:lvlJc w:val="left"/>
      <w:lvlText w:val="(%1)"/>
      <w:numFmt w:val="lowerLetter"/>
      <w:start w:val="2"/>
    </w:lvl>
    <w:lvl w:ilvl="1">
      <w:lvlJc w:val="left"/>
      <w:lvlText w:val="%2"/>
      <w:numFmt w:val="lowerLetter"/>
      <w:start w:val="1"/>
    </w:lvl>
  </w:abstractNum>
  <w:abstractNum w:abstractNumId="247">
    <w:nsid w:val="2AB26587"/>
    <w:multiLevelType w:val="hybridMultilevel"/>
    <w:lvl w:ilvl="0">
      <w:lvlJc w:val="left"/>
      <w:lvlText w:val="(%1)"/>
      <w:numFmt w:val="lowerRoman"/>
      <w:start w:val="1"/>
    </w:lvl>
  </w:abstractNum>
  <w:abstractNum w:abstractNumId="248">
    <w:nsid w:val="44B3FA61"/>
    <w:multiLevelType w:val="hybridMultilevel"/>
    <w:lvl w:ilvl="0">
      <w:lvlJc w:val="left"/>
      <w:lvlText w:val="(%1)"/>
      <w:numFmt w:val="lowerRoman"/>
      <w:start w:val="10"/>
    </w:lvl>
  </w:abstractNum>
  <w:abstractNum w:abstractNumId="249">
    <w:nsid w:val="1C0CA67C"/>
    <w:multiLevelType w:val="hybridMultilevel"/>
    <w:lvl w:ilvl="0">
      <w:lvlJc w:val="left"/>
      <w:lvlText w:val="(%1)"/>
      <w:numFmt w:val="lowerRoman"/>
      <w:start w:val="21"/>
    </w:lvl>
  </w:abstractNum>
  <w:abstractNum w:abstractNumId="250">
    <w:nsid w:val="3D206613"/>
    <w:multiLevelType w:val="hybridMultilevel"/>
    <w:lvl w:ilvl="0">
      <w:lvlJc w:val="left"/>
      <w:lvlText w:val="(%1)"/>
      <w:numFmt w:val="lowerLetter"/>
      <w:start w:val="1"/>
    </w:lvl>
  </w:abstractNum>
  <w:abstractNum w:abstractNumId="251">
    <w:nsid w:val="7993B662"/>
    <w:multiLevelType w:val="hybridMultilevel"/>
    <w:lvl w:ilvl="0">
      <w:lvlJc w:val="left"/>
      <w:lvlText w:val="(%1)"/>
      <w:numFmt w:val="lowerLetter"/>
      <w:start w:val="2"/>
    </w:lvl>
    <w:lvl w:ilvl="1">
      <w:lvlJc w:val="left"/>
      <w:lvlText w:val="(%2)"/>
      <w:numFmt w:val="lowerRoman"/>
      <w:start w:val="1"/>
    </w:lvl>
  </w:abstractNum>
  <w:abstractNum w:abstractNumId="252">
    <w:nsid w:val="3BAB699E"/>
    <w:multiLevelType w:val="hybridMultilevel"/>
    <w:lvl w:ilvl="0">
      <w:lvlJc w:val="left"/>
      <w:lvlText w:val="(%1)"/>
      <w:numFmt w:val="lowerRoman"/>
      <w:start w:val="5"/>
    </w:lvl>
  </w:abstractNum>
  <w:abstractNum w:abstractNumId="253">
    <w:nsid w:val="71315369"/>
    <w:multiLevelType w:val="hybridMultilevel"/>
    <w:lvl w:ilvl="0">
      <w:lvlJc w:val="left"/>
      <w:lvlText w:val="(%1)"/>
      <w:numFmt w:val="lowerRoman"/>
      <w:start w:val="12"/>
    </w:lvl>
  </w:abstractNum>
  <w:abstractNum w:abstractNumId="254">
    <w:nsid w:val="7BCFBAFC"/>
    <w:multiLevelType w:val="hybridMultilevel"/>
    <w:lvl w:ilvl="0">
      <w:lvlJc w:val="left"/>
      <w:lvlText w:val="%1"/>
      <w:numFmt w:val="lowerRoman"/>
      <w:start w:val="1"/>
    </w:lvl>
    <w:lvl w:ilvl="1">
      <w:lvlJc w:val="left"/>
      <w:lvlText w:val="(%2)"/>
      <w:numFmt w:val="lowerRoman"/>
      <w:start w:val="20"/>
    </w:lvl>
  </w:abstractNum>
  <w:abstractNum w:abstractNumId="255">
    <w:nsid w:val="17859F72"/>
    <w:multiLevelType w:val="hybridMultilevel"/>
    <w:lvl w:ilvl="0">
      <w:lvlJc w:val="left"/>
      <w:lvlText w:val="(%1)"/>
      <w:numFmt w:val="lowerRoman"/>
      <w:start w:val="10"/>
    </w:lvl>
    <w:lvl w:ilvl="1">
      <w:lvlJc w:val="left"/>
      <w:lvlText w:val="(%2)"/>
      <w:numFmt w:val="lowerRoman"/>
      <w:start w:val="21"/>
    </w:lvl>
  </w:abstractNum>
  <w:abstractNum w:abstractNumId="256">
    <w:nsid w:val="3AA10581"/>
    <w:multiLevelType w:val="hybridMultilevel"/>
    <w:lvl w:ilvl="0">
      <w:lvlJc w:val="left"/>
      <w:lvlText w:val="(%1)"/>
      <w:numFmt w:val="lowerRoman"/>
      <w:start w:val="29"/>
    </w:lvl>
  </w:abstractNum>
  <w:abstractNum w:abstractNumId="257">
    <w:nsid w:val="63DE60CD"/>
    <w:multiLevelType w:val="hybridMultilevel"/>
    <w:lvl w:ilvl="0">
      <w:lvlJc w:val="left"/>
      <w:lvlText w:val="(%1)"/>
      <w:numFmt w:val="lowerRoman"/>
      <w:start w:val="37"/>
    </w:lvl>
    <w:lvl w:ilvl="1">
      <w:lvlJc w:val="left"/>
      <w:lvlText w:val="(%2)"/>
      <w:numFmt w:val="lowerLetter"/>
      <w:start w:val="3"/>
    </w:lvl>
  </w:abstractNum>
  <w:abstractNum w:abstractNumId="258">
    <w:nsid w:val="621AF471"/>
    <w:multiLevelType w:val="hybridMultilevel"/>
    <w:lvl w:ilvl="0">
      <w:lvlJc w:val="left"/>
      <w:lvlText w:val="(%1)"/>
      <w:numFmt w:val="lowerLetter"/>
      <w:start w:val="1"/>
    </w:lvl>
    <w:lvl w:ilvl="1">
      <w:lvlJc w:val="left"/>
      <w:lvlText w:val="(%2)"/>
      <w:numFmt w:val="lowerRoman"/>
      <w:start w:val="1"/>
    </w:lvl>
  </w:abstractNum>
  <w:abstractNum w:abstractNumId="259">
    <w:nsid w:val="73CFE165"/>
    <w:multiLevelType w:val="hybridMultilevel"/>
    <w:lvl w:ilvl="0">
      <w:lvlJc w:val="left"/>
      <w:lvlText w:val="(%1)"/>
      <w:numFmt w:val="lowerLetter"/>
      <w:start w:val="1"/>
    </w:lvl>
    <w:lvl w:ilvl="1">
      <w:lvlJc w:val="left"/>
      <w:lvlText w:val="(%2)"/>
      <w:numFmt w:val="lowerLetter"/>
      <w:start w:val="9"/>
    </w:lvl>
  </w:abstractNum>
  <w:abstractNum w:abstractNumId="260">
    <w:nsid w:val="20F88EA6"/>
    <w:multiLevelType w:val="hybridMultilevel"/>
    <w:lvl w:ilvl="0">
      <w:lvlJc w:val="left"/>
      <w:lvlText w:val="(%1)"/>
      <w:numFmt w:val="lowerRoman"/>
      <w:start w:val="2"/>
    </w:lvl>
    <w:lvl w:ilvl="1">
      <w:lvlJc w:val="left"/>
      <w:lvlText w:val="(%2)"/>
      <w:numFmt w:val="upperLetter"/>
      <w:start w:val="1"/>
    </w:lvl>
  </w:abstractNum>
  <w:abstractNum w:abstractNumId="261">
    <w:nsid w:val="617C84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262">
    <w:nsid w:val="7B541F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3">
    <w:nsid w:val="2A79EC49"/>
    <w:multiLevelType w:val="hybridMultilevel"/>
    <w:lvl w:ilvl="0">
      <w:lvlJc w:val="left"/>
      <w:lvlText w:val="(%1)"/>
      <w:numFmt w:val="upperLetter"/>
      <w:start w:val="2"/>
    </w:lvl>
  </w:abstractNum>
  <w:abstractNum w:abstractNumId="264">
    <w:nsid w:val="338125CF"/>
    <w:multiLevelType w:val="hybridMultilevel"/>
    <w:lvl w:ilvl="0">
      <w:lvlJc w:val="left"/>
      <w:lvlText w:val="(%1)"/>
      <w:numFmt w:val="lowerRoman"/>
      <w:start w:val="5"/>
    </w:lvl>
  </w:abstractNum>
  <w:abstractNum w:abstractNumId="265">
    <w:nsid w:val="47C7C971"/>
    <w:multiLevelType w:val="hybridMultilevel"/>
    <w:lvl w:ilvl="0">
      <w:lvlJc w:val="left"/>
      <w:lvlText w:val="(%1)"/>
      <w:numFmt w:val="lowerRoman"/>
      <w:start w:val="10"/>
    </w:lvl>
  </w:abstractNum>
  <w:abstractNum w:abstractNumId="266">
    <w:nsid w:val="46F8284B"/>
    <w:multiLevelType w:val="hybridMultilevel"/>
    <w:lvl w:ilvl="0">
      <w:lvlJc w:val="left"/>
      <w:lvlText w:val="(%1)"/>
      <w:numFmt w:val="lowerRoman"/>
      <w:start w:val="21"/>
    </w:lvl>
  </w:abstractNum>
  <w:abstractNum w:abstractNumId="267">
    <w:nsid w:val="4FA327CE"/>
    <w:multiLevelType w:val="hybridMultilevel"/>
    <w:lvl w:ilvl="0">
      <w:lvlJc w:val="left"/>
      <w:lvlText w:val="(%1)"/>
      <w:numFmt w:val="lowerLetter"/>
      <w:start w:val="1"/>
    </w:lvl>
    <w:lvl w:ilvl="1">
      <w:lvlJc w:val="left"/>
      <w:lvlText w:val="(%2)"/>
      <w:numFmt w:val="lowerRoman"/>
      <w:start w:val="1"/>
    </w:lvl>
  </w:abstractNum>
  <w:abstractNum w:abstractNumId="268">
    <w:nsid w:val="1873983A"/>
    <w:multiLevelType w:val="hybridMultilevel"/>
    <w:lvl w:ilvl="0">
      <w:lvlJc w:val="left"/>
      <w:lvlText w:val="(%1)"/>
      <w:numFmt w:val="lowerRoman"/>
      <w:start w:val="7"/>
    </w:lvl>
  </w:abstractNum>
  <w:abstractNum w:abstractNumId="269">
    <w:nsid w:val="3D2DD275"/>
    <w:multiLevelType w:val="hybridMultilevel"/>
    <w:lvl w:ilvl="0">
      <w:lvlJc w:val="left"/>
      <w:lvlText w:val="(%1)"/>
      <w:numFmt w:val="lowerRoman"/>
      <w:start w:val="18"/>
    </w:lvl>
  </w:abstractNum>
  <w:abstractNum w:abstractNumId="270">
    <w:nsid w:val="2E17ECA7"/>
    <w:multiLevelType w:val="hybridMultilevel"/>
    <w:lvl w:ilvl="0">
      <w:lvlJc w:val="left"/>
      <w:lvlText w:val="(%1)"/>
      <w:numFmt w:val="lowerLetter"/>
      <w:start w:val="2"/>
    </w:lvl>
  </w:abstractNum>
  <w:abstractNum w:abstractNumId="271">
    <w:nsid w:val="53B256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75509D7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73">
    <w:nsid w:val="1AF7F0E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4">
    <w:nsid w:val="4DA32C7E"/>
    <w:multiLevelType w:val="hybridMultilevel"/>
    <w:lvl w:ilvl="0">
      <w:lvlJc w:val="left"/>
      <w:lvlText w:val="(%1)"/>
      <w:numFmt w:val="lowerLetter"/>
      <w:start w:val="1"/>
    </w:lvl>
  </w:abstractNum>
  <w:abstractNum w:abstractNumId="275">
    <w:nsid w:val="6EC68664"/>
    <w:multiLevelType w:val="hybridMultilevel"/>
    <w:lvl w:ilvl="0">
      <w:lvlJc w:val="left"/>
      <w:lvlText w:val="(%1)"/>
      <w:numFmt w:val="lowerLetter"/>
      <w:start w:val="1"/>
    </w:lvl>
  </w:abstractNum>
  <w:abstractNum w:abstractNumId="276">
    <w:nsid w:val="E0D31FF"/>
    <w:multiLevelType w:val="hybridMultilevel"/>
    <w:lvl w:ilvl="0">
      <w:lvlJc w:val="left"/>
      <w:lvlText w:val="%1"/>
      <w:numFmt w:val="lowerLetter"/>
      <w:start w:val="1"/>
    </w:lvl>
    <w:lvl w:ilvl="1">
      <w:lvlJc w:val="left"/>
      <w:lvlText w:val="(%2)"/>
      <w:numFmt w:val="lowerLetter"/>
      <w:start w:val="4"/>
    </w:lvl>
  </w:abstractNum>
  <w:abstractNum w:abstractNumId="277">
    <w:nsid w:val="2FD0AD81"/>
    <w:multiLevelType w:val="hybridMultilevel"/>
    <w:lvl w:ilvl="0">
      <w:lvlJc w:val="left"/>
      <w:lvlText w:val="(%1)"/>
      <w:numFmt w:val="lowerLetter"/>
      <w:start w:val="9"/>
    </w:lvl>
    <w:lvl w:ilvl="1">
      <w:lvlJc w:val="left"/>
      <w:lvlText w:val="%2"/>
      <w:numFmt w:val="lowerLetter"/>
      <w:start w:val="1"/>
    </w:lvl>
  </w:abstractNum>
  <w:abstractNum w:abstractNumId="278">
    <w:nsid w:val="1978EBEB"/>
    <w:multiLevelType w:val="hybridMultilevel"/>
    <w:lvl w:ilvl="0">
      <w:lvlJc w:val="left"/>
      <w:lvlText w:val="(%1)"/>
      <w:numFmt w:val="lowerLetter"/>
      <w:start w:val="9"/>
    </w:lvl>
  </w:abstractNum>
  <w:abstractNum w:abstractNumId="279">
    <w:nsid w:val="52C12C61"/>
    <w:multiLevelType w:val="hybridMultilevel"/>
    <w:lvl w:ilvl="0">
      <w:lvlJc w:val="left"/>
      <w:lvlText w:val="(%1)"/>
      <w:numFmt w:val="lowerLetter"/>
      <w:start w:val="15"/>
    </w:lvl>
  </w:abstractNum>
  <w:abstractNum w:abstractNumId="280">
    <w:nsid w:val="4BDD53FD"/>
    <w:multiLevelType w:val="hybridMultilevel"/>
    <w:lvl w:ilvl="0">
      <w:lvlJc w:val="left"/>
      <w:lvlText w:val="(%1)"/>
      <w:numFmt w:val="lowerLetter"/>
      <w:start w:val="1"/>
    </w:lvl>
  </w:abstractNum>
  <w:abstractNum w:abstractNumId="281">
    <w:nsid w:val="569951FE"/>
    <w:multiLevelType w:val="hybridMultilevel"/>
    <w:lvl w:ilvl="0">
      <w:lvlJc w:val="left"/>
      <w:lvlText w:val="(%1)"/>
      <w:numFmt w:val="lowerLetter"/>
      <w:start w:val="2"/>
    </w:lvl>
  </w:abstractNum>
  <w:abstractNum w:abstractNumId="282">
    <w:nsid w:val="4C54E2C3"/>
    <w:multiLevelType w:val="hybridMultilevel"/>
    <w:lvl w:ilvl="0">
      <w:lvlJc w:val="left"/>
      <w:lvlText w:val="(%1)"/>
      <w:numFmt w:val="lowerLetter"/>
      <w:start w:val="2"/>
    </w:lvl>
  </w:abstractNum>
  <w:abstractNum w:abstractNumId="283">
    <w:nsid w:val="788BD9B"/>
    <w:multiLevelType w:val="hybridMultilevel"/>
    <w:lvl w:ilvl="0">
      <w:lvlJc w:val="left"/>
      <w:lvlText w:val="(%1)"/>
      <w:numFmt w:val="lowerLetter"/>
      <w:start w:val="1"/>
    </w:lvl>
  </w:abstractNum>
  <w:abstractNum w:abstractNumId="284">
    <w:nsid w:val="47CAA567"/>
    <w:multiLevelType w:val="hybridMultilevel"/>
    <w:lvl w:ilvl="0">
      <w:lvlJc w:val="left"/>
      <w:lvlText w:val="(%1)"/>
      <w:numFmt w:val="lowerLetter"/>
      <w:start w:val="26"/>
    </w:lvl>
    <w:lvl w:ilvl="1">
      <w:lvlJc w:val="left"/>
      <w:lvlText w:val="(%2)"/>
      <w:numFmt w:val="lowerLetter"/>
      <w:start w:val="2"/>
    </w:lvl>
    <w:lvl w:ilvl="2">
      <w:lvlJc w:val="left"/>
      <w:lvlText w:val="(%3)"/>
      <w:numFmt w:val="lowerRoman"/>
      <w:start w:val="1"/>
    </w:lvl>
  </w:abstractNum>
  <w:abstractNum w:abstractNumId="285">
    <w:nsid w:val="48249DBF"/>
    <w:multiLevelType w:val="hybridMultilevel"/>
    <w:lvl w:ilvl="0">
      <w:lvlJc w:val="left"/>
      <w:lvlText w:val="%1"/>
      <w:numFmt w:val="lowerLetter"/>
      <w:start w:val="1"/>
    </w:lvl>
    <w:lvl w:ilvl="1">
      <w:lvlJc w:val="left"/>
      <w:lvlText w:val="(%2)"/>
      <w:numFmt w:val="lowerLetter"/>
      <w:start w:val="5"/>
    </w:lvl>
  </w:abstractNum>
  <w:abstractNum w:abstractNumId="286">
    <w:nsid w:val="1F0E5D0D"/>
    <w:multiLevelType w:val="hybridMultilevel"/>
    <w:lvl w:ilvl="0">
      <w:lvlJc w:val="left"/>
      <w:lvlText w:val="(%1)"/>
      <w:numFmt w:val="lowerLetter"/>
      <w:start w:val="8"/>
    </w:lvl>
    <w:lvl w:ilvl="1">
      <w:lvlJc w:val="left"/>
      <w:lvlText w:val="%2"/>
      <w:numFmt w:val="lowerLetter"/>
      <w:start w:val="1"/>
    </w:lvl>
  </w:abstractNum>
  <w:abstractNum w:abstractNumId="287">
    <w:nsid w:val="26BAAE9"/>
    <w:multiLevelType w:val="hybridMultilevel"/>
    <w:lvl w:ilvl="0">
      <w:lvlJc w:val="left"/>
      <w:lvlText w:val="(%1)"/>
      <w:numFmt w:val="lowerLetter"/>
      <w:start w:val="1"/>
    </w:lvl>
  </w:abstractNum>
  <w:abstractNum w:abstractNumId="288">
    <w:nsid w:val="2C02FE8C"/>
    <w:multiLevelType w:val="hybridMultilevel"/>
    <w:lvl w:ilvl="0">
      <w:lvlJc w:val="left"/>
      <w:lvlText w:val="(%1)"/>
      <w:numFmt w:val="lowerRoman"/>
      <w:start w:val="1"/>
    </w:lvl>
  </w:abstractNum>
  <w:abstractNum w:abstractNumId="289">
    <w:nsid w:val="129517E"/>
    <w:multiLevelType w:val="hybridMultilevel"/>
    <w:lvl w:ilvl="0">
      <w:lvlJc w:val="left"/>
      <w:lvlText w:val="%1"/>
      <w:numFmt w:val="lowerLetter"/>
      <w:start w:val="1"/>
    </w:lvl>
    <w:lvl w:ilvl="1">
      <w:lvlJc w:val="left"/>
      <w:lvlText w:val="(%2)"/>
      <w:numFmt w:val="lowerRoman"/>
      <w:start w:val="2"/>
    </w:lvl>
  </w:abstractNum>
  <w:abstractNum w:abstractNumId="290">
    <w:nsid w:val="763B8C4E"/>
    <w:multiLevelType w:val="hybridMultilevel"/>
    <w:lvl w:ilvl="0">
      <w:lvlJc w:val="left"/>
      <w:lvlText w:val="(%1)"/>
      <w:numFmt w:val="lowerLetter"/>
      <w:start w:val="2"/>
    </w:lvl>
    <w:lvl w:ilvl="1">
      <w:lvlJc w:val="left"/>
      <w:lvlText w:val="%2"/>
      <w:numFmt w:val="lowerRoman"/>
      <w:start w:val="1"/>
    </w:lvl>
  </w:abstractNum>
  <w:abstractNum w:abstractNumId="291">
    <w:nsid w:val="4CFB8D32"/>
    <w:multiLevelType w:val="hybridMultilevel"/>
    <w:lvl w:ilvl="0">
      <w:lvlJc w:val="left"/>
      <w:lvlText w:val="(%1)"/>
      <w:numFmt w:val="lowerLetter"/>
      <w:start w:val="4"/>
    </w:lvl>
  </w:abstractNum>
  <w:abstractNum w:abstractNumId="292">
    <w:nsid w:val="62A5D5BD"/>
    <w:multiLevelType w:val="hybridMultilevel"/>
    <w:lvl w:ilvl="0">
      <w:lvlJc w:val="left"/>
      <w:lvlText w:val="%1"/>
      <w:numFmt w:val="lowerLetter"/>
      <w:start w:val="1"/>
    </w:lvl>
    <w:lvl w:ilvl="1">
      <w:lvlJc w:val="left"/>
      <w:lvlText w:val="(%2)"/>
      <w:numFmt w:val="lowerLetter"/>
      <w:start w:val="1"/>
    </w:lvl>
  </w:abstractNum>
  <w:abstractNum w:abstractNumId="293">
    <w:nsid w:val="718FABF9"/>
    <w:multiLevelType w:val="hybridMultilevel"/>
    <w:lvl w:ilvl="0">
      <w:lvlJc w:val="left"/>
      <w:lvlText w:val="(%1)"/>
      <w:numFmt w:val="lowerLetter"/>
      <w:start w:val="35"/>
    </w:lvl>
    <w:lvl w:ilvl="1">
      <w:lvlJc w:val="left"/>
      <w:lvlText w:val="%2"/>
      <w:numFmt w:val="lowerLetter"/>
      <w:start w:val="1"/>
    </w:lvl>
  </w:abstractNum>
  <w:abstractNum w:abstractNumId="294">
    <w:nsid w:val="7775797C"/>
    <w:multiLevelType w:val="hybridMultilevel"/>
    <w:lvl w:ilvl="0">
      <w:lvlJc w:val="left"/>
      <w:lvlText w:val="%1"/>
      <w:numFmt w:val="lowerRoman"/>
      <w:start w:val="1"/>
    </w:lvl>
    <w:lvl w:ilvl="1">
      <w:lvlJc w:val="left"/>
      <w:lvlText w:val="(%2)"/>
      <w:numFmt w:val="lowerLetter"/>
      <w:start w:val="2"/>
    </w:lvl>
  </w:abstractNum>
  <w:abstractNum w:abstractNumId="295">
    <w:nsid w:val="1626FB8C"/>
    <w:multiLevelType w:val="hybridMultilevel"/>
    <w:lvl w:ilvl="0">
      <w:lvlJc w:val="left"/>
      <w:lvlText w:val="(%1)"/>
      <w:numFmt w:val="lowerRoman"/>
      <w:start w:val="9"/>
    </w:lvl>
    <w:lvl w:ilvl="1">
      <w:lvlJc w:val="left"/>
      <w:lvlText w:val="%2"/>
      <w:numFmt w:val="lowerLetter"/>
      <w:start w:val="1"/>
    </w:lvl>
  </w:abstractNum>
  <w:abstractNum w:abstractNumId="296">
    <w:nsid w:val="3957756A"/>
    <w:multiLevelType w:val="hybridMultilevel"/>
    <w:lvl w:ilvl="0">
      <w:lvlJc w:val="left"/>
      <w:lvlText w:val="(%1)"/>
      <w:numFmt w:val="lowerLetter"/>
      <w:start w:val="3"/>
    </w:lvl>
  </w:abstractNum>
  <w:abstractNum w:abstractNumId="297">
    <w:nsid w:val="3E6DA1C7"/>
    <w:multiLevelType w:val="hybridMultilevel"/>
    <w:lvl w:ilvl="0">
      <w:lvlJc w:val="left"/>
      <w:lvlText w:val="(%1)"/>
      <w:numFmt w:val="lowerLetter"/>
      <w:start w:val="5"/>
    </w:lvl>
  </w:abstractNum>
  <w:abstractNum w:abstractNumId="298">
    <w:nsid w:val="65CA235B"/>
    <w:multiLevelType w:val="hybridMultilevel"/>
    <w:lvl w:ilvl="0">
      <w:lvlJc w:val="left"/>
      <w:lvlText w:val="(%1)"/>
      <w:numFmt w:val="lowerLetter"/>
      <w:start w:val="1"/>
    </w:lvl>
  </w:abstractNum>
  <w:abstractNum w:abstractNumId="299">
    <w:nsid w:val="51CB0DA4"/>
    <w:multiLevelType w:val="hybridMultilevel"/>
    <w:lvl w:ilvl="0">
      <w:lvlJc w:val="left"/>
      <w:lvlText w:val="(%1)"/>
      <w:numFmt w:val="lowerLetter"/>
      <w:start w:val="61"/>
    </w:lvl>
    <w:lvl w:ilvl="1">
      <w:lvlJc w:val="left"/>
      <w:lvlText w:val="(%2)"/>
      <w:numFmt w:val="lowerLetter"/>
      <w:start w:val="2"/>
    </w:lvl>
  </w:abstractNum>
  <w:abstractNum w:abstractNumId="300">
    <w:nsid w:val="7B9B743C"/>
    <w:multiLevelType w:val="hybridMultilevel"/>
    <w:lvl w:ilvl="0">
      <w:lvlJc w:val="left"/>
      <w:lvlText w:val="(%1)"/>
      <w:numFmt w:val="lowerLetter"/>
      <w:start w:val="3"/>
    </w:lvl>
  </w:abstractNum>
  <w:abstractNum w:abstractNumId="301">
    <w:nsid w:val="13E21002"/>
    <w:multiLevelType w:val="hybridMultilevel"/>
    <w:lvl w:ilvl="0">
      <w:lvlJc w:val="left"/>
      <w:lvlText w:val="(%1)"/>
      <w:numFmt w:val="lowerLetter"/>
      <w:start w:val="1"/>
    </w:lvl>
  </w:abstractNum>
  <w:abstractNum w:abstractNumId="302">
    <w:nsid w:val="257D63F4"/>
    <w:multiLevelType w:val="hybridMultilevel"/>
    <w:lvl w:ilvl="0">
      <w:lvlJc w:val="left"/>
      <w:lvlText w:val="%1"/>
      <w:numFmt w:val="lowerRoman"/>
      <w:start w:val="1"/>
    </w:lvl>
    <w:lvl w:ilvl="1">
      <w:lvlJc w:val="left"/>
      <w:lvlText w:val="(%2)"/>
      <w:numFmt w:val="upperLetter"/>
      <w:start w:val="1"/>
    </w:lvl>
  </w:abstractNum>
  <w:abstractNum w:abstractNumId="303">
    <w:nsid w:val="70EC11B2"/>
    <w:multiLevelType w:val="hybridMultilevel"/>
    <w:lvl w:ilvl="0">
      <w:lvlJc w:val="left"/>
      <w:lvlText w:val="(%1)"/>
      <w:numFmt w:val="lowerRoman"/>
      <w:start w:val="1"/>
    </w:lvl>
    <w:lvl w:ilvl="1">
      <w:lvlJc w:val="left"/>
      <w:lvlText w:val="(%2)"/>
      <w:numFmt w:val="upperLetter"/>
      <w:start w:val="1"/>
    </w:lvl>
  </w:abstractNum>
  <w:abstractNum w:abstractNumId="304">
    <w:nsid w:val="2EDA00ED"/>
    <w:multiLevelType w:val="hybridMultilevel"/>
    <w:lvl w:ilvl="0">
      <w:lvlJc w:val="left"/>
      <w:lvlText w:val="(%1)"/>
      <w:numFmt w:val="upperLetter"/>
      <w:start w:val="4"/>
    </w:lvl>
  </w:abstractNum>
  <w:abstractNum w:abstractNumId="305">
    <w:nsid w:val="73209072"/>
    <w:multiLevelType w:val="hybridMultilevel"/>
    <w:lvl w:ilvl="0">
      <w:lvlJc w:val="left"/>
      <w:lvlText w:val="(%1)"/>
      <w:numFmt w:val="lowerRoman"/>
      <w:start w:val="2"/>
    </w:lvl>
  </w:abstractNum>
  <w:abstractNum w:abstractNumId="306">
    <w:nsid w:val="5FB29816"/>
    <w:multiLevelType w:val="hybridMultilevel"/>
    <w:lvl w:ilvl="0">
      <w:lvlJc w:val="left"/>
      <w:lvlText w:val="%1"/>
      <w:numFmt w:val="lowerLetter"/>
      <w:start w:val="1"/>
    </w:lvl>
    <w:lvl w:ilvl="1">
      <w:lvlJc w:val="left"/>
      <w:lvlText w:val="(%2)"/>
      <w:numFmt w:val="lowerRoman"/>
      <w:start w:val="3"/>
    </w:lvl>
  </w:abstractNum>
  <w:abstractNum w:abstractNumId="307">
    <w:nsid w:val="3CE732EC"/>
    <w:multiLevelType w:val="hybridMultilevel"/>
    <w:lvl w:ilvl="0">
      <w:lvlJc w:val="left"/>
      <w:lvlText w:val="(%1)"/>
      <w:numFmt w:val="lowerLetter"/>
      <w:start w:val="3"/>
    </w:lvl>
    <w:lvl w:ilvl="1">
      <w:lvlJc w:val="left"/>
      <w:lvlText w:val="%2"/>
      <w:numFmt w:val="lowerRoman"/>
      <w:start w:val="1"/>
    </w:lvl>
  </w:abstractNum>
  <w:abstractNum w:abstractNumId="308">
    <w:nsid w:val="22F13DF3"/>
    <w:multiLevelType w:val="hybridMultilevel"/>
    <w:lvl w:ilvl="0">
      <w:lvlJc w:val="left"/>
      <w:lvlText w:val="%1"/>
      <w:numFmt w:val="lowerLetter"/>
      <w:start w:val="1"/>
    </w:lvl>
    <w:lvl w:ilvl="1">
      <w:lvlJc w:val="left"/>
      <w:lvlText w:val="(%2)"/>
      <w:numFmt w:val="lowerLetter"/>
      <w:start w:val="9"/>
    </w:lvl>
  </w:abstractNum>
  <w:abstractNum w:abstractNumId="309">
    <w:nsid w:val="792B8401"/>
    <w:multiLevelType w:val="hybridMultilevel"/>
    <w:lvl w:ilvl="0">
      <w:lvlJc w:val="left"/>
      <w:lvlText w:val="(%1)"/>
      <w:numFmt w:val="lowerLetter"/>
      <w:start w:val="4"/>
    </w:lvl>
    <w:lvl w:ilvl="1">
      <w:lvlJc w:val="left"/>
      <w:lvlText w:val="%2"/>
      <w:numFmt w:val="lowerLetter"/>
      <w:start w:val="1"/>
    </w:lvl>
  </w:abstractNum>
  <w:abstractNum w:abstractNumId="310">
    <w:nsid w:val="FA85F4D"/>
    <w:multiLevelType w:val="hybridMultilevel"/>
    <w:lvl w:ilvl="0">
      <w:lvlJc w:val="left"/>
      <w:lvlText w:val="(%1)"/>
      <w:numFmt w:val="lowerLetter"/>
      <w:start w:val="7"/>
    </w:lvl>
    <w:lvl w:ilvl="1">
      <w:lvlJc w:val="left"/>
      <w:lvlText w:val="(%2)"/>
      <w:numFmt w:val="lowerRoman"/>
      <w:start w:val="1"/>
    </w:lvl>
  </w:abstractNum>
  <w:abstractNum w:abstractNumId="311">
    <w:nsid w:val="6ECE91F0"/>
    <w:multiLevelType w:val="hybridMultilevel"/>
    <w:lvl w:ilvl="0">
      <w:lvlJc w:val="left"/>
      <w:lvlText w:val="(%1)"/>
      <w:numFmt w:val="lowerRoman"/>
      <w:start w:val="4"/>
    </w:lvl>
  </w:abstractNum>
  <w:abstractNum w:abstractNumId="312">
    <w:nsid w:val="4FC4D600"/>
    <w:multiLevelType w:val="hybridMultilevel"/>
    <w:lvl w:ilvl="0">
      <w:lvlJc w:val="left"/>
      <w:lvlText w:val="%1"/>
      <w:numFmt w:val="lowerLetter"/>
      <w:start w:val="1"/>
    </w:lvl>
    <w:lvl w:ilvl="1">
      <w:lvlJc w:val="left"/>
      <w:lvlText w:val="(%2)"/>
      <w:numFmt w:val="lowerLetter"/>
      <w:start w:val="1"/>
    </w:lvl>
  </w:abstractNum>
  <w:abstractNum w:abstractNumId="313">
    <w:nsid w:val="5BFD4210"/>
    <w:multiLevelType w:val="hybridMultilevel"/>
    <w:lvl w:ilvl="0">
      <w:lvlJc w:val="left"/>
      <w:lvlText w:val="(%1)"/>
      <w:numFmt w:val="lowerLetter"/>
      <w:start w:val="61"/>
    </w:lvl>
    <w:lvl w:ilvl="1">
      <w:lvlJc w:val="left"/>
      <w:lvlText w:val="%2"/>
      <w:numFmt w:val="lowerLetter"/>
      <w:start w:val="1"/>
    </w:lvl>
  </w:abstractNum>
  <w:abstractNum w:abstractNumId="314">
    <w:nsid w:val="76574F8B"/>
    <w:multiLevelType w:val="hybridMultilevel"/>
    <w:lvl w:ilvl="0">
      <w:lvlJc w:val="left"/>
      <w:lvlText w:val="(%1)"/>
      <w:numFmt w:val="lowerLetter"/>
      <w:start w:val="2"/>
    </w:lvl>
  </w:abstractNum>
  <w:abstractNum w:abstractNumId="315">
    <w:nsid w:val="178F7B67"/>
    <w:multiLevelType w:val="hybridMultilevel"/>
    <w:lvl w:ilvl="0">
      <w:lvlJc w:val="left"/>
      <w:lvlText w:val="(%1)"/>
      <w:numFmt w:val="lowerLetter"/>
      <w:start w:val="5"/>
    </w:lvl>
  </w:abstractNum>
  <w:abstractNum w:abstractNumId="316">
    <w:nsid w:val="2421DFCF"/>
    <w:multiLevelType w:val="hybridMultilevel"/>
    <w:lvl w:ilvl="0">
      <w:lvlJc w:val="left"/>
      <w:lvlText w:val="(%1)"/>
      <w:numFmt w:val="lowerRoman"/>
      <w:start w:val="1"/>
    </w:lvl>
  </w:abstractNum>
  <w:abstractNum w:abstractNumId="317">
    <w:nsid w:val="1565AC99"/>
    <w:multiLevelType w:val="hybridMultilevel"/>
    <w:lvl w:ilvl="0">
      <w:lvlJc w:val="left"/>
      <w:lvlText w:val="(%1)"/>
      <w:numFmt w:val="lowerRoman"/>
      <w:start w:val="3"/>
    </w:lvl>
  </w:abstractNum>
  <w:abstractNum w:abstractNumId="318">
    <w:nsid w:val="19FB2650"/>
    <w:multiLevelType w:val="hybridMultilevel"/>
    <w:lvl w:ilvl="0">
      <w:lvlJc w:val="left"/>
      <w:lvlText w:val="(%1)"/>
      <w:numFmt w:val="lowerLetter"/>
      <w:start w:val="1"/>
    </w:lvl>
  </w:abstractNum>
  <w:abstractNum w:abstractNumId="319">
    <w:nsid w:val="5024DE5B"/>
    <w:multiLevelType w:val="hybridMultilevel"/>
    <w:lvl w:ilvl="0">
      <w:lvlJc w:val="left"/>
      <w:lvlText w:val="(%1)"/>
      <w:numFmt w:val="lowerLetter"/>
      <w:start w:val="4"/>
    </w:lvl>
  </w:abstractNum>
  <w:abstractNum w:abstractNumId="320">
    <w:nsid w:val="168EFE17"/>
    <w:multiLevelType w:val="hybridMultilevel"/>
    <w:lvl w:ilvl="0">
      <w:lvlJc w:val="left"/>
      <w:lvlText w:val="(%1)"/>
      <w:numFmt w:val="lowerLetter"/>
      <w:start w:val="1"/>
    </w:lvl>
    <w:lvl w:ilvl="1">
      <w:lvlJc w:val="left"/>
      <w:lvlText w:val="(%2)"/>
      <w:numFmt w:val="lowerRoman"/>
      <w:start w:val="1"/>
    </w:lvl>
  </w:abstractNum>
  <w:abstractNum w:abstractNumId="321">
    <w:nsid w:val="1036B29F"/>
    <w:multiLevelType w:val="hybridMultilevel"/>
    <w:lvl w:ilvl="0">
      <w:lvlJc w:val="left"/>
      <w:lvlText w:val="(%1)"/>
      <w:numFmt w:val="upperLetter"/>
      <w:start w:val="1"/>
    </w:lvl>
  </w:abstractNum>
  <w:abstractNum w:abstractNumId="322">
    <w:nsid w:val="1D206B8E"/>
    <w:multiLevelType w:val="hybridMultilevel"/>
    <w:lvl w:ilvl="0">
      <w:lvlJc w:val="left"/>
      <w:lvlText w:val="(%1)"/>
      <w:numFmt w:val="lowerLetter"/>
      <w:start w:val="1"/>
    </w:lvl>
    <w:lvl w:ilvl="1">
      <w:lvlJc w:val="left"/>
      <w:lvlText w:val="(%2)"/>
      <w:numFmt w:val="lowerRoman"/>
      <w:start w:val="1"/>
    </w:lvl>
  </w:abstractNum>
  <w:abstractNum w:abstractNumId="323">
    <w:nsid w:val="7934D3D4"/>
    <w:multiLevelType w:val="hybridMultilevel"/>
    <w:lvl w:ilvl="0">
      <w:lvlJc w:val="left"/>
      <w:lvlText w:val="(%1)"/>
      <w:numFmt w:val="lowerLetter"/>
      <w:start w:val="2"/>
    </w:lvl>
  </w:abstractNum>
  <w:abstractNum w:abstractNumId="324">
    <w:nsid w:val="1C65E98"/>
    <w:multiLevelType w:val="hybridMultilevel"/>
    <w:lvl w:ilvl="0">
      <w:lvlJc w:val="left"/>
      <w:lvlText w:val="(%1)"/>
      <w:numFmt w:val="lowerLetter"/>
      <w:start w:val="1"/>
    </w:lvl>
  </w:abstractNum>
  <w:abstractNum w:abstractNumId="325">
    <w:nsid w:val="1495E50A"/>
    <w:multiLevelType w:val="hybridMultilevel"/>
    <w:lvl w:ilvl="0">
      <w:lvlJc w:val="left"/>
      <w:lvlText w:val="(%1)"/>
      <w:numFmt w:val="lowerLetter"/>
      <w:start w:val="1"/>
    </w:lvl>
  </w:abstractNum>
  <w:abstractNum w:abstractNumId="326">
    <w:nsid w:val="F5BCF61"/>
    <w:multiLevelType w:val="hybridMultilevel"/>
    <w:lvl w:ilvl="0">
      <w:lvlJc w:val="left"/>
      <w:lvlText w:val="(%1)"/>
      <w:numFmt w:val="lowerLetter"/>
      <w:start w:val="1"/>
    </w:lvl>
  </w:abstractNum>
  <w:abstractNum w:abstractNumId="327">
    <w:nsid w:val="3B1DD403"/>
    <w:multiLevelType w:val="hybridMultilevel"/>
    <w:lvl w:ilvl="0">
      <w:lvlJc w:val="left"/>
      <w:lvlText w:val="(%1)"/>
      <w:numFmt w:val="lowerLetter"/>
      <w:start w:val="1"/>
    </w:lvl>
  </w:abstractNum>
  <w:abstractNum w:abstractNumId="328">
    <w:nsid w:val="530386D1"/>
    <w:multiLevelType w:val="hybridMultilevel"/>
    <w:lvl w:ilvl="0">
      <w:lvlJc w:val="left"/>
      <w:lvlText w:val="1"/>
      <w:numFmt w:val="bullet"/>
      <w:start w:val="1"/>
    </w:lvl>
  </w:abstractNum>
  <w:abstractNum w:abstractNumId="329">
    <w:nsid w:val="7525F2BC"/>
    <w:multiLevelType w:val="hybridMultilevel"/>
    <w:lvl w:ilvl="0">
      <w:lvlJc w:val="left"/>
      <w:lvlText w:val="2"/>
      <w:numFmt w:val="bullet"/>
      <w:start w:val="1"/>
    </w:lvl>
  </w:abstractNum>
  <w:abstractNum w:abstractNumId="330">
    <w:nsid w:val="CE8E1A7"/>
    <w:multiLevelType w:val="hybridMultilevel"/>
    <w:lvl w:ilvl="0">
      <w:lvlJc w:val="left"/>
      <w:lvlText w:val="3"/>
      <w:numFmt w:val="bullet"/>
      <w:start w:val="1"/>
    </w:lvl>
  </w:abstractNum>
  <w:abstractNum w:abstractNumId="331">
    <w:nsid w:val="4E9EFB0D"/>
    <w:multiLevelType w:val="hybridMultilevel"/>
    <w:lvl w:ilvl="0">
      <w:lvlJc w:val="left"/>
      <w:lvlText w:val="4"/>
      <w:numFmt w:val="bullet"/>
      <w:start w:val="1"/>
    </w:lvl>
  </w:abstractNum>
  <w:abstractNum w:abstractNumId="332">
    <w:nsid w:val="90802BE"/>
    <w:multiLevelType w:val="hybridMultilevel"/>
    <w:lvl w:ilvl="0">
      <w:lvlJc w:val="left"/>
      <w:lvlText w:val="5"/>
      <w:numFmt w:val="bullet"/>
      <w:start w:val="1"/>
    </w:lvl>
  </w:abstractNum>
  <w:abstractNum w:abstractNumId="333">
    <w:nsid w:val="3266459B"/>
    <w:multiLevelType w:val="hybridMultilevel"/>
    <w:lvl w:ilvl="0">
      <w:lvlJc w:val="left"/>
      <w:lvlText w:val="%1."/>
      <w:numFmt w:val="decimal"/>
      <w:start w:val="1"/>
    </w:lvl>
    <w:lvl w:ilvl="1">
      <w:lvlJc w:val="left"/>
      <w:lvlText w:val="%2)"/>
      <w:numFmt w:val="lowerLetter"/>
      <w:start w:val="1"/>
    </w:lvl>
  </w:abstractNum>
  <w:abstractNum w:abstractNumId="334">
    <w:nsid w:val="3F8B0CBF"/>
    <w:multiLevelType w:val="hybridMultilevel"/>
    <w:lvl w:ilvl="0">
      <w:lvlJc w:val="left"/>
      <w:lvlText w:val="%1)"/>
      <w:numFmt w:val="lowerLetter"/>
      <w:start w:val="1"/>
    </w:lvl>
  </w:abstractNum>
  <w:abstractNum w:abstractNumId="335">
    <w:nsid w:val="37E203AB"/>
    <w:multiLevelType w:val="hybridMultilevel"/>
    <w:lvl w:ilvl="0">
      <w:lvlJc w:val="left"/>
      <w:lvlText w:val="%1."/>
      <w:numFmt w:val="decimal"/>
      <w:start w:val="1"/>
    </w:lvl>
    <w:lvl w:ilvl="1">
      <w:lvlJc w:val="left"/>
      <w:lvlText w:val="%2)"/>
      <w:numFmt w:val="lowerLetter"/>
      <w:start w:val="1"/>
    </w:lvl>
  </w:abstractNum>
  <w:abstractNum w:abstractNumId="336">
    <w:nsid w:val="2586D60E"/>
    <w:multiLevelType w:val="hybridMultilevel"/>
    <w:lvl w:ilvl="0">
      <w:lvlJc w:val="left"/>
      <w:lvlText w:val="%1)"/>
      <w:numFmt w:val="lowerLetter"/>
      <w:start w:val="1"/>
    </w:lvl>
  </w:abstractNum>
  <w:abstractNum w:abstractNumId="337">
    <w:nsid w:val="1F3DA4D5"/>
    <w:multiLevelType w:val="hybridMultilevel"/>
    <w:lvl w:ilvl="0">
      <w:lvlJc w:val="left"/>
      <w:lvlText w:val="(%1)"/>
      <w:numFmt w:val="decimal"/>
      <w:start w:val="1"/>
    </w:lvl>
  </w:abstractNum>
  <w:abstractNum w:abstractNumId="338">
    <w:nsid w:val="74C936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192" Type="http://schemas.openxmlformats.org/officeDocument/2006/relationships/hyperlink" Target="https://www.sec.gov/Archives/edgar/data/0001060955/000114036121006002/nc10020781x8_ex2-1.htm" TargetMode="External"/><Relationship Id="rId193" Type="http://schemas.openxmlformats.org/officeDocument/2006/relationships/hyperlink" Target="https://www.sec.gov/Archives/edgar/data/0001060955/000114036121023058/nt10026444x8_ex99-1.htm" TargetMode="External"/><Relationship Id="rId194" Type="http://schemas.openxmlformats.org/officeDocument/2006/relationships/hyperlink" Target="https://www.sec.gov/Archives/edgar/data/0001060955/000114036121023058/nt10026444x8_ex99-2.htm" TargetMode="External"/><Relationship Id="rId195"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2023-02-24T22:45:26Z</dcterms:created>
  <dcterms:modified xsi:type="dcterms:W3CDTF">2023-02-24T22:45:26Z</dcterms:modified>
</cp:coreProperties>
</file>