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22"/>
          <w:szCs w:val="22"/>
          <w:b w:val="1"/>
          <w:bCs w:val="1"/>
          <w:color w:val="auto"/>
        </w:rPr>
        <w:t>UNITED STATES</w:t>
      </w:r>
    </w:p>
    <w:p>
      <w:pPr>
        <w:spacing w:after="0" w:line="4"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SECURITIES AND EXCHANGE COMMISSION</w:t>
      </w:r>
    </w:p>
    <w:p>
      <w:pPr>
        <w:jc w:val="center"/>
        <w:ind w:right="-79"/>
        <w:spacing w:after="0"/>
        <w:rPr>
          <w:sz w:val="20"/>
          <w:szCs w:val="20"/>
          <w:color w:val="auto"/>
        </w:rPr>
      </w:pPr>
      <w:r>
        <w:rPr>
          <w:rFonts w:ascii="Arial" w:cs="Arial" w:eastAsia="Arial" w:hAnsi="Arial"/>
          <w:sz w:val="22"/>
          <w:szCs w:val="22"/>
          <w:b w:val="1"/>
          <w:bCs w:val="1"/>
          <w:color w:val="auto"/>
        </w:rPr>
        <w:t>Washington, D.C. 20549</w:t>
      </w:r>
    </w:p>
    <w:p>
      <w:pPr>
        <w:spacing w:after="0" w:line="254" w:lineRule="exact"/>
        <w:rPr>
          <w:sz w:val="24"/>
          <w:szCs w:val="24"/>
          <w:color w:val="auto"/>
        </w:rPr>
      </w:pPr>
    </w:p>
    <w:p>
      <w:pPr>
        <w:jc w:val="center"/>
        <w:ind w:right="-79"/>
        <w:spacing w:after="0"/>
        <w:rPr>
          <w:sz w:val="20"/>
          <w:szCs w:val="20"/>
          <w:color w:val="auto"/>
        </w:rPr>
      </w:pPr>
      <w:r>
        <w:rPr>
          <w:rFonts w:ascii="Arial" w:cs="Arial" w:eastAsia="Arial" w:hAnsi="Arial"/>
          <w:sz w:val="25"/>
          <w:szCs w:val="25"/>
          <w:b w:val="1"/>
          <w:bCs w:val="1"/>
          <w:color w:val="auto"/>
        </w:rPr>
        <w:t>SCHEDULE 13G</w:t>
      </w:r>
    </w:p>
    <w:p>
      <w:pPr>
        <w:spacing w:after="0" w:line="30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28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(Amendment No. _ )</w:t>
      </w:r>
      <w:r>
        <w:rPr>
          <w:rFonts w:ascii="Arial" w:cs="Arial" w:eastAsia="Arial" w:hAnsi="Arial"/>
          <w:sz w:val="36"/>
          <w:szCs w:val="36"/>
          <w:b w:val="1"/>
          <w:bCs w:val="1"/>
          <w:color w:val="auto"/>
          <w:vertAlign w:val="superscript"/>
        </w:rPr>
        <w:t>*</w:t>
      </w:r>
    </w:p>
    <w:p>
      <w:pPr>
        <w:spacing w:after="0" w:line="200" w:lineRule="exact"/>
        <w:rPr>
          <w:sz w:val="24"/>
          <w:szCs w:val="24"/>
          <w:color w:val="auto"/>
        </w:rPr>
      </w:pPr>
    </w:p>
    <w:p>
      <w:pPr>
        <w:spacing w:after="0" w:line="382" w:lineRule="exact"/>
        <w:rPr>
          <w:sz w:val="24"/>
          <w:szCs w:val="24"/>
          <w:color w:val="auto"/>
        </w:rPr>
      </w:pPr>
    </w:p>
    <w:p>
      <w:pPr>
        <w:jc w:val="center"/>
        <w:ind w:right="-19"/>
        <w:spacing w:after="0"/>
        <w:rPr>
          <w:sz w:val="20"/>
          <w:szCs w:val="20"/>
          <w:color w:val="auto"/>
        </w:rPr>
      </w:pPr>
      <w:r>
        <w:rPr>
          <w:rFonts w:ascii="Arial" w:cs="Arial" w:eastAsia="Arial" w:hAnsi="Arial"/>
          <w:sz w:val="22"/>
          <w:szCs w:val="22"/>
          <w:color w:val="auto"/>
        </w:rPr>
        <w:t>ICON PLC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4980"/>
        <w:spacing w:after="0"/>
        <w:rPr>
          <w:sz w:val="20"/>
          <w:szCs w:val="20"/>
          <w:color w:val="auto"/>
        </w:rPr>
      </w:pPr>
      <w:r>
        <w:rPr>
          <w:rFonts w:ascii="Arial" w:cs="Arial" w:eastAsia="Arial" w:hAnsi="Arial"/>
          <w:sz w:val="22"/>
          <w:szCs w:val="22"/>
          <w:color w:val="auto"/>
        </w:rPr>
        <w:t>(Name of Issuer)</w:t>
      </w:r>
    </w:p>
    <w:p>
      <w:pPr>
        <w:spacing w:after="0" w:line="206" w:lineRule="exact"/>
        <w:rPr>
          <w:sz w:val="24"/>
          <w:szCs w:val="24"/>
          <w:color w:val="auto"/>
        </w:rPr>
      </w:pPr>
    </w:p>
    <w:p>
      <w:pPr>
        <w:ind w:left="5020"/>
        <w:spacing w:after="0"/>
        <w:rPr>
          <w:sz w:val="20"/>
          <w:szCs w:val="20"/>
          <w:color w:val="auto"/>
        </w:rPr>
      </w:pPr>
      <w:r>
        <w:rPr>
          <w:rFonts w:ascii="Arial" w:cs="Arial" w:eastAsia="Arial" w:hAnsi="Arial"/>
          <w:sz w:val="22"/>
          <w:szCs w:val="22"/>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(Title of Class of Securities)</w:t>
      </w:r>
    </w:p>
    <w:p>
      <w:pPr>
        <w:spacing w:after="0" w:line="206" w:lineRule="exact"/>
        <w:rPr>
          <w:sz w:val="24"/>
          <w:szCs w:val="24"/>
          <w:color w:val="auto"/>
        </w:rPr>
      </w:pPr>
    </w:p>
    <w:p>
      <w:pPr>
        <w:jc w:val="center"/>
        <w:ind w:right="-19"/>
        <w:spacing w:after="0"/>
        <w:rPr>
          <w:sz w:val="20"/>
          <w:szCs w:val="20"/>
          <w:color w:val="auto"/>
        </w:rPr>
      </w:pPr>
      <w:r>
        <w:rPr>
          <w:rFonts w:ascii="Arial" w:cs="Arial" w:eastAsia="Arial" w:hAnsi="Arial"/>
          <w:sz w:val="22"/>
          <w:szCs w:val="22"/>
          <w:color w:val="auto"/>
        </w:rPr>
        <w:t>G4705A100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4960"/>
        <w:spacing w:after="0"/>
        <w:rPr>
          <w:sz w:val="20"/>
          <w:szCs w:val="20"/>
          <w:color w:val="auto"/>
        </w:rPr>
      </w:pPr>
      <w:r>
        <w:rPr>
          <w:rFonts w:ascii="Arial" w:cs="Arial" w:eastAsia="Arial" w:hAnsi="Arial"/>
          <w:sz w:val="22"/>
          <w:szCs w:val="22"/>
          <w:color w:val="auto"/>
        </w:rPr>
        <w:t>(CUSIP Number)</w:t>
      </w:r>
    </w:p>
    <w:p>
      <w:pPr>
        <w:spacing w:after="0" w:line="206" w:lineRule="exact"/>
        <w:rPr>
          <w:sz w:val="24"/>
          <w:szCs w:val="24"/>
          <w:color w:val="auto"/>
        </w:rPr>
      </w:pPr>
    </w:p>
    <w:p>
      <w:pPr>
        <w:ind w:left="4840"/>
        <w:spacing w:after="0"/>
        <w:rPr>
          <w:sz w:val="20"/>
          <w:szCs w:val="20"/>
          <w:color w:val="auto"/>
        </w:rPr>
      </w:pPr>
      <w:r>
        <w:rPr>
          <w:rFonts w:ascii="Arial" w:cs="Arial" w:eastAsia="Arial" w:hAnsi="Arial"/>
          <w:sz w:val="22"/>
          <w:szCs w:val="22"/>
          <w:color w:val="auto"/>
        </w:rPr>
        <w:t>December 31, 2016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3280"/>
        <w:spacing w:after="0"/>
        <w:rPr>
          <w:sz w:val="20"/>
          <w:szCs w:val="20"/>
          <w:color w:val="auto"/>
        </w:rPr>
      </w:pPr>
      <w:r>
        <w:rPr>
          <w:rFonts w:ascii="Arial" w:cs="Arial" w:eastAsia="Arial" w:hAnsi="Arial"/>
          <w:sz w:val="22"/>
          <w:szCs w:val="22"/>
          <w:color w:val="auto"/>
        </w:rPr>
        <w:t>(Date of Event Which Requires Filing of this Statement)</w:t>
      </w:r>
    </w:p>
    <w:p>
      <w:pPr>
        <w:spacing w:after="0" w:line="206" w:lineRule="exact"/>
        <w:rPr>
          <w:sz w:val="24"/>
          <w:szCs w:val="24"/>
          <w:color w:val="auto"/>
        </w:rPr>
      </w:pPr>
    </w:p>
    <w:p>
      <w:pPr>
        <w:spacing w:after="0"/>
        <w:rPr>
          <w:sz w:val="20"/>
          <w:szCs w:val="20"/>
          <w:color w:val="auto"/>
        </w:rPr>
      </w:pPr>
      <w:r>
        <w:rPr>
          <w:rFonts w:ascii="Arial" w:cs="Arial" w:eastAsia="Arial" w:hAnsi="Arial"/>
          <w:sz w:val="22"/>
          <w:szCs w:val="22"/>
          <w:color w:val="auto"/>
        </w:rPr>
        <w:t>Check the appropriate box to designate the rule pursuant to which this Schedule is filed:</w:t>
      </w:r>
    </w:p>
    <w:p>
      <w:pPr>
        <w:spacing w:after="0" w:line="287" w:lineRule="exact"/>
        <w:rPr>
          <w:sz w:val="24"/>
          <w:szCs w:val="24"/>
          <w:color w:val="auto"/>
        </w:rPr>
      </w:pPr>
    </w:p>
    <w:p>
      <w:pPr>
        <w:jc w:val="both"/>
        <w:ind w:left="60" w:right="9660" w:firstLine="2"/>
        <w:spacing w:after="0" w:line="385" w:lineRule="auto"/>
        <w:tabs>
          <w:tab w:leader="none" w:pos="479" w:val="left"/>
        </w:tabs>
        <w:numPr>
          <w:ilvl w:val="1"/>
          <w:numId w:val="1"/>
        </w:numPr>
        <w:rPr>
          <w:rFonts w:ascii="Arial" w:cs="Arial" w:eastAsia="Arial" w:hAnsi="Arial"/>
          <w:sz w:val="19"/>
          <w:szCs w:val="19"/>
          <w:color w:val="auto"/>
        </w:rPr>
      </w:pPr>
      <w:r>
        <w:rPr>
          <w:rFonts w:ascii="Arial" w:cs="Arial" w:eastAsia="Arial" w:hAnsi="Arial"/>
          <w:sz w:val="19"/>
          <w:szCs w:val="19"/>
          <w:color w:val="auto"/>
        </w:rPr>
        <w:t>Rule 13d-1(b) [ ] Rule 13d-1(c)</w:t>
      </w:r>
    </w:p>
    <w:p>
      <w:pPr>
        <w:spacing w:after="0" w:line="1" w:lineRule="exact"/>
        <w:rPr>
          <w:rFonts w:ascii="Arial" w:cs="Arial" w:eastAsia="Arial" w:hAnsi="Arial"/>
          <w:sz w:val="19"/>
          <w:szCs w:val="19"/>
          <w:color w:val="auto"/>
        </w:rPr>
      </w:pPr>
    </w:p>
    <w:p>
      <w:pPr>
        <w:ind w:left="60"/>
        <w:spacing w:after="0"/>
        <w:rPr>
          <w:rFonts w:ascii="Arial" w:cs="Arial" w:eastAsia="Arial" w:hAnsi="Arial"/>
          <w:sz w:val="19"/>
          <w:szCs w:val="19"/>
          <w:color w:val="auto"/>
        </w:rPr>
      </w:pPr>
      <w:r>
        <w:rPr>
          <w:rFonts w:ascii="Arial" w:cs="Arial" w:eastAsia="Arial" w:hAnsi="Arial"/>
          <w:sz w:val="22"/>
          <w:szCs w:val="22"/>
          <w:color w:val="auto"/>
        </w:rPr>
        <w:t>[ ]  Rule 13d-1(d)</w:t>
      </w:r>
    </w:p>
    <w:p>
      <w:pPr>
        <w:spacing w:after="0" w:line="267" w:lineRule="exact"/>
        <w:rPr>
          <w:rFonts w:ascii="Arial" w:cs="Arial" w:eastAsia="Arial" w:hAnsi="Arial"/>
          <w:sz w:val="19"/>
          <w:szCs w:val="19"/>
          <w:color w:val="auto"/>
        </w:rPr>
      </w:pPr>
    </w:p>
    <w:p>
      <w:pPr>
        <w:spacing w:after="0" w:line="210" w:lineRule="auto"/>
        <w:rPr>
          <w:rFonts w:ascii="Arial" w:cs="Arial" w:eastAsia="Arial" w:hAnsi="Arial"/>
          <w:sz w:val="19"/>
          <w:szCs w:val="19"/>
          <w:color w:val="auto"/>
        </w:rPr>
      </w:pPr>
      <w:r>
        <w:rPr>
          <w:rFonts w:ascii="Arial" w:cs="Arial" w:eastAsia="Arial" w:hAnsi="Arial"/>
          <w:sz w:val="36"/>
          <w:szCs w:val="36"/>
          <w:color w:val="auto"/>
          <w:vertAlign w:val="superscript"/>
        </w:rPr>
        <w:t>*</w:t>
      </w:r>
      <w:r>
        <w:rPr>
          <w:rFonts w:ascii="Arial" w:cs="Arial" w:eastAsia="Arial" w:hAnsi="Arial"/>
          <w:sz w:val="22"/>
          <w:szCs w:val="22"/>
          <w:color w:val="auto"/>
        </w:rPr>
        <w:t xml:space="preserve">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87" w:lineRule="exact"/>
        <w:rPr>
          <w:sz w:val="24"/>
          <w:szCs w:val="24"/>
          <w:color w:val="auto"/>
        </w:rPr>
      </w:pPr>
    </w:p>
    <w:p>
      <w:pPr>
        <w:jc w:val="both"/>
        <w:ind w:right="100"/>
        <w:spacing w:after="0"/>
        <w:rPr>
          <w:sz w:val="20"/>
          <w:szCs w:val="20"/>
          <w:color w:val="auto"/>
        </w:rPr>
      </w:pPr>
      <w:r>
        <w:rPr>
          <w:rFonts w:ascii="Arial" w:cs="Arial" w:eastAsia="Arial" w:hAnsi="Arial"/>
          <w:sz w:val="22"/>
          <w:szCs w:val="22"/>
          <w:color w:val="auto"/>
        </w:rPr>
        <w:t>The information required in the remainder of this cover page shall not be deemed to be "filed" for the purpose of Section 18 of the Securities Exchange Act of 1934 (the "Act") or otherwise subject to the liabilities of that section of the Act, but shall be subject to all other provisions of the Act (however, see the Notes.)</w:t>
      </w:r>
    </w:p>
    <w:p>
      <w:pPr>
        <w:sectPr>
          <w:pgSz w:w="11900" w:h="16838" w:orient="portrait"/>
          <w:cols w:equalWidth="0" w:num="1">
            <w:col w:w="11360"/>
          </w:cols>
          <w:pgMar w:left="240" w:top="220" w:right="299" w:bottom="1440" w:gutter="0" w:footer="0" w:header="0"/>
        </w:sectPr>
      </w:pPr>
    </w:p>
    <w:bookmarkStart w:id="1" w:name="page2"/>
    <w:bookmarkEnd w:id="1"/>
    <w:p>
      <w:pPr>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G4705A100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170180</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38" w:lineRule="exact"/>
        <w:rPr>
          <w:sz w:val="20"/>
          <w:szCs w:val="20"/>
          <w:color w:val="auto"/>
        </w:rPr>
      </w:pPr>
    </w:p>
    <w:tbl>
      <w:tblPr>
        <w:tblLayout w:type="fixed"/>
        <w:tblInd w:w="80" w:type="dxa"/>
        <w:tblCellMar>
          <w:top w:w="0" w:type="dxa"/>
          <w:left w:w="0" w:type="dxa"/>
          <w:bottom w:w="0" w:type="dxa"/>
          <w:right w:w="0" w:type="dxa"/>
        </w:tblCellMar>
      </w:tblPr>
      <w:tr>
        <w:trPr>
          <w:trHeight w:val="253"/>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73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275"/>
        </w:trPr>
        <w:tc>
          <w:tcPr>
            <w:tcW w:w="920" w:type="dxa"/>
            <w:vAlign w:val="bottom"/>
          </w:tcPr>
          <w:p>
            <w:pPr>
              <w:spacing w:after="0"/>
              <w:rPr>
                <w:sz w:val="23"/>
                <w:szCs w:val="23"/>
                <w:color w:val="auto"/>
              </w:rPr>
            </w:pPr>
          </w:p>
        </w:tc>
        <w:tc>
          <w:tcPr>
            <w:tcW w:w="7360" w:type="dxa"/>
            <w:vAlign w:val="bottom"/>
          </w:tcPr>
          <w:p>
            <w:pPr>
              <w:ind w:left="780"/>
              <w:spacing w:after="0"/>
              <w:rPr>
                <w:sz w:val="20"/>
                <w:szCs w:val="20"/>
                <w:color w:val="auto"/>
              </w:rPr>
            </w:pPr>
            <w:r>
              <w:rPr>
                <w:rFonts w:ascii="Arial" w:cs="Arial" w:eastAsia="Arial" w:hAnsi="Arial"/>
                <w:sz w:val="22"/>
                <w:szCs w:val="22"/>
                <w:color w:val="auto"/>
                <w:w w:val="93"/>
              </w:rPr>
              <w:t>I.R.S. IDENTIFICATION NO. OF ABOVE PERSONS (ENTITIES ONLY)</w:t>
            </w:r>
          </w:p>
        </w:tc>
      </w:tr>
      <w:tr>
        <w:trPr>
          <w:trHeight w:val="455"/>
        </w:trPr>
        <w:tc>
          <w:tcPr>
            <w:tcW w:w="920" w:type="dxa"/>
            <w:vAlign w:val="bottom"/>
          </w:tcPr>
          <w:p>
            <w:pPr>
              <w:spacing w:after="0"/>
              <w:rPr>
                <w:sz w:val="24"/>
                <w:szCs w:val="24"/>
                <w:color w:val="auto"/>
              </w:rPr>
            </w:pPr>
          </w:p>
        </w:tc>
        <w:tc>
          <w:tcPr>
            <w:tcW w:w="7360" w:type="dxa"/>
            <w:vAlign w:val="bottom"/>
          </w:tcPr>
          <w:p>
            <w:pPr>
              <w:ind w:left="780"/>
              <w:spacing w:after="0"/>
              <w:rPr>
                <w:sz w:val="20"/>
                <w:szCs w:val="20"/>
                <w:color w:val="auto"/>
              </w:rPr>
            </w:pPr>
            <w:r>
              <w:rPr>
                <w:rFonts w:ascii="Arial" w:cs="Arial" w:eastAsia="Arial" w:hAnsi="Arial"/>
                <w:sz w:val="22"/>
                <w:szCs w:val="22"/>
                <w:color w:val="auto"/>
              </w:rPr>
              <w:t>AllianceBernstein L.P.</w:t>
            </w:r>
          </w:p>
        </w:tc>
      </w:tr>
      <w:tr>
        <w:trPr>
          <w:trHeight w:val="275"/>
        </w:trPr>
        <w:tc>
          <w:tcPr>
            <w:tcW w:w="920" w:type="dxa"/>
            <w:vAlign w:val="bottom"/>
          </w:tcPr>
          <w:p>
            <w:pPr>
              <w:spacing w:after="0"/>
              <w:rPr>
                <w:sz w:val="23"/>
                <w:szCs w:val="23"/>
                <w:color w:val="auto"/>
              </w:rPr>
            </w:pPr>
          </w:p>
        </w:tc>
        <w:tc>
          <w:tcPr>
            <w:tcW w:w="7360" w:type="dxa"/>
            <w:vAlign w:val="bottom"/>
          </w:tcPr>
          <w:p>
            <w:pPr>
              <w:ind w:left="780"/>
              <w:spacing w:after="0"/>
              <w:rPr>
                <w:sz w:val="20"/>
                <w:szCs w:val="20"/>
                <w:color w:val="auto"/>
              </w:rPr>
            </w:pPr>
            <w:r>
              <w:rPr>
                <w:rFonts w:ascii="Arial" w:cs="Arial" w:eastAsia="Arial" w:hAnsi="Arial"/>
                <w:sz w:val="22"/>
                <w:szCs w:val="22"/>
                <w:color w:val="auto"/>
              </w:rPr>
              <w:t>13-4064930</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7360" w:type="dxa"/>
            <w:vAlign w:val="bottom"/>
          </w:tcPr>
          <w:p>
            <w:pPr>
              <w:ind w:left="780"/>
              <w:spacing w:after="0"/>
              <w:rPr>
                <w:sz w:val="20"/>
                <w:szCs w:val="20"/>
                <w:color w:val="auto"/>
              </w:rPr>
            </w:pPr>
            <w:r>
              <w:rPr>
                <w:rFonts w:ascii="Arial" w:cs="Arial" w:eastAsia="Arial" w:hAnsi="Arial"/>
                <w:sz w:val="22"/>
                <w:szCs w:val="22"/>
                <w:color w:val="auto"/>
              </w:rPr>
              <w:t>CHECK THE APPROPRIATE BOX IF A MEMBER OF A GROUP*</w:t>
            </w:r>
          </w:p>
        </w:tc>
      </w:tr>
      <w:tr>
        <w:trPr>
          <w:trHeight w:val="455"/>
        </w:trPr>
        <w:tc>
          <w:tcPr>
            <w:tcW w:w="920" w:type="dxa"/>
            <w:vAlign w:val="bottom"/>
          </w:tcPr>
          <w:p>
            <w:pPr>
              <w:spacing w:after="0"/>
              <w:rPr>
                <w:sz w:val="24"/>
                <w:szCs w:val="24"/>
                <w:color w:val="auto"/>
              </w:rPr>
            </w:pPr>
          </w:p>
        </w:tc>
        <w:tc>
          <w:tcPr>
            <w:tcW w:w="73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7360" w:type="dxa"/>
            <w:vAlign w:val="bottom"/>
          </w:tcPr>
          <w:p>
            <w:pPr>
              <w:ind w:left="780"/>
              <w:spacing w:after="0"/>
              <w:rPr>
                <w:sz w:val="20"/>
                <w:szCs w:val="20"/>
                <w:color w:val="auto"/>
              </w:rPr>
            </w:pPr>
            <w:r>
              <w:rPr>
                <w:rFonts w:ascii="Arial" w:cs="Arial" w:eastAsia="Arial" w:hAnsi="Arial"/>
                <w:sz w:val="22"/>
                <w:szCs w:val="22"/>
                <w:color w:val="auto"/>
              </w:rPr>
              <w:t>(b) [X]</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73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73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7360" w:type="dxa"/>
            <w:vAlign w:val="bottom"/>
          </w:tcPr>
          <w:p>
            <w:pPr>
              <w:ind w:left="780"/>
              <w:spacing w:after="0"/>
              <w:rPr>
                <w:sz w:val="20"/>
                <w:szCs w:val="20"/>
                <w:color w:val="auto"/>
              </w:rPr>
            </w:pPr>
            <w:r>
              <w:rPr>
                <w:rFonts w:ascii="Arial" w:cs="Arial" w:eastAsia="Arial" w:hAnsi="Arial"/>
                <w:sz w:val="22"/>
                <w:szCs w:val="22"/>
                <w:color w:val="auto"/>
              </w:rPr>
              <w:t>Delaware</w:t>
            </w:r>
          </w:p>
        </w:tc>
      </w:tr>
    </w:tbl>
    <w:p>
      <w:pPr>
        <w:spacing w:after="0" w:line="185" w:lineRule="exact"/>
        <w:rPr>
          <w:sz w:val="20"/>
          <w:szCs w:val="20"/>
          <w:color w:val="auto"/>
        </w:rPr>
      </w:pPr>
    </w:p>
    <w:tbl>
      <w:tblPr>
        <w:tblLayout w:type="fixed"/>
        <w:tblInd w:w="80" w:type="dxa"/>
        <w:tblCellMar>
          <w:top w:w="0" w:type="dxa"/>
          <w:left w:w="0" w:type="dxa"/>
          <w:bottom w:w="0" w:type="dxa"/>
          <w:right w:w="0" w:type="dxa"/>
        </w:tblCellMar>
      </w:tblPr>
      <w:tr>
        <w:trPr>
          <w:trHeight w:val="275"/>
        </w:trPr>
        <w:tc>
          <w:tcPr>
            <w:tcW w:w="1620" w:type="dxa"/>
            <w:vAlign w:val="bottom"/>
            <w:vMerge w:val="restart"/>
          </w:tcPr>
          <w:p>
            <w:pPr>
              <w:spacing w:after="0"/>
              <w:rPr>
                <w:sz w:val="20"/>
                <w:szCs w:val="20"/>
                <w:color w:val="auto"/>
              </w:rPr>
            </w:pPr>
            <w:r>
              <w:rPr>
                <w:rFonts w:ascii="Arial" w:cs="Arial" w:eastAsia="Arial" w:hAnsi="Arial"/>
                <w:sz w:val="22"/>
                <w:szCs w:val="22"/>
                <w:color w:val="auto"/>
              </w:rPr>
              <w:t>NUMBER OF</w:t>
            </w:r>
          </w:p>
        </w:tc>
        <w:tc>
          <w:tcPr>
            <w:tcW w:w="420" w:type="dxa"/>
            <w:vAlign w:val="bottom"/>
          </w:tcPr>
          <w:p>
            <w:pPr>
              <w:spacing w:after="0"/>
              <w:rPr>
                <w:sz w:val="23"/>
                <w:szCs w:val="23"/>
                <w:color w:val="auto"/>
              </w:rPr>
            </w:pPr>
          </w:p>
        </w:tc>
        <w:tc>
          <w:tcPr>
            <w:tcW w:w="5320" w:type="dxa"/>
            <w:vAlign w:val="bottom"/>
          </w:tcPr>
          <w:p>
            <w:pPr>
              <w:ind w:left="220"/>
              <w:spacing w:after="0"/>
              <w:rPr>
                <w:sz w:val="20"/>
                <w:szCs w:val="20"/>
                <w:color w:val="auto"/>
              </w:rPr>
            </w:pPr>
            <w:r>
              <w:rPr>
                <w:rFonts w:ascii="Arial" w:cs="Arial" w:eastAsia="Arial" w:hAnsi="Arial"/>
                <w:sz w:val="22"/>
                <w:szCs w:val="22"/>
                <w:color w:val="auto"/>
              </w:rPr>
              <w:t>5. SOLE VOTING POWER</w:t>
            </w:r>
          </w:p>
        </w:tc>
        <w:tc>
          <w:tcPr>
            <w:tcW w:w="2720" w:type="dxa"/>
            <w:vAlign w:val="bottom"/>
          </w:tcPr>
          <w:p>
            <w:pPr>
              <w:ind w:left="1840"/>
              <w:spacing w:after="0"/>
              <w:rPr>
                <w:sz w:val="20"/>
                <w:szCs w:val="20"/>
                <w:color w:val="auto"/>
              </w:rPr>
            </w:pPr>
            <w:r>
              <w:rPr>
                <w:rFonts w:ascii="Arial" w:cs="Arial" w:eastAsia="Arial" w:hAnsi="Arial"/>
                <w:sz w:val="22"/>
                <w:szCs w:val="22"/>
                <w:color w:val="auto"/>
                <w:w w:val="87"/>
              </w:rPr>
              <w:t>2,377,286</w:t>
            </w:r>
          </w:p>
        </w:tc>
        <w:tc>
          <w:tcPr>
            <w:tcW w:w="0" w:type="dxa"/>
            <w:vAlign w:val="bottom"/>
          </w:tcPr>
          <w:p>
            <w:pPr>
              <w:spacing w:after="0"/>
              <w:rPr>
                <w:sz w:val="1"/>
                <w:szCs w:val="1"/>
                <w:color w:val="auto"/>
              </w:rPr>
            </w:pPr>
          </w:p>
        </w:tc>
      </w:tr>
      <w:tr>
        <w:trPr>
          <w:trHeight w:val="50"/>
        </w:trPr>
        <w:tc>
          <w:tcPr>
            <w:tcW w:w="1620" w:type="dxa"/>
            <w:vAlign w:val="bottom"/>
            <w:vMerge w:val="continue"/>
          </w:tcPr>
          <w:p>
            <w:pPr>
              <w:spacing w:after="0"/>
              <w:rPr>
                <w:sz w:val="4"/>
                <w:szCs w:val="4"/>
                <w:color w:val="auto"/>
              </w:rPr>
            </w:pPr>
          </w:p>
        </w:tc>
        <w:tc>
          <w:tcPr>
            <w:tcW w:w="420" w:type="dxa"/>
            <w:vAlign w:val="bottom"/>
          </w:tcPr>
          <w:p>
            <w:pPr>
              <w:spacing w:after="0"/>
              <w:rPr>
                <w:sz w:val="4"/>
                <w:szCs w:val="4"/>
                <w:color w:val="auto"/>
              </w:rPr>
            </w:pPr>
          </w:p>
        </w:tc>
        <w:tc>
          <w:tcPr>
            <w:tcW w:w="5320" w:type="dxa"/>
            <w:vAlign w:val="bottom"/>
          </w:tcPr>
          <w:p>
            <w:pPr>
              <w:spacing w:after="0"/>
              <w:rPr>
                <w:sz w:val="4"/>
                <w:szCs w:val="4"/>
                <w:color w:val="auto"/>
              </w:rPr>
            </w:pPr>
          </w:p>
        </w:tc>
        <w:tc>
          <w:tcPr>
            <w:tcW w:w="27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620" w:type="dxa"/>
            <w:vAlign w:val="bottom"/>
          </w:tcPr>
          <w:p>
            <w:pPr>
              <w:spacing w:after="0" w:line="243" w:lineRule="exact"/>
              <w:rPr>
                <w:sz w:val="20"/>
                <w:szCs w:val="20"/>
                <w:color w:val="auto"/>
              </w:rPr>
            </w:pPr>
            <w:r>
              <w:rPr>
                <w:rFonts w:ascii="Arial" w:cs="Arial" w:eastAsia="Arial" w:hAnsi="Arial"/>
                <w:sz w:val="22"/>
                <w:szCs w:val="22"/>
                <w:color w:val="auto"/>
              </w:rPr>
              <w:t>SHARES</w:t>
            </w:r>
          </w:p>
        </w:tc>
        <w:tc>
          <w:tcPr>
            <w:tcW w:w="420" w:type="dxa"/>
            <w:vAlign w:val="bottom"/>
          </w:tcPr>
          <w:p>
            <w:pPr>
              <w:spacing w:after="0"/>
              <w:rPr>
                <w:sz w:val="21"/>
                <w:szCs w:val="21"/>
                <w:color w:val="auto"/>
              </w:rPr>
            </w:pPr>
          </w:p>
        </w:tc>
        <w:tc>
          <w:tcPr>
            <w:tcW w:w="5320" w:type="dxa"/>
            <w:vAlign w:val="bottom"/>
            <w:vMerge w:val="restart"/>
          </w:tcPr>
          <w:p>
            <w:pPr>
              <w:ind w:left="220"/>
              <w:spacing w:after="0"/>
              <w:rPr>
                <w:sz w:val="20"/>
                <w:szCs w:val="20"/>
                <w:color w:val="auto"/>
              </w:rPr>
            </w:pPr>
            <w:r>
              <w:rPr>
                <w:rFonts w:ascii="Arial" w:cs="Arial" w:eastAsia="Arial" w:hAnsi="Arial"/>
                <w:sz w:val="22"/>
                <w:szCs w:val="22"/>
                <w:color w:val="auto"/>
              </w:rPr>
              <w:t>6. SHARED VOTING POWER</w:t>
            </w:r>
          </w:p>
        </w:tc>
        <w:tc>
          <w:tcPr>
            <w:tcW w:w="2720" w:type="dxa"/>
            <w:vAlign w:val="bottom"/>
            <w:vMerge w:val="restart"/>
          </w:tcPr>
          <w:p>
            <w:pPr>
              <w:ind w:left="18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66"/>
        </w:trPr>
        <w:tc>
          <w:tcPr>
            <w:tcW w:w="1620" w:type="dxa"/>
            <w:vAlign w:val="bottom"/>
            <w:vMerge w:val="restart"/>
          </w:tcPr>
          <w:p>
            <w:pPr>
              <w:spacing w:after="0" w:line="243" w:lineRule="exact"/>
              <w:rPr>
                <w:sz w:val="20"/>
                <w:szCs w:val="20"/>
                <w:color w:val="auto"/>
              </w:rPr>
            </w:pPr>
            <w:r>
              <w:rPr>
                <w:rFonts w:ascii="Arial" w:cs="Arial" w:eastAsia="Arial" w:hAnsi="Arial"/>
                <w:sz w:val="22"/>
                <w:szCs w:val="22"/>
                <w:color w:val="auto"/>
              </w:rPr>
              <w:t>BENEFICIALLY</w:t>
            </w:r>
          </w:p>
        </w:tc>
        <w:tc>
          <w:tcPr>
            <w:tcW w:w="420" w:type="dxa"/>
            <w:vAlign w:val="bottom"/>
          </w:tcPr>
          <w:p>
            <w:pPr>
              <w:spacing w:after="0"/>
              <w:rPr>
                <w:sz w:val="14"/>
                <w:szCs w:val="14"/>
                <w:color w:val="auto"/>
              </w:rPr>
            </w:pPr>
          </w:p>
        </w:tc>
        <w:tc>
          <w:tcPr>
            <w:tcW w:w="5320" w:type="dxa"/>
            <w:vAlign w:val="bottom"/>
            <w:vMerge w:val="continue"/>
          </w:tcPr>
          <w:p>
            <w:pPr>
              <w:spacing w:after="0"/>
              <w:rPr>
                <w:sz w:val="14"/>
                <w:szCs w:val="14"/>
                <w:color w:val="auto"/>
              </w:rPr>
            </w:pPr>
          </w:p>
        </w:tc>
        <w:tc>
          <w:tcPr>
            <w:tcW w:w="27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620" w:type="dxa"/>
            <w:vAlign w:val="bottom"/>
            <w:vMerge w:val="continue"/>
          </w:tcPr>
          <w:p>
            <w:pPr>
              <w:spacing w:after="0"/>
              <w:rPr>
                <w:sz w:val="6"/>
                <w:szCs w:val="6"/>
                <w:color w:val="auto"/>
              </w:rPr>
            </w:pPr>
          </w:p>
        </w:tc>
        <w:tc>
          <w:tcPr>
            <w:tcW w:w="420" w:type="dxa"/>
            <w:vAlign w:val="bottom"/>
          </w:tcPr>
          <w:p>
            <w:pPr>
              <w:spacing w:after="0"/>
              <w:rPr>
                <w:sz w:val="6"/>
                <w:szCs w:val="6"/>
                <w:color w:val="auto"/>
              </w:rPr>
            </w:pPr>
          </w:p>
        </w:tc>
        <w:tc>
          <w:tcPr>
            <w:tcW w:w="5320" w:type="dxa"/>
            <w:vAlign w:val="bottom"/>
          </w:tcPr>
          <w:p>
            <w:pPr>
              <w:spacing w:after="0"/>
              <w:rPr>
                <w:sz w:val="6"/>
                <w:szCs w:val="6"/>
                <w:color w:val="auto"/>
              </w:rPr>
            </w:pPr>
          </w:p>
        </w:tc>
        <w:tc>
          <w:tcPr>
            <w:tcW w:w="27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040" w:type="dxa"/>
            <w:vAlign w:val="bottom"/>
            <w:gridSpan w:val="2"/>
          </w:tcPr>
          <w:p>
            <w:pPr>
              <w:spacing w:after="0" w:line="243" w:lineRule="exact"/>
              <w:rPr>
                <w:sz w:val="20"/>
                <w:szCs w:val="20"/>
                <w:color w:val="auto"/>
              </w:rPr>
            </w:pPr>
            <w:r>
              <w:rPr>
                <w:rFonts w:ascii="Arial" w:cs="Arial" w:eastAsia="Arial" w:hAnsi="Arial"/>
                <w:sz w:val="22"/>
                <w:szCs w:val="22"/>
                <w:color w:val="auto"/>
              </w:rPr>
              <w:t>OWNED BY EACH</w:t>
            </w:r>
          </w:p>
        </w:tc>
        <w:tc>
          <w:tcPr>
            <w:tcW w:w="5320" w:type="dxa"/>
            <w:vAlign w:val="bottom"/>
            <w:vMerge w:val="restart"/>
          </w:tcPr>
          <w:p>
            <w:pPr>
              <w:ind w:left="220"/>
              <w:spacing w:after="0"/>
              <w:rPr>
                <w:sz w:val="20"/>
                <w:szCs w:val="20"/>
                <w:color w:val="auto"/>
              </w:rPr>
            </w:pPr>
            <w:r>
              <w:rPr>
                <w:rFonts w:ascii="Arial" w:cs="Arial" w:eastAsia="Arial" w:hAnsi="Arial"/>
                <w:sz w:val="22"/>
                <w:szCs w:val="22"/>
                <w:color w:val="auto"/>
              </w:rPr>
              <w:t>7. SOLE DISPOSITIVE POWER</w:t>
            </w:r>
          </w:p>
        </w:tc>
        <w:tc>
          <w:tcPr>
            <w:tcW w:w="2720" w:type="dxa"/>
            <w:vAlign w:val="bottom"/>
            <w:vMerge w:val="restart"/>
          </w:tcPr>
          <w:p>
            <w:pPr>
              <w:ind w:left="1840"/>
              <w:spacing w:after="0"/>
              <w:rPr>
                <w:sz w:val="20"/>
                <w:szCs w:val="20"/>
                <w:color w:val="auto"/>
              </w:rPr>
            </w:pPr>
            <w:r>
              <w:rPr>
                <w:rFonts w:ascii="Arial" w:cs="Arial" w:eastAsia="Arial" w:hAnsi="Arial"/>
                <w:sz w:val="22"/>
                <w:szCs w:val="22"/>
                <w:color w:val="auto"/>
                <w:w w:val="87"/>
              </w:rPr>
              <w:t>2,790,954</w:t>
            </w:r>
          </w:p>
        </w:tc>
        <w:tc>
          <w:tcPr>
            <w:tcW w:w="0" w:type="dxa"/>
            <w:vAlign w:val="bottom"/>
          </w:tcPr>
          <w:p>
            <w:pPr>
              <w:spacing w:after="0"/>
              <w:rPr>
                <w:sz w:val="1"/>
                <w:szCs w:val="1"/>
                <w:color w:val="auto"/>
              </w:rPr>
            </w:pPr>
          </w:p>
        </w:tc>
      </w:tr>
      <w:tr>
        <w:trPr>
          <w:trHeight w:val="139"/>
        </w:trPr>
        <w:tc>
          <w:tcPr>
            <w:tcW w:w="1620" w:type="dxa"/>
            <w:vAlign w:val="bottom"/>
            <w:vMerge w:val="restart"/>
          </w:tcPr>
          <w:p>
            <w:pPr>
              <w:spacing w:after="0" w:line="243" w:lineRule="exact"/>
              <w:rPr>
                <w:sz w:val="20"/>
                <w:szCs w:val="20"/>
                <w:color w:val="auto"/>
              </w:rPr>
            </w:pPr>
            <w:r>
              <w:rPr>
                <w:rFonts w:ascii="Arial" w:cs="Arial" w:eastAsia="Arial" w:hAnsi="Arial"/>
                <w:sz w:val="22"/>
                <w:szCs w:val="22"/>
                <w:color w:val="auto"/>
              </w:rPr>
              <w:t>REPORTING</w:t>
            </w:r>
          </w:p>
        </w:tc>
        <w:tc>
          <w:tcPr>
            <w:tcW w:w="420" w:type="dxa"/>
            <w:vAlign w:val="bottom"/>
          </w:tcPr>
          <w:p>
            <w:pPr>
              <w:spacing w:after="0"/>
              <w:rPr>
                <w:sz w:val="12"/>
                <w:szCs w:val="12"/>
                <w:color w:val="auto"/>
              </w:rPr>
            </w:pPr>
          </w:p>
        </w:tc>
        <w:tc>
          <w:tcPr>
            <w:tcW w:w="5320" w:type="dxa"/>
            <w:vAlign w:val="bottom"/>
            <w:vMerge w:val="continue"/>
          </w:tcPr>
          <w:p>
            <w:pPr>
              <w:spacing w:after="0"/>
              <w:rPr>
                <w:sz w:val="12"/>
                <w:szCs w:val="12"/>
                <w:color w:val="auto"/>
              </w:rPr>
            </w:pPr>
          </w:p>
        </w:tc>
        <w:tc>
          <w:tcPr>
            <w:tcW w:w="27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620" w:type="dxa"/>
            <w:vAlign w:val="bottom"/>
            <w:vMerge w:val="continue"/>
          </w:tcPr>
          <w:p>
            <w:pPr>
              <w:spacing w:after="0"/>
              <w:rPr>
                <w:sz w:val="9"/>
                <w:szCs w:val="9"/>
                <w:color w:val="auto"/>
              </w:rPr>
            </w:pPr>
          </w:p>
        </w:tc>
        <w:tc>
          <w:tcPr>
            <w:tcW w:w="420" w:type="dxa"/>
            <w:vAlign w:val="bottom"/>
          </w:tcPr>
          <w:p>
            <w:pPr>
              <w:spacing w:after="0"/>
              <w:rPr>
                <w:sz w:val="9"/>
                <w:szCs w:val="9"/>
                <w:color w:val="auto"/>
              </w:rPr>
            </w:pPr>
          </w:p>
        </w:tc>
        <w:tc>
          <w:tcPr>
            <w:tcW w:w="5320" w:type="dxa"/>
            <w:vAlign w:val="bottom"/>
          </w:tcPr>
          <w:p>
            <w:pPr>
              <w:spacing w:after="0"/>
              <w:rPr>
                <w:sz w:val="9"/>
                <w:szCs w:val="9"/>
                <w:color w:val="auto"/>
              </w:rPr>
            </w:pPr>
          </w:p>
        </w:tc>
        <w:tc>
          <w:tcPr>
            <w:tcW w:w="27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620" w:type="dxa"/>
            <w:vAlign w:val="bottom"/>
          </w:tcPr>
          <w:p>
            <w:pPr>
              <w:spacing w:after="0"/>
              <w:rPr>
                <w:sz w:val="20"/>
                <w:szCs w:val="20"/>
                <w:color w:val="auto"/>
              </w:rPr>
            </w:pPr>
            <w:r>
              <w:rPr>
                <w:rFonts w:ascii="Arial" w:cs="Arial" w:eastAsia="Arial" w:hAnsi="Arial"/>
                <w:sz w:val="22"/>
                <w:szCs w:val="22"/>
                <w:color w:val="auto"/>
              </w:rPr>
              <w:t>PERSON WITH</w:t>
            </w:r>
          </w:p>
        </w:tc>
        <w:tc>
          <w:tcPr>
            <w:tcW w:w="420" w:type="dxa"/>
            <w:vAlign w:val="bottom"/>
          </w:tcPr>
          <w:p>
            <w:pPr>
              <w:spacing w:after="0"/>
              <w:rPr>
                <w:sz w:val="23"/>
                <w:szCs w:val="23"/>
                <w:color w:val="auto"/>
              </w:rPr>
            </w:pPr>
          </w:p>
        </w:tc>
        <w:tc>
          <w:tcPr>
            <w:tcW w:w="5320" w:type="dxa"/>
            <w:vAlign w:val="bottom"/>
            <w:vMerge w:val="restart"/>
          </w:tcPr>
          <w:p>
            <w:pPr>
              <w:ind w:left="220"/>
              <w:spacing w:after="0"/>
              <w:rPr>
                <w:sz w:val="20"/>
                <w:szCs w:val="20"/>
                <w:color w:val="auto"/>
              </w:rPr>
            </w:pPr>
            <w:r>
              <w:rPr>
                <w:rFonts w:ascii="Arial" w:cs="Arial" w:eastAsia="Arial" w:hAnsi="Arial"/>
                <w:sz w:val="22"/>
                <w:szCs w:val="22"/>
                <w:color w:val="auto"/>
              </w:rPr>
              <w:t>8. SHARED DISPOSITIVE POWER</w:t>
            </w:r>
          </w:p>
        </w:tc>
        <w:tc>
          <w:tcPr>
            <w:tcW w:w="2720" w:type="dxa"/>
            <w:vAlign w:val="bottom"/>
            <w:vMerge w:val="restart"/>
          </w:tcPr>
          <w:p>
            <w:pPr>
              <w:ind w:left="1840"/>
              <w:spacing w:after="0"/>
              <w:rPr>
                <w:sz w:val="20"/>
                <w:szCs w:val="20"/>
                <w:color w:val="auto"/>
              </w:rPr>
            </w:pPr>
            <w:r>
              <w:rPr>
                <w:rFonts w:ascii="Arial" w:cs="Arial" w:eastAsia="Arial" w:hAnsi="Arial"/>
                <w:sz w:val="22"/>
                <w:szCs w:val="22"/>
                <w:color w:val="auto"/>
              </w:rPr>
              <w:t>17,668</w:t>
            </w:r>
          </w:p>
        </w:tc>
        <w:tc>
          <w:tcPr>
            <w:tcW w:w="0" w:type="dxa"/>
            <w:vAlign w:val="bottom"/>
          </w:tcPr>
          <w:p>
            <w:pPr>
              <w:spacing w:after="0"/>
              <w:rPr>
                <w:sz w:val="1"/>
                <w:szCs w:val="1"/>
                <w:color w:val="auto"/>
              </w:rPr>
            </w:pPr>
          </w:p>
        </w:tc>
      </w:tr>
      <w:tr>
        <w:trPr>
          <w:trHeight w:val="81"/>
        </w:trPr>
        <w:tc>
          <w:tcPr>
            <w:tcW w:w="1620" w:type="dxa"/>
            <w:vAlign w:val="bottom"/>
          </w:tcPr>
          <w:p>
            <w:pPr>
              <w:spacing w:after="0"/>
              <w:rPr>
                <w:sz w:val="7"/>
                <w:szCs w:val="7"/>
                <w:color w:val="auto"/>
              </w:rPr>
            </w:pPr>
          </w:p>
        </w:tc>
        <w:tc>
          <w:tcPr>
            <w:tcW w:w="420" w:type="dxa"/>
            <w:vAlign w:val="bottom"/>
          </w:tcPr>
          <w:p>
            <w:pPr>
              <w:spacing w:after="0"/>
              <w:rPr>
                <w:sz w:val="7"/>
                <w:szCs w:val="7"/>
                <w:color w:val="auto"/>
              </w:rPr>
            </w:pPr>
          </w:p>
        </w:tc>
        <w:tc>
          <w:tcPr>
            <w:tcW w:w="5320" w:type="dxa"/>
            <w:vAlign w:val="bottom"/>
            <w:vMerge w:val="continue"/>
          </w:tcPr>
          <w:p>
            <w:pPr>
              <w:spacing w:after="0"/>
              <w:rPr>
                <w:sz w:val="7"/>
                <w:szCs w:val="7"/>
                <w:color w:val="auto"/>
              </w:rPr>
            </w:pPr>
          </w:p>
        </w:tc>
        <w:tc>
          <w:tcPr>
            <w:tcW w:w="27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620" w:type="dxa"/>
            <w:vAlign w:val="bottom"/>
          </w:tcPr>
          <w:p>
            <w:pPr>
              <w:spacing w:after="0"/>
              <w:rPr>
                <w:sz w:val="20"/>
                <w:szCs w:val="20"/>
                <w:color w:val="auto"/>
              </w:rPr>
            </w:pPr>
            <w:r>
              <w:rPr>
                <w:rFonts w:ascii="Arial" w:cs="Arial" w:eastAsia="Arial" w:hAnsi="Arial"/>
                <w:sz w:val="22"/>
                <w:szCs w:val="22"/>
                <w:color w:val="auto"/>
              </w:rPr>
              <w:t>9.</w:t>
            </w:r>
          </w:p>
        </w:tc>
        <w:tc>
          <w:tcPr>
            <w:tcW w:w="846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bl>
    <w:p>
      <w:pPr>
        <w:spacing w:after="0" w:line="212" w:lineRule="exact"/>
        <w:rPr>
          <w:sz w:val="20"/>
          <w:szCs w:val="20"/>
          <w:color w:val="auto"/>
        </w:rPr>
      </w:pPr>
    </w:p>
    <w:p>
      <w:pPr>
        <w:ind w:left="1780"/>
        <w:spacing w:after="0"/>
        <w:rPr>
          <w:sz w:val="20"/>
          <w:szCs w:val="20"/>
          <w:color w:val="auto"/>
        </w:rPr>
      </w:pPr>
      <w:r>
        <w:rPr>
          <w:rFonts w:ascii="Arial" w:cs="Arial" w:eastAsia="Arial" w:hAnsi="Arial"/>
          <w:sz w:val="22"/>
          <w:szCs w:val="22"/>
          <w:color w:val="auto"/>
        </w:rPr>
        <w:t>2,808,622</w:t>
      </w:r>
    </w:p>
    <w:p>
      <w:pPr>
        <w:spacing w:after="0" w:line="206" w:lineRule="exact"/>
        <w:rPr>
          <w:sz w:val="20"/>
          <w:szCs w:val="20"/>
          <w:color w:val="auto"/>
        </w:rPr>
      </w:pPr>
    </w:p>
    <w:p>
      <w:pPr>
        <w:ind w:left="80"/>
        <w:spacing w:after="0"/>
        <w:tabs>
          <w:tab w:leader="none" w:pos="1760" w:val="left"/>
        </w:tabs>
        <w:rPr>
          <w:sz w:val="20"/>
          <w:szCs w:val="20"/>
          <w:color w:val="auto"/>
        </w:rPr>
      </w:pPr>
      <w:r>
        <w:rPr>
          <w:rFonts w:ascii="Arial" w:cs="Arial" w:eastAsia="Arial" w:hAnsi="Arial"/>
          <w:sz w:val="21"/>
          <w:szCs w:val="21"/>
          <w:color w:val="auto"/>
        </w:rPr>
        <w:t>10.</w:t>
      </w:r>
      <w:r>
        <w:rPr>
          <w:sz w:val="20"/>
          <w:szCs w:val="20"/>
          <w:color w:val="auto"/>
        </w:rPr>
        <w:tab/>
      </w:r>
      <w:r>
        <w:rPr>
          <w:rFonts w:ascii="Arial" w:cs="Arial" w:eastAsia="Arial" w:hAnsi="Arial"/>
          <w:sz w:val="21"/>
          <w:szCs w:val="21"/>
          <w:color w:val="auto"/>
        </w:rPr>
        <w:t>CHECK IF THE AGGREGATE AMOUNT IN ROW (9) EXCLUDES CERTAIN SHARES</w:t>
      </w:r>
    </w:p>
    <w:p>
      <w:pPr>
        <w:spacing w:after="0" w:line="245" w:lineRule="exact"/>
        <w:rPr>
          <w:sz w:val="20"/>
          <w:szCs w:val="20"/>
          <w:color w:val="auto"/>
        </w:rPr>
      </w:pPr>
    </w:p>
    <w:p>
      <w:pPr>
        <w:ind w:left="1780"/>
        <w:spacing w:after="0"/>
        <w:rPr>
          <w:sz w:val="20"/>
          <w:szCs w:val="20"/>
          <w:color w:val="auto"/>
        </w:rPr>
      </w:pPr>
      <w:r>
        <w:rPr>
          <w:rFonts w:ascii="Arial" w:cs="Arial" w:eastAsia="Arial" w:hAnsi="Arial"/>
          <w:sz w:val="22"/>
          <w:szCs w:val="22"/>
          <w:color w:val="auto"/>
        </w:rPr>
        <w:t>[X]</w:t>
      </w:r>
    </w:p>
    <w:p>
      <w:pPr>
        <w:spacing w:after="0" w:line="206" w:lineRule="exact"/>
        <w:rPr>
          <w:sz w:val="20"/>
          <w:szCs w:val="20"/>
          <w:color w:val="auto"/>
        </w:rPr>
      </w:pPr>
    </w:p>
    <w:p>
      <w:pPr>
        <w:ind w:left="80"/>
        <w:spacing w:after="0"/>
        <w:tabs>
          <w:tab w:leader="none" w:pos="1760" w:val="left"/>
        </w:tabs>
        <w:rPr>
          <w:sz w:val="20"/>
          <w:szCs w:val="20"/>
          <w:color w:val="auto"/>
        </w:rPr>
      </w:pPr>
      <w:r>
        <w:rPr>
          <w:rFonts w:ascii="Arial" w:cs="Arial" w:eastAsia="Arial" w:hAnsi="Arial"/>
          <w:sz w:val="22"/>
          <w:szCs w:val="22"/>
          <w:color w:val="auto"/>
        </w:rPr>
        <w:t>11.</w:t>
      </w:r>
      <w:r>
        <w:rPr>
          <w:sz w:val="20"/>
          <w:szCs w:val="20"/>
          <w:color w:val="auto"/>
        </w:rPr>
        <w:tab/>
      </w:r>
      <w:r>
        <w:rPr>
          <w:rFonts w:ascii="Arial" w:cs="Arial" w:eastAsia="Arial" w:hAnsi="Arial"/>
          <w:sz w:val="22"/>
          <w:szCs w:val="22"/>
          <w:color w:val="auto"/>
        </w:rPr>
        <w:t>PERCENT OF CLASS REPRESENTED BY AMOUNT IN ROW (9)</w:t>
      </w:r>
    </w:p>
    <w:p>
      <w:pPr>
        <w:spacing w:after="0" w:line="233" w:lineRule="exact"/>
        <w:rPr>
          <w:sz w:val="20"/>
          <w:szCs w:val="20"/>
          <w:color w:val="auto"/>
        </w:rPr>
      </w:pPr>
    </w:p>
    <w:p>
      <w:pPr>
        <w:ind w:left="1780"/>
        <w:spacing w:after="0"/>
        <w:rPr>
          <w:sz w:val="20"/>
          <w:szCs w:val="20"/>
          <w:color w:val="auto"/>
        </w:rPr>
      </w:pPr>
      <w:r>
        <w:rPr>
          <w:rFonts w:ascii="Arial" w:cs="Arial" w:eastAsia="Arial" w:hAnsi="Arial"/>
          <w:sz w:val="22"/>
          <w:szCs w:val="22"/>
          <w:color w:val="auto"/>
        </w:rPr>
        <w:t>5.1%</w:t>
      </w:r>
    </w:p>
    <w:p>
      <w:pPr>
        <w:spacing w:after="0" w:line="206" w:lineRule="exact"/>
        <w:rPr>
          <w:sz w:val="20"/>
          <w:szCs w:val="20"/>
          <w:color w:val="auto"/>
        </w:rPr>
      </w:pPr>
    </w:p>
    <w:p>
      <w:pPr>
        <w:ind w:left="80"/>
        <w:spacing w:after="0"/>
        <w:tabs>
          <w:tab w:leader="none" w:pos="1760" w:val="left"/>
        </w:tabs>
        <w:rPr>
          <w:sz w:val="20"/>
          <w:szCs w:val="20"/>
          <w:color w:val="auto"/>
        </w:rPr>
      </w:pPr>
      <w:r>
        <w:rPr>
          <w:rFonts w:ascii="Arial" w:cs="Arial" w:eastAsia="Arial" w:hAnsi="Arial"/>
          <w:sz w:val="22"/>
          <w:szCs w:val="22"/>
          <w:color w:val="auto"/>
        </w:rPr>
        <w:t>12.</w:t>
      </w:r>
      <w:r>
        <w:rPr>
          <w:sz w:val="20"/>
          <w:szCs w:val="20"/>
          <w:color w:val="auto"/>
        </w:rPr>
        <w:tab/>
      </w:r>
      <w:r>
        <w:rPr>
          <w:rFonts w:ascii="Arial" w:cs="Arial" w:eastAsia="Arial" w:hAnsi="Arial"/>
          <w:sz w:val="22"/>
          <w:szCs w:val="22"/>
          <w:color w:val="auto"/>
        </w:rPr>
        <w:t>TYPE OF REPORTING PERSON</w:t>
      </w:r>
    </w:p>
    <w:p>
      <w:pPr>
        <w:spacing w:after="0" w:line="233" w:lineRule="exact"/>
        <w:rPr>
          <w:sz w:val="20"/>
          <w:szCs w:val="20"/>
          <w:color w:val="auto"/>
        </w:rPr>
      </w:pPr>
    </w:p>
    <w:p>
      <w:pPr>
        <w:ind w:left="1780"/>
        <w:spacing w:after="0"/>
        <w:rPr>
          <w:sz w:val="20"/>
          <w:szCs w:val="20"/>
          <w:color w:val="auto"/>
        </w:rPr>
      </w:pPr>
      <w:r>
        <w:rPr>
          <w:rFonts w:ascii="Arial" w:cs="Arial" w:eastAsia="Arial" w:hAnsi="Arial"/>
          <w:sz w:val="22"/>
          <w:szCs w:val="22"/>
          <w:color w:val="auto"/>
        </w:rPr>
        <w:t>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76200</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179"/>
          </w:cols>
          <w:pgMar w:left="280" w:top="388" w:right="1440" w:bottom="1440" w:gutter="0" w:footer="0" w:header="0"/>
        </w:sectPr>
      </w:pPr>
    </w:p>
    <w:bookmarkStart w:id="2" w:name="page3"/>
    <w:bookmarkEnd w:id="2"/>
    <w:p>
      <w:pPr>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63765" cy="8890"/>
                    </a:xfrm>
                    <a:prstGeom prst="rect">
                      <a:avLst/>
                    </a:prstGeom>
                    <a:noFill/>
                  </pic:spPr>
                </pic:pic>
              </a:graphicData>
            </a:graphic>
          </wp:anchor>
        </w:drawing>
        <w:t>Item 1.</w:t>
      </w:r>
    </w:p>
    <w:p>
      <w:pPr>
        <w:spacing w:after="0" w:line="125" w:lineRule="exact"/>
        <w:rPr>
          <w:sz w:val="20"/>
          <w:szCs w:val="20"/>
          <w:color w:val="auto"/>
        </w:rPr>
      </w:pPr>
    </w:p>
    <w:p>
      <w:pPr>
        <w:ind w:left="1780" w:hanging="407"/>
        <w:spacing w:after="0"/>
        <w:tabs>
          <w:tab w:leader="none" w:pos="1780"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Name of Issuer</w:t>
      </w:r>
    </w:p>
    <w:p>
      <w:pPr>
        <w:spacing w:after="0" w:line="14" w:lineRule="exact"/>
        <w:rPr>
          <w:rFonts w:ascii="Arial" w:cs="Arial" w:eastAsia="Arial" w:hAnsi="Arial"/>
          <w:sz w:val="22"/>
          <w:szCs w:val="22"/>
          <w:b w:val="1"/>
          <w:bCs w:val="1"/>
          <w:color w:val="auto"/>
        </w:rPr>
      </w:pPr>
    </w:p>
    <w:p>
      <w:pPr>
        <w:ind w:left="1780"/>
        <w:spacing w:after="0"/>
        <w:rPr>
          <w:rFonts w:ascii="Arial" w:cs="Arial" w:eastAsia="Arial" w:hAnsi="Arial"/>
          <w:sz w:val="22"/>
          <w:szCs w:val="22"/>
          <w:b w:val="1"/>
          <w:bCs w:val="1"/>
          <w:color w:val="auto"/>
        </w:rPr>
      </w:pPr>
      <w:r>
        <w:rPr>
          <w:rFonts w:ascii="Arial" w:cs="Arial" w:eastAsia="Arial" w:hAnsi="Arial"/>
          <w:sz w:val="22"/>
          <w:szCs w:val="22"/>
          <w:color w:val="auto"/>
        </w:rPr>
        <w:t>ICON PLC</w:t>
      </w:r>
    </w:p>
    <w:p>
      <w:pPr>
        <w:spacing w:after="0" w:line="101" w:lineRule="exact"/>
        <w:rPr>
          <w:rFonts w:ascii="Arial" w:cs="Arial" w:eastAsia="Arial" w:hAnsi="Arial"/>
          <w:sz w:val="22"/>
          <w:szCs w:val="22"/>
          <w:b w:val="1"/>
          <w:bCs w:val="1"/>
          <w:color w:val="auto"/>
        </w:rPr>
      </w:pPr>
    </w:p>
    <w:p>
      <w:pPr>
        <w:ind w:left="1780" w:hanging="407"/>
        <w:spacing w:after="0"/>
        <w:tabs>
          <w:tab w:leader="none" w:pos="1780"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Address of Issuer's Principal Executive Offices</w:t>
      </w:r>
    </w:p>
    <w:p>
      <w:pPr>
        <w:spacing w:after="0" w:line="14" w:lineRule="exact"/>
        <w:rPr>
          <w:rFonts w:ascii="Arial" w:cs="Arial" w:eastAsia="Arial" w:hAnsi="Arial"/>
          <w:sz w:val="22"/>
          <w:szCs w:val="22"/>
          <w:b w:val="1"/>
          <w:bCs w:val="1"/>
          <w:color w:val="auto"/>
        </w:rPr>
      </w:pPr>
    </w:p>
    <w:p>
      <w:pPr>
        <w:ind w:left="1780"/>
        <w:spacing w:after="0"/>
        <w:rPr>
          <w:rFonts w:ascii="Arial" w:cs="Arial" w:eastAsia="Arial" w:hAnsi="Arial"/>
          <w:sz w:val="22"/>
          <w:szCs w:val="22"/>
          <w:b w:val="1"/>
          <w:bCs w:val="1"/>
          <w:color w:val="auto"/>
        </w:rPr>
      </w:pPr>
      <w:r>
        <w:rPr>
          <w:rFonts w:ascii="Arial" w:cs="Arial" w:eastAsia="Arial" w:hAnsi="Arial"/>
          <w:sz w:val="22"/>
          <w:szCs w:val="22"/>
          <w:color w:val="auto"/>
        </w:rPr>
        <w:t>SOUTH COUNTY BUSINESS PARK, LEOPARDSTOWN, DUBLIN 18</w:t>
      </w:r>
    </w:p>
    <w:p>
      <w:pPr>
        <w:spacing w:after="0" w:line="10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2.</w:t>
      </w:r>
    </w:p>
    <w:p>
      <w:pPr>
        <w:spacing w:after="0" w:line="125" w:lineRule="exact"/>
        <w:rPr>
          <w:sz w:val="20"/>
          <w:szCs w:val="20"/>
          <w:color w:val="auto"/>
        </w:rPr>
      </w:pPr>
    </w:p>
    <w:p>
      <w:pPr>
        <w:ind w:left="1780" w:hanging="407"/>
        <w:spacing w:after="0"/>
        <w:tabs>
          <w:tab w:leader="none" w:pos="178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Name of Person Filing</w:t>
      </w:r>
    </w:p>
    <w:p>
      <w:pPr>
        <w:spacing w:after="0" w:line="14" w:lineRule="exact"/>
        <w:rPr>
          <w:rFonts w:ascii="Arial" w:cs="Arial" w:eastAsia="Arial" w:hAnsi="Arial"/>
          <w:sz w:val="22"/>
          <w:szCs w:val="22"/>
          <w:b w:val="1"/>
          <w:bCs w:val="1"/>
          <w:color w:val="auto"/>
        </w:rPr>
      </w:pPr>
    </w:p>
    <w:p>
      <w:pPr>
        <w:ind w:left="1780"/>
        <w:spacing w:after="0"/>
        <w:rPr>
          <w:rFonts w:ascii="Arial" w:cs="Arial" w:eastAsia="Arial" w:hAnsi="Arial"/>
          <w:sz w:val="22"/>
          <w:szCs w:val="22"/>
          <w:b w:val="1"/>
          <w:bCs w:val="1"/>
          <w:color w:val="auto"/>
        </w:rPr>
      </w:pPr>
      <w:r>
        <w:rPr>
          <w:rFonts w:ascii="Arial" w:cs="Arial" w:eastAsia="Arial" w:hAnsi="Arial"/>
          <w:sz w:val="22"/>
          <w:szCs w:val="22"/>
          <w:color w:val="auto"/>
        </w:rPr>
        <w:t>AllianceBernstein L.P. ("AllianceBernstein L.P.")</w:t>
      </w:r>
    </w:p>
    <w:p>
      <w:pPr>
        <w:spacing w:after="0" w:line="101" w:lineRule="exact"/>
        <w:rPr>
          <w:rFonts w:ascii="Arial" w:cs="Arial" w:eastAsia="Arial" w:hAnsi="Arial"/>
          <w:sz w:val="22"/>
          <w:szCs w:val="22"/>
          <w:b w:val="1"/>
          <w:bCs w:val="1"/>
          <w:color w:val="auto"/>
        </w:rPr>
      </w:pPr>
    </w:p>
    <w:p>
      <w:pPr>
        <w:ind w:left="1780" w:right="4080" w:hanging="407"/>
        <w:spacing w:after="0" w:line="335" w:lineRule="auto"/>
        <w:tabs>
          <w:tab w:leader="none" w:pos="178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Address of Principal Business Office or, if None, Residence </w:t>
      </w:r>
      <w:r>
        <w:rPr>
          <w:rFonts w:ascii="Arial" w:cs="Arial" w:eastAsia="Arial" w:hAnsi="Arial"/>
          <w:sz w:val="19"/>
          <w:szCs w:val="19"/>
          <w:color w:val="auto"/>
        </w:rPr>
        <w:t>1345 Avenue of the Americas, New York NY 10105</w:t>
      </w:r>
    </w:p>
    <w:p>
      <w:pPr>
        <w:spacing w:after="0" w:line="125" w:lineRule="exact"/>
        <w:rPr>
          <w:rFonts w:ascii="Arial" w:cs="Arial" w:eastAsia="Arial" w:hAnsi="Arial"/>
          <w:sz w:val="19"/>
          <w:szCs w:val="19"/>
          <w:b w:val="1"/>
          <w:bCs w:val="1"/>
          <w:color w:val="auto"/>
        </w:rPr>
      </w:pPr>
    </w:p>
    <w:p>
      <w:pPr>
        <w:ind w:left="1780" w:right="80"/>
        <w:spacing w:after="0" w:line="274" w:lineRule="auto"/>
        <w:rPr>
          <w:rFonts w:ascii="Arial" w:cs="Arial" w:eastAsia="Arial" w:hAnsi="Arial"/>
          <w:sz w:val="19"/>
          <w:szCs w:val="19"/>
          <w:b w:val="1"/>
          <w:bCs w:val="1"/>
          <w:color w:val="auto"/>
        </w:rPr>
      </w:pPr>
      <w:r>
        <w:rPr>
          <w:rFonts w:ascii="Arial" w:cs="Arial" w:eastAsia="Arial" w:hAnsi="Arial"/>
          <w:sz w:val="21"/>
          <w:szCs w:val="21"/>
          <w:color w:val="auto"/>
        </w:rPr>
        <w:t>All media outlets, please contact Andrea Prochniak at AllianceBernstein (212-756-4542) with any questions. All other questions can be directed to Section13USFilings@alliancebernstein.com.</w:t>
      </w:r>
    </w:p>
    <w:p>
      <w:pPr>
        <w:spacing w:after="0" w:line="63" w:lineRule="exact"/>
        <w:rPr>
          <w:rFonts w:ascii="Arial" w:cs="Arial" w:eastAsia="Arial" w:hAnsi="Arial"/>
          <w:sz w:val="19"/>
          <w:szCs w:val="19"/>
          <w:b w:val="1"/>
          <w:bCs w:val="1"/>
          <w:color w:val="auto"/>
        </w:rPr>
      </w:pPr>
    </w:p>
    <w:p>
      <w:pPr>
        <w:ind w:left="1780" w:right="8440" w:hanging="407"/>
        <w:spacing w:after="0" w:line="335" w:lineRule="auto"/>
        <w:tabs>
          <w:tab w:leader="none" w:pos="178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Citizenship </w:t>
      </w:r>
      <w:r>
        <w:rPr>
          <w:rFonts w:ascii="Arial" w:cs="Arial" w:eastAsia="Arial" w:hAnsi="Arial"/>
          <w:sz w:val="19"/>
          <w:szCs w:val="19"/>
          <w:color w:val="auto"/>
        </w:rPr>
        <w:t>Delaware</w:t>
      </w:r>
    </w:p>
    <w:p>
      <w:pPr>
        <w:spacing w:after="0" w:line="11" w:lineRule="exact"/>
        <w:rPr>
          <w:rFonts w:ascii="Arial" w:cs="Arial" w:eastAsia="Arial" w:hAnsi="Arial"/>
          <w:sz w:val="19"/>
          <w:szCs w:val="19"/>
          <w:b w:val="1"/>
          <w:bCs w:val="1"/>
          <w:color w:val="auto"/>
        </w:rPr>
      </w:pPr>
    </w:p>
    <w:p>
      <w:pPr>
        <w:ind w:left="1780" w:right="7080" w:hanging="407"/>
        <w:spacing w:after="0" w:line="335" w:lineRule="auto"/>
        <w:tabs>
          <w:tab w:leader="none" w:pos="178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Title of Class of Securities </w:t>
      </w:r>
      <w:r>
        <w:rPr>
          <w:rFonts w:ascii="Arial" w:cs="Arial" w:eastAsia="Arial" w:hAnsi="Arial"/>
          <w:sz w:val="19"/>
          <w:szCs w:val="19"/>
          <w:color w:val="auto"/>
        </w:rPr>
        <w:t>Common Stock</w:t>
      </w:r>
    </w:p>
    <w:p>
      <w:pPr>
        <w:spacing w:after="0" w:line="11" w:lineRule="exact"/>
        <w:rPr>
          <w:rFonts w:ascii="Arial" w:cs="Arial" w:eastAsia="Arial" w:hAnsi="Arial"/>
          <w:sz w:val="19"/>
          <w:szCs w:val="19"/>
          <w:b w:val="1"/>
          <w:bCs w:val="1"/>
          <w:color w:val="auto"/>
        </w:rPr>
      </w:pPr>
    </w:p>
    <w:p>
      <w:pPr>
        <w:ind w:left="1780" w:right="8020" w:hanging="407"/>
        <w:spacing w:after="0" w:line="335" w:lineRule="auto"/>
        <w:tabs>
          <w:tab w:leader="none" w:pos="178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CUSIP Number </w:t>
      </w:r>
      <w:r>
        <w:rPr>
          <w:rFonts w:ascii="Arial" w:cs="Arial" w:eastAsia="Arial" w:hAnsi="Arial"/>
          <w:sz w:val="19"/>
          <w:szCs w:val="19"/>
          <w:color w:val="auto"/>
        </w:rPr>
        <w:t>G4705A100</w:t>
      </w:r>
    </w:p>
    <w:p>
      <w:pPr>
        <w:spacing w:after="0" w:line="11" w:lineRule="exact"/>
        <w:rPr>
          <w:sz w:val="20"/>
          <w:szCs w:val="20"/>
          <w:color w:val="auto"/>
        </w:rPr>
      </w:pPr>
    </w:p>
    <w:p>
      <w:pPr>
        <w:ind w:left="1380" w:hanging="1363"/>
        <w:spacing w:after="0" w:line="256" w:lineRule="auto"/>
        <w:tabs>
          <w:tab w:leader="none" w:pos="1360" w:val="left"/>
        </w:tabs>
        <w:rPr>
          <w:sz w:val="20"/>
          <w:szCs w:val="20"/>
          <w:color w:val="auto"/>
        </w:rPr>
      </w:pPr>
      <w:r>
        <w:rPr>
          <w:rFonts w:ascii="Arial" w:cs="Arial" w:eastAsia="Arial" w:hAnsi="Arial"/>
          <w:sz w:val="22"/>
          <w:szCs w:val="22"/>
          <w:b w:val="1"/>
          <w:bCs w:val="1"/>
          <w:color w:val="auto"/>
        </w:rPr>
        <w:t>Item 3.</w:t>
      </w:r>
      <w:r>
        <w:rPr>
          <w:sz w:val="20"/>
          <w:szCs w:val="20"/>
          <w:color w:val="auto"/>
        </w:rPr>
        <w:tab/>
      </w:r>
      <w:r>
        <w:rPr>
          <w:rFonts w:ascii="Arial" w:cs="Arial" w:eastAsia="Arial" w:hAnsi="Arial"/>
          <w:sz w:val="22"/>
          <w:szCs w:val="22"/>
          <w:b w:val="1"/>
          <w:bCs w:val="1"/>
          <w:color w:val="auto"/>
        </w:rPr>
        <w:t>If This Statement is Filed Pursuant to Rule 13d-1(b), or 13d-2(b) or (c), Check Whether the Person Filing is a:</w:t>
      </w:r>
    </w:p>
    <w:p>
      <w:pPr>
        <w:sectPr>
          <w:pgSz w:w="11900" w:h="16838" w:orient="portrait"/>
          <w:cols w:equalWidth="0" w:num="1">
            <w:col w:w="11260"/>
          </w:cols>
          <w:pgMar w:left="320" w:top="423" w:right="319" w:bottom="0" w:gutter="0" w:footer="0" w:header="0"/>
        </w:sectPr>
      </w:pPr>
    </w:p>
    <w:p>
      <w:pPr>
        <w:spacing w:after="0" w:line="88" w:lineRule="exact"/>
        <w:rPr>
          <w:sz w:val="20"/>
          <w:szCs w:val="20"/>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w:t>
      </w:r>
    </w:p>
    <w:p>
      <w:pPr>
        <w:spacing w:after="0" w:line="246"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w:t>
      </w:r>
    </w:p>
    <w:p>
      <w:pPr>
        <w:spacing w:after="0" w:line="246"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[X]</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w:t>
      </w:r>
    </w:p>
    <w:p>
      <w:pPr>
        <w:spacing w:after="0" w:line="246"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w:t>
      </w:r>
    </w:p>
    <w:p>
      <w:pPr>
        <w:spacing w:after="0" w:line="246"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w:t>
      </w:r>
    </w:p>
    <w:p>
      <w:pPr>
        <w:spacing w:after="0" w:line="20" w:lineRule="exact"/>
        <w:rPr>
          <w:sz w:val="20"/>
          <w:szCs w:val="20"/>
          <w:color w:val="auto"/>
        </w:rPr>
      </w:pPr>
      <w:r>
        <w:rPr>
          <w:sz w:val="20"/>
          <w:szCs w:val="20"/>
          <w:color w:val="auto"/>
        </w:rPr>
        <w:br w:type="column"/>
      </w:r>
    </w:p>
    <w:p>
      <w:pPr>
        <w:spacing w:after="0" w:line="68" w:lineRule="exact"/>
        <w:rPr>
          <w:sz w:val="20"/>
          <w:szCs w:val="20"/>
          <w:color w:val="auto"/>
        </w:rPr>
      </w:pPr>
    </w:p>
    <w:p>
      <w:pPr>
        <w:spacing w:after="0"/>
        <w:rPr>
          <w:sz w:val="20"/>
          <w:szCs w:val="20"/>
          <w:color w:val="auto"/>
        </w:rPr>
      </w:pPr>
      <w:r>
        <w:rPr>
          <w:rFonts w:ascii="Arial" w:cs="Arial" w:eastAsia="Arial" w:hAnsi="Arial"/>
          <w:sz w:val="22"/>
          <w:szCs w:val="22"/>
          <w:color w:val="auto"/>
        </w:rPr>
        <w:t>Broker or dealer registered under Section 15 of the Act (15 U.S.C. 78o).</w:t>
      </w:r>
    </w:p>
    <w:p>
      <w:pPr>
        <w:spacing w:after="0" w:line="125" w:lineRule="exact"/>
        <w:rPr>
          <w:sz w:val="20"/>
          <w:szCs w:val="20"/>
          <w:color w:val="auto"/>
        </w:rPr>
      </w:pPr>
    </w:p>
    <w:p>
      <w:pPr>
        <w:spacing w:after="0"/>
        <w:rPr>
          <w:sz w:val="20"/>
          <w:szCs w:val="20"/>
          <w:color w:val="auto"/>
        </w:rPr>
      </w:pPr>
      <w:r>
        <w:rPr>
          <w:rFonts w:ascii="Arial" w:cs="Arial" w:eastAsia="Arial" w:hAnsi="Arial"/>
          <w:sz w:val="22"/>
          <w:szCs w:val="22"/>
          <w:color w:val="auto"/>
        </w:rPr>
        <w:t>Bank as defined in Section 3(a)(6) of the Act (15 U.S.C. 78c).</w:t>
      </w:r>
    </w:p>
    <w:p>
      <w:pPr>
        <w:spacing w:after="0" w:line="125" w:lineRule="exact"/>
        <w:rPr>
          <w:sz w:val="20"/>
          <w:szCs w:val="20"/>
          <w:color w:val="auto"/>
        </w:rPr>
      </w:pPr>
    </w:p>
    <w:p>
      <w:pPr>
        <w:spacing w:after="0"/>
        <w:rPr>
          <w:sz w:val="20"/>
          <w:szCs w:val="20"/>
          <w:color w:val="auto"/>
        </w:rPr>
      </w:pPr>
      <w:r>
        <w:rPr>
          <w:rFonts w:ascii="Arial" w:cs="Arial" w:eastAsia="Arial" w:hAnsi="Arial"/>
          <w:sz w:val="22"/>
          <w:szCs w:val="22"/>
          <w:color w:val="auto"/>
        </w:rPr>
        <w:t>Insurance Company as defined in Section 3(a)(19) of the Act (15 U.S.C. 78c).</w:t>
      </w:r>
    </w:p>
    <w:p>
      <w:pPr>
        <w:spacing w:after="0" w:line="125" w:lineRule="exact"/>
        <w:rPr>
          <w:sz w:val="20"/>
          <w:szCs w:val="20"/>
          <w:color w:val="auto"/>
        </w:rPr>
      </w:pPr>
    </w:p>
    <w:p>
      <w:pPr>
        <w:spacing w:after="0"/>
        <w:rPr>
          <w:sz w:val="20"/>
          <w:szCs w:val="20"/>
          <w:color w:val="auto"/>
        </w:rPr>
      </w:pPr>
      <w:r>
        <w:rPr>
          <w:rFonts w:ascii="Arial" w:cs="Arial" w:eastAsia="Arial" w:hAnsi="Arial"/>
          <w:sz w:val="19"/>
          <w:szCs w:val="19"/>
          <w:color w:val="auto"/>
        </w:rPr>
        <w:t>Investment Company registered under Section 8 of the Investment Company Act of 1940 (15 U.S.C.</w:t>
      </w:r>
    </w:p>
    <w:p>
      <w:pPr>
        <w:spacing w:after="0" w:line="43" w:lineRule="exact"/>
        <w:rPr>
          <w:sz w:val="20"/>
          <w:szCs w:val="20"/>
          <w:color w:val="auto"/>
        </w:rPr>
      </w:pPr>
    </w:p>
    <w:p>
      <w:pPr>
        <w:spacing w:after="0"/>
        <w:rPr>
          <w:sz w:val="20"/>
          <w:szCs w:val="20"/>
          <w:color w:val="auto"/>
        </w:rPr>
      </w:pPr>
      <w:r>
        <w:rPr>
          <w:rFonts w:ascii="Arial" w:cs="Arial" w:eastAsia="Arial" w:hAnsi="Arial"/>
          <w:sz w:val="22"/>
          <w:szCs w:val="22"/>
          <w:color w:val="auto"/>
        </w:rPr>
        <w:t>80a-8).</w:t>
      </w:r>
    </w:p>
    <w:p>
      <w:pPr>
        <w:spacing w:after="0" w:line="107" w:lineRule="exact"/>
        <w:rPr>
          <w:sz w:val="20"/>
          <w:szCs w:val="20"/>
          <w:color w:val="auto"/>
        </w:rPr>
      </w:pPr>
    </w:p>
    <w:p>
      <w:pPr>
        <w:spacing w:after="0"/>
        <w:rPr>
          <w:sz w:val="20"/>
          <w:szCs w:val="20"/>
          <w:color w:val="auto"/>
        </w:rPr>
      </w:pPr>
      <w:r>
        <w:rPr>
          <w:rFonts w:ascii="Arial" w:cs="Arial" w:eastAsia="Arial" w:hAnsi="Arial"/>
          <w:sz w:val="22"/>
          <w:szCs w:val="22"/>
          <w:color w:val="auto"/>
        </w:rPr>
        <w:t>An investment adviser in accordance with Rule 240.13d-1(b)(1)(ii)(E);</w:t>
      </w:r>
    </w:p>
    <w:p>
      <w:pPr>
        <w:spacing w:after="0" w:line="125" w:lineRule="exact"/>
        <w:rPr>
          <w:sz w:val="20"/>
          <w:szCs w:val="20"/>
          <w:color w:val="auto"/>
        </w:rPr>
      </w:pPr>
    </w:p>
    <w:p>
      <w:pPr>
        <w:ind w:right="860"/>
        <w:spacing w:after="0" w:line="415" w:lineRule="auto"/>
        <w:rPr>
          <w:sz w:val="20"/>
          <w:szCs w:val="20"/>
          <w:color w:val="auto"/>
        </w:rPr>
      </w:pPr>
      <w:r>
        <w:rPr>
          <w:rFonts w:ascii="Arial" w:cs="Arial" w:eastAsia="Arial" w:hAnsi="Arial"/>
          <w:sz w:val="19"/>
          <w:szCs w:val="19"/>
          <w:color w:val="auto"/>
        </w:rPr>
        <w:t>An employee benefit plan or endowment fund in accordance with Rule 240.13d-1(b)(1)(ii)(F); A parent holding company or control person in accordance with Rule 240.13d-1(b)(1)(ii)(G);</w:t>
      </w:r>
    </w:p>
    <w:p>
      <w:pPr>
        <w:spacing w:after="0" w:line="1" w:lineRule="exact"/>
        <w:rPr>
          <w:sz w:val="20"/>
          <w:szCs w:val="20"/>
          <w:color w:val="auto"/>
        </w:rPr>
      </w:pPr>
    </w:p>
    <w:p>
      <w:pPr>
        <w:spacing w:after="0"/>
        <w:rPr>
          <w:sz w:val="20"/>
          <w:szCs w:val="20"/>
          <w:color w:val="auto"/>
        </w:rPr>
      </w:pPr>
      <w:r>
        <w:rPr>
          <w:rFonts w:ascii="Arial" w:cs="Arial" w:eastAsia="Arial" w:hAnsi="Arial"/>
          <w:sz w:val="19"/>
          <w:szCs w:val="19"/>
          <w:color w:val="auto"/>
        </w:rPr>
        <w:t>A savings association as defined in Section 3(b) of the Federal Deposit Insurance Act (12 U.S.C. 1813);</w:t>
      </w:r>
    </w:p>
    <w:p>
      <w:pPr>
        <w:spacing w:after="0" w:line="160" w:lineRule="exact"/>
        <w:rPr>
          <w:sz w:val="20"/>
          <w:szCs w:val="20"/>
          <w:color w:val="auto"/>
        </w:rPr>
      </w:pPr>
    </w:p>
    <w:p>
      <w:pPr>
        <w:ind w:right="120"/>
        <w:spacing w:after="0" w:line="251" w:lineRule="auto"/>
        <w:rPr>
          <w:sz w:val="20"/>
          <w:szCs w:val="20"/>
          <w:color w:val="auto"/>
        </w:rPr>
      </w:pPr>
      <w:r>
        <w:rPr>
          <w:rFonts w:ascii="Arial" w:cs="Arial" w:eastAsia="Arial" w:hAnsi="Arial"/>
          <w:sz w:val="22"/>
          <w:szCs w:val="22"/>
          <w:color w:val="auto"/>
        </w:rPr>
        <w:t>A church plan that is excluded from the definition of an investment company under Section 3(c)(14) of the Investment Company Act of 1940 (15 U.S.C. 80a-3);</w:t>
      </w:r>
    </w:p>
    <w:p>
      <w:pPr>
        <w:spacing w:after="0" w:line="92" w:lineRule="exact"/>
        <w:rPr>
          <w:sz w:val="20"/>
          <w:szCs w:val="20"/>
          <w:color w:val="auto"/>
        </w:rPr>
      </w:pPr>
    </w:p>
    <w:p>
      <w:pPr>
        <w:spacing w:after="0"/>
        <w:rPr>
          <w:sz w:val="20"/>
          <w:szCs w:val="20"/>
          <w:color w:val="auto"/>
        </w:rPr>
      </w:pPr>
      <w:r>
        <w:rPr>
          <w:rFonts w:ascii="Arial" w:cs="Arial" w:eastAsia="Arial" w:hAnsi="Arial"/>
          <w:sz w:val="22"/>
          <w:szCs w:val="22"/>
          <w:color w:val="auto"/>
        </w:rPr>
        <w:t>Group, in accordance with Rule 240.13d-1(b)(1)(ii)(J).</w:t>
      </w:r>
    </w:p>
    <w:p>
      <w:pPr>
        <w:spacing w:after="0" w:line="119" w:lineRule="exact"/>
        <w:rPr>
          <w:sz w:val="20"/>
          <w:szCs w:val="20"/>
          <w:color w:val="auto"/>
        </w:rPr>
      </w:pPr>
    </w:p>
    <w:p>
      <w:pPr>
        <w:sectPr>
          <w:pgSz w:w="11900" w:h="16838" w:orient="portrait"/>
          <w:cols w:equalWidth="0" w:num="2">
            <w:col w:w="2080" w:space="160"/>
            <w:col w:w="9020"/>
          </w:cols>
          <w:pgMar w:left="320" w:top="423" w:right="319" w:bottom="0" w:gutter="0" w:footer="0" w:header="0"/>
          <w:type w:val="continuous"/>
        </w:sectPr>
      </w:pPr>
    </w:p>
    <w:p>
      <w:pPr>
        <w:spacing w:after="0"/>
        <w:tabs>
          <w:tab w:leader="none" w:pos="1360" w:val="left"/>
        </w:tabs>
        <w:rPr>
          <w:sz w:val="20"/>
          <w:szCs w:val="20"/>
          <w:color w:val="auto"/>
        </w:rPr>
      </w:pPr>
      <w:r>
        <w:rPr>
          <w:rFonts w:ascii="Arial" w:cs="Arial" w:eastAsia="Arial" w:hAnsi="Arial"/>
          <w:sz w:val="22"/>
          <w:szCs w:val="22"/>
          <w:b w:val="1"/>
          <w:bCs w:val="1"/>
          <w:color w:val="auto"/>
        </w:rPr>
        <w:t>Item 4.</w:t>
      </w:r>
      <w:r>
        <w:rPr>
          <w:sz w:val="20"/>
          <w:szCs w:val="20"/>
          <w:color w:val="auto"/>
        </w:rPr>
        <w:tab/>
      </w:r>
      <w:r>
        <w:rPr>
          <w:rFonts w:ascii="Arial" w:cs="Arial" w:eastAsia="Arial" w:hAnsi="Arial"/>
          <w:sz w:val="19"/>
          <w:szCs w:val="19"/>
          <w:b w:val="1"/>
          <w:bCs w:val="1"/>
          <w:color w:val="auto"/>
        </w:rPr>
        <w:t>Ownership.</w:t>
      </w:r>
    </w:p>
    <w:p>
      <w:pPr>
        <w:spacing w:after="0" w:line="131" w:lineRule="exact"/>
        <w:rPr>
          <w:sz w:val="20"/>
          <w:szCs w:val="20"/>
          <w:color w:val="auto"/>
        </w:rPr>
      </w:pPr>
    </w:p>
    <w:p>
      <w:pPr>
        <w:spacing w:after="0" w:line="251" w:lineRule="auto"/>
        <w:rPr>
          <w:sz w:val="20"/>
          <w:szCs w:val="20"/>
          <w:color w:val="auto"/>
        </w:rPr>
      </w:pPr>
      <w:r>
        <w:rPr>
          <w:rFonts w:ascii="Arial" w:cs="Arial" w:eastAsia="Arial" w:hAnsi="Arial"/>
          <w:sz w:val="22"/>
          <w:szCs w:val="22"/>
          <w:color w:val="auto"/>
        </w:rPr>
        <w:t>Provide the following information regarding the aggregate number and percentage of the class of securities of the issuer identified in Item 1.</w:t>
      </w:r>
    </w:p>
    <w:p>
      <w:pPr>
        <w:spacing w:after="0" w:line="92" w:lineRule="exact"/>
        <w:rPr>
          <w:sz w:val="20"/>
          <w:szCs w:val="20"/>
          <w:color w:val="auto"/>
        </w:rPr>
      </w:pPr>
    </w:p>
    <w:p>
      <w:pPr>
        <w:ind w:left="1780" w:hanging="407"/>
        <w:spacing w:after="0"/>
        <w:tabs>
          <w:tab w:leader="none" w:pos="1780" w:val="left"/>
        </w:tabs>
        <w:numPr>
          <w:ilvl w:val="0"/>
          <w:numId w:val="5"/>
        </w:numPr>
        <w:rPr>
          <w:rFonts w:ascii="Arial" w:cs="Arial" w:eastAsia="Arial" w:hAnsi="Arial"/>
          <w:sz w:val="22"/>
          <w:szCs w:val="22"/>
          <w:color w:val="auto"/>
        </w:rPr>
      </w:pPr>
      <w:r>
        <w:rPr>
          <w:rFonts w:ascii="Arial" w:cs="Arial" w:eastAsia="Arial" w:hAnsi="Arial"/>
          <w:sz w:val="22"/>
          <w:szCs w:val="22"/>
          <w:color w:val="auto"/>
        </w:rPr>
        <w:t>Amount Beneficially Owned:</w:t>
      </w:r>
    </w:p>
    <w:p>
      <w:pPr>
        <w:spacing w:after="0" w:line="125" w:lineRule="exact"/>
        <w:rPr>
          <w:rFonts w:ascii="Arial" w:cs="Arial" w:eastAsia="Arial" w:hAnsi="Arial"/>
          <w:sz w:val="22"/>
          <w:szCs w:val="22"/>
          <w:color w:val="auto"/>
        </w:rPr>
      </w:pPr>
    </w:p>
    <w:p>
      <w:pPr>
        <w:ind w:left="1780" w:right="700"/>
        <w:spacing w:after="0" w:line="251" w:lineRule="auto"/>
        <w:rPr>
          <w:rFonts w:ascii="Arial" w:cs="Arial" w:eastAsia="Arial" w:hAnsi="Arial"/>
          <w:sz w:val="22"/>
          <w:szCs w:val="22"/>
          <w:color w:val="auto"/>
        </w:rPr>
      </w:pPr>
      <w:r>
        <w:rPr>
          <w:rFonts w:ascii="Arial" w:cs="Arial" w:eastAsia="Arial" w:hAnsi="Arial"/>
          <w:sz w:val="22"/>
          <w:szCs w:val="22"/>
          <w:color w:val="auto"/>
        </w:rPr>
        <w:t>2,808,622 shares acquired solely for investment purposes on behalf of client discretionary investment advisory accounts.*</w:t>
      </w:r>
    </w:p>
    <w:p>
      <w:pPr>
        <w:spacing w:after="0" w:line="92" w:lineRule="exact"/>
        <w:rPr>
          <w:rFonts w:ascii="Arial" w:cs="Arial" w:eastAsia="Arial" w:hAnsi="Arial"/>
          <w:sz w:val="22"/>
          <w:szCs w:val="22"/>
          <w:color w:val="auto"/>
        </w:rPr>
      </w:pPr>
    </w:p>
    <w:p>
      <w:pPr>
        <w:ind w:left="1780" w:hanging="407"/>
        <w:spacing w:after="0"/>
        <w:tabs>
          <w:tab w:leader="none" w:pos="1780" w:val="left"/>
        </w:tabs>
        <w:numPr>
          <w:ilvl w:val="0"/>
          <w:numId w:val="5"/>
        </w:numPr>
        <w:rPr>
          <w:rFonts w:ascii="Arial" w:cs="Arial" w:eastAsia="Arial" w:hAnsi="Arial"/>
          <w:sz w:val="22"/>
          <w:szCs w:val="22"/>
          <w:color w:val="auto"/>
        </w:rPr>
      </w:pPr>
      <w:r>
        <w:rPr>
          <w:rFonts w:ascii="Arial" w:cs="Arial" w:eastAsia="Arial" w:hAnsi="Arial"/>
          <w:sz w:val="22"/>
          <w:szCs w:val="22"/>
          <w:color w:val="auto"/>
        </w:rPr>
        <w:t>Percent of Class:</w:t>
      </w:r>
    </w:p>
    <w:p>
      <w:pPr>
        <w:spacing w:after="0" w:line="125" w:lineRule="exact"/>
        <w:rPr>
          <w:rFonts w:ascii="Arial" w:cs="Arial" w:eastAsia="Arial" w:hAnsi="Arial"/>
          <w:sz w:val="22"/>
          <w:szCs w:val="22"/>
          <w:color w:val="auto"/>
        </w:rPr>
      </w:pPr>
    </w:p>
    <w:p>
      <w:pPr>
        <w:ind w:left="1780"/>
        <w:spacing w:after="0"/>
        <w:rPr>
          <w:rFonts w:ascii="Arial" w:cs="Arial" w:eastAsia="Arial" w:hAnsi="Arial"/>
          <w:sz w:val="22"/>
          <w:szCs w:val="22"/>
          <w:color w:val="auto"/>
        </w:rPr>
      </w:pPr>
      <w:r>
        <w:rPr>
          <w:rFonts w:ascii="Arial" w:cs="Arial" w:eastAsia="Arial" w:hAnsi="Arial"/>
          <w:sz w:val="22"/>
          <w:szCs w:val="22"/>
          <w:color w:val="auto"/>
        </w:rPr>
        <w:t>5.1%</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5"/>
        </w:numPr>
        <w:rPr>
          <w:rFonts w:ascii="Arial" w:cs="Arial" w:eastAsia="Arial" w:hAnsi="Arial"/>
          <w:sz w:val="22"/>
          <w:szCs w:val="22"/>
          <w:color w:val="auto"/>
        </w:rPr>
      </w:pPr>
      <w:r>
        <w:rPr>
          <w:rFonts w:ascii="Arial" w:cs="Arial" w:eastAsia="Arial" w:hAnsi="Arial"/>
          <w:sz w:val="22"/>
          <w:szCs w:val="22"/>
          <w:color w:val="auto"/>
        </w:rPr>
        <w:t>Number of shares as to which such person has:</w:t>
      </w:r>
    </w:p>
    <w:p>
      <w:pPr>
        <w:spacing w:after="0" w:line="125" w:lineRule="exact"/>
        <w:rPr>
          <w:sz w:val="20"/>
          <w:szCs w:val="20"/>
          <w:color w:val="auto"/>
        </w:rPr>
      </w:pPr>
    </w:p>
    <w:tbl>
      <w:tblPr>
        <w:tblLayout w:type="fixed"/>
        <w:tblInd w:w="1780" w:type="dxa"/>
        <w:tblCellMar>
          <w:top w:w="0" w:type="dxa"/>
          <w:left w:w="0" w:type="dxa"/>
          <w:bottom w:w="0" w:type="dxa"/>
          <w:right w:w="0" w:type="dxa"/>
        </w:tblCellMar>
      </w:tblPr>
      <w:tr>
        <w:trPr>
          <w:trHeight w:val="275"/>
        </w:trPr>
        <w:tc>
          <w:tcPr>
            <w:tcW w:w="380" w:type="dxa"/>
            <w:vAlign w:val="bottom"/>
          </w:tcPr>
          <w:p>
            <w:pPr>
              <w:spacing w:after="0"/>
              <w:rPr>
                <w:sz w:val="20"/>
                <w:szCs w:val="20"/>
                <w:color w:val="auto"/>
              </w:rPr>
            </w:pPr>
            <w:r>
              <w:rPr>
                <w:rFonts w:ascii="Arial" w:cs="Arial" w:eastAsia="Arial" w:hAnsi="Arial"/>
                <w:sz w:val="22"/>
                <w:szCs w:val="22"/>
                <w:color w:val="auto"/>
              </w:rPr>
              <w:t>(i)</w:t>
            </w:r>
          </w:p>
        </w:tc>
        <w:tc>
          <w:tcPr>
            <w:tcW w:w="6180" w:type="dxa"/>
            <w:vAlign w:val="bottom"/>
          </w:tcPr>
          <w:p>
            <w:pPr>
              <w:ind w:left="80"/>
              <w:spacing w:after="0"/>
              <w:rPr>
                <w:sz w:val="20"/>
                <w:szCs w:val="20"/>
                <w:color w:val="auto"/>
              </w:rPr>
            </w:pPr>
            <w:r>
              <w:rPr>
                <w:rFonts w:ascii="Arial" w:cs="Arial" w:eastAsia="Arial" w:hAnsi="Arial"/>
                <w:sz w:val="22"/>
                <w:szCs w:val="22"/>
                <w:color w:val="auto"/>
              </w:rPr>
              <w:t>sole power to vote or to direct the vote</w:t>
            </w:r>
          </w:p>
        </w:tc>
        <w:tc>
          <w:tcPr>
            <w:tcW w:w="2320" w:type="dxa"/>
            <w:vAlign w:val="bottom"/>
          </w:tcPr>
          <w:p>
            <w:pPr>
              <w:ind w:left="1460"/>
              <w:spacing w:after="0"/>
              <w:rPr>
                <w:sz w:val="20"/>
                <w:szCs w:val="20"/>
                <w:color w:val="auto"/>
              </w:rPr>
            </w:pPr>
            <w:r>
              <w:rPr>
                <w:rFonts w:ascii="Arial" w:cs="Arial" w:eastAsia="Arial" w:hAnsi="Arial"/>
                <w:sz w:val="22"/>
                <w:szCs w:val="22"/>
                <w:color w:val="auto"/>
                <w:w w:val="85"/>
              </w:rPr>
              <w:t>2,377,286</w:t>
            </w:r>
          </w:p>
        </w:tc>
      </w:tr>
      <w:tr>
        <w:trPr>
          <w:trHeight w:val="378"/>
        </w:trPr>
        <w:tc>
          <w:tcPr>
            <w:tcW w:w="380" w:type="dxa"/>
            <w:vAlign w:val="bottom"/>
          </w:tcPr>
          <w:p>
            <w:pPr>
              <w:spacing w:after="0"/>
              <w:rPr>
                <w:sz w:val="20"/>
                <w:szCs w:val="20"/>
                <w:color w:val="auto"/>
              </w:rPr>
            </w:pPr>
            <w:r>
              <w:rPr>
                <w:rFonts w:ascii="Arial" w:cs="Arial" w:eastAsia="Arial" w:hAnsi="Arial"/>
                <w:sz w:val="22"/>
                <w:szCs w:val="22"/>
                <w:color w:val="auto"/>
              </w:rPr>
              <w:t>(ii)</w:t>
            </w:r>
          </w:p>
        </w:tc>
        <w:tc>
          <w:tcPr>
            <w:tcW w:w="6180" w:type="dxa"/>
            <w:vAlign w:val="bottom"/>
          </w:tcPr>
          <w:p>
            <w:pPr>
              <w:ind w:left="80"/>
              <w:spacing w:after="0"/>
              <w:rPr>
                <w:sz w:val="20"/>
                <w:szCs w:val="20"/>
                <w:color w:val="auto"/>
              </w:rPr>
            </w:pPr>
            <w:r>
              <w:rPr>
                <w:rFonts w:ascii="Arial" w:cs="Arial" w:eastAsia="Arial" w:hAnsi="Arial"/>
                <w:sz w:val="22"/>
                <w:szCs w:val="22"/>
                <w:color w:val="auto"/>
              </w:rPr>
              <w:t>shared power to vote or to direct the vote</w:t>
            </w:r>
          </w:p>
        </w:tc>
        <w:tc>
          <w:tcPr>
            <w:tcW w:w="2320" w:type="dxa"/>
            <w:vAlign w:val="bottom"/>
          </w:tcPr>
          <w:p>
            <w:pPr>
              <w:ind w:left="1460"/>
              <w:spacing w:after="0"/>
              <w:rPr>
                <w:sz w:val="20"/>
                <w:szCs w:val="20"/>
                <w:color w:val="auto"/>
              </w:rPr>
            </w:pPr>
            <w:r>
              <w:rPr>
                <w:rFonts w:ascii="Arial" w:cs="Arial" w:eastAsia="Arial" w:hAnsi="Arial"/>
                <w:sz w:val="22"/>
                <w:szCs w:val="22"/>
                <w:color w:val="auto"/>
              </w:rPr>
              <w:t>0</w:t>
            </w:r>
          </w:p>
        </w:tc>
      </w:tr>
      <w:tr>
        <w:trPr>
          <w:trHeight w:val="378"/>
        </w:trPr>
        <w:tc>
          <w:tcPr>
            <w:tcW w:w="380" w:type="dxa"/>
            <w:vAlign w:val="bottom"/>
          </w:tcPr>
          <w:p>
            <w:pPr>
              <w:spacing w:after="0"/>
              <w:rPr>
                <w:sz w:val="20"/>
                <w:szCs w:val="20"/>
                <w:color w:val="auto"/>
              </w:rPr>
            </w:pPr>
            <w:r>
              <w:rPr>
                <w:rFonts w:ascii="Arial" w:cs="Arial" w:eastAsia="Arial" w:hAnsi="Arial"/>
                <w:sz w:val="22"/>
                <w:szCs w:val="22"/>
                <w:color w:val="auto"/>
              </w:rPr>
              <w:t>(iii)</w:t>
            </w:r>
          </w:p>
        </w:tc>
        <w:tc>
          <w:tcPr>
            <w:tcW w:w="6180" w:type="dxa"/>
            <w:vAlign w:val="bottom"/>
          </w:tcPr>
          <w:p>
            <w:pPr>
              <w:ind w:left="80"/>
              <w:spacing w:after="0"/>
              <w:rPr>
                <w:sz w:val="20"/>
                <w:szCs w:val="20"/>
                <w:color w:val="auto"/>
              </w:rPr>
            </w:pPr>
            <w:r>
              <w:rPr>
                <w:rFonts w:ascii="Arial" w:cs="Arial" w:eastAsia="Arial" w:hAnsi="Arial"/>
                <w:sz w:val="22"/>
                <w:szCs w:val="22"/>
                <w:color w:val="auto"/>
              </w:rPr>
              <w:t>sole power to dispose or to direct the disposition of</w:t>
            </w:r>
          </w:p>
        </w:tc>
        <w:tc>
          <w:tcPr>
            <w:tcW w:w="2320" w:type="dxa"/>
            <w:vAlign w:val="bottom"/>
          </w:tcPr>
          <w:p>
            <w:pPr>
              <w:ind w:left="1460"/>
              <w:spacing w:after="0"/>
              <w:rPr>
                <w:sz w:val="20"/>
                <w:szCs w:val="20"/>
                <w:color w:val="auto"/>
              </w:rPr>
            </w:pPr>
            <w:r>
              <w:rPr>
                <w:rFonts w:ascii="Arial" w:cs="Arial" w:eastAsia="Arial" w:hAnsi="Arial"/>
                <w:sz w:val="22"/>
                <w:szCs w:val="22"/>
                <w:color w:val="auto"/>
                <w:w w:val="85"/>
              </w:rPr>
              <w:t>2,790,954</w:t>
            </w:r>
          </w:p>
        </w:tc>
      </w:tr>
      <w:tr>
        <w:trPr>
          <w:trHeight w:val="378"/>
        </w:trPr>
        <w:tc>
          <w:tcPr>
            <w:tcW w:w="380" w:type="dxa"/>
            <w:vAlign w:val="bottom"/>
          </w:tcPr>
          <w:p>
            <w:pPr>
              <w:spacing w:after="0"/>
              <w:rPr>
                <w:sz w:val="20"/>
                <w:szCs w:val="20"/>
                <w:color w:val="auto"/>
              </w:rPr>
            </w:pPr>
            <w:r>
              <w:rPr>
                <w:rFonts w:ascii="Arial" w:cs="Arial" w:eastAsia="Arial" w:hAnsi="Arial"/>
                <w:sz w:val="22"/>
                <w:szCs w:val="22"/>
                <w:color w:val="auto"/>
              </w:rPr>
              <w:t>(iv)</w:t>
            </w:r>
          </w:p>
        </w:tc>
        <w:tc>
          <w:tcPr>
            <w:tcW w:w="6180" w:type="dxa"/>
            <w:vAlign w:val="bottom"/>
          </w:tcPr>
          <w:p>
            <w:pPr>
              <w:ind w:left="80"/>
              <w:spacing w:after="0"/>
              <w:rPr>
                <w:sz w:val="20"/>
                <w:szCs w:val="20"/>
                <w:color w:val="auto"/>
              </w:rPr>
            </w:pPr>
            <w:r>
              <w:rPr>
                <w:rFonts w:ascii="Arial" w:cs="Arial" w:eastAsia="Arial" w:hAnsi="Arial"/>
                <w:sz w:val="22"/>
                <w:szCs w:val="22"/>
                <w:color w:val="auto"/>
              </w:rPr>
              <w:t>shared power to dispose or to direct the disposition of</w:t>
            </w:r>
          </w:p>
        </w:tc>
        <w:tc>
          <w:tcPr>
            <w:tcW w:w="2320" w:type="dxa"/>
            <w:vAlign w:val="bottom"/>
          </w:tcPr>
          <w:p>
            <w:pPr>
              <w:ind w:left="1460"/>
              <w:spacing w:after="0"/>
              <w:rPr>
                <w:sz w:val="20"/>
                <w:szCs w:val="20"/>
                <w:color w:val="auto"/>
              </w:rPr>
            </w:pPr>
            <w:r>
              <w:rPr>
                <w:rFonts w:ascii="Arial" w:cs="Arial" w:eastAsia="Arial" w:hAnsi="Arial"/>
                <w:sz w:val="22"/>
                <w:szCs w:val="22"/>
                <w:color w:val="auto"/>
              </w:rPr>
              <w:t>17,668</w:t>
            </w:r>
          </w:p>
        </w:tc>
      </w:tr>
    </w:tbl>
    <w:p>
      <w:pPr>
        <w:spacing w:after="0" w:line="104" w:lineRule="exact"/>
        <w:rPr>
          <w:sz w:val="20"/>
          <w:szCs w:val="20"/>
          <w:color w:val="auto"/>
        </w:rPr>
      </w:pPr>
    </w:p>
    <w:p>
      <w:pPr>
        <w:ind w:right="380"/>
        <w:spacing w:after="0" w:line="297" w:lineRule="auto"/>
        <w:rPr>
          <w:sz w:val="20"/>
          <w:szCs w:val="20"/>
          <w:color w:val="auto"/>
        </w:rPr>
      </w:pPr>
      <w:r>
        <w:rPr>
          <w:rFonts w:ascii="Arial" w:cs="Arial" w:eastAsia="Arial" w:hAnsi="Arial"/>
          <w:sz w:val="19"/>
          <w:szCs w:val="19"/>
          <w:color w:val="auto"/>
        </w:rPr>
        <w:t>*AllianceBernstein L.P. is a majority owned subsidiary of AXA Financial, Inc. and an indirect majority owned subsidiary of AXA SA. AllianceBernstein operates under independent management and makes independent decisions from AXA and AXA Financial and their respective subsidiaries and AXA and AXA Financial calculate and report beneficial ownership separately</w:t>
      </w:r>
    </w:p>
    <w:p>
      <w:pPr>
        <w:sectPr>
          <w:pgSz w:w="11900" w:h="16838" w:orient="portrait"/>
          <w:cols w:equalWidth="0" w:num="1">
            <w:col w:w="11260"/>
          </w:cols>
          <w:pgMar w:left="320" w:top="423" w:right="319" w:bottom="0" w:gutter="0" w:footer="0" w:header="0"/>
          <w:type w:val="continuous"/>
        </w:sectPr>
      </w:pPr>
    </w:p>
    <w:bookmarkStart w:id="3" w:name="page4"/>
    <w:bookmarkEnd w:id="3"/>
    <w:p>
      <w:pPr>
        <w:spacing w:after="0" w:line="251" w:lineRule="auto"/>
        <w:rPr>
          <w:sz w:val="20"/>
          <w:szCs w:val="20"/>
          <w:color w:val="auto"/>
        </w:rPr>
      </w:pPr>
      <w:r>
        <w:rPr>
          <w:rFonts w:ascii="Arial" w:cs="Arial" w:eastAsia="Arial" w:hAnsi="Arial"/>
          <w:sz w:val="22"/>
          <w:szCs w:val="22"/>
          <w:color w:val="auto"/>
        </w:rPr>
        <w:t>from AllianceBernstein pursuant to guidance provided by the Securities and Exchange Commission in Release Number 34-39538 (January 12, 1998).</w:t>
      </w:r>
    </w:p>
    <w:p>
      <w:pPr>
        <w:spacing w:after="0" w:line="201" w:lineRule="exact"/>
        <w:rPr>
          <w:sz w:val="20"/>
          <w:szCs w:val="20"/>
          <w:color w:val="auto"/>
        </w:rPr>
      </w:pPr>
    </w:p>
    <w:p>
      <w:pPr>
        <w:ind w:right="60"/>
        <w:spacing w:after="0" w:line="287" w:lineRule="auto"/>
        <w:rPr>
          <w:sz w:val="20"/>
          <w:szCs w:val="20"/>
          <w:color w:val="auto"/>
        </w:rPr>
      </w:pPr>
      <w:r>
        <w:rPr>
          <w:rFonts w:ascii="Arial" w:cs="Arial" w:eastAsia="Arial" w:hAnsi="Arial"/>
          <w:sz w:val="19"/>
          <w:szCs w:val="19"/>
          <w:color w:val="auto"/>
        </w:rPr>
        <w:t>AllianceBernstein may be deemed to share beneficial ownership with AXA reporting persons by virtue of 17,668 shares of common stock acquired on behalf of the general and special accounts of the affiliated entities for which AllianceBernstein serves as a subadvisor. Each of AllianceBernstein and the AXA entities reporting herein acquired their shares of common stock for investment purposes in the ordinary course of their investment management and insurance businesses.</w:t>
      </w:r>
    </w:p>
    <w:p>
      <w:pPr>
        <w:spacing w:after="0" w:line="56" w:lineRule="exact"/>
        <w:rPr>
          <w:sz w:val="20"/>
          <w:szCs w:val="20"/>
          <w:color w:val="auto"/>
        </w:rPr>
      </w:pPr>
    </w:p>
    <w:p>
      <w:pPr>
        <w:spacing w:after="0"/>
        <w:tabs>
          <w:tab w:leader="none" w:pos="1360" w:val="left"/>
        </w:tabs>
        <w:rPr>
          <w:sz w:val="20"/>
          <w:szCs w:val="20"/>
          <w:color w:val="auto"/>
        </w:rPr>
      </w:pPr>
      <w:r>
        <w:rPr>
          <w:rFonts w:ascii="Arial" w:cs="Arial" w:eastAsia="Arial" w:hAnsi="Arial"/>
          <w:sz w:val="22"/>
          <w:szCs w:val="22"/>
          <w:b w:val="1"/>
          <w:bCs w:val="1"/>
          <w:color w:val="auto"/>
        </w:rPr>
        <w:t>Item 5.</w:t>
      </w:r>
      <w:r>
        <w:rPr>
          <w:sz w:val="20"/>
          <w:szCs w:val="20"/>
          <w:color w:val="auto"/>
        </w:rPr>
        <w:tab/>
      </w:r>
      <w:r>
        <w:rPr>
          <w:rFonts w:ascii="Arial" w:cs="Arial" w:eastAsia="Arial" w:hAnsi="Arial"/>
          <w:sz w:val="19"/>
          <w:szCs w:val="19"/>
          <w:b w:val="1"/>
          <w:bCs w:val="1"/>
          <w:color w:val="auto"/>
        </w:rPr>
        <w:t>Ownership of Five Percent or Less of Class.</w:t>
      </w:r>
    </w:p>
    <w:p>
      <w:pPr>
        <w:spacing w:after="0" w:line="131" w:lineRule="exact"/>
        <w:rPr>
          <w:sz w:val="20"/>
          <w:szCs w:val="20"/>
          <w:color w:val="auto"/>
        </w:rPr>
      </w:pPr>
    </w:p>
    <w:p>
      <w:pPr>
        <w:ind w:left="1380" w:right="40"/>
        <w:spacing w:after="0" w:line="274" w:lineRule="auto"/>
        <w:rPr>
          <w:sz w:val="20"/>
          <w:szCs w:val="20"/>
          <w:color w:val="auto"/>
        </w:rPr>
      </w:pPr>
      <w:r>
        <w:rPr>
          <w:rFonts w:ascii="Arial" w:cs="Arial" w:eastAsia="Arial" w:hAnsi="Arial"/>
          <w:sz w:val="21"/>
          <w:szCs w:val="21"/>
          <w:color w:val="auto"/>
        </w:rPr>
        <w:t>If this statement is being filed to report the fact that as of the date hereof the reporting person has ceased to be the beneficial owner of more than five percent of the class of securities, check the following: [ ]</w:t>
      </w:r>
    </w:p>
    <w:p>
      <w:pPr>
        <w:spacing w:after="0" w:line="64" w:lineRule="exact"/>
        <w:rPr>
          <w:sz w:val="20"/>
          <w:szCs w:val="20"/>
          <w:color w:val="auto"/>
        </w:rPr>
      </w:pPr>
    </w:p>
    <w:p>
      <w:pPr>
        <w:spacing w:after="0"/>
        <w:tabs>
          <w:tab w:leader="none" w:pos="1360" w:val="left"/>
        </w:tabs>
        <w:rPr>
          <w:sz w:val="20"/>
          <w:szCs w:val="20"/>
          <w:color w:val="auto"/>
        </w:rPr>
      </w:pPr>
      <w:r>
        <w:rPr>
          <w:rFonts w:ascii="Arial" w:cs="Arial" w:eastAsia="Arial" w:hAnsi="Arial"/>
          <w:sz w:val="22"/>
          <w:szCs w:val="22"/>
          <w:b w:val="1"/>
          <w:bCs w:val="1"/>
          <w:color w:val="auto"/>
        </w:rPr>
        <w:t>Item 6.</w:t>
      </w:r>
      <w:r>
        <w:rPr>
          <w:sz w:val="20"/>
          <w:szCs w:val="20"/>
          <w:color w:val="auto"/>
        </w:rPr>
        <w:tab/>
      </w:r>
      <w:r>
        <w:rPr>
          <w:rFonts w:ascii="Arial" w:cs="Arial" w:eastAsia="Arial" w:hAnsi="Arial"/>
          <w:sz w:val="19"/>
          <w:szCs w:val="19"/>
          <w:b w:val="1"/>
          <w:bCs w:val="1"/>
          <w:color w:val="auto"/>
        </w:rPr>
        <w:t>Ownership of More than Five Percent on Behalf of Another Person.</w:t>
      </w:r>
    </w:p>
    <w:p>
      <w:pPr>
        <w:spacing w:after="0" w:line="131" w:lineRule="exact"/>
        <w:rPr>
          <w:sz w:val="20"/>
          <w:szCs w:val="20"/>
          <w:color w:val="auto"/>
        </w:rPr>
      </w:pPr>
    </w:p>
    <w:p>
      <w:pPr>
        <w:ind w:left="1380"/>
        <w:spacing w:after="0"/>
        <w:rPr>
          <w:sz w:val="20"/>
          <w:szCs w:val="20"/>
          <w:color w:val="auto"/>
        </w:rPr>
      </w:pPr>
      <w:r>
        <w:rPr>
          <w:rFonts w:ascii="Arial" w:cs="Arial" w:eastAsia="Arial" w:hAnsi="Arial"/>
          <w:sz w:val="22"/>
          <w:szCs w:val="22"/>
          <w:color w:val="auto"/>
        </w:rPr>
        <w:t>Not Applicable</w:t>
      </w:r>
    </w:p>
    <w:p>
      <w:pPr>
        <w:spacing w:after="0" w:line="119" w:lineRule="exact"/>
        <w:rPr>
          <w:sz w:val="20"/>
          <w:szCs w:val="20"/>
          <w:color w:val="auto"/>
        </w:rPr>
      </w:pPr>
    </w:p>
    <w:p>
      <w:pPr>
        <w:ind w:left="1380" w:right="120" w:hanging="1363"/>
        <w:spacing w:after="0" w:line="256" w:lineRule="auto"/>
        <w:tabs>
          <w:tab w:leader="none" w:pos="1360" w:val="left"/>
        </w:tabs>
        <w:rPr>
          <w:sz w:val="20"/>
          <w:szCs w:val="20"/>
          <w:color w:val="auto"/>
        </w:rPr>
      </w:pPr>
      <w:r>
        <w:rPr>
          <w:rFonts w:ascii="Arial" w:cs="Arial" w:eastAsia="Arial" w:hAnsi="Arial"/>
          <w:sz w:val="22"/>
          <w:szCs w:val="22"/>
          <w:b w:val="1"/>
          <w:bCs w:val="1"/>
          <w:color w:val="auto"/>
        </w:rPr>
        <w:t>Item 7.</w:t>
      </w:r>
      <w:r>
        <w:rPr>
          <w:sz w:val="20"/>
          <w:szCs w:val="20"/>
          <w:color w:val="auto"/>
        </w:rPr>
        <w:tab/>
      </w:r>
      <w:r>
        <w:rPr>
          <w:rFonts w:ascii="Arial" w:cs="Arial" w:eastAsia="Arial" w:hAnsi="Arial"/>
          <w:sz w:val="22"/>
          <w:szCs w:val="22"/>
          <w:b w:val="1"/>
          <w:bCs w:val="1"/>
          <w:color w:val="auto"/>
        </w:rPr>
        <w:t>Identification and Classification of the Subsidiary Which Acquired the Security Being Reported on by the Parent Holding Company.</w:t>
      </w:r>
    </w:p>
    <w:p>
      <w:pPr>
        <w:spacing w:after="0" w:line="88" w:lineRule="exact"/>
        <w:rPr>
          <w:sz w:val="20"/>
          <w:szCs w:val="20"/>
          <w:color w:val="auto"/>
        </w:rPr>
      </w:pPr>
    </w:p>
    <w:p>
      <w:pPr>
        <w:ind w:left="1380"/>
        <w:spacing w:after="0"/>
        <w:rPr>
          <w:sz w:val="20"/>
          <w:szCs w:val="20"/>
          <w:color w:val="auto"/>
        </w:rPr>
      </w:pPr>
      <w:r>
        <w:rPr>
          <w:rFonts w:ascii="Arial" w:cs="Arial" w:eastAsia="Arial" w:hAnsi="Arial"/>
          <w:sz w:val="22"/>
          <w:szCs w:val="22"/>
          <w:color w:val="auto"/>
        </w:rPr>
        <w:t>Not Applicable</w:t>
      </w:r>
    </w:p>
    <w:p>
      <w:pPr>
        <w:spacing w:after="0" w:line="119" w:lineRule="exact"/>
        <w:rPr>
          <w:sz w:val="20"/>
          <w:szCs w:val="20"/>
          <w:color w:val="auto"/>
        </w:rPr>
      </w:pPr>
    </w:p>
    <w:p>
      <w:pPr>
        <w:spacing w:after="0"/>
        <w:tabs>
          <w:tab w:leader="none" w:pos="1360" w:val="left"/>
        </w:tabs>
        <w:rPr>
          <w:sz w:val="20"/>
          <w:szCs w:val="20"/>
          <w:color w:val="auto"/>
        </w:rPr>
      </w:pPr>
      <w:r>
        <w:rPr>
          <w:rFonts w:ascii="Arial" w:cs="Arial" w:eastAsia="Arial" w:hAnsi="Arial"/>
          <w:sz w:val="22"/>
          <w:szCs w:val="22"/>
          <w:b w:val="1"/>
          <w:bCs w:val="1"/>
          <w:color w:val="auto"/>
        </w:rPr>
        <w:t>Item 8.</w:t>
      </w:r>
      <w:r>
        <w:rPr>
          <w:sz w:val="20"/>
          <w:szCs w:val="20"/>
          <w:color w:val="auto"/>
        </w:rPr>
        <w:tab/>
      </w:r>
      <w:r>
        <w:rPr>
          <w:rFonts w:ascii="Arial" w:cs="Arial" w:eastAsia="Arial" w:hAnsi="Arial"/>
          <w:sz w:val="19"/>
          <w:szCs w:val="19"/>
          <w:b w:val="1"/>
          <w:bCs w:val="1"/>
          <w:color w:val="auto"/>
        </w:rPr>
        <w:t>Identification and Classification of Members of the Group.</w:t>
      </w:r>
    </w:p>
    <w:p>
      <w:pPr>
        <w:spacing w:after="0" w:line="239" w:lineRule="exact"/>
        <w:rPr>
          <w:sz w:val="20"/>
          <w:szCs w:val="20"/>
          <w:color w:val="auto"/>
        </w:rPr>
      </w:pPr>
    </w:p>
    <w:p>
      <w:pPr>
        <w:ind w:left="1380"/>
        <w:spacing w:after="0"/>
        <w:rPr>
          <w:sz w:val="20"/>
          <w:szCs w:val="20"/>
          <w:color w:val="auto"/>
        </w:rPr>
      </w:pPr>
      <w:r>
        <w:rPr>
          <w:rFonts w:ascii="Arial" w:cs="Arial" w:eastAsia="Arial" w:hAnsi="Arial"/>
          <w:sz w:val="22"/>
          <w:szCs w:val="22"/>
          <w:color w:val="auto"/>
        </w:rPr>
        <w:t>Not Applicable. This schedule is not being filed pursuant to Rule 13d-1(b)(1)(ii)(J) or Rule 13d-1(d).</w:t>
      </w:r>
    </w:p>
    <w:p>
      <w:pPr>
        <w:spacing w:after="0" w:line="119" w:lineRule="exact"/>
        <w:rPr>
          <w:sz w:val="20"/>
          <w:szCs w:val="20"/>
          <w:color w:val="auto"/>
        </w:rPr>
      </w:pPr>
    </w:p>
    <w:p>
      <w:pPr>
        <w:spacing w:after="0"/>
        <w:tabs>
          <w:tab w:leader="none" w:pos="1360" w:val="left"/>
        </w:tabs>
        <w:rPr>
          <w:sz w:val="20"/>
          <w:szCs w:val="20"/>
          <w:color w:val="auto"/>
        </w:rPr>
      </w:pPr>
      <w:r>
        <w:rPr>
          <w:rFonts w:ascii="Arial" w:cs="Arial" w:eastAsia="Arial" w:hAnsi="Arial"/>
          <w:sz w:val="22"/>
          <w:szCs w:val="22"/>
          <w:b w:val="1"/>
          <w:bCs w:val="1"/>
          <w:color w:val="auto"/>
        </w:rPr>
        <w:t>Item 9.</w:t>
      </w:r>
      <w:r>
        <w:rPr>
          <w:sz w:val="20"/>
          <w:szCs w:val="20"/>
          <w:color w:val="auto"/>
        </w:rPr>
        <w:tab/>
      </w:r>
      <w:r>
        <w:rPr>
          <w:rFonts w:ascii="Arial" w:cs="Arial" w:eastAsia="Arial" w:hAnsi="Arial"/>
          <w:sz w:val="19"/>
          <w:szCs w:val="19"/>
          <w:b w:val="1"/>
          <w:bCs w:val="1"/>
          <w:color w:val="auto"/>
        </w:rPr>
        <w:t>Notice of Dissolution of Group.</w:t>
      </w:r>
    </w:p>
    <w:p>
      <w:pPr>
        <w:spacing w:after="0" w:line="239" w:lineRule="exact"/>
        <w:rPr>
          <w:sz w:val="20"/>
          <w:szCs w:val="20"/>
          <w:color w:val="auto"/>
        </w:rPr>
      </w:pPr>
    </w:p>
    <w:p>
      <w:pPr>
        <w:ind w:left="1380"/>
        <w:spacing w:after="0"/>
        <w:rPr>
          <w:sz w:val="20"/>
          <w:szCs w:val="20"/>
          <w:color w:val="auto"/>
        </w:rPr>
      </w:pPr>
      <w:r>
        <w:rPr>
          <w:rFonts w:ascii="Arial" w:cs="Arial" w:eastAsia="Arial" w:hAnsi="Arial"/>
          <w:sz w:val="22"/>
          <w:szCs w:val="22"/>
          <w:color w:val="auto"/>
        </w:rPr>
        <w:t>Not Applicable</w:t>
      </w:r>
    </w:p>
    <w:p>
      <w:pPr>
        <w:spacing w:after="0" w:line="119" w:lineRule="exact"/>
        <w:rPr>
          <w:sz w:val="20"/>
          <w:szCs w:val="20"/>
          <w:color w:val="auto"/>
        </w:rPr>
      </w:pPr>
    </w:p>
    <w:p>
      <w:pPr>
        <w:spacing w:after="0"/>
        <w:tabs>
          <w:tab w:leader="none" w:pos="1360" w:val="left"/>
        </w:tabs>
        <w:rPr>
          <w:sz w:val="20"/>
          <w:szCs w:val="20"/>
          <w:color w:val="auto"/>
        </w:rPr>
      </w:pPr>
      <w:r>
        <w:rPr>
          <w:rFonts w:ascii="Arial" w:cs="Arial" w:eastAsia="Arial" w:hAnsi="Arial"/>
          <w:sz w:val="22"/>
          <w:szCs w:val="22"/>
          <w:b w:val="1"/>
          <w:bCs w:val="1"/>
          <w:color w:val="auto"/>
        </w:rPr>
        <w:t>Item 10.</w:t>
      </w:r>
      <w:r>
        <w:rPr>
          <w:sz w:val="20"/>
          <w:szCs w:val="20"/>
          <w:color w:val="auto"/>
        </w:rPr>
        <w:tab/>
      </w:r>
      <w:r>
        <w:rPr>
          <w:rFonts w:ascii="Arial" w:cs="Arial" w:eastAsia="Arial" w:hAnsi="Arial"/>
          <w:sz w:val="19"/>
          <w:szCs w:val="19"/>
          <w:b w:val="1"/>
          <w:bCs w:val="1"/>
          <w:color w:val="auto"/>
        </w:rPr>
        <w:t>Certification.</w:t>
      </w:r>
    </w:p>
    <w:p>
      <w:pPr>
        <w:spacing w:after="0" w:line="239" w:lineRule="exact"/>
        <w:rPr>
          <w:sz w:val="20"/>
          <w:szCs w:val="20"/>
          <w:color w:val="auto"/>
        </w:rPr>
      </w:pPr>
    </w:p>
    <w:p>
      <w:pPr>
        <w:ind w:left="1380" w:right="20"/>
        <w:spacing w:after="0" w:line="287" w:lineRule="auto"/>
        <w:rPr>
          <w:sz w:val="20"/>
          <w:szCs w:val="20"/>
          <w:color w:val="auto"/>
        </w:rPr>
      </w:pPr>
      <w:r>
        <w:rPr>
          <w:rFonts w:ascii="Arial" w:cs="Arial" w:eastAsia="Arial" w:hAnsi="Arial"/>
          <w:sz w:val="19"/>
          <w:szCs w:val="19"/>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ectPr>
          <w:pgSz w:w="11900" w:h="16838" w:orient="portrait"/>
          <w:cols w:equalWidth="0" w:num="1">
            <w:col w:w="11220"/>
          </w:cols>
          <w:pgMar w:left="320" w:top="118" w:right="359" w:bottom="1440" w:gutter="0" w:footer="0" w:header="0"/>
        </w:sectPr>
      </w:pPr>
    </w:p>
    <w:bookmarkStart w:id="4" w:name="page5"/>
    <w:bookmarkEnd w:id="4"/>
    <w:p>
      <w:pPr>
        <w:jc w:val="center"/>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3765" cy="8890"/>
                    </a:xfrm>
                    <a:prstGeom prst="rect">
                      <a:avLst/>
                    </a:prstGeom>
                    <a:noFill/>
                  </pic:spPr>
                </pic:pic>
              </a:graphicData>
            </a:graphic>
          </wp:anchor>
        </w:drawing>
        <w:t>SIGNATURE</w:t>
      </w:r>
    </w:p>
    <w:p>
      <w:pPr>
        <w:spacing w:after="0" w:line="334" w:lineRule="exact"/>
        <w:rPr>
          <w:sz w:val="20"/>
          <w:szCs w:val="20"/>
          <w:color w:val="auto"/>
        </w:rPr>
      </w:pPr>
    </w:p>
    <w:p>
      <w:pPr>
        <w:ind w:right="259"/>
        <w:spacing w:after="0" w:line="251" w:lineRule="auto"/>
        <w:rPr>
          <w:sz w:val="20"/>
          <w:szCs w:val="20"/>
          <w:color w:val="auto"/>
        </w:rPr>
      </w:pPr>
      <w:r>
        <w:rPr>
          <w:rFonts w:ascii="Arial" w:cs="Arial" w:eastAsia="Arial" w:hAnsi="Arial"/>
          <w:sz w:val="22"/>
          <w:szCs w:val="22"/>
          <w:color w:val="auto"/>
        </w:rPr>
        <w:t>After reasonable inquiry and to the best of my knowledge and belief, I certify that the information set forth in this statement is true, complete and correct.</w:t>
      </w:r>
    </w:p>
    <w:p>
      <w:pPr>
        <w:spacing w:after="0" w:line="254" w:lineRule="exact"/>
        <w:rPr>
          <w:sz w:val="20"/>
          <w:szCs w:val="20"/>
          <w:color w:val="auto"/>
        </w:rPr>
      </w:pPr>
    </w:p>
    <w:p>
      <w:pPr>
        <w:ind w:left="4920"/>
        <w:spacing w:after="0"/>
        <w:rPr>
          <w:sz w:val="20"/>
          <w:szCs w:val="20"/>
          <w:color w:val="auto"/>
        </w:rPr>
      </w:pPr>
      <w:r>
        <w:rPr>
          <w:rFonts w:ascii="Arial" w:cs="Arial" w:eastAsia="Arial" w:hAnsi="Arial"/>
          <w:sz w:val="22"/>
          <w:szCs w:val="22"/>
          <w:color w:val="auto"/>
        </w:rPr>
        <w:t>AllianceBernstein L.P.</w:t>
      </w:r>
    </w:p>
    <w:p>
      <w:pPr>
        <w:spacing w:after="0" w:line="44" w:lineRule="exact"/>
        <w:rPr>
          <w:sz w:val="20"/>
          <w:szCs w:val="20"/>
          <w:color w:val="auto"/>
        </w:rPr>
      </w:pPr>
    </w:p>
    <w:p>
      <w:pPr>
        <w:ind w:left="492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Laurence Bertan</w:t>
      </w:r>
    </w:p>
    <w:p>
      <w:pPr>
        <w:spacing w:after="0" w:line="44" w:lineRule="exact"/>
        <w:rPr>
          <w:sz w:val="20"/>
          <w:szCs w:val="20"/>
          <w:color w:val="auto"/>
        </w:rPr>
      </w:pPr>
    </w:p>
    <w:p>
      <w:pPr>
        <w:ind w:left="4920"/>
        <w:spacing w:after="0"/>
        <w:rPr>
          <w:sz w:val="20"/>
          <w:szCs w:val="20"/>
          <w:color w:val="auto"/>
        </w:rPr>
      </w:pPr>
      <w:r>
        <w:rPr>
          <w:rFonts w:ascii="Arial" w:cs="Arial" w:eastAsia="Arial" w:hAnsi="Arial"/>
          <w:sz w:val="22"/>
          <w:szCs w:val="22"/>
          <w:color w:val="auto"/>
        </w:rPr>
        <w:t>Date: February 14, 2017</w:t>
      </w:r>
    </w:p>
    <w:p>
      <w:pPr>
        <w:spacing w:after="0" w:line="44" w:lineRule="exact"/>
        <w:rPr>
          <w:sz w:val="20"/>
          <w:szCs w:val="20"/>
          <w:color w:val="auto"/>
        </w:rPr>
      </w:pPr>
    </w:p>
    <w:p>
      <w:pPr>
        <w:ind w:left="4920"/>
        <w:spacing w:after="0"/>
        <w:rPr>
          <w:sz w:val="20"/>
          <w:szCs w:val="20"/>
          <w:color w:val="auto"/>
        </w:rPr>
      </w:pPr>
      <w:r>
        <w:rPr>
          <w:rFonts w:ascii="Arial" w:cs="Arial" w:eastAsia="Arial" w:hAnsi="Arial"/>
          <w:sz w:val="22"/>
          <w:szCs w:val="22"/>
          <w:color w:val="auto"/>
        </w:rPr>
        <w:t>Name: Laurence Bertan</w:t>
      </w:r>
    </w:p>
    <w:p>
      <w:pPr>
        <w:spacing w:after="0" w:line="44" w:lineRule="exact"/>
        <w:rPr>
          <w:sz w:val="20"/>
          <w:szCs w:val="20"/>
          <w:color w:val="auto"/>
        </w:rPr>
      </w:pPr>
    </w:p>
    <w:p>
      <w:pPr>
        <w:ind w:left="4920"/>
        <w:spacing w:after="0"/>
        <w:rPr>
          <w:sz w:val="20"/>
          <w:szCs w:val="20"/>
          <w:color w:val="auto"/>
        </w:rPr>
      </w:pPr>
      <w:r>
        <w:rPr>
          <w:rFonts w:ascii="Arial" w:cs="Arial" w:eastAsia="Arial" w:hAnsi="Arial"/>
          <w:sz w:val="19"/>
          <w:szCs w:val="19"/>
          <w:color w:val="auto"/>
        </w:rPr>
        <w:t>Title: SVP and Head of Regulatory Reporting</w:t>
      </w:r>
    </w:p>
    <w:sectPr>
      <w:pgSz w:w="11900" w:h="16838" w:orient="portrait"/>
      <w:cols w:equalWidth="0" w:num="1">
        <w:col w:w="9019"/>
      </w:cols>
      <w:pgMar w:left="1440" w:top="40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lvl w:ilvl="1">
      <w:lvlJc w:val="left"/>
      <w:lvlText w:val="[%2]"/>
      <w:numFmt w:val="upperLetter"/>
      <w:start w:val="24"/>
    </w:lvl>
  </w:abstractNum>
  <w:abstractNum w:abstractNumId="1">
    <w:nsid w:val="2AE8944A"/>
    <w:multiLevelType w:val="hybridMultilevel"/>
    <w:lvl w:ilvl="0">
      <w:lvlJc w:val="left"/>
      <w:lvlText w:val="(%1)"/>
      <w:numFmt w:val="lowerLetter"/>
      <w:start w:val="1"/>
    </w:lvl>
  </w:abstractNum>
  <w:abstractNum w:abstractNumId="2">
    <w:nsid w:val="625558EC"/>
    <w:multiLevelType w:val="hybridMultilevel"/>
    <w:lvl w:ilvl="0">
      <w:lvlJc w:val="left"/>
      <w:lvlText w:val="(%1)"/>
      <w:numFmt w:val="lowerLetter"/>
      <w:start w:val="1"/>
    </w:lvl>
  </w:abstractNum>
  <w:abstractNum w:abstractNumId="3">
    <w:nsid w:val="238E1F29"/>
    <w:multiLevelType w:val="hybridMultilevel"/>
    <w:lvl w:ilvl="0">
      <w:lvlJc w:val="left"/>
      <w:lvlText w:val="(%1)"/>
      <w:numFmt w:val="lowerLetter"/>
      <w:start w:val="1"/>
    </w:lvl>
  </w:abstractNum>
  <w:abstractNum w:abstractNumId="4">
    <w:nsid w:val="46E87CCD"/>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2019-12-06T08:54:55Z</dcterms:created>
  <dcterms:modified xsi:type="dcterms:W3CDTF">2019-12-06T08:54:55Z</dcterms:modified>
</cp:coreProperties>
</file>