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 dated July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20, 2011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1180"/>
        <w:spacing w:after="0" w:line="256" w:lineRule="auto"/>
        <w:rPr>
          <w:sz w:val="20"/>
          <w:szCs w:val="20"/>
          <w:color w:val="auto"/>
        </w:rPr>
      </w:pPr>
      <w:r>
        <w:rPr>
          <w:rFonts w:ascii="Arial" w:cs="Arial" w:eastAsia="Arial" w:hAnsi="Arial"/>
          <w:sz w:val="22"/>
          <w:szCs w:val="22"/>
          <w:b w:val="1"/>
          <w:bCs w:val="1"/>
          <w:color w:val="auto"/>
        </w:rPr>
        <w:t>ICON Reports Second Quarter 2011 Net New Business of $310 million, Revenue of $233 million and EPS of 21c (NASDAQ:ICLR) (ISIN:IE0005711209)</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Second Quarter Fiscal 2011</w:t>
      </w:r>
    </w:p>
    <w:p>
      <w:pPr>
        <w:spacing w:after="0" w:line="206"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revenue of $233 million, a 4% increase year on year.</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EPS was 21 cents.</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Income from operations was $15.5m.</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Operating margin was 7%</w:t>
      </w:r>
    </w:p>
    <w:p>
      <w:pPr>
        <w:spacing w:after="0" w:line="206" w:lineRule="exact"/>
        <w:rPr>
          <w:rFonts w:ascii="Arial" w:cs="Arial" w:eastAsia="Arial" w:hAnsi="Arial"/>
          <w:sz w:val="22"/>
          <w:szCs w:val="22"/>
          <w:b w:val="1"/>
          <w:bCs w:val="1"/>
          <w:color w:val="auto"/>
        </w:rPr>
      </w:pPr>
    </w:p>
    <w:p>
      <w:pPr>
        <w:ind w:right="70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Gross business wins were $357 million representing a gross book to bill of 1.53, net business wins were $310 million representing a net book to bill of 1.3</w:t>
      </w:r>
    </w:p>
    <w:p>
      <w:pPr>
        <w:spacing w:after="0" w:line="162"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Backlog exceeds $2 billion for the first time</w:t>
      </w:r>
    </w:p>
    <w:p>
      <w:pPr>
        <w:spacing w:after="0" w:line="206" w:lineRule="exact"/>
        <w:rPr>
          <w:rFonts w:ascii="Arial" w:cs="Arial" w:eastAsia="Arial" w:hAnsi="Arial"/>
          <w:sz w:val="22"/>
          <w:szCs w:val="22"/>
          <w:b w:val="1"/>
          <w:bCs w:val="1"/>
          <w:color w:val="auto"/>
        </w:rPr>
      </w:pPr>
    </w:p>
    <w:p>
      <w:pPr>
        <w:ind w:right="10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Revenue guidance for 2011 unchanged at $945 - $980 million and adjusted EPS guidance lowered to 50c – 70c as resource build-up for Pfizer partnership increases costs.</w:t>
      </w:r>
    </w:p>
    <w:p>
      <w:pPr>
        <w:spacing w:after="0" w:line="163" w:lineRule="exact"/>
        <w:rPr>
          <w:sz w:val="20"/>
          <w:szCs w:val="20"/>
          <w:color w:val="auto"/>
        </w:rPr>
      </w:pPr>
    </w:p>
    <w:p>
      <w:pPr>
        <w:ind w:right="120"/>
        <w:spacing w:after="0" w:line="243" w:lineRule="auto"/>
        <w:rPr>
          <w:sz w:val="20"/>
          <w:szCs w:val="20"/>
          <w:color w:val="auto"/>
        </w:rPr>
      </w:pPr>
      <w:r>
        <w:rPr>
          <w:rFonts w:ascii="Arial" w:cs="Arial" w:eastAsia="Arial" w:hAnsi="Arial"/>
          <w:sz w:val="22"/>
          <w:szCs w:val="22"/>
          <w:color w:val="auto"/>
        </w:rPr>
        <w:t>DUBLIN--(BUSINESS WIRE)--July 20, 2011--</w:t>
      </w:r>
      <w:r>
        <w:rPr>
          <w:rFonts w:ascii="Arial" w:cs="Arial" w:eastAsia="Arial" w:hAnsi="Arial"/>
          <w:sz w:val="22"/>
          <w:szCs w:val="22"/>
          <w:b w:val="1"/>
          <w:bCs w:val="1"/>
          <w:color w:val="auto"/>
        </w:rPr>
        <w:t>ICON (NASDAQ:ICLR) (ISIN:IE0005711209)</w:t>
      </w:r>
      <w:r>
        <w:rPr>
          <w:rFonts w:ascii="Arial" w:cs="Arial" w:eastAsia="Arial" w:hAnsi="Arial"/>
          <w:sz w:val="22"/>
          <w:szCs w:val="22"/>
          <w:color w:val="auto"/>
        </w:rPr>
        <w:t>, a global provider of outsourced development services to the pharmaceutical, biotechnology and medical device industries, today reported its financial results for the second quarter ended June 30, 2011.</w:t>
      </w:r>
    </w:p>
    <w:p>
      <w:pPr>
        <w:spacing w:after="0" w:line="183"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Net revenue for the quarter was $233 million, an increase of 4.2% on the prior year. Year-to-date, net revenues were $462 million, representing a 4.4% increase over the same period last year.</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Income from operations was $15.5 million or 6.7% of revenue, compared to $25.7 million or 11.5% for the same quarter last year.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Net income was $13 million or 21 cents per share on a diluted basis, compared with $22.9 million or 38 cents per share last year.</w:t>
      </w:r>
    </w:p>
    <w:p>
      <w:pPr>
        <w:spacing w:after="0" w:line="22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Year-to-date income from operations was $31.5 million (before restructuring charges), compared to $52.5 million last year representing a margin of 6.8% in 2011 and a margin of 11.8% in 2010. Net income was $25.9 million or 42 cents per share (before restructuring charges), compared with $45 million or 74 cents per share last year.</w:t>
      </w:r>
    </w:p>
    <w:p>
      <w:pPr>
        <w:spacing w:after="0" w:line="18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49 days at June 30, 2011, the same as at March 31, 2011.</w:t>
      </w:r>
    </w:p>
    <w:p>
      <w:pPr>
        <w:spacing w:after="0" w:line="173"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For the quarter ended June 30, 2011, cash used in operating activities was $6.4 million and capital expenditure was $7 million. The company’s net cash amounted to $215 million at June 30, 2011, compared to net cash of $232 million at March 31, 2011.</w:t>
      </w:r>
    </w:p>
    <w:p>
      <w:pPr>
        <w:spacing w:after="0" w:line="105"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“Our second quarter was in line with our guidance, and new business bookings continued to strengthen, leading to our order backlog exceeding $2bn for the first time” commented CEO Peter Gray. “The investments we have been making in developing the business are progressing satisfactorily”.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9" w:lineRule="auto"/>
        <w:rPr>
          <w:sz w:val="20"/>
          <w:szCs w:val="20"/>
          <w:color w:val="auto"/>
        </w:rPr>
      </w:pPr>
      <w:r>
        <w:rPr>
          <w:rFonts w:ascii="Arial" w:cs="Arial" w:eastAsia="Arial" w:hAnsi="Arial"/>
          <w:sz w:val="19"/>
          <w:szCs w:val="19"/>
          <w:color w:val="auto"/>
        </w:rPr>
        <w:t>“The major achievement of the quarter was our selection by Pfizer as one of their two partners for clinical development”, he continued. “Significant work will be transitioned to ICON over the next two years as this partnership develops which should drive an acceleration in our growth over that time. We are thus increasing our hiring drive and expect to add significant cost in the next two quarters as we gear up to handle work which will be transitioned to us in Q4 and throughout 2012. As a result, while we are not changing our revenue guidance for 2011, we are lowering our EPS guidance to 50c-70c, reflecting significantly increased costs in Q3 without compensating revenue, followed by further cost growth in Q4 with revenues beginning to build”.</w:t>
      </w:r>
    </w:p>
    <w:p>
      <w:pPr>
        <w:spacing w:after="0" w:line="151"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The company will hold its second quarter conference call today, July 20, 2011 at 9:00 EST [14:00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77 locations in 39 countries and has approximately 7,800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Consolidated Income Statements (Unaudited) (Before restructuring charges)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Three and Six Months ended June 30, 2011 and June 30, 2010</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2020" w:type="dxa"/>
            <w:vAlign w:val="bottom"/>
            <w:gridSpan w:val="3"/>
          </w:tcPr>
          <w:p>
            <w:pPr>
              <w:ind w:left="68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3"/>
          </w:tcPr>
          <w:p>
            <w:pPr>
              <w:ind w:left="780"/>
              <w:spacing w:after="0"/>
              <w:rPr>
                <w:sz w:val="20"/>
                <w:szCs w:val="20"/>
                <w:color w:val="auto"/>
              </w:rPr>
            </w:pPr>
            <w:r>
              <w:rPr>
                <w:rFonts w:ascii="Arial" w:cs="Arial" w:eastAsia="Arial" w:hAnsi="Arial"/>
                <w:sz w:val="14"/>
                <w:szCs w:val="14"/>
                <w:b w:val="1"/>
                <w:bCs w:val="1"/>
                <w:color w:val="auto"/>
                <w:w w:val="98"/>
              </w:rPr>
              <w:t>Six Months Ended</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rPr>
                <w:sz w:val="15"/>
                <w:szCs w:val="15"/>
                <w:color w:val="auto"/>
              </w:rPr>
            </w:pPr>
          </w:p>
        </w:tc>
        <w:tc>
          <w:tcPr>
            <w:tcW w:w="2020" w:type="dxa"/>
            <w:vAlign w:val="bottom"/>
            <w:gridSpan w:val="3"/>
          </w:tcPr>
          <w:p>
            <w:pPr>
              <w:ind w:left="74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000" w:type="dxa"/>
            <w:vAlign w:val="bottom"/>
            <w:gridSpan w:val="3"/>
          </w:tcPr>
          <w:p>
            <w:pPr>
              <w:ind w:left="76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2010</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351"/>
        </w:trPr>
        <w:tc>
          <w:tcPr>
            <w:tcW w:w="5500" w:type="dxa"/>
            <w:vAlign w:val="bottom"/>
          </w:tcPr>
          <w:p>
            <w:pPr>
              <w:ind w:left="260"/>
              <w:spacing w:after="0"/>
              <w:rPr>
                <w:sz w:val="20"/>
                <w:szCs w:val="20"/>
                <w:color w:val="auto"/>
              </w:rPr>
            </w:pPr>
            <w:r>
              <w:rPr>
                <w:rFonts w:ascii="Arial" w:cs="Arial" w:eastAsia="Arial" w:hAnsi="Arial"/>
                <w:sz w:val="14"/>
                <w:szCs w:val="14"/>
                <w:color w:val="auto"/>
              </w:rPr>
              <w:t>Gross Revenue</w:t>
            </w:r>
          </w:p>
        </w:tc>
        <w:tc>
          <w:tcPr>
            <w:tcW w:w="1280" w:type="dxa"/>
            <w:vAlign w:val="bottom"/>
          </w:tcPr>
          <w:p>
            <w:pPr>
              <w:jc w:val="right"/>
              <w:spacing w:after="0"/>
              <w:rPr>
                <w:sz w:val="20"/>
                <w:szCs w:val="20"/>
                <w:color w:val="auto"/>
              </w:rPr>
            </w:pPr>
            <w:r>
              <w:rPr>
                <w:rFonts w:ascii="Arial" w:cs="Arial" w:eastAsia="Arial" w:hAnsi="Arial"/>
                <w:sz w:val="14"/>
                <w:szCs w:val="14"/>
                <w:color w:val="auto"/>
              </w:rPr>
              <w:t>317,696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313,087</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623,243</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622,638</w:t>
            </w:r>
          </w:p>
        </w:tc>
        <w:tc>
          <w:tcPr>
            <w:tcW w:w="0" w:type="dxa"/>
            <w:vAlign w:val="bottom"/>
          </w:tcPr>
          <w:p>
            <w:pPr>
              <w:spacing w:after="0"/>
              <w:rPr>
                <w:sz w:val="1"/>
                <w:szCs w:val="1"/>
                <w:color w:val="auto"/>
              </w:rPr>
            </w:pPr>
          </w:p>
        </w:tc>
      </w:tr>
      <w:tr>
        <w:trPr>
          <w:trHeight w:val="351"/>
        </w:trPr>
        <w:tc>
          <w:tcPr>
            <w:tcW w:w="5500" w:type="dxa"/>
            <w:vAlign w:val="bottom"/>
          </w:tcPr>
          <w:p>
            <w:pPr>
              <w:ind w:left="260"/>
              <w:spacing w:after="0"/>
              <w:rPr>
                <w:sz w:val="20"/>
                <w:szCs w:val="20"/>
                <w:color w:val="auto"/>
              </w:rPr>
            </w:pPr>
            <w:r>
              <w:rPr>
                <w:rFonts w:ascii="Arial" w:cs="Arial" w:eastAsia="Arial" w:hAnsi="Arial"/>
                <w:sz w:val="14"/>
                <w:szCs w:val="14"/>
                <w:color w:val="auto"/>
              </w:rPr>
              <w:t>Reimbursable expenses</w:t>
            </w:r>
          </w:p>
        </w:tc>
        <w:tc>
          <w:tcPr>
            <w:tcW w:w="1280" w:type="dxa"/>
            <w:vAlign w:val="bottom"/>
          </w:tcPr>
          <w:p>
            <w:pPr>
              <w:jc w:val="right"/>
              <w:spacing w:after="0"/>
              <w:rPr>
                <w:sz w:val="20"/>
                <w:szCs w:val="20"/>
                <w:color w:val="auto"/>
              </w:rPr>
            </w:pPr>
            <w:r>
              <w:rPr>
                <w:rFonts w:ascii="Arial" w:cs="Arial" w:eastAsia="Arial" w:hAnsi="Arial"/>
                <w:sz w:val="14"/>
                <w:szCs w:val="14"/>
                <w:color w:val="auto"/>
              </w:rPr>
              <w:t>84,651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89,336</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160,901</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179,775</w:t>
            </w:r>
          </w:p>
        </w:tc>
        <w:tc>
          <w:tcPr>
            <w:tcW w:w="0" w:type="dxa"/>
            <w:vAlign w:val="bottom"/>
          </w:tcPr>
          <w:p>
            <w:pPr>
              <w:spacing w:after="0"/>
              <w:rPr>
                <w:sz w:val="1"/>
                <w:szCs w:val="1"/>
                <w:color w:val="auto"/>
              </w:rPr>
            </w:pPr>
          </w:p>
        </w:tc>
      </w:tr>
      <w:tr>
        <w:trPr>
          <w:trHeight w:val="174"/>
        </w:trPr>
        <w:tc>
          <w:tcPr>
            <w:tcW w:w="55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Net Revenue</w:t>
            </w: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233,045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223,751</w:t>
            </w: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462,342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442,863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500" w:type="dxa"/>
            <w:vAlign w:val="bottom"/>
          </w:tcPr>
          <w:p>
            <w:pPr>
              <w:ind w:left="260"/>
              <w:spacing w:after="0"/>
              <w:rPr>
                <w:sz w:val="20"/>
                <w:szCs w:val="20"/>
                <w:color w:val="auto"/>
              </w:rPr>
            </w:pPr>
            <w:r>
              <w:rPr>
                <w:rFonts w:ascii="Arial" w:cs="Arial" w:eastAsia="Arial" w:hAnsi="Arial"/>
                <w:sz w:val="14"/>
                <w:szCs w:val="14"/>
                <w:b w:val="1"/>
                <w:bCs w:val="1"/>
                <w:color w:val="auto"/>
              </w:rPr>
              <w:t>Costs and expenses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260"/>
              <w:spacing w:after="0"/>
              <w:rPr>
                <w:sz w:val="20"/>
                <w:szCs w:val="20"/>
                <w:color w:val="auto"/>
              </w:rPr>
            </w:pPr>
            <w:r>
              <w:rPr>
                <w:rFonts w:ascii="Arial" w:cs="Arial" w:eastAsia="Arial" w:hAnsi="Arial"/>
                <w:sz w:val="14"/>
                <w:szCs w:val="14"/>
                <w:color w:val="auto"/>
              </w:rPr>
              <w:t>Direct costs</w:t>
            </w:r>
          </w:p>
        </w:tc>
        <w:tc>
          <w:tcPr>
            <w:tcW w:w="1280" w:type="dxa"/>
            <w:vAlign w:val="bottom"/>
          </w:tcPr>
          <w:p>
            <w:pPr>
              <w:jc w:val="right"/>
              <w:spacing w:after="0"/>
              <w:rPr>
                <w:sz w:val="20"/>
                <w:szCs w:val="20"/>
                <w:color w:val="auto"/>
              </w:rPr>
            </w:pPr>
            <w:r>
              <w:rPr>
                <w:rFonts w:ascii="Arial" w:cs="Arial" w:eastAsia="Arial" w:hAnsi="Arial"/>
                <w:sz w:val="14"/>
                <w:szCs w:val="14"/>
                <w:color w:val="auto"/>
              </w:rPr>
              <w:t>150,866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130,869</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295,336</w:t>
            </w:r>
          </w:p>
        </w:tc>
        <w:tc>
          <w:tcPr>
            <w:tcW w:w="5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262,187</w:t>
            </w:r>
          </w:p>
        </w:tc>
        <w:tc>
          <w:tcPr>
            <w:tcW w:w="0" w:type="dxa"/>
            <w:vAlign w:val="bottom"/>
          </w:tcPr>
          <w:p>
            <w:pPr>
              <w:spacing w:after="0"/>
              <w:rPr>
                <w:sz w:val="1"/>
                <w:szCs w:val="1"/>
                <w:color w:val="auto"/>
              </w:rPr>
            </w:pPr>
          </w:p>
        </w:tc>
      </w:tr>
      <w:tr>
        <w:trPr>
          <w:trHeight w:val="176"/>
        </w:trPr>
        <w:tc>
          <w:tcPr>
            <w:tcW w:w="550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1280" w:type="dxa"/>
            <w:vAlign w:val="bottom"/>
          </w:tcPr>
          <w:p>
            <w:pPr>
              <w:jc w:val="right"/>
              <w:spacing w:after="0"/>
              <w:rPr>
                <w:sz w:val="20"/>
                <w:szCs w:val="20"/>
                <w:color w:val="auto"/>
              </w:rPr>
            </w:pPr>
            <w:r>
              <w:rPr>
                <w:rFonts w:ascii="Arial" w:cs="Arial" w:eastAsia="Arial" w:hAnsi="Arial"/>
                <w:sz w:val="14"/>
                <w:szCs w:val="14"/>
                <w:color w:val="auto"/>
              </w:rPr>
              <w:t>57,344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58,923</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117,227</w:t>
            </w:r>
          </w:p>
        </w:tc>
        <w:tc>
          <w:tcPr>
            <w:tcW w:w="5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111,217</w:t>
            </w:r>
          </w:p>
        </w:tc>
        <w:tc>
          <w:tcPr>
            <w:tcW w:w="0" w:type="dxa"/>
            <w:vAlign w:val="bottom"/>
          </w:tcPr>
          <w:p>
            <w:pPr>
              <w:spacing w:after="0"/>
              <w:rPr>
                <w:sz w:val="1"/>
                <w:szCs w:val="1"/>
                <w:color w:val="auto"/>
              </w:rPr>
            </w:pPr>
          </w:p>
        </w:tc>
      </w:tr>
      <w:tr>
        <w:trPr>
          <w:trHeight w:val="182"/>
        </w:trPr>
        <w:tc>
          <w:tcPr>
            <w:tcW w:w="550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280" w:type="dxa"/>
            <w:vAlign w:val="bottom"/>
          </w:tcPr>
          <w:p>
            <w:pPr>
              <w:jc w:val="right"/>
              <w:spacing w:after="0"/>
              <w:rPr>
                <w:sz w:val="20"/>
                <w:szCs w:val="20"/>
                <w:color w:val="auto"/>
              </w:rPr>
            </w:pPr>
            <w:r>
              <w:rPr>
                <w:rFonts w:ascii="Arial" w:cs="Arial" w:eastAsia="Arial" w:hAnsi="Arial"/>
                <w:sz w:val="14"/>
                <w:szCs w:val="14"/>
                <w:color w:val="auto"/>
              </w:rPr>
              <w:t>9,329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8,281</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18,302</w:t>
            </w:r>
          </w:p>
        </w:tc>
        <w:tc>
          <w:tcPr>
            <w:tcW w:w="5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17,003</w:t>
            </w:r>
          </w:p>
        </w:tc>
        <w:tc>
          <w:tcPr>
            <w:tcW w:w="0" w:type="dxa"/>
            <w:vAlign w:val="bottom"/>
          </w:tcPr>
          <w:p>
            <w:pPr>
              <w:spacing w:after="0"/>
              <w:rPr>
                <w:sz w:val="1"/>
                <w:szCs w:val="1"/>
                <w:color w:val="auto"/>
              </w:rPr>
            </w:pPr>
          </w:p>
        </w:tc>
      </w:tr>
      <w:tr>
        <w:trPr>
          <w:trHeight w:val="174"/>
        </w:trPr>
        <w:tc>
          <w:tcPr>
            <w:tcW w:w="55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 costs and expenses</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42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217,539</w:t>
            </w: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198,073</w:t>
            </w:r>
          </w:p>
        </w:tc>
        <w:tc>
          <w:tcPr>
            <w:tcW w:w="3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430,865</w:t>
            </w: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390,407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500" w:type="dxa"/>
            <w:vAlign w:val="bottom"/>
          </w:tcPr>
          <w:p>
            <w:pPr>
              <w:ind w:left="260"/>
              <w:spacing w:after="0"/>
              <w:rPr>
                <w:sz w:val="20"/>
                <w:szCs w:val="20"/>
                <w:color w:val="auto"/>
              </w:rPr>
            </w:pPr>
            <w:r>
              <w:rPr>
                <w:rFonts w:ascii="Arial" w:cs="Arial" w:eastAsia="Arial" w:hAnsi="Arial"/>
                <w:sz w:val="14"/>
                <w:szCs w:val="14"/>
                <w:b w:val="1"/>
                <w:bCs w:val="1"/>
                <w:color w:val="auto"/>
              </w:rPr>
              <w:t>Income from operations</w:t>
            </w:r>
          </w:p>
        </w:tc>
        <w:tc>
          <w:tcPr>
            <w:tcW w:w="1280" w:type="dxa"/>
            <w:vAlign w:val="bottom"/>
          </w:tcPr>
          <w:p>
            <w:pPr>
              <w:jc w:val="right"/>
              <w:spacing w:after="0"/>
              <w:rPr>
                <w:sz w:val="20"/>
                <w:szCs w:val="20"/>
                <w:color w:val="auto"/>
              </w:rPr>
            </w:pPr>
            <w:r>
              <w:rPr>
                <w:rFonts w:ascii="Arial" w:cs="Arial" w:eastAsia="Arial" w:hAnsi="Arial"/>
                <w:sz w:val="14"/>
                <w:szCs w:val="14"/>
                <w:color w:val="auto"/>
              </w:rPr>
              <w:t>15,506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25,678</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31,477</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52,456</w:t>
            </w:r>
          </w:p>
        </w:tc>
        <w:tc>
          <w:tcPr>
            <w:tcW w:w="0" w:type="dxa"/>
            <w:vAlign w:val="bottom"/>
          </w:tcPr>
          <w:p>
            <w:pPr>
              <w:spacing w:after="0"/>
              <w:rPr>
                <w:sz w:val="1"/>
                <w:szCs w:val="1"/>
                <w:color w:val="auto"/>
              </w:rPr>
            </w:pPr>
          </w:p>
        </w:tc>
      </w:tr>
      <w:tr>
        <w:trPr>
          <w:trHeight w:val="351"/>
        </w:trPr>
        <w:tc>
          <w:tcPr>
            <w:tcW w:w="5500" w:type="dxa"/>
            <w:vAlign w:val="bottom"/>
          </w:tcPr>
          <w:p>
            <w:pPr>
              <w:ind w:left="260"/>
              <w:spacing w:after="0"/>
              <w:rPr>
                <w:sz w:val="20"/>
                <w:szCs w:val="20"/>
                <w:color w:val="auto"/>
              </w:rPr>
            </w:pPr>
            <w:r>
              <w:rPr>
                <w:rFonts w:ascii="Arial" w:cs="Arial" w:eastAsia="Arial" w:hAnsi="Arial"/>
                <w:sz w:val="14"/>
                <w:szCs w:val="14"/>
                <w:color w:val="auto"/>
              </w:rPr>
              <w:t>Net interest income /(expense)</w:t>
            </w:r>
          </w:p>
        </w:tc>
        <w:tc>
          <w:tcPr>
            <w:tcW w:w="128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61</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172</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4"/>
        </w:trPr>
        <w:tc>
          <w:tcPr>
            <w:tcW w:w="55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Income before provision for income taxes</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42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15,612</w:t>
            </w: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25,739</w:t>
            </w:r>
          </w:p>
        </w:tc>
        <w:tc>
          <w:tcPr>
            <w:tcW w:w="3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31,649</w:t>
            </w: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52,325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500" w:type="dxa"/>
            <w:vAlign w:val="bottom"/>
          </w:tcPr>
          <w:p>
            <w:pPr>
              <w:ind w:left="260"/>
              <w:spacing w:after="0"/>
              <w:rPr>
                <w:sz w:val="20"/>
                <w:szCs w:val="20"/>
                <w:color w:val="auto"/>
              </w:rPr>
            </w:pPr>
            <w:r>
              <w:rPr>
                <w:rFonts w:ascii="Arial" w:cs="Arial" w:eastAsia="Arial" w:hAnsi="Arial"/>
                <w:sz w:val="14"/>
                <w:szCs w:val="14"/>
                <w:color w:val="auto"/>
              </w:rPr>
              <w:t>Provision for income taxes</w:t>
            </w:r>
          </w:p>
        </w:tc>
        <w:tc>
          <w:tcPr>
            <w:tcW w:w="1280" w:type="dxa"/>
            <w:vAlign w:val="bottom"/>
          </w:tcPr>
          <w:p>
            <w:pPr>
              <w:jc w:val="right"/>
              <w:spacing w:after="0"/>
              <w:rPr>
                <w:sz w:val="20"/>
                <w:szCs w:val="20"/>
                <w:color w:val="auto"/>
              </w:rPr>
            </w:pPr>
            <w:r>
              <w:rPr>
                <w:rFonts w:ascii="Arial" w:cs="Arial" w:eastAsia="Arial" w:hAnsi="Arial"/>
                <w:sz w:val="14"/>
                <w:szCs w:val="14"/>
                <w:color w:val="auto"/>
              </w:rPr>
              <w:t>2,530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2,866</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5,761</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7,253</w:t>
            </w:r>
          </w:p>
        </w:tc>
        <w:tc>
          <w:tcPr>
            <w:tcW w:w="0" w:type="dxa"/>
            <w:vAlign w:val="bottom"/>
          </w:tcPr>
          <w:p>
            <w:pPr>
              <w:spacing w:after="0"/>
              <w:rPr>
                <w:sz w:val="1"/>
                <w:szCs w:val="1"/>
                <w:color w:val="auto"/>
              </w:rPr>
            </w:pPr>
          </w:p>
        </w:tc>
      </w:tr>
      <w:tr>
        <w:trPr>
          <w:trHeight w:val="174"/>
        </w:trPr>
        <w:tc>
          <w:tcPr>
            <w:tcW w:w="55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Net income</w:t>
            </w: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500" w:type="dxa"/>
            <w:vAlign w:val="bottom"/>
            <w:vMerge w:val="continue"/>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13,082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22,873</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25,888</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45,072</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60"/>
              <w:spacing w:after="0"/>
              <w:rPr>
                <w:sz w:val="20"/>
                <w:szCs w:val="20"/>
                <w:color w:val="auto"/>
              </w:rPr>
            </w:pPr>
            <w:r>
              <w:rPr>
                <w:rFonts w:ascii="Arial" w:cs="Arial" w:eastAsia="Arial" w:hAnsi="Arial"/>
                <w:sz w:val="14"/>
                <w:szCs w:val="14"/>
                <w:color w:val="auto"/>
              </w:rPr>
              <w:t>Net income per ordinary share</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500" w:type="dxa"/>
            <w:vAlign w:val="bottom"/>
          </w:tcPr>
          <w:p>
            <w:pPr>
              <w:ind w:left="260"/>
              <w:spacing w:after="0"/>
              <w:rPr>
                <w:sz w:val="20"/>
                <w:szCs w:val="20"/>
                <w:color w:val="auto"/>
              </w:rPr>
            </w:pPr>
            <w:r>
              <w:rPr>
                <w:rFonts w:ascii="Arial" w:cs="Arial" w:eastAsia="Arial" w:hAnsi="Arial"/>
                <w:sz w:val="14"/>
                <w:szCs w:val="14"/>
                <w:color w:val="auto"/>
              </w:rPr>
              <w:t>Basic</w:t>
            </w:r>
          </w:p>
        </w:tc>
        <w:tc>
          <w:tcPr>
            <w:tcW w:w="1280" w:type="dxa"/>
            <w:vAlign w:val="bottom"/>
          </w:tcPr>
          <w:p>
            <w:pPr>
              <w:jc w:val="right"/>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$0.38</w:t>
            </w: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500" w:type="dxa"/>
            <w:vAlign w:val="bottom"/>
          </w:tcPr>
          <w:p>
            <w:pPr>
              <w:ind w:left="260"/>
              <w:spacing w:after="0"/>
              <w:rPr>
                <w:sz w:val="20"/>
                <w:szCs w:val="20"/>
                <w:color w:val="auto"/>
              </w:rPr>
            </w:pPr>
            <w:r>
              <w:rPr>
                <w:rFonts w:ascii="Arial" w:cs="Arial" w:eastAsia="Arial" w:hAnsi="Arial"/>
                <w:sz w:val="14"/>
                <w:szCs w:val="14"/>
                <w:color w:val="auto"/>
              </w:rPr>
              <w:t>Diluted</w:t>
            </w:r>
          </w:p>
        </w:tc>
        <w:tc>
          <w:tcPr>
            <w:tcW w:w="128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$0.38</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339"/>
        </w:trPr>
        <w:tc>
          <w:tcPr>
            <w:tcW w:w="5500" w:type="dxa"/>
            <w:vAlign w:val="bottom"/>
          </w:tcPr>
          <w:p>
            <w:pPr>
              <w:ind w:left="260"/>
              <w:spacing w:after="0"/>
              <w:rPr>
                <w:sz w:val="20"/>
                <w:szCs w:val="20"/>
                <w:color w:val="auto"/>
              </w:rPr>
            </w:pPr>
            <w:r>
              <w:rPr>
                <w:rFonts w:ascii="Arial" w:cs="Arial" w:eastAsia="Arial" w:hAnsi="Arial"/>
                <w:sz w:val="14"/>
                <w:szCs w:val="14"/>
                <w:color w:val="auto"/>
              </w:rPr>
              <w:t>Weighted average number of ordinary shares</w:t>
            </w: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500" w:type="dxa"/>
            <w:vAlign w:val="bottom"/>
          </w:tcPr>
          <w:p>
            <w:pPr>
              <w:ind w:left="260"/>
              <w:spacing w:after="0"/>
              <w:rPr>
                <w:sz w:val="20"/>
                <w:szCs w:val="20"/>
                <w:color w:val="auto"/>
              </w:rPr>
            </w:pPr>
            <w:r>
              <w:rPr>
                <w:rFonts w:ascii="Arial" w:cs="Arial" w:eastAsia="Arial" w:hAnsi="Arial"/>
                <w:sz w:val="14"/>
                <w:szCs w:val="14"/>
                <w:color w:val="auto"/>
              </w:rPr>
              <w:t>Basic</w:t>
            </w:r>
          </w:p>
        </w:tc>
        <w:tc>
          <w:tcPr>
            <w:tcW w:w="1280" w:type="dxa"/>
            <w:vAlign w:val="bottom"/>
          </w:tcPr>
          <w:p>
            <w:pPr>
              <w:jc w:val="right"/>
              <w:spacing w:after="0"/>
              <w:rPr>
                <w:sz w:val="20"/>
                <w:szCs w:val="20"/>
                <w:color w:val="auto"/>
              </w:rPr>
            </w:pPr>
            <w:r>
              <w:rPr>
                <w:rFonts w:ascii="Arial" w:cs="Arial" w:eastAsia="Arial" w:hAnsi="Arial"/>
                <w:sz w:val="14"/>
                <w:szCs w:val="14"/>
                <w:color w:val="auto"/>
              </w:rPr>
              <w:t>60,390,788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w w:val="91"/>
              </w:rPr>
              <w:t>59,667,635</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60,336,933</w:t>
            </w:r>
          </w:p>
        </w:tc>
        <w:tc>
          <w:tcPr>
            <w:tcW w:w="5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59,395,142</w:t>
            </w:r>
          </w:p>
        </w:tc>
        <w:tc>
          <w:tcPr>
            <w:tcW w:w="0" w:type="dxa"/>
            <w:vAlign w:val="bottom"/>
          </w:tcPr>
          <w:p>
            <w:pPr>
              <w:spacing w:after="0"/>
              <w:rPr>
                <w:sz w:val="1"/>
                <w:szCs w:val="1"/>
                <w:color w:val="auto"/>
              </w:rPr>
            </w:pPr>
          </w:p>
        </w:tc>
      </w:tr>
      <w:tr>
        <w:trPr>
          <w:trHeight w:val="351"/>
        </w:trPr>
        <w:tc>
          <w:tcPr>
            <w:tcW w:w="5500" w:type="dxa"/>
            <w:vAlign w:val="bottom"/>
          </w:tcPr>
          <w:p>
            <w:pPr>
              <w:ind w:left="260"/>
              <w:spacing w:after="0"/>
              <w:rPr>
                <w:sz w:val="20"/>
                <w:szCs w:val="20"/>
                <w:color w:val="auto"/>
              </w:rPr>
            </w:pPr>
            <w:r>
              <w:rPr>
                <w:rFonts w:ascii="Arial" w:cs="Arial" w:eastAsia="Arial" w:hAnsi="Arial"/>
                <w:sz w:val="14"/>
                <w:szCs w:val="14"/>
                <w:color w:val="auto"/>
              </w:rPr>
              <w:t>Diluted</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61,114,996</w:t>
            </w: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w w:val="91"/>
              </w:rPr>
              <w:t>60,768,374</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61,056,232</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60,557,687</w:t>
            </w:r>
          </w:p>
        </w:tc>
        <w:tc>
          <w:tcPr>
            <w:tcW w:w="0" w:type="dxa"/>
            <w:vAlign w:val="bottom"/>
          </w:tcPr>
          <w:p>
            <w:pPr>
              <w:spacing w:after="0"/>
              <w:rPr>
                <w:sz w:val="1"/>
                <w:szCs w:val="1"/>
                <w:color w:val="auto"/>
              </w:rPr>
            </w:pPr>
          </w:p>
        </w:tc>
      </w:tr>
      <w:tr>
        <w:trPr>
          <w:trHeight w:val="134"/>
        </w:trPr>
        <w:tc>
          <w:tcPr>
            <w:tcW w:w="550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50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4160" w:type="dxa"/>
            <w:vAlign w:val="bottom"/>
            <w:gridSpan w:val="4"/>
          </w:tcPr>
          <w:p>
            <w:pPr>
              <w:jc w:val="center"/>
              <w:ind w:left="568"/>
              <w:spacing w:after="0"/>
              <w:rPr>
                <w:sz w:val="20"/>
                <w:szCs w:val="20"/>
                <w:color w:val="auto"/>
              </w:rPr>
            </w:pPr>
            <w:r>
              <w:rPr>
                <w:rFonts w:ascii="Arial" w:cs="Arial" w:eastAsia="Arial" w:hAnsi="Arial"/>
                <w:sz w:val="14"/>
                <w:szCs w:val="14"/>
                <w:b w:val="1"/>
                <w:bCs w:val="1"/>
                <w:color w:val="auto"/>
              </w:rPr>
              <w:t>ICON plc</w:t>
            </w: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360" w:type="dxa"/>
            <w:vAlign w:val="bottom"/>
          </w:tcPr>
          <w:p>
            <w:pPr>
              <w:spacing w:after="0"/>
              <w:rPr>
                <w:sz w:val="24"/>
                <w:szCs w:val="24"/>
                <w:color w:val="auto"/>
              </w:rPr>
            </w:pPr>
          </w:p>
        </w:tc>
        <w:tc>
          <w:tcPr>
            <w:tcW w:w="52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Consolidated Income Statements (Unaudited) (US GAAP)</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60" w:type="dxa"/>
            <w:vAlign w:val="bottom"/>
          </w:tcPr>
          <w:p>
            <w:pPr>
              <w:spacing w:after="0"/>
              <w:rPr>
                <w:sz w:val="24"/>
                <w:szCs w:val="24"/>
                <w:color w:val="auto"/>
              </w:rPr>
            </w:pPr>
          </w:p>
        </w:tc>
        <w:tc>
          <w:tcPr>
            <w:tcW w:w="52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and Six Months ended June 30, 2011 and June 30, 2010</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4160" w:type="dxa"/>
            <w:vAlign w:val="bottom"/>
            <w:gridSpan w:val="4"/>
          </w:tcPr>
          <w:p>
            <w:pPr>
              <w:jc w:val="center"/>
              <w:ind w:left="56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20" w:type="dxa"/>
            <w:vAlign w:val="bottom"/>
            <w:gridSpan w:val="3"/>
          </w:tcPr>
          <w:p>
            <w:pPr>
              <w:ind w:left="68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3"/>
          </w:tcPr>
          <w:p>
            <w:pPr>
              <w:ind w:left="780"/>
              <w:spacing w:after="0"/>
              <w:rPr>
                <w:sz w:val="20"/>
                <w:szCs w:val="20"/>
                <w:color w:val="auto"/>
              </w:rPr>
            </w:pPr>
            <w:r>
              <w:rPr>
                <w:rFonts w:ascii="Arial" w:cs="Arial" w:eastAsia="Arial" w:hAnsi="Arial"/>
                <w:sz w:val="14"/>
                <w:szCs w:val="14"/>
                <w:b w:val="1"/>
                <w:bCs w:val="1"/>
                <w:color w:val="auto"/>
                <w:w w:val="98"/>
              </w:rPr>
              <w:t>Six Months Ended</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20" w:type="dxa"/>
            <w:vAlign w:val="bottom"/>
            <w:gridSpan w:val="3"/>
          </w:tcPr>
          <w:p>
            <w:pPr>
              <w:ind w:left="74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000" w:type="dxa"/>
            <w:vAlign w:val="bottom"/>
            <w:gridSpan w:val="3"/>
          </w:tcPr>
          <w:p>
            <w:pPr>
              <w:ind w:left="76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3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2010</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351"/>
        </w:trPr>
        <w:tc>
          <w:tcPr>
            <w:tcW w:w="3360" w:type="dxa"/>
            <w:vAlign w:val="bottom"/>
          </w:tcPr>
          <w:p>
            <w:pPr>
              <w:ind w:left="260"/>
              <w:spacing w:after="0"/>
              <w:rPr>
                <w:sz w:val="20"/>
                <w:szCs w:val="20"/>
                <w:color w:val="auto"/>
              </w:rPr>
            </w:pPr>
            <w:r>
              <w:rPr>
                <w:rFonts w:ascii="Arial" w:cs="Arial" w:eastAsia="Arial" w:hAnsi="Arial"/>
                <w:sz w:val="14"/>
                <w:szCs w:val="14"/>
                <w:color w:val="auto"/>
              </w:rPr>
              <w:t>Gross Revenue</w:t>
            </w:r>
          </w:p>
        </w:tc>
        <w:tc>
          <w:tcPr>
            <w:tcW w:w="3420" w:type="dxa"/>
            <w:vAlign w:val="bottom"/>
            <w:gridSpan w:val="2"/>
          </w:tcPr>
          <w:p>
            <w:pPr>
              <w:jc w:val="right"/>
              <w:spacing w:after="0"/>
              <w:rPr>
                <w:sz w:val="20"/>
                <w:szCs w:val="20"/>
                <w:color w:val="auto"/>
              </w:rPr>
            </w:pPr>
            <w:r>
              <w:rPr>
                <w:rFonts w:ascii="Arial" w:cs="Arial" w:eastAsia="Arial" w:hAnsi="Arial"/>
                <w:sz w:val="14"/>
                <w:szCs w:val="14"/>
                <w:color w:val="auto"/>
              </w:rPr>
              <w:t>317,696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313,087</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623,243</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622,638</w:t>
            </w:r>
          </w:p>
        </w:tc>
        <w:tc>
          <w:tcPr>
            <w:tcW w:w="0" w:type="dxa"/>
            <w:vAlign w:val="bottom"/>
          </w:tcPr>
          <w:p>
            <w:pPr>
              <w:spacing w:after="0"/>
              <w:rPr>
                <w:sz w:val="1"/>
                <w:szCs w:val="1"/>
                <w:color w:val="auto"/>
              </w:rPr>
            </w:pPr>
          </w:p>
        </w:tc>
      </w:tr>
      <w:tr>
        <w:trPr>
          <w:trHeight w:val="351"/>
        </w:trPr>
        <w:tc>
          <w:tcPr>
            <w:tcW w:w="3360" w:type="dxa"/>
            <w:vAlign w:val="bottom"/>
          </w:tcPr>
          <w:p>
            <w:pPr>
              <w:ind w:left="260"/>
              <w:spacing w:after="0"/>
              <w:rPr>
                <w:sz w:val="20"/>
                <w:szCs w:val="20"/>
                <w:color w:val="auto"/>
              </w:rPr>
            </w:pPr>
            <w:r>
              <w:rPr>
                <w:rFonts w:ascii="Arial" w:cs="Arial" w:eastAsia="Arial" w:hAnsi="Arial"/>
                <w:sz w:val="14"/>
                <w:szCs w:val="14"/>
                <w:color w:val="auto"/>
              </w:rPr>
              <w:t>Reimbursable expenses</w:t>
            </w:r>
          </w:p>
        </w:tc>
        <w:tc>
          <w:tcPr>
            <w:tcW w:w="3420" w:type="dxa"/>
            <w:vAlign w:val="bottom"/>
            <w:gridSpan w:val="2"/>
          </w:tcPr>
          <w:p>
            <w:pPr>
              <w:jc w:val="right"/>
              <w:spacing w:after="0"/>
              <w:rPr>
                <w:sz w:val="20"/>
                <w:szCs w:val="20"/>
                <w:color w:val="auto"/>
              </w:rPr>
            </w:pPr>
            <w:r>
              <w:rPr>
                <w:rFonts w:ascii="Arial" w:cs="Arial" w:eastAsia="Arial" w:hAnsi="Arial"/>
                <w:sz w:val="14"/>
                <w:szCs w:val="14"/>
                <w:color w:val="auto"/>
              </w:rPr>
              <w:t>84,651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89,336</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160,901</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179,775</w:t>
            </w:r>
          </w:p>
        </w:tc>
        <w:tc>
          <w:tcPr>
            <w:tcW w:w="0" w:type="dxa"/>
            <w:vAlign w:val="bottom"/>
          </w:tcPr>
          <w:p>
            <w:pPr>
              <w:spacing w:after="0"/>
              <w:rPr>
                <w:sz w:val="1"/>
                <w:szCs w:val="1"/>
                <w:color w:val="auto"/>
              </w:rPr>
            </w:pPr>
          </w:p>
        </w:tc>
      </w:tr>
      <w:tr>
        <w:trPr>
          <w:trHeight w:val="174"/>
        </w:trPr>
        <w:tc>
          <w:tcPr>
            <w:tcW w:w="3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Net Revenue</w:t>
            </w:r>
          </w:p>
        </w:tc>
        <w:tc>
          <w:tcPr>
            <w:tcW w:w="34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233,045</w:t>
            </w: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223,751</w:t>
            </w:r>
          </w:p>
        </w:tc>
        <w:tc>
          <w:tcPr>
            <w:tcW w:w="3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462,342</w:t>
            </w: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442,863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360" w:type="dxa"/>
            <w:vAlign w:val="bottom"/>
          </w:tcPr>
          <w:p>
            <w:pPr>
              <w:ind w:left="260"/>
              <w:spacing w:after="0"/>
              <w:rPr>
                <w:sz w:val="20"/>
                <w:szCs w:val="20"/>
                <w:color w:val="auto"/>
              </w:rPr>
            </w:pPr>
            <w:r>
              <w:rPr>
                <w:rFonts w:ascii="Arial" w:cs="Arial" w:eastAsia="Arial" w:hAnsi="Arial"/>
                <w:sz w:val="14"/>
                <w:szCs w:val="14"/>
                <w:b w:val="1"/>
                <w:bCs w:val="1"/>
                <w:color w:val="auto"/>
              </w:rPr>
              <w:t>Costs and expenses</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260"/>
              <w:spacing w:after="0"/>
              <w:rPr>
                <w:sz w:val="20"/>
                <w:szCs w:val="20"/>
                <w:color w:val="auto"/>
              </w:rPr>
            </w:pPr>
            <w:r>
              <w:rPr>
                <w:rFonts w:ascii="Arial" w:cs="Arial" w:eastAsia="Arial" w:hAnsi="Arial"/>
                <w:sz w:val="14"/>
                <w:szCs w:val="14"/>
                <w:color w:val="auto"/>
              </w:rPr>
              <w:t>Direct costs</w:t>
            </w:r>
          </w:p>
        </w:tc>
        <w:tc>
          <w:tcPr>
            <w:tcW w:w="3420" w:type="dxa"/>
            <w:vAlign w:val="bottom"/>
            <w:gridSpan w:val="2"/>
          </w:tcPr>
          <w:p>
            <w:pPr>
              <w:jc w:val="right"/>
              <w:spacing w:after="0"/>
              <w:rPr>
                <w:sz w:val="20"/>
                <w:szCs w:val="20"/>
                <w:color w:val="auto"/>
              </w:rPr>
            </w:pPr>
            <w:r>
              <w:rPr>
                <w:rFonts w:ascii="Arial" w:cs="Arial" w:eastAsia="Arial" w:hAnsi="Arial"/>
                <w:sz w:val="14"/>
                <w:szCs w:val="14"/>
                <w:color w:val="auto"/>
              </w:rPr>
              <w:t>150,866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130,869</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295,336</w:t>
            </w:r>
          </w:p>
        </w:tc>
        <w:tc>
          <w:tcPr>
            <w:tcW w:w="5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262,187</w:t>
            </w:r>
          </w:p>
        </w:tc>
        <w:tc>
          <w:tcPr>
            <w:tcW w:w="0" w:type="dxa"/>
            <w:vAlign w:val="bottom"/>
          </w:tcPr>
          <w:p>
            <w:pPr>
              <w:spacing w:after="0"/>
              <w:rPr>
                <w:sz w:val="1"/>
                <w:szCs w:val="1"/>
                <w:color w:val="auto"/>
              </w:rPr>
            </w:pPr>
          </w:p>
        </w:tc>
      </w:tr>
      <w:tr>
        <w:trPr>
          <w:trHeight w:val="176"/>
        </w:trPr>
        <w:tc>
          <w:tcPr>
            <w:tcW w:w="336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3420" w:type="dxa"/>
            <w:vAlign w:val="bottom"/>
            <w:gridSpan w:val="2"/>
          </w:tcPr>
          <w:p>
            <w:pPr>
              <w:jc w:val="right"/>
              <w:spacing w:after="0"/>
              <w:rPr>
                <w:sz w:val="20"/>
                <w:szCs w:val="20"/>
                <w:color w:val="auto"/>
              </w:rPr>
            </w:pPr>
            <w:r>
              <w:rPr>
                <w:rFonts w:ascii="Arial" w:cs="Arial" w:eastAsia="Arial" w:hAnsi="Arial"/>
                <w:sz w:val="14"/>
                <w:szCs w:val="14"/>
                <w:color w:val="auto"/>
              </w:rPr>
              <w:t>57,344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58,923</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117,227</w:t>
            </w:r>
          </w:p>
        </w:tc>
        <w:tc>
          <w:tcPr>
            <w:tcW w:w="5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111,217</w:t>
            </w:r>
          </w:p>
        </w:tc>
        <w:tc>
          <w:tcPr>
            <w:tcW w:w="0" w:type="dxa"/>
            <w:vAlign w:val="bottom"/>
          </w:tcPr>
          <w:p>
            <w:pPr>
              <w:spacing w:after="0"/>
              <w:rPr>
                <w:sz w:val="1"/>
                <w:szCs w:val="1"/>
                <w:color w:val="auto"/>
              </w:rPr>
            </w:pPr>
          </w:p>
        </w:tc>
      </w:tr>
      <w:tr>
        <w:trPr>
          <w:trHeight w:val="176"/>
        </w:trPr>
        <w:tc>
          <w:tcPr>
            <w:tcW w:w="336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3420" w:type="dxa"/>
            <w:vAlign w:val="bottom"/>
            <w:gridSpan w:val="2"/>
          </w:tcPr>
          <w:p>
            <w:pPr>
              <w:jc w:val="right"/>
              <w:spacing w:after="0"/>
              <w:rPr>
                <w:sz w:val="20"/>
                <w:szCs w:val="20"/>
                <w:color w:val="auto"/>
              </w:rPr>
            </w:pPr>
            <w:r>
              <w:rPr>
                <w:rFonts w:ascii="Arial" w:cs="Arial" w:eastAsia="Arial" w:hAnsi="Arial"/>
                <w:sz w:val="14"/>
                <w:szCs w:val="14"/>
                <w:color w:val="auto"/>
              </w:rPr>
              <w:t>9,329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8,281</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18,302</w:t>
            </w:r>
          </w:p>
        </w:tc>
        <w:tc>
          <w:tcPr>
            <w:tcW w:w="5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17,003</w:t>
            </w:r>
          </w:p>
        </w:tc>
        <w:tc>
          <w:tcPr>
            <w:tcW w:w="0" w:type="dxa"/>
            <w:vAlign w:val="bottom"/>
          </w:tcPr>
          <w:p>
            <w:pPr>
              <w:spacing w:after="0"/>
              <w:rPr>
                <w:sz w:val="1"/>
                <w:szCs w:val="1"/>
                <w:color w:val="auto"/>
              </w:rPr>
            </w:pPr>
          </w:p>
        </w:tc>
      </w:tr>
      <w:tr>
        <w:trPr>
          <w:trHeight w:val="181"/>
        </w:trPr>
        <w:tc>
          <w:tcPr>
            <w:tcW w:w="3360" w:type="dxa"/>
            <w:vAlign w:val="bottom"/>
          </w:tcPr>
          <w:p>
            <w:pPr>
              <w:ind w:left="260"/>
              <w:spacing w:after="0"/>
              <w:rPr>
                <w:sz w:val="20"/>
                <w:szCs w:val="20"/>
                <w:color w:val="auto"/>
              </w:rPr>
            </w:pPr>
            <w:r>
              <w:rPr>
                <w:rFonts w:ascii="Arial" w:cs="Arial" w:eastAsia="Arial" w:hAnsi="Arial"/>
                <w:sz w:val="14"/>
                <w:szCs w:val="14"/>
                <w:color w:val="auto"/>
              </w:rPr>
              <w:t>Restructuring Charges</w:t>
            </w:r>
          </w:p>
        </w:tc>
        <w:tc>
          <w:tcPr>
            <w:tcW w:w="3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5,002</w:t>
            </w:r>
          </w:p>
        </w:tc>
        <w:tc>
          <w:tcPr>
            <w:tcW w:w="5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360" w:type="dxa"/>
            <w:vAlign w:val="bottom"/>
          </w:tcPr>
          <w:p>
            <w:pPr>
              <w:ind w:left="260"/>
              <w:spacing w:after="0"/>
              <w:rPr>
                <w:sz w:val="20"/>
                <w:szCs w:val="20"/>
                <w:color w:val="auto"/>
              </w:rPr>
            </w:pPr>
            <w:r>
              <w:rPr>
                <w:rFonts w:ascii="Arial" w:cs="Arial" w:eastAsia="Arial" w:hAnsi="Arial"/>
                <w:sz w:val="14"/>
                <w:szCs w:val="14"/>
                <w:b w:val="1"/>
                <w:bCs w:val="1"/>
                <w:color w:val="auto"/>
              </w:rPr>
              <w:t>Total costs and expenses</w:t>
            </w:r>
          </w:p>
        </w:tc>
        <w:tc>
          <w:tcPr>
            <w:tcW w:w="214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217,539</w:t>
            </w: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198,073</w:t>
            </w:r>
          </w:p>
        </w:tc>
        <w:tc>
          <w:tcPr>
            <w:tcW w:w="3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435,867</w:t>
            </w: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390,407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360" w:type="dxa"/>
            <w:vAlign w:val="bottom"/>
          </w:tcPr>
          <w:p>
            <w:pPr>
              <w:ind w:left="260"/>
              <w:spacing w:after="0"/>
              <w:rPr>
                <w:sz w:val="20"/>
                <w:szCs w:val="20"/>
                <w:color w:val="auto"/>
              </w:rPr>
            </w:pPr>
            <w:r>
              <w:rPr>
                <w:rFonts w:ascii="Arial" w:cs="Arial" w:eastAsia="Arial" w:hAnsi="Arial"/>
                <w:sz w:val="14"/>
                <w:szCs w:val="14"/>
                <w:b w:val="1"/>
                <w:bCs w:val="1"/>
                <w:color w:val="auto"/>
              </w:rPr>
              <w:t>Income from operations</w:t>
            </w:r>
          </w:p>
        </w:tc>
        <w:tc>
          <w:tcPr>
            <w:tcW w:w="3420" w:type="dxa"/>
            <w:vAlign w:val="bottom"/>
            <w:gridSpan w:val="2"/>
          </w:tcPr>
          <w:p>
            <w:pPr>
              <w:jc w:val="right"/>
              <w:spacing w:after="0"/>
              <w:rPr>
                <w:sz w:val="20"/>
                <w:szCs w:val="20"/>
                <w:color w:val="auto"/>
              </w:rPr>
            </w:pPr>
            <w:r>
              <w:rPr>
                <w:rFonts w:ascii="Arial" w:cs="Arial" w:eastAsia="Arial" w:hAnsi="Arial"/>
                <w:sz w:val="14"/>
                <w:szCs w:val="14"/>
                <w:color w:val="auto"/>
              </w:rPr>
              <w:t>15,506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25,678</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26,475</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52,456</w:t>
            </w:r>
          </w:p>
        </w:tc>
        <w:tc>
          <w:tcPr>
            <w:tcW w:w="0" w:type="dxa"/>
            <w:vAlign w:val="bottom"/>
          </w:tcPr>
          <w:p>
            <w:pPr>
              <w:spacing w:after="0"/>
              <w:rPr>
                <w:sz w:val="1"/>
                <w:szCs w:val="1"/>
                <w:color w:val="auto"/>
              </w:rPr>
            </w:pPr>
          </w:p>
        </w:tc>
      </w:tr>
      <w:tr>
        <w:trPr>
          <w:trHeight w:val="351"/>
        </w:trPr>
        <w:tc>
          <w:tcPr>
            <w:tcW w:w="3360" w:type="dxa"/>
            <w:vAlign w:val="bottom"/>
          </w:tcPr>
          <w:p>
            <w:pPr>
              <w:ind w:left="260"/>
              <w:spacing w:after="0"/>
              <w:rPr>
                <w:sz w:val="20"/>
                <w:szCs w:val="20"/>
                <w:color w:val="auto"/>
              </w:rPr>
            </w:pPr>
            <w:r>
              <w:rPr>
                <w:rFonts w:ascii="Arial" w:cs="Arial" w:eastAsia="Arial" w:hAnsi="Arial"/>
                <w:sz w:val="14"/>
                <w:szCs w:val="14"/>
                <w:color w:val="auto"/>
              </w:rPr>
              <w:t>Net interest income /(expense)</w:t>
            </w:r>
          </w:p>
        </w:tc>
        <w:tc>
          <w:tcPr>
            <w:tcW w:w="342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61</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172</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4"/>
        </w:trPr>
        <w:tc>
          <w:tcPr>
            <w:tcW w:w="3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Income before provision for income taxes</w:t>
            </w:r>
          </w:p>
        </w:tc>
        <w:tc>
          <w:tcPr>
            <w:tcW w:w="34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42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15,612</w:t>
            </w: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25,739</w:t>
            </w:r>
          </w:p>
        </w:tc>
        <w:tc>
          <w:tcPr>
            <w:tcW w:w="38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26,647</w:t>
            </w: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52,325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360" w:type="dxa"/>
            <w:vAlign w:val="bottom"/>
          </w:tcPr>
          <w:p>
            <w:pPr>
              <w:ind w:left="260"/>
              <w:spacing w:after="0"/>
              <w:rPr>
                <w:sz w:val="20"/>
                <w:szCs w:val="20"/>
                <w:color w:val="auto"/>
              </w:rPr>
            </w:pPr>
            <w:r>
              <w:rPr>
                <w:rFonts w:ascii="Arial" w:cs="Arial" w:eastAsia="Arial" w:hAnsi="Arial"/>
                <w:sz w:val="14"/>
                <w:szCs w:val="14"/>
                <w:color w:val="auto"/>
              </w:rPr>
              <w:t>Provision for income taxes</w:t>
            </w:r>
          </w:p>
        </w:tc>
        <w:tc>
          <w:tcPr>
            <w:tcW w:w="3420" w:type="dxa"/>
            <w:vAlign w:val="bottom"/>
            <w:gridSpan w:val="2"/>
          </w:tcPr>
          <w:p>
            <w:pPr>
              <w:jc w:val="right"/>
              <w:spacing w:after="0"/>
              <w:rPr>
                <w:sz w:val="20"/>
                <w:szCs w:val="20"/>
                <w:color w:val="auto"/>
              </w:rPr>
            </w:pPr>
            <w:r>
              <w:rPr>
                <w:rFonts w:ascii="Arial" w:cs="Arial" w:eastAsia="Arial" w:hAnsi="Arial"/>
                <w:sz w:val="14"/>
                <w:szCs w:val="14"/>
                <w:color w:val="auto"/>
              </w:rPr>
              <w:t>2,530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2,866</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5,217</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7,253</w:t>
            </w:r>
          </w:p>
        </w:tc>
        <w:tc>
          <w:tcPr>
            <w:tcW w:w="0" w:type="dxa"/>
            <w:vAlign w:val="bottom"/>
          </w:tcPr>
          <w:p>
            <w:pPr>
              <w:spacing w:after="0"/>
              <w:rPr>
                <w:sz w:val="1"/>
                <w:szCs w:val="1"/>
                <w:color w:val="auto"/>
              </w:rPr>
            </w:pPr>
          </w:p>
        </w:tc>
      </w:tr>
      <w:tr>
        <w:trPr>
          <w:trHeight w:val="174"/>
        </w:trPr>
        <w:tc>
          <w:tcPr>
            <w:tcW w:w="3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Net income</w:t>
            </w:r>
          </w:p>
        </w:tc>
        <w:tc>
          <w:tcPr>
            <w:tcW w:w="21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360" w:type="dxa"/>
            <w:vAlign w:val="bottom"/>
            <w:vMerge w:val="continue"/>
          </w:tcPr>
          <w:p>
            <w:pPr>
              <w:spacing w:after="0"/>
              <w:rPr>
                <w:sz w:val="24"/>
                <w:szCs w:val="24"/>
                <w:color w:val="auto"/>
              </w:rPr>
            </w:pPr>
          </w:p>
        </w:tc>
        <w:tc>
          <w:tcPr>
            <w:tcW w:w="3420" w:type="dxa"/>
            <w:vAlign w:val="bottom"/>
            <w:gridSpan w:val="2"/>
          </w:tcPr>
          <w:p>
            <w:pPr>
              <w:jc w:val="right"/>
              <w:spacing w:after="0"/>
              <w:rPr>
                <w:sz w:val="20"/>
                <w:szCs w:val="20"/>
                <w:color w:val="auto"/>
              </w:rPr>
            </w:pPr>
            <w:r>
              <w:rPr>
                <w:rFonts w:ascii="Arial" w:cs="Arial" w:eastAsia="Arial" w:hAnsi="Arial"/>
                <w:sz w:val="14"/>
                <w:szCs w:val="14"/>
                <w:color w:val="auto"/>
              </w:rPr>
              <w:t>13,082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22,873</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21,430</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45,072</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260"/>
              <w:spacing w:after="0"/>
              <w:rPr>
                <w:sz w:val="20"/>
                <w:szCs w:val="20"/>
                <w:color w:val="auto"/>
              </w:rPr>
            </w:pPr>
            <w:r>
              <w:rPr>
                <w:rFonts w:ascii="Arial" w:cs="Arial" w:eastAsia="Arial" w:hAnsi="Arial"/>
                <w:sz w:val="14"/>
                <w:szCs w:val="14"/>
                <w:color w:val="auto"/>
              </w:rPr>
              <w:t>Net income per ordinary share</w:t>
            </w:r>
          </w:p>
        </w:tc>
        <w:tc>
          <w:tcPr>
            <w:tcW w:w="2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36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60" w:type="dxa"/>
            <w:vAlign w:val="bottom"/>
          </w:tcPr>
          <w:p>
            <w:pPr>
              <w:ind w:left="260"/>
              <w:spacing w:after="0"/>
              <w:rPr>
                <w:sz w:val="20"/>
                <w:szCs w:val="20"/>
                <w:color w:val="auto"/>
              </w:rPr>
            </w:pPr>
            <w:r>
              <w:rPr>
                <w:rFonts w:ascii="Arial" w:cs="Arial" w:eastAsia="Arial" w:hAnsi="Arial"/>
                <w:sz w:val="14"/>
                <w:szCs w:val="14"/>
                <w:color w:val="auto"/>
              </w:rPr>
              <w:t>Basic</w:t>
            </w:r>
          </w:p>
        </w:tc>
        <w:tc>
          <w:tcPr>
            <w:tcW w:w="2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$0.38</w:t>
            </w: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60" w:type="dxa"/>
            <w:vAlign w:val="bottom"/>
          </w:tcPr>
          <w:p>
            <w:pPr>
              <w:ind w:left="260"/>
              <w:spacing w:after="0"/>
              <w:rPr>
                <w:sz w:val="20"/>
                <w:szCs w:val="20"/>
                <w:color w:val="auto"/>
              </w:rPr>
            </w:pPr>
            <w:r>
              <w:rPr>
                <w:rFonts w:ascii="Arial" w:cs="Arial" w:eastAsia="Arial" w:hAnsi="Arial"/>
                <w:sz w:val="14"/>
                <w:szCs w:val="14"/>
                <w:color w:val="auto"/>
              </w:rPr>
              <w:t>Diluted</w:t>
            </w:r>
          </w:p>
        </w:tc>
        <w:tc>
          <w:tcPr>
            <w:tcW w:w="2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$0.38</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$0.35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339"/>
        </w:trPr>
        <w:tc>
          <w:tcPr>
            <w:tcW w:w="3360" w:type="dxa"/>
            <w:vAlign w:val="bottom"/>
          </w:tcPr>
          <w:p>
            <w:pPr>
              <w:ind w:left="260"/>
              <w:spacing w:after="0"/>
              <w:rPr>
                <w:sz w:val="20"/>
                <w:szCs w:val="20"/>
                <w:color w:val="auto"/>
              </w:rPr>
            </w:pPr>
            <w:r>
              <w:rPr>
                <w:rFonts w:ascii="Arial" w:cs="Arial" w:eastAsia="Arial" w:hAnsi="Arial"/>
                <w:sz w:val="14"/>
                <w:szCs w:val="14"/>
                <w:color w:val="auto"/>
              </w:rPr>
              <w:t>Weighted average number of ordinary shares</w:t>
            </w:r>
          </w:p>
        </w:tc>
        <w:tc>
          <w:tcPr>
            <w:tcW w:w="214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60" w:type="dxa"/>
            <w:vAlign w:val="bottom"/>
          </w:tcPr>
          <w:p>
            <w:pPr>
              <w:ind w:left="260"/>
              <w:spacing w:after="0"/>
              <w:rPr>
                <w:sz w:val="20"/>
                <w:szCs w:val="20"/>
                <w:color w:val="auto"/>
              </w:rPr>
            </w:pPr>
            <w:r>
              <w:rPr>
                <w:rFonts w:ascii="Arial" w:cs="Arial" w:eastAsia="Arial" w:hAnsi="Arial"/>
                <w:sz w:val="14"/>
                <w:szCs w:val="14"/>
                <w:color w:val="auto"/>
              </w:rPr>
              <w:t>Basic</w:t>
            </w:r>
          </w:p>
        </w:tc>
        <w:tc>
          <w:tcPr>
            <w:tcW w:w="3420" w:type="dxa"/>
            <w:vAlign w:val="bottom"/>
            <w:gridSpan w:val="2"/>
          </w:tcPr>
          <w:p>
            <w:pPr>
              <w:jc w:val="right"/>
              <w:spacing w:after="0"/>
              <w:rPr>
                <w:sz w:val="20"/>
                <w:szCs w:val="20"/>
                <w:color w:val="auto"/>
              </w:rPr>
            </w:pPr>
            <w:r>
              <w:rPr>
                <w:rFonts w:ascii="Arial" w:cs="Arial" w:eastAsia="Arial" w:hAnsi="Arial"/>
                <w:sz w:val="14"/>
                <w:szCs w:val="14"/>
                <w:color w:val="auto"/>
              </w:rPr>
              <w:t>60,390,788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w w:val="91"/>
              </w:rPr>
              <w:t>59,667,635</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60,336,933</w:t>
            </w:r>
          </w:p>
        </w:tc>
        <w:tc>
          <w:tcPr>
            <w:tcW w:w="5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59,395,142</w:t>
            </w:r>
          </w:p>
        </w:tc>
        <w:tc>
          <w:tcPr>
            <w:tcW w:w="0" w:type="dxa"/>
            <w:vAlign w:val="bottom"/>
          </w:tcPr>
          <w:p>
            <w:pPr>
              <w:spacing w:after="0"/>
              <w:rPr>
                <w:sz w:val="1"/>
                <w:szCs w:val="1"/>
                <w:color w:val="auto"/>
              </w:rPr>
            </w:pPr>
          </w:p>
        </w:tc>
      </w:tr>
      <w:tr>
        <w:trPr>
          <w:trHeight w:val="351"/>
        </w:trPr>
        <w:tc>
          <w:tcPr>
            <w:tcW w:w="3360" w:type="dxa"/>
            <w:vAlign w:val="bottom"/>
          </w:tcPr>
          <w:p>
            <w:pPr>
              <w:ind w:left="260"/>
              <w:spacing w:after="0"/>
              <w:rPr>
                <w:sz w:val="20"/>
                <w:szCs w:val="20"/>
                <w:color w:val="auto"/>
              </w:rPr>
            </w:pPr>
            <w:r>
              <w:rPr>
                <w:rFonts w:ascii="Arial" w:cs="Arial" w:eastAsia="Arial" w:hAnsi="Arial"/>
                <w:sz w:val="14"/>
                <w:szCs w:val="14"/>
                <w:color w:val="auto"/>
              </w:rPr>
              <w:t>Diluted</w:t>
            </w:r>
          </w:p>
        </w:tc>
        <w:tc>
          <w:tcPr>
            <w:tcW w:w="3540" w:type="dxa"/>
            <w:vAlign w:val="bottom"/>
            <w:gridSpan w:val="3"/>
          </w:tcPr>
          <w:p>
            <w:pPr>
              <w:jc w:val="right"/>
              <w:ind w:right="120"/>
              <w:spacing w:after="0"/>
              <w:rPr>
                <w:sz w:val="20"/>
                <w:szCs w:val="20"/>
                <w:color w:val="auto"/>
              </w:rPr>
            </w:pPr>
            <w:r>
              <w:rPr>
                <w:rFonts w:ascii="Arial" w:cs="Arial" w:eastAsia="Arial" w:hAnsi="Arial"/>
                <w:sz w:val="14"/>
                <w:szCs w:val="14"/>
                <w:color w:val="auto"/>
              </w:rPr>
              <w:t>61,114,996</w:t>
            </w:r>
          </w:p>
        </w:tc>
        <w:tc>
          <w:tcPr>
            <w:tcW w:w="6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w w:val="91"/>
              </w:rPr>
              <w:t>60,768,374</w:t>
            </w: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61,056,232</w:t>
            </w:r>
          </w:p>
        </w:tc>
        <w:tc>
          <w:tcPr>
            <w:tcW w:w="5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60,557,687</w:t>
            </w:r>
          </w:p>
        </w:tc>
        <w:tc>
          <w:tcPr>
            <w:tcW w:w="0" w:type="dxa"/>
            <w:vAlign w:val="bottom"/>
          </w:tcPr>
          <w:p>
            <w:pPr>
              <w:spacing w:after="0"/>
              <w:rPr>
                <w:sz w:val="1"/>
                <w:szCs w:val="1"/>
                <w:color w:val="auto"/>
              </w:rPr>
            </w:pPr>
          </w:p>
        </w:tc>
      </w:tr>
      <w:tr>
        <w:trPr>
          <w:trHeight w:val="134"/>
        </w:trPr>
        <w:tc>
          <w:tcPr>
            <w:tcW w:w="3360" w:type="dxa"/>
            <w:vAlign w:val="bottom"/>
            <w:tcBorders>
              <w:bottom w:val="single" w:sz="8" w:color="9A9A9A"/>
            </w:tcBorders>
          </w:tcPr>
          <w:p>
            <w:pPr>
              <w:spacing w:after="0"/>
              <w:rPr>
                <w:sz w:val="11"/>
                <w:szCs w:val="11"/>
                <w:color w:val="auto"/>
              </w:rPr>
            </w:pPr>
          </w:p>
        </w:tc>
        <w:tc>
          <w:tcPr>
            <w:tcW w:w="214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36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2011 and December 31, 2010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4960" w:type="dxa"/>
            <w:vAlign w:val="bottom"/>
          </w:tcPr>
          <w:p>
            <w:pPr>
              <w:jc w:val="right"/>
              <w:ind w:right="1128"/>
              <w:spacing w:after="0"/>
              <w:rPr>
                <w:sz w:val="20"/>
                <w:szCs w:val="20"/>
                <w:color w:val="auto"/>
              </w:rPr>
            </w:pPr>
            <w:r>
              <w:rPr>
                <w:rFonts w:ascii="Arial" w:cs="Arial" w:eastAsia="Arial" w:hAnsi="Arial"/>
                <w:sz w:val="14"/>
                <w:szCs w:val="14"/>
                <w:b w:val="1"/>
                <w:bCs w:val="1"/>
                <w:color w:val="auto"/>
              </w:rPr>
              <w:t>June 30,</w:t>
            </w: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4240" w:type="dxa"/>
            <w:vAlign w:val="bottom"/>
          </w:tcPr>
          <w:p>
            <w:pPr>
              <w:spacing w:after="0"/>
              <w:rPr>
                <w:sz w:val="15"/>
                <w:szCs w:val="15"/>
                <w:color w:val="auto"/>
              </w:rPr>
            </w:pPr>
          </w:p>
        </w:tc>
        <w:tc>
          <w:tcPr>
            <w:tcW w:w="4960" w:type="dxa"/>
            <w:vAlign w:val="bottom"/>
          </w:tcPr>
          <w:p>
            <w:pPr>
              <w:jc w:val="right"/>
              <w:ind w:right="1108"/>
              <w:spacing w:after="0"/>
              <w:rPr>
                <w:sz w:val="20"/>
                <w:szCs w:val="20"/>
                <w:color w:val="auto"/>
              </w:rPr>
            </w:pPr>
            <w:r>
              <w:rPr>
                <w:rFonts w:ascii="Arial" w:cs="Arial" w:eastAsia="Arial" w:hAnsi="Arial"/>
                <w:sz w:val="14"/>
                <w:szCs w:val="14"/>
                <w:b w:val="1"/>
                <w:bCs w:val="1"/>
                <w:color w:val="auto"/>
              </w:rPr>
              <w:t>2011</w:t>
            </w: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r>
      <w:tr>
        <w:trPr>
          <w:trHeight w:val="186"/>
        </w:trPr>
        <w:tc>
          <w:tcPr>
            <w:tcW w:w="4240" w:type="dxa"/>
            <w:vAlign w:val="bottom"/>
          </w:tcPr>
          <w:p>
            <w:pPr>
              <w:spacing w:after="0"/>
              <w:rPr>
                <w:sz w:val="16"/>
                <w:szCs w:val="16"/>
                <w:color w:val="auto"/>
              </w:rPr>
            </w:pPr>
          </w:p>
        </w:tc>
        <w:tc>
          <w:tcPr>
            <w:tcW w:w="4960" w:type="dxa"/>
            <w:vAlign w:val="bottom"/>
          </w:tcPr>
          <w:p>
            <w:pPr>
              <w:jc w:val="right"/>
              <w:ind w:right="1128"/>
              <w:spacing w:after="0"/>
              <w:rPr>
                <w:sz w:val="20"/>
                <w:szCs w:val="20"/>
                <w:color w:val="auto"/>
              </w:rPr>
            </w:pPr>
            <w:r>
              <w:rPr>
                <w:rFonts w:ascii="Arial" w:cs="Arial" w:eastAsia="Arial" w:hAnsi="Arial"/>
                <w:sz w:val="14"/>
                <w:szCs w:val="14"/>
                <w:b w:val="1"/>
                <w:bCs w:val="1"/>
                <w:color w:val="auto"/>
              </w:rPr>
              <w:t>(Unaudited)</w:t>
            </w: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527"/>
        </w:trPr>
        <w:tc>
          <w:tcPr>
            <w:tcW w:w="4240" w:type="dxa"/>
            <w:vAlign w:val="bottom"/>
          </w:tcPr>
          <w:p>
            <w:pPr>
              <w:spacing w:after="0"/>
              <w:rPr>
                <w:sz w:val="20"/>
                <w:szCs w:val="20"/>
                <w:color w:val="auto"/>
              </w:rPr>
            </w:pPr>
            <w:r>
              <w:rPr>
                <w:rFonts w:ascii="Arial" w:cs="Arial" w:eastAsia="Arial" w:hAnsi="Arial"/>
                <w:sz w:val="14"/>
                <w:szCs w:val="14"/>
                <w:color w:val="auto"/>
              </w:rPr>
              <w:t>Net cash</w:t>
            </w:r>
          </w:p>
        </w:tc>
        <w:tc>
          <w:tcPr>
            <w:tcW w:w="4960" w:type="dxa"/>
            <w:vAlign w:val="bottom"/>
          </w:tcPr>
          <w:p>
            <w:pPr>
              <w:jc w:val="right"/>
              <w:ind w:right="1108"/>
              <w:spacing w:after="0"/>
              <w:rPr>
                <w:sz w:val="20"/>
                <w:szCs w:val="20"/>
                <w:color w:val="auto"/>
              </w:rPr>
            </w:pPr>
            <w:r>
              <w:rPr>
                <w:rFonts w:ascii="Arial" w:cs="Arial" w:eastAsia="Arial" w:hAnsi="Arial"/>
                <w:sz w:val="14"/>
                <w:szCs w:val="14"/>
                <w:color w:val="auto"/>
              </w:rPr>
              <w:t>215,564</w:t>
            </w:r>
          </w:p>
        </w:tc>
        <w:tc>
          <w:tcPr>
            <w:tcW w:w="2020" w:type="dxa"/>
            <w:vAlign w:val="bottom"/>
          </w:tcPr>
          <w:p>
            <w:pPr>
              <w:jc w:val="right"/>
              <w:spacing w:after="0"/>
              <w:rPr>
                <w:sz w:val="20"/>
                <w:szCs w:val="20"/>
                <w:color w:val="auto"/>
              </w:rPr>
            </w:pPr>
            <w:r>
              <w:rPr>
                <w:rFonts w:ascii="Arial" w:cs="Arial" w:eastAsia="Arial" w:hAnsi="Arial"/>
                <w:sz w:val="14"/>
                <w:szCs w:val="14"/>
                <w:color w:val="auto"/>
              </w:rPr>
              <w:t>255,706</w:t>
            </w:r>
          </w:p>
        </w:tc>
      </w:tr>
      <w:tr>
        <w:trPr>
          <w:trHeight w:val="344"/>
        </w:trPr>
        <w:tc>
          <w:tcPr>
            <w:tcW w:w="4240" w:type="dxa"/>
            <w:vAlign w:val="bottom"/>
          </w:tcPr>
          <w:p>
            <w:pPr>
              <w:spacing w:after="0"/>
              <w:rPr>
                <w:sz w:val="20"/>
                <w:szCs w:val="20"/>
                <w:color w:val="auto"/>
              </w:rPr>
            </w:pPr>
            <w:r>
              <w:rPr>
                <w:rFonts w:ascii="Arial" w:cs="Arial" w:eastAsia="Arial" w:hAnsi="Arial"/>
                <w:sz w:val="14"/>
                <w:szCs w:val="14"/>
                <w:color w:val="auto"/>
              </w:rPr>
              <w:t>Accounts receivable</w:t>
            </w:r>
          </w:p>
        </w:tc>
        <w:tc>
          <w:tcPr>
            <w:tcW w:w="4960" w:type="dxa"/>
            <w:vAlign w:val="bottom"/>
          </w:tcPr>
          <w:p>
            <w:pPr>
              <w:jc w:val="right"/>
              <w:ind w:right="1108"/>
              <w:spacing w:after="0"/>
              <w:rPr>
                <w:sz w:val="20"/>
                <w:szCs w:val="20"/>
                <w:color w:val="auto"/>
              </w:rPr>
            </w:pPr>
            <w:r>
              <w:rPr>
                <w:rFonts w:ascii="Arial" w:cs="Arial" w:eastAsia="Arial" w:hAnsi="Arial"/>
                <w:sz w:val="14"/>
                <w:szCs w:val="14"/>
                <w:color w:val="auto"/>
              </w:rPr>
              <w:t>171,014</w:t>
            </w:r>
          </w:p>
        </w:tc>
        <w:tc>
          <w:tcPr>
            <w:tcW w:w="2020" w:type="dxa"/>
            <w:vAlign w:val="bottom"/>
          </w:tcPr>
          <w:p>
            <w:pPr>
              <w:jc w:val="right"/>
              <w:spacing w:after="0"/>
              <w:rPr>
                <w:sz w:val="20"/>
                <w:szCs w:val="20"/>
                <w:color w:val="auto"/>
              </w:rPr>
            </w:pPr>
            <w:r>
              <w:rPr>
                <w:rFonts w:ascii="Arial" w:cs="Arial" w:eastAsia="Arial" w:hAnsi="Arial"/>
                <w:sz w:val="14"/>
                <w:szCs w:val="14"/>
                <w:color w:val="auto"/>
              </w:rPr>
              <w:t>164,907</w:t>
            </w:r>
          </w:p>
        </w:tc>
      </w:tr>
      <w:tr>
        <w:trPr>
          <w:trHeight w:val="176"/>
        </w:trPr>
        <w:tc>
          <w:tcPr>
            <w:tcW w:w="4240" w:type="dxa"/>
            <w:vAlign w:val="bottom"/>
          </w:tcPr>
          <w:p>
            <w:pPr>
              <w:spacing w:after="0"/>
              <w:rPr>
                <w:sz w:val="20"/>
                <w:szCs w:val="20"/>
                <w:color w:val="auto"/>
              </w:rPr>
            </w:pPr>
            <w:r>
              <w:rPr>
                <w:rFonts w:ascii="Arial" w:cs="Arial" w:eastAsia="Arial" w:hAnsi="Arial"/>
                <w:sz w:val="14"/>
                <w:szCs w:val="14"/>
                <w:color w:val="auto"/>
              </w:rPr>
              <w:t>Unbilled revenue</w:t>
            </w:r>
          </w:p>
        </w:tc>
        <w:tc>
          <w:tcPr>
            <w:tcW w:w="4960" w:type="dxa"/>
            <w:vAlign w:val="bottom"/>
          </w:tcPr>
          <w:p>
            <w:pPr>
              <w:jc w:val="right"/>
              <w:ind w:right="1108"/>
              <w:spacing w:after="0"/>
              <w:rPr>
                <w:sz w:val="20"/>
                <w:szCs w:val="20"/>
                <w:color w:val="auto"/>
              </w:rPr>
            </w:pPr>
            <w:r>
              <w:rPr>
                <w:rFonts w:ascii="Arial" w:cs="Arial" w:eastAsia="Arial" w:hAnsi="Arial"/>
                <w:sz w:val="14"/>
                <w:szCs w:val="14"/>
                <w:color w:val="auto"/>
              </w:rPr>
              <w:t>143,323</w:t>
            </w:r>
          </w:p>
        </w:tc>
        <w:tc>
          <w:tcPr>
            <w:tcW w:w="2020" w:type="dxa"/>
            <w:vAlign w:val="bottom"/>
          </w:tcPr>
          <w:p>
            <w:pPr>
              <w:jc w:val="right"/>
              <w:spacing w:after="0"/>
              <w:rPr>
                <w:sz w:val="20"/>
                <w:szCs w:val="20"/>
                <w:color w:val="auto"/>
              </w:rPr>
            </w:pPr>
            <w:r>
              <w:rPr>
                <w:rFonts w:ascii="Arial" w:cs="Arial" w:eastAsia="Arial" w:hAnsi="Arial"/>
                <w:sz w:val="14"/>
                <w:szCs w:val="14"/>
                <w:color w:val="auto"/>
              </w:rPr>
              <w:t>101,431</w:t>
            </w:r>
          </w:p>
        </w:tc>
      </w:tr>
      <w:tr>
        <w:trPr>
          <w:trHeight w:val="176"/>
        </w:trPr>
        <w:tc>
          <w:tcPr>
            <w:tcW w:w="4240" w:type="dxa"/>
            <w:vAlign w:val="bottom"/>
          </w:tcPr>
          <w:p>
            <w:pPr>
              <w:spacing w:after="0"/>
              <w:rPr>
                <w:sz w:val="20"/>
                <w:szCs w:val="20"/>
                <w:color w:val="auto"/>
              </w:rPr>
            </w:pPr>
            <w:r>
              <w:rPr>
                <w:rFonts w:ascii="Arial" w:cs="Arial" w:eastAsia="Arial" w:hAnsi="Arial"/>
                <w:sz w:val="14"/>
                <w:szCs w:val="14"/>
                <w:color w:val="auto"/>
              </w:rPr>
              <w:t>Payments on account</w:t>
            </w:r>
          </w:p>
        </w:tc>
        <w:tc>
          <w:tcPr>
            <w:tcW w:w="4960" w:type="dxa"/>
            <w:vAlign w:val="bottom"/>
          </w:tcPr>
          <w:p>
            <w:pPr>
              <w:jc w:val="right"/>
              <w:ind w:right="1108"/>
              <w:spacing w:after="0"/>
              <w:rPr>
                <w:sz w:val="20"/>
                <w:szCs w:val="20"/>
                <w:color w:val="auto"/>
              </w:rPr>
            </w:pPr>
            <w:r>
              <w:rPr>
                <w:rFonts w:ascii="Arial" w:cs="Arial" w:eastAsia="Arial" w:hAnsi="Arial"/>
                <w:sz w:val="14"/>
                <w:szCs w:val="14"/>
                <w:color w:val="auto"/>
              </w:rPr>
              <w:t>(142,345)</w:t>
            </w:r>
          </w:p>
        </w:tc>
        <w:tc>
          <w:tcPr>
            <w:tcW w:w="2020" w:type="dxa"/>
            <w:vAlign w:val="bottom"/>
          </w:tcPr>
          <w:p>
            <w:pPr>
              <w:jc w:val="right"/>
              <w:spacing w:after="0"/>
              <w:rPr>
                <w:sz w:val="20"/>
                <w:szCs w:val="20"/>
                <w:color w:val="auto"/>
              </w:rPr>
            </w:pPr>
            <w:r>
              <w:rPr>
                <w:rFonts w:ascii="Arial" w:cs="Arial" w:eastAsia="Arial" w:hAnsi="Arial"/>
                <w:sz w:val="14"/>
                <w:szCs w:val="14"/>
                <w:color w:val="auto"/>
              </w:rPr>
              <w:t>(134,240)</w:t>
            </w:r>
          </w:p>
        </w:tc>
      </w:tr>
      <w:tr>
        <w:trPr>
          <w:trHeight w:val="182"/>
        </w:trPr>
        <w:tc>
          <w:tcPr>
            <w:tcW w:w="4240" w:type="dxa"/>
            <w:vAlign w:val="bottom"/>
          </w:tcPr>
          <w:p>
            <w:pPr>
              <w:spacing w:after="0"/>
              <w:rPr>
                <w:sz w:val="20"/>
                <w:szCs w:val="20"/>
                <w:color w:val="auto"/>
              </w:rPr>
            </w:pPr>
            <w:r>
              <w:rPr>
                <w:rFonts w:ascii="Arial" w:cs="Arial" w:eastAsia="Arial" w:hAnsi="Arial"/>
                <w:sz w:val="14"/>
                <w:szCs w:val="14"/>
                <w:color w:val="auto"/>
              </w:rPr>
              <w:t>Total</w:t>
            </w:r>
          </w:p>
        </w:tc>
        <w:tc>
          <w:tcPr>
            <w:tcW w:w="4960" w:type="dxa"/>
            <w:vAlign w:val="bottom"/>
          </w:tcPr>
          <w:p>
            <w:pPr>
              <w:jc w:val="right"/>
              <w:ind w:right="1108"/>
              <w:spacing w:after="0"/>
              <w:rPr>
                <w:sz w:val="20"/>
                <w:szCs w:val="20"/>
                <w:color w:val="auto"/>
              </w:rPr>
            </w:pPr>
            <w:r>
              <w:rPr>
                <w:rFonts w:ascii="Arial" w:cs="Arial" w:eastAsia="Arial" w:hAnsi="Arial"/>
                <w:sz w:val="14"/>
                <w:szCs w:val="14"/>
                <w:color w:val="auto"/>
              </w:rPr>
              <w:t>171,992</w:t>
            </w:r>
          </w:p>
        </w:tc>
        <w:tc>
          <w:tcPr>
            <w:tcW w:w="2020" w:type="dxa"/>
            <w:vAlign w:val="bottom"/>
          </w:tcPr>
          <w:p>
            <w:pPr>
              <w:jc w:val="right"/>
              <w:spacing w:after="0"/>
              <w:rPr>
                <w:sz w:val="20"/>
                <w:szCs w:val="20"/>
                <w:color w:val="auto"/>
              </w:rPr>
            </w:pPr>
            <w:r>
              <w:rPr>
                <w:rFonts w:ascii="Arial" w:cs="Arial" w:eastAsia="Arial" w:hAnsi="Arial"/>
                <w:sz w:val="14"/>
                <w:szCs w:val="14"/>
                <w:color w:val="auto"/>
              </w:rPr>
              <w:t>132,098</w:t>
            </w:r>
          </w:p>
        </w:tc>
      </w:tr>
      <w:tr>
        <w:trPr>
          <w:trHeight w:val="351"/>
        </w:trPr>
        <w:tc>
          <w:tcPr>
            <w:tcW w:w="4240" w:type="dxa"/>
            <w:vAlign w:val="bottom"/>
          </w:tcPr>
          <w:p>
            <w:pPr>
              <w:spacing w:after="0"/>
              <w:rPr>
                <w:sz w:val="20"/>
                <w:szCs w:val="20"/>
                <w:color w:val="auto"/>
              </w:rPr>
            </w:pPr>
            <w:r>
              <w:rPr>
                <w:rFonts w:ascii="Arial" w:cs="Arial" w:eastAsia="Arial" w:hAnsi="Arial"/>
                <w:sz w:val="14"/>
                <w:szCs w:val="14"/>
                <w:color w:val="auto"/>
              </w:rPr>
              <w:t>Working Capital</w:t>
            </w:r>
          </w:p>
        </w:tc>
        <w:tc>
          <w:tcPr>
            <w:tcW w:w="4960" w:type="dxa"/>
            <w:vAlign w:val="bottom"/>
          </w:tcPr>
          <w:p>
            <w:pPr>
              <w:jc w:val="right"/>
              <w:ind w:right="1108"/>
              <w:spacing w:after="0"/>
              <w:rPr>
                <w:sz w:val="20"/>
                <w:szCs w:val="20"/>
                <w:color w:val="auto"/>
              </w:rPr>
            </w:pPr>
            <w:r>
              <w:rPr>
                <w:rFonts w:ascii="Arial" w:cs="Arial" w:eastAsia="Arial" w:hAnsi="Arial"/>
                <w:sz w:val="14"/>
                <w:szCs w:val="14"/>
                <w:color w:val="auto"/>
              </w:rPr>
              <w:t>324,779</w:t>
            </w:r>
          </w:p>
        </w:tc>
        <w:tc>
          <w:tcPr>
            <w:tcW w:w="2020" w:type="dxa"/>
            <w:vAlign w:val="bottom"/>
          </w:tcPr>
          <w:p>
            <w:pPr>
              <w:jc w:val="right"/>
              <w:spacing w:after="0"/>
              <w:rPr>
                <w:sz w:val="20"/>
                <w:szCs w:val="20"/>
                <w:color w:val="auto"/>
              </w:rPr>
            </w:pPr>
            <w:r>
              <w:rPr>
                <w:rFonts w:ascii="Arial" w:cs="Arial" w:eastAsia="Arial" w:hAnsi="Arial"/>
                <w:sz w:val="14"/>
                <w:szCs w:val="14"/>
                <w:color w:val="auto"/>
              </w:rPr>
              <w:t>329,350</w:t>
            </w:r>
          </w:p>
        </w:tc>
      </w:tr>
      <w:tr>
        <w:trPr>
          <w:trHeight w:val="351"/>
        </w:trPr>
        <w:tc>
          <w:tcPr>
            <w:tcW w:w="4240" w:type="dxa"/>
            <w:vAlign w:val="bottom"/>
          </w:tcPr>
          <w:p>
            <w:pPr>
              <w:spacing w:after="0"/>
              <w:rPr>
                <w:sz w:val="20"/>
                <w:szCs w:val="20"/>
                <w:color w:val="auto"/>
              </w:rPr>
            </w:pPr>
            <w:r>
              <w:rPr>
                <w:rFonts w:ascii="Arial" w:cs="Arial" w:eastAsia="Arial" w:hAnsi="Arial"/>
                <w:sz w:val="14"/>
                <w:szCs w:val="14"/>
                <w:color w:val="auto"/>
              </w:rPr>
              <w:t>Total Assets</w:t>
            </w:r>
          </w:p>
        </w:tc>
        <w:tc>
          <w:tcPr>
            <w:tcW w:w="4960" w:type="dxa"/>
            <w:vAlign w:val="bottom"/>
          </w:tcPr>
          <w:p>
            <w:pPr>
              <w:jc w:val="right"/>
              <w:ind w:right="1108"/>
              <w:spacing w:after="0"/>
              <w:rPr>
                <w:sz w:val="20"/>
                <w:szCs w:val="20"/>
                <w:color w:val="auto"/>
              </w:rPr>
            </w:pPr>
            <w:r>
              <w:rPr>
                <w:rFonts w:ascii="Arial" w:cs="Arial" w:eastAsia="Arial" w:hAnsi="Arial"/>
                <w:sz w:val="14"/>
                <w:szCs w:val="14"/>
                <w:color w:val="auto"/>
              </w:rPr>
              <w:t>1,014,249</w:t>
            </w:r>
          </w:p>
        </w:tc>
        <w:tc>
          <w:tcPr>
            <w:tcW w:w="2020" w:type="dxa"/>
            <w:vAlign w:val="bottom"/>
          </w:tcPr>
          <w:p>
            <w:pPr>
              <w:jc w:val="right"/>
              <w:spacing w:after="0"/>
              <w:rPr>
                <w:sz w:val="20"/>
                <w:szCs w:val="20"/>
                <w:color w:val="auto"/>
              </w:rPr>
            </w:pPr>
            <w:r>
              <w:rPr>
                <w:rFonts w:ascii="Arial" w:cs="Arial" w:eastAsia="Arial" w:hAnsi="Arial"/>
                <w:sz w:val="14"/>
                <w:szCs w:val="14"/>
                <w:color w:val="auto"/>
              </w:rPr>
              <w:t>949,538</w:t>
            </w:r>
          </w:p>
        </w:tc>
      </w:tr>
      <w:tr>
        <w:trPr>
          <w:trHeight w:val="351"/>
        </w:trPr>
        <w:tc>
          <w:tcPr>
            <w:tcW w:w="4240" w:type="dxa"/>
            <w:vAlign w:val="bottom"/>
          </w:tcPr>
          <w:p>
            <w:pPr>
              <w:spacing w:after="0"/>
              <w:rPr>
                <w:sz w:val="20"/>
                <w:szCs w:val="20"/>
                <w:color w:val="auto"/>
              </w:rPr>
            </w:pPr>
            <w:r>
              <w:rPr>
                <w:rFonts w:ascii="Arial" w:cs="Arial" w:eastAsia="Arial" w:hAnsi="Arial"/>
                <w:sz w:val="14"/>
                <w:szCs w:val="14"/>
                <w:color w:val="auto"/>
              </w:rPr>
              <w:t>Shareholder's Equity</w:t>
            </w:r>
          </w:p>
        </w:tc>
        <w:tc>
          <w:tcPr>
            <w:tcW w:w="4960" w:type="dxa"/>
            <w:vAlign w:val="bottom"/>
          </w:tcPr>
          <w:p>
            <w:pPr>
              <w:jc w:val="right"/>
              <w:ind w:right="1108"/>
              <w:spacing w:after="0"/>
              <w:rPr>
                <w:sz w:val="20"/>
                <w:szCs w:val="20"/>
                <w:color w:val="auto"/>
              </w:rPr>
            </w:pPr>
            <w:r>
              <w:rPr>
                <w:rFonts w:ascii="Arial" w:cs="Arial" w:eastAsia="Arial" w:hAnsi="Arial"/>
                <w:sz w:val="14"/>
                <w:szCs w:val="14"/>
                <w:color w:val="auto"/>
              </w:rPr>
              <w:t>711,800</w:t>
            </w:r>
          </w:p>
        </w:tc>
        <w:tc>
          <w:tcPr>
            <w:tcW w:w="2020" w:type="dxa"/>
            <w:vAlign w:val="bottom"/>
          </w:tcPr>
          <w:p>
            <w:pPr>
              <w:jc w:val="right"/>
              <w:spacing w:after="0"/>
              <w:rPr>
                <w:sz w:val="20"/>
                <w:szCs w:val="20"/>
                <w:color w:val="auto"/>
              </w:rPr>
            </w:pPr>
            <w:r>
              <w:rPr>
                <w:rFonts w:ascii="Arial" w:cs="Arial" w:eastAsia="Arial" w:hAnsi="Arial"/>
                <w:sz w:val="14"/>
                <w:szCs w:val="14"/>
                <w:color w:val="auto"/>
              </w:rPr>
              <w:t>669,999</w:t>
            </w:r>
          </w:p>
        </w:tc>
      </w:tr>
    </w:tbl>
    <w:p>
      <w:pPr>
        <w:spacing w:after="0" w:line="344" w:lineRule="exact"/>
        <w:rPr>
          <w:sz w:val="20"/>
          <w:szCs w:val="20"/>
          <w:color w:val="auto"/>
        </w:rPr>
      </w:pPr>
    </w:p>
    <w:p>
      <w:pPr>
        <w:ind w:left="4240"/>
        <w:spacing w:after="0"/>
        <w:rPr>
          <w:sz w:val="20"/>
          <w:szCs w:val="20"/>
          <w:color w:val="auto"/>
        </w:rPr>
      </w:pPr>
      <w:r>
        <w:rPr>
          <w:rFonts w:ascii="Arial" w:cs="Arial" w:eastAsia="Arial" w:hAnsi="Arial"/>
          <w:sz w:val="14"/>
          <w:szCs w:val="14"/>
          <w:u w:val="single" w:color="auto"/>
          <w:color w:val="auto"/>
        </w:rPr>
        <w:t>http://www.iconplc.com</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Ciaran Murray, Chief Financial Officer</w:t>
      </w:r>
    </w:p>
    <w:p>
      <w:pPr>
        <w:spacing w:after="0" w:line="1" w:lineRule="exact"/>
        <w:rPr>
          <w:sz w:val="20"/>
          <w:szCs w:val="20"/>
          <w:color w:val="auto"/>
        </w:rPr>
      </w:pPr>
    </w:p>
    <w:p>
      <w:pPr>
        <w:ind w:right="954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Brendan Brennan, Snr VP Corp Fin</w:t>
      </w:r>
    </w:p>
    <w:p>
      <w:pPr>
        <w:ind w:left="180" w:hanging="172"/>
        <w:spacing w:after="0" w:line="230" w:lineRule="auto"/>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Sam Farthing, VP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+ 353 –1-291-2251</w:t>
      </w:r>
    </w:p>
    <w:sectPr>
      <w:pgSz w:w="11900" w:h="16838" w:orient="portrait"/>
      <w:cols w:equalWidth="0" w:num="1">
        <w:col w:w="11220"/>
      </w:cols>
      <w:pgMar w:left="240" w:top="13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2019-12-10T16:40:22Z</dcterms:created>
  <dcterms:modified xsi:type="dcterms:W3CDTF">2019-12-10T16:40:22Z</dcterms:modified>
</cp:coreProperties>
</file>