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For the month ended February, 2020</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7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February 19, 2020 - ICON Reports Fourth Quarter and Full Year 2019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08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620" w:right="1960" w:hanging="7602"/>
        <w:spacing w:after="0" w:line="323" w:lineRule="auto"/>
        <w:tabs>
          <w:tab w:leader="none" w:pos="76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40"/>
          </w:cols>
          <w:pgMar w:left="240" w:top="841" w:right="419" w:bottom="1440" w:gutter="0" w:footer="0" w:header="0"/>
        </w:sectPr>
      </w:pPr>
    </w:p>
    <w:bookmarkStart w:id="3" w:name="page4"/>
    <w:bookmarkEnd w:id="3"/>
    <w:p>
      <w:pPr>
        <w:spacing w:after="0" w:line="8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Fourth Quarter and Full Year 2019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40"/>
        <w:spacing w:after="0" w:line="256" w:lineRule="auto"/>
        <w:rPr>
          <w:sz w:val="20"/>
          <w:szCs w:val="20"/>
          <w:color w:val="auto"/>
        </w:rPr>
      </w:pPr>
      <w:r>
        <w:rPr>
          <w:rFonts w:ascii="Arial" w:cs="Arial" w:eastAsia="Arial" w:hAnsi="Arial"/>
          <w:sz w:val="22"/>
          <w:szCs w:val="22"/>
          <w:b w:val="1"/>
          <w:bCs w:val="1"/>
          <w:color w:val="auto"/>
        </w:rPr>
        <w:t>Net business wins in the quarter of $930 million; a book to bill of 1.28. Full year net business wins of $3.6 billion, a net book to bill of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$8.6 billion, an increase of 11.4%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40"/>
        <w:spacing w:after="0" w:line="243" w:lineRule="auto"/>
        <w:rPr>
          <w:sz w:val="20"/>
          <w:szCs w:val="20"/>
          <w:color w:val="auto"/>
        </w:rPr>
      </w:pPr>
      <w:r>
        <w:rPr>
          <w:rFonts w:ascii="Arial" w:cs="Arial" w:eastAsia="Arial" w:hAnsi="Arial"/>
          <w:sz w:val="22"/>
          <w:szCs w:val="22"/>
          <w:b w:val="1"/>
          <w:bCs w:val="1"/>
          <w:color w:val="auto"/>
        </w:rPr>
        <w:t>Quarter 4 reported revenue of $725.4 million representing a 6.8% year on year increase or 7.5% on a constant currency basis. Full year reported revenue of $2,806 million representing an 8.1% year on year increase or 9.6%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right="200"/>
        <w:spacing w:after="0" w:line="335" w:lineRule="auto"/>
        <w:rPr>
          <w:sz w:val="20"/>
          <w:szCs w:val="20"/>
          <w:color w:val="auto"/>
        </w:rPr>
      </w:pPr>
      <w:r>
        <w:rPr>
          <w:rFonts w:ascii="Arial" w:cs="Arial" w:eastAsia="Arial" w:hAnsi="Arial"/>
          <w:sz w:val="19"/>
          <w:szCs w:val="19"/>
          <w:b w:val="1"/>
          <w:bCs w:val="1"/>
          <w:color w:val="auto"/>
        </w:rPr>
        <w:t>Adjusted earnings per share attributable to the Group for the quarter of $1.83, an increase of 12.8% over Quarter 4 2018. Full Year adjusted earnings per share attributable to the Group of $6.88, a 13.0% increase over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-321945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200"/>
        <w:spacing w:after="0" w:line="256" w:lineRule="auto"/>
        <w:rPr>
          <w:sz w:val="20"/>
          <w:szCs w:val="20"/>
          <w:color w:val="auto"/>
        </w:rPr>
      </w:pPr>
      <w:r>
        <w:rPr>
          <w:rFonts w:ascii="Arial" w:cs="Arial" w:eastAsia="Arial" w:hAnsi="Arial"/>
          <w:sz w:val="22"/>
          <w:szCs w:val="22"/>
          <w:b w:val="1"/>
          <w:bCs w:val="1"/>
          <w:color w:val="auto"/>
        </w:rPr>
        <w:t>In January 2020, ICON acquired MedPass International, a leading medical device CRO and consultancy practice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left="540" w:right="820"/>
        <w:spacing w:after="0" w:line="280" w:lineRule="auto"/>
        <w:rPr>
          <w:sz w:val="20"/>
          <w:szCs w:val="20"/>
          <w:color w:val="auto"/>
        </w:rPr>
      </w:pPr>
      <w:r>
        <w:rPr>
          <w:rFonts w:ascii="Arial" w:cs="Arial" w:eastAsia="Arial" w:hAnsi="Arial"/>
          <w:sz w:val="21"/>
          <w:szCs w:val="21"/>
          <w:b w:val="1"/>
          <w:bCs w:val="1"/>
          <w:color w:val="auto"/>
        </w:rPr>
        <w:t>2020 outlook reaffirmed with revenue guidance in the range of $2,972 - $3,092 million and earnings per share guidance in the range of $7.55 – $7.85 a year over year increase of 9.7% - 14.1%.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-292100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9"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WIRE)--February 19, 2020--</w:t>
      </w:r>
      <w:r>
        <w:rPr>
          <w:rFonts w:ascii="Arial" w:cs="Arial" w:eastAsia="Arial" w:hAnsi="Arial"/>
          <w:sz w:val="22"/>
          <w:szCs w:val="22"/>
          <w:b w:val="1"/>
          <w:bCs w:val="1"/>
          <w:color w:val="auto"/>
        </w:rPr>
        <w:t>ICONplc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fourth quarter and full year ended December 31, 2019.</w:t>
      </w:r>
    </w:p>
    <w:p>
      <w:pPr>
        <w:spacing w:after="0" w:line="183"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 xml:space="preserve">CEO Dr. Steve Cutler commented, </w:t>
      </w:r>
      <w:r>
        <w:rPr>
          <w:rFonts w:ascii="Arial" w:cs="Arial" w:eastAsia="Arial" w:hAnsi="Arial"/>
          <w:sz w:val="22"/>
          <w:szCs w:val="22"/>
          <w:i w:val="1"/>
          <w:iCs w:val="1"/>
          <w:color w:val="auto"/>
        </w:rPr>
        <w:t>“During 2019 the combination of a positive market environment and our differentiated Patient,</w:t>
      </w:r>
      <w:r>
        <w:rPr>
          <w:rFonts w:ascii="Arial" w:cs="Arial" w:eastAsia="Arial" w:hAnsi="Arial"/>
          <w:sz w:val="22"/>
          <w:szCs w:val="22"/>
          <w:color w:val="auto"/>
        </w:rPr>
        <w:t xml:space="preserve"> </w:t>
      </w:r>
      <w:r>
        <w:rPr>
          <w:rFonts w:ascii="Arial" w:cs="Arial" w:eastAsia="Arial" w:hAnsi="Arial"/>
          <w:sz w:val="22"/>
          <w:szCs w:val="22"/>
          <w:i w:val="1"/>
          <w:iCs w:val="1"/>
          <w:color w:val="auto"/>
        </w:rPr>
        <w:t>Site and Data strategy resulted in another record year for ICON. Our strong business development performance across our core service areas generated net business bookings of over $3.6 billion and we consequently grew our backlog by 11.4%. This resulted in constant currency revenue growth of nearly 10% to over $2.8 billion and a robust trailing twelve month book to bill of 1.3x. In addition, supported by the efficiencies of our industry leading global support infrastructure, we grew our earnings per share by 13% year over year to $6.88.</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i w:val="1"/>
          <w:iCs w:val="1"/>
          <w:color w:val="auto"/>
        </w:rPr>
        <w:t>Today we are delighted to announce the acquisition of MedPass International, our fourth strategic acquisition within 12 months. MedPass International, a leading medical device CRO and consultancy practice, will add scale to our existing Medical Device and Diagnostic Research operations in Europe as well as adding new medical device regulatory and clinical capabilities, including noted expertise in complex class 3 medical devices, interventional cardiology and structural heart devices. The combined offering of both organisations will enable ICON to aggressively build share in the growing market for global medical device and diagnostic services.</w:t>
      </w:r>
    </w:p>
    <w:p>
      <w:pPr>
        <w:spacing w:after="0" w:line="188" w:lineRule="exact"/>
        <w:rPr>
          <w:sz w:val="20"/>
          <w:szCs w:val="20"/>
          <w:color w:val="auto"/>
        </w:rPr>
      </w:pPr>
    </w:p>
    <w:p>
      <w:pPr>
        <w:jc w:val="both"/>
        <w:ind w:right="400"/>
        <w:spacing w:after="0"/>
        <w:rPr>
          <w:sz w:val="20"/>
          <w:szCs w:val="20"/>
          <w:color w:val="auto"/>
        </w:rPr>
      </w:pPr>
      <w:r>
        <w:rPr>
          <w:rFonts w:ascii="Arial" w:cs="Arial" w:eastAsia="Arial" w:hAnsi="Arial"/>
          <w:sz w:val="22"/>
          <w:szCs w:val="22"/>
          <w:i w:val="1"/>
          <w:iCs w:val="1"/>
          <w:color w:val="auto"/>
        </w:rPr>
        <w:t>As we look forward, we expect 2020 to be another year of solid revenue and earnings growth and we reaffirm our outlook with revenue guidance in the range of $2,972 - $3,092 million and earnings per share guidance in the range of $7.55 - $7.85, a year over year increase of 9.7% - 14.1%”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2019 Results</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Gross business wins in the fourth quarter were $1.1 billion and cancellations were $164 million. This resulted in net business wins of $930 million and a book to bill of 1.28.</w:t>
      </w:r>
    </w:p>
    <w:p>
      <w:pPr>
        <w:spacing w:after="0" w:line="173"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Reported revenue for Quarter 4 was $725.4 million. This represents a year on year increase of 6.8% or 7.5% on a constant currency basis.</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Reported income from operations in the quarter was $115.3 million or 15.9% of revenue compared to $101.8 million or 15.0% of revenue for Q4 2018. This represents a year on year increase of 13.3%.</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Reported net income attributable to the Group for the quarter was $99.0 million or 13.6% of revenue compared with $88.2 million or 13.0% of revenue in Q4 2018. This represents year on year growth of 12.3%.</w:t>
      </w:r>
    </w:p>
    <w:p>
      <w:pPr>
        <w:spacing w:after="0" w:line="17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Adjusted earnings per share attributable to the Group on a diluted basis was $1.83, compared to $1.62 per share for Q4 2018. This represents a year on year increase of 12.8%.</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On a comparative basis, non-GAAP days sales outstanding were 54 days at December 31, 2019, compared with 56 days at the end of September 2019.</w:t>
      </w:r>
    </w:p>
    <w:p>
      <w:pPr>
        <w:spacing w:after="0" w:line="173"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Cash generated from operating activities for the quarter was $134.4 million. During the quarter, the Group made a payment in respect of the MeDiNova Research acquisition of $14.8 million, capital expenditure was $18.7 million and $5.4 million worth of</w:t>
      </w:r>
    </w:p>
    <w:p>
      <w:pPr>
        <w:sectPr>
          <w:pgSz w:w="11900" w:h="16919" w:orient="portrait"/>
          <w:cols w:equalWidth="0" w:num="1">
            <w:col w:w="11420"/>
          </w:cols>
          <w:pgMar w:left="240" w:top="112" w:right="239" w:bottom="0" w:gutter="0" w:footer="0" w:header="0"/>
        </w:sectPr>
      </w:pPr>
    </w:p>
    <w:bookmarkStart w:id="4" w:name="page5"/>
    <w:bookmarkEnd w:id="4"/>
    <w:p>
      <w:pPr>
        <w:jc w:val="both"/>
        <w:ind w:right="40"/>
        <w:spacing w:after="0" w:line="241" w:lineRule="auto"/>
        <w:rPr>
          <w:sz w:val="20"/>
          <w:szCs w:val="20"/>
          <w:color w:val="auto"/>
        </w:rPr>
      </w:pPr>
      <w:r>
        <w:rPr>
          <w:rFonts w:ascii="Arial" w:cs="Arial" w:eastAsia="Arial" w:hAnsi="Arial"/>
          <w:sz w:val="22"/>
          <w:szCs w:val="22"/>
          <w:color w:val="auto"/>
        </w:rPr>
        <w:t>stock was repurchased at an average price of $152.66. As a result, at December 31, 2019, the company had net cash of $220.3 million, compared to net cash of $121.7 million at September 30, 2019 and net cash of $106.5 million at the end of December 2018.</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2019 Results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Full year gross business wins were $4.3 billion and cancellations were $603 million. This resulted in net business wins of $3.6 billion and a book to bill of 1.30.</w:t>
      </w:r>
    </w:p>
    <w:p>
      <w:pPr>
        <w:spacing w:after="0" w:line="17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Full year reported revenue was $2,806 million. This represents a year on year increase of 8.1% or 9.6%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18" w:right="719" w:bottom="1440" w:gutter="0" w:footer="0" w:header="0"/>
        </w:sectPr>
      </w:pPr>
    </w:p>
    <w:bookmarkStart w:id="5" w:name="page6"/>
    <w:bookmarkEnd w:id="5"/>
    <w:p>
      <w:pPr>
        <w:ind w:right="620"/>
        <w:spacing w:after="0" w:line="251" w:lineRule="auto"/>
        <w:rPr>
          <w:sz w:val="20"/>
          <w:szCs w:val="20"/>
          <w:color w:val="auto"/>
        </w:rPr>
      </w:pPr>
      <w:r>
        <w:rPr>
          <w:rFonts w:ascii="Arial" w:cs="Arial" w:eastAsia="Arial" w:hAnsi="Arial"/>
          <w:sz w:val="22"/>
          <w:szCs w:val="22"/>
          <w:color w:val="auto"/>
        </w:rPr>
        <w:t>Full year reported income from operations was $433.4 million or 15.4% of revenue compared to $385.8 million or 14.9% of revenue for the equivalent prior year period*. This represents a year on year increase of 12.3%.</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Full year reported net income attributable to the Group was $374.0 million or 13.3% of revenue compared with $333.7 million or 12.9% of revenue for the equivalent prior year period*. This represents year on year growth of 12.1%.</w:t>
      </w:r>
    </w:p>
    <w:p>
      <w:pPr>
        <w:spacing w:after="0" w:line="15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Adjusted earnings per share attributable to the Group on a diluted basis was $6.88, compared to $6.09 per share for the equivalent prior year period*. This represents a year on year increase of 13.0%.</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Cash generated from operating activities for the year was $412.5 million. During the year, $119.6 million was spent on acquisitions (net of cash acquired), $50.6 million on capital expenditure and $146.9 million worth of stock was repurchased at an average price of $141.95.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30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Adjusted earnings per share attributable to the Group (Non-GAAP) has been computed by dividing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23 May 2019 and has a right to acquire the remaining share in the company during 2020. The vendors also have a right to sell the remaining shares exclusively to ICON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6" w:name="page7"/>
    <w:bookmarkEnd w:id="6"/>
    <w:p>
      <w:pPr>
        <w:spacing w:after="0" w:line="215" w:lineRule="auto"/>
        <w:rPr>
          <w:sz w:val="20"/>
          <w:szCs w:val="20"/>
          <w:color w:val="auto"/>
        </w:rPr>
      </w:pPr>
      <w:r>
        <w:rPr>
          <w:rFonts w:ascii="Arial" w:cs="Arial" w:eastAsia="Arial" w:hAnsi="Arial"/>
          <w:sz w:val="21"/>
          <w:szCs w:val="21"/>
          <w:color w:val="auto"/>
        </w:rPr>
        <w:t>ICON will hold its fourth quarter conference call tomorrow, February 20</w:t>
      </w:r>
      <w:r>
        <w:rPr>
          <w:rFonts w:ascii="Arial" w:cs="Arial" w:eastAsia="Arial" w:hAnsi="Arial"/>
          <w:sz w:val="35"/>
          <w:szCs w:val="35"/>
          <w:color w:val="auto"/>
          <w:vertAlign w:val="superscript"/>
        </w:rPr>
        <w:t>th</w:t>
      </w:r>
      <w:r>
        <w:rPr>
          <w:rFonts w:ascii="Arial" w:cs="Arial" w:eastAsia="Arial" w:hAnsi="Arial"/>
          <w:sz w:val="21"/>
          <w:szCs w:val="21"/>
          <w:color w:val="auto"/>
        </w:rPr>
        <w:t>, 2020 at 9:00 EST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14,650 employees in 97 locations in 40 countries as at December 31, 2019. Further information is available at www.iconplc.com.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38" w:lineRule="auto"/>
        <w:rPr>
          <w:sz w:val="20"/>
          <w:szCs w:val="20"/>
          <w:color w:val="auto"/>
        </w:rPr>
      </w:pPr>
      <w:r>
        <w:rPr>
          <w:rFonts w:ascii="Arial" w:cs="Arial" w:eastAsia="Arial" w:hAnsi="Arial"/>
          <w:sz w:val="22"/>
          <w:szCs w:val="22"/>
          <w:color w:val="auto"/>
        </w:rPr>
        <w:t>Contact: Investor Relations +1888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231" w:lineRule="auto"/>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340" w:type="dxa"/>
            <w:vAlign w:val="bottom"/>
            <w:gridSpan w:val="2"/>
          </w:tcPr>
          <w:p>
            <w:pPr>
              <w:ind w:left="640"/>
              <w:spacing w:after="0"/>
              <w:rPr>
                <w:sz w:val="20"/>
                <w:szCs w:val="20"/>
                <w:color w:val="auto"/>
              </w:rPr>
            </w:pPr>
            <w:r>
              <w:rPr>
                <w:rFonts w:ascii="Arial" w:cs="Arial" w:eastAsia="Arial" w:hAnsi="Arial"/>
                <w:sz w:val="18"/>
                <w:szCs w:val="18"/>
                <w:b w:val="1"/>
                <w:bCs w:val="1"/>
                <w:color w:val="auto"/>
                <w:w w:val="94"/>
              </w:rPr>
              <w:t>Three Months Ended</w:t>
            </w: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Twelve Months Ended</w:t>
            </w:r>
          </w:p>
        </w:tc>
      </w:tr>
      <w:tr>
        <w:trPr>
          <w:trHeight w:val="243"/>
        </w:trPr>
        <w:tc>
          <w:tcPr>
            <w:tcW w:w="4260" w:type="dxa"/>
            <w:vAlign w:val="bottom"/>
          </w:tcPr>
          <w:p>
            <w:pPr>
              <w:spacing w:after="0"/>
              <w:rPr>
                <w:sz w:val="21"/>
                <w:szCs w:val="21"/>
                <w:color w:val="auto"/>
              </w:rPr>
            </w:pPr>
          </w:p>
        </w:tc>
        <w:tc>
          <w:tcPr>
            <w:tcW w:w="2340" w:type="dxa"/>
            <w:vAlign w:val="bottom"/>
            <w:gridSpan w:val="2"/>
          </w:tcPr>
          <w:p>
            <w:pPr>
              <w:ind w:left="620"/>
              <w:spacing w:after="0"/>
              <w:rPr>
                <w:sz w:val="20"/>
                <w:szCs w:val="20"/>
                <w:color w:val="auto"/>
              </w:rPr>
            </w:pPr>
            <w:r>
              <w:rPr>
                <w:rFonts w:ascii="Arial" w:cs="Arial" w:eastAsia="Arial" w:hAnsi="Arial"/>
                <w:sz w:val="18"/>
                <w:szCs w:val="18"/>
                <w:b w:val="1"/>
                <w:bCs w:val="1"/>
                <w:color w:val="auto"/>
                <w:w w:val="94"/>
              </w:rPr>
              <w:t>December December</w:t>
            </w:r>
          </w:p>
        </w:tc>
        <w:tc>
          <w:tcPr>
            <w:tcW w:w="940" w:type="dxa"/>
            <w:vAlign w:val="bottom"/>
          </w:tcPr>
          <w:p>
            <w:pPr>
              <w:ind w:left="80"/>
              <w:spacing w:after="0"/>
              <w:rPr>
                <w:sz w:val="20"/>
                <w:szCs w:val="20"/>
                <w:color w:val="auto"/>
              </w:rPr>
            </w:pPr>
            <w:r>
              <w:rPr>
                <w:rFonts w:ascii="Arial" w:cs="Arial" w:eastAsia="Arial" w:hAnsi="Arial"/>
                <w:sz w:val="18"/>
                <w:szCs w:val="18"/>
                <w:b w:val="1"/>
                <w:bCs w:val="1"/>
                <w:color w:val="auto"/>
                <w:w w:val="96"/>
              </w:rPr>
              <w:t>December</w:t>
            </w: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w w:val="94"/>
              </w:rPr>
              <w:t>December</w:t>
            </w:r>
          </w:p>
        </w:tc>
      </w:tr>
      <w:tr>
        <w:trPr>
          <w:trHeight w:val="243"/>
        </w:trPr>
        <w:tc>
          <w:tcPr>
            <w:tcW w:w="4260" w:type="dxa"/>
            <w:vAlign w:val="bottom"/>
          </w:tcPr>
          <w:p>
            <w:pPr>
              <w:spacing w:after="0"/>
              <w:rPr>
                <w:sz w:val="21"/>
                <w:szCs w:val="21"/>
                <w:color w:val="auto"/>
              </w:rPr>
            </w:pPr>
          </w:p>
        </w:tc>
        <w:tc>
          <w:tcPr>
            <w:tcW w:w="146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31, 2019</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31, 2018</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31, 2019</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31, 2018</w:t>
            </w:r>
          </w:p>
        </w:tc>
      </w:tr>
      <w:tr>
        <w:trPr>
          <w:trHeight w:val="243"/>
        </w:trPr>
        <w:tc>
          <w:tcPr>
            <w:tcW w:w="4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tcPr>
          <w:p>
            <w:pPr>
              <w:jc w:val="center"/>
              <w:ind w:left="490"/>
              <w:spacing w:after="0"/>
              <w:rPr>
                <w:sz w:val="20"/>
                <w:szCs w:val="20"/>
                <w:color w:val="auto"/>
              </w:rPr>
            </w:pPr>
            <w:r>
              <w:rPr>
                <w:rFonts w:ascii="Arial" w:cs="Arial" w:eastAsia="Arial" w:hAnsi="Arial"/>
                <w:sz w:val="18"/>
                <w:szCs w:val="18"/>
                <w:color w:val="auto"/>
                <w:w w:val="92"/>
              </w:rPr>
              <w:t>725,409</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679,025</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2,805,839</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2,595,777</w:t>
            </w:r>
          </w:p>
        </w:tc>
      </w:tr>
      <w:tr>
        <w:trPr>
          <w:trHeight w:val="486"/>
        </w:trPr>
        <w:tc>
          <w:tcPr>
            <w:tcW w:w="4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Direct costs</w:t>
            </w:r>
          </w:p>
        </w:tc>
        <w:tc>
          <w:tcPr>
            <w:tcW w:w="1460" w:type="dxa"/>
            <w:vAlign w:val="bottom"/>
          </w:tcPr>
          <w:p>
            <w:pPr>
              <w:jc w:val="center"/>
              <w:ind w:left="490"/>
              <w:spacing w:after="0"/>
              <w:rPr>
                <w:sz w:val="20"/>
                <w:szCs w:val="20"/>
                <w:color w:val="auto"/>
              </w:rPr>
            </w:pPr>
            <w:r>
              <w:rPr>
                <w:rFonts w:ascii="Arial" w:cs="Arial" w:eastAsia="Arial" w:hAnsi="Arial"/>
                <w:sz w:val="18"/>
                <w:szCs w:val="18"/>
                <w:color w:val="auto"/>
                <w:w w:val="93"/>
              </w:rPr>
              <w:t>(508,191)</w:t>
            </w: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(479,206)</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(1,974,135)</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(1,818,220)</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60" w:type="dxa"/>
            <w:vAlign w:val="bottom"/>
          </w:tcPr>
          <w:p>
            <w:pPr>
              <w:jc w:val="center"/>
              <w:ind w:left="490"/>
              <w:spacing w:after="0"/>
              <w:rPr>
                <w:sz w:val="20"/>
                <w:szCs w:val="20"/>
                <w:color w:val="auto"/>
              </w:rPr>
            </w:pPr>
            <w:r>
              <w:rPr>
                <w:rFonts w:ascii="Arial" w:cs="Arial" w:eastAsia="Arial" w:hAnsi="Arial"/>
                <w:sz w:val="18"/>
                <w:szCs w:val="18"/>
                <w:color w:val="auto"/>
                <w:w w:val="89"/>
              </w:rPr>
              <w:t>(86,184)</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(83,124)</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(336,748)</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(325,794)</w:t>
            </w:r>
          </w:p>
        </w:tc>
      </w:tr>
      <w:tr>
        <w:trPr>
          <w:trHeight w:val="25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(15,708)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(14,910)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(61,550)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(65,916)</w:t>
            </w:r>
          </w:p>
        </w:tc>
      </w:tr>
      <w:tr>
        <w:trPr>
          <w:trHeight w:val="48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3"/>
              </w:rPr>
              <w:t>(610,083)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(577,240)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(2,372,433)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(2,209,930)</w:t>
            </w: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60" w:type="dxa"/>
            <w:vAlign w:val="bottom"/>
          </w:tcPr>
          <w:p>
            <w:pPr>
              <w:jc w:val="center"/>
              <w:ind w:left="510"/>
              <w:spacing w:after="0"/>
              <w:rPr>
                <w:sz w:val="20"/>
                <w:szCs w:val="20"/>
                <w:color w:val="auto"/>
              </w:rPr>
            </w:pPr>
            <w:r>
              <w:rPr>
                <w:rFonts w:ascii="Arial" w:cs="Arial" w:eastAsia="Arial" w:hAnsi="Arial"/>
                <w:sz w:val="18"/>
                <w:szCs w:val="18"/>
                <w:color w:val="auto"/>
                <w:w w:val="89"/>
              </w:rPr>
              <w:t>115,326</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101,785</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433,406</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385,847</w:t>
            </w:r>
          </w:p>
        </w:tc>
      </w:tr>
      <w:tr>
        <w:trPr>
          <w:trHeight w:val="49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1"/>
              </w:rPr>
              <w:t>(1,848)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(1,599)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(6,417)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(8,743)</w:t>
            </w: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60" w:type="dxa"/>
            <w:vAlign w:val="bottom"/>
          </w:tcPr>
          <w:p>
            <w:pPr>
              <w:jc w:val="center"/>
              <w:ind w:left="510"/>
              <w:spacing w:after="0"/>
              <w:rPr>
                <w:sz w:val="20"/>
                <w:szCs w:val="20"/>
                <w:color w:val="auto"/>
              </w:rPr>
            </w:pPr>
            <w:r>
              <w:rPr>
                <w:rFonts w:ascii="Arial" w:cs="Arial" w:eastAsia="Arial" w:hAnsi="Arial"/>
                <w:sz w:val="18"/>
                <w:szCs w:val="18"/>
                <w:color w:val="auto"/>
                <w:w w:val="89"/>
              </w:rPr>
              <w:t>113,478</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100,186</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426,989</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377,104</w:t>
            </w:r>
          </w:p>
        </w:tc>
      </w:tr>
      <w:tr>
        <w:trPr>
          <w:trHeight w:val="49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(13,617)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(51,133)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(43,411)</w:t>
            </w: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jc w:val="center"/>
              <w:ind w:left="490"/>
              <w:spacing w:after="0"/>
              <w:rPr>
                <w:sz w:val="20"/>
                <w:szCs w:val="20"/>
                <w:color w:val="auto"/>
              </w:rPr>
            </w:pPr>
            <w:r>
              <w:rPr>
                <w:rFonts w:ascii="Arial" w:cs="Arial" w:eastAsia="Arial" w:hAnsi="Arial"/>
                <w:sz w:val="18"/>
                <w:szCs w:val="18"/>
                <w:color w:val="auto"/>
                <w:w w:val="87"/>
              </w:rPr>
              <w:t>99,861</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88,163</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375,856</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333,693</w:t>
            </w:r>
          </w:p>
        </w:tc>
      </w:tr>
      <w:tr>
        <w:trPr>
          <w:trHeight w:val="49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5"/>
              </w:rPr>
              <w:t>(854)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(1,870)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480"/>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4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7"/>
              </w:rPr>
              <w:t>99,007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88,163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373,986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333,693</w:t>
            </w:r>
          </w:p>
        </w:tc>
      </w:tr>
    </w:tbl>
    <w:p>
      <w:pPr>
        <w:spacing w:after="0" w:line="24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Adjusted net income per Ordinary Share attributable to the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1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$1.85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$6.94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$6.17</w:t>
            </w:r>
          </w:p>
        </w:tc>
        <w:tc>
          <w:tcPr>
            <w:tcW w:w="1480" w:type="dxa"/>
            <w:vAlign w:val="bottom"/>
          </w:tcPr>
          <w:p>
            <w:pPr>
              <w:spacing w:after="0"/>
              <w:rPr>
                <w:sz w:val="20"/>
                <w:szCs w:val="20"/>
                <w:color w:val="auto"/>
              </w:rPr>
            </w:pPr>
          </w:p>
        </w:tc>
      </w:tr>
      <w:tr>
        <w:trPr>
          <w:trHeight w:val="480"/>
        </w:trPr>
        <w:tc>
          <w:tcPr>
            <w:tcW w:w="15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1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$1.83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$6.88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$6.09</w:t>
            </w:r>
          </w:p>
        </w:tc>
        <w:tc>
          <w:tcPr>
            <w:tcW w:w="1480" w:type="dxa"/>
            <w:vAlign w:val="bottom"/>
          </w:tcPr>
          <w:p>
            <w:pPr>
              <w:spacing w:after="0"/>
              <w:rPr>
                <w:sz w:val="24"/>
                <w:szCs w:val="24"/>
                <w:color w:val="auto"/>
              </w:rPr>
            </w:pPr>
          </w:p>
        </w:tc>
      </w:tr>
      <w:tr>
        <w:trPr>
          <w:trHeight w:val="473"/>
        </w:trPr>
        <w:tc>
          <w:tcPr>
            <w:tcW w:w="15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Weighted average number of Ordinary Shares outstanding:</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3"/>
        </w:trPr>
        <w:tc>
          <w:tcPr>
            <w:tcW w:w="15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53,630,331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54,071,137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53,859,537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54,118,764</w:t>
            </w:r>
          </w:p>
        </w:tc>
        <w:tc>
          <w:tcPr>
            <w:tcW w:w="1480" w:type="dxa"/>
            <w:vAlign w:val="bottom"/>
          </w:tcPr>
          <w:p>
            <w:pPr>
              <w:spacing w:after="0"/>
              <w:rPr>
                <w:sz w:val="24"/>
                <w:szCs w:val="24"/>
                <w:color w:val="auto"/>
              </w:rPr>
            </w:pPr>
          </w:p>
        </w:tc>
      </w:tr>
      <w:tr>
        <w:trPr>
          <w:trHeight w:val="480"/>
        </w:trPr>
        <w:tc>
          <w:tcPr>
            <w:tcW w:w="150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8"/>
              </w:rPr>
              <w:t>54,219,975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54,475,302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54,333,461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54,790,663</w:t>
            </w:r>
          </w:p>
        </w:tc>
        <w:tc>
          <w:tcPr>
            <w:tcW w:w="1480" w:type="dxa"/>
            <w:vAlign w:val="bottom"/>
          </w:tcPr>
          <w:p>
            <w:pPr>
              <w:spacing w:after="0"/>
              <w:rPr>
                <w:sz w:val="24"/>
                <w:szCs w:val="24"/>
                <w:color w:val="auto"/>
              </w:rPr>
            </w:pPr>
          </w:p>
        </w:tc>
      </w:tr>
      <w:tr>
        <w:trPr>
          <w:trHeight w:val="426"/>
        </w:trPr>
        <w:tc>
          <w:tcPr>
            <w:tcW w:w="15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Twelve Months ended December 31,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Three Months Ended</w:t>
            </w: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Twelve Months Ended</w:t>
            </w:r>
          </w:p>
        </w:tc>
        <w:tc>
          <w:tcPr>
            <w:tcW w:w="1760" w:type="dxa"/>
            <w:vAlign w:val="bottom"/>
          </w:tcPr>
          <w:p>
            <w:pPr>
              <w:spacing w:after="0"/>
              <w:rPr>
                <w:sz w:val="20"/>
                <w:szCs w:val="20"/>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December December</w:t>
            </w: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w w:val="96"/>
              </w:rPr>
              <w:t>December</w:t>
            </w: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w w:val="94"/>
              </w:rPr>
              <w:t>December</w:t>
            </w:r>
          </w:p>
        </w:tc>
        <w:tc>
          <w:tcPr>
            <w:tcW w:w="176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31, 2019</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31, 2018</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31, 2019</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31, 2018</w:t>
            </w:r>
          </w:p>
        </w:tc>
        <w:tc>
          <w:tcPr>
            <w:tcW w:w="176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725,409</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679,025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2,805,839</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2,595,777</w:t>
            </w:r>
          </w:p>
        </w:tc>
        <w:tc>
          <w:tcPr>
            <w:tcW w:w="1760" w:type="dxa"/>
            <w:vAlign w:val="bottom"/>
          </w:tcPr>
          <w:p>
            <w:pPr>
              <w:spacing w:after="0"/>
              <w:rPr>
                <w:sz w:val="21"/>
                <w:szCs w:val="21"/>
                <w:color w:val="auto"/>
              </w:rPr>
            </w:pPr>
          </w:p>
        </w:tc>
      </w:tr>
      <w:tr>
        <w:trPr>
          <w:trHeight w:val="486"/>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 costs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(508,191)</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(479,206)</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(1,974,135)</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(1,818,220)</w:t>
            </w:r>
          </w:p>
        </w:tc>
        <w:tc>
          <w:tcPr>
            <w:tcW w:w="176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(86,184)</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(83,124)</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(336,748)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(325,794)</w:t>
            </w:r>
          </w:p>
        </w:tc>
        <w:tc>
          <w:tcPr>
            <w:tcW w:w="176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(15,708)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(14,910)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(61,550)</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(65,916)</w:t>
            </w:r>
          </w:p>
        </w:tc>
        <w:tc>
          <w:tcPr>
            <w:tcW w:w="1760" w:type="dxa"/>
            <w:vAlign w:val="bottom"/>
          </w:tcPr>
          <w:p>
            <w:pPr>
              <w:spacing w:after="0"/>
              <w:rPr>
                <w:sz w:val="21"/>
                <w:szCs w:val="21"/>
                <w:color w:val="auto"/>
              </w:rPr>
            </w:pPr>
          </w:p>
        </w:tc>
      </w:tr>
      <w:tr>
        <w:trPr>
          <w:trHeight w:val="250"/>
        </w:trPr>
        <w:tc>
          <w:tcPr>
            <w:tcW w:w="1780" w:type="dxa"/>
            <w:vAlign w:val="bottom"/>
          </w:tcPr>
          <w:p>
            <w:pPr>
              <w:spacing w:after="0"/>
              <w:rPr>
                <w:sz w:val="21"/>
                <w:szCs w:val="21"/>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(12,490)</w:t>
            </w:r>
          </w:p>
        </w:tc>
        <w:tc>
          <w:tcPr>
            <w:tcW w:w="1760" w:type="dxa"/>
            <w:vAlign w:val="bottom"/>
          </w:tcPr>
          <w:p>
            <w:pPr>
              <w:spacing w:after="0"/>
              <w:rPr>
                <w:sz w:val="21"/>
                <w:szCs w:val="21"/>
                <w:color w:val="auto"/>
              </w:rPr>
            </w:pPr>
          </w:p>
        </w:tc>
      </w:tr>
      <w:tr>
        <w:trPr>
          <w:trHeight w:val="480"/>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(610,083)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(577,240)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(2,372,433)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(2,222,420)</w:t>
            </w:r>
          </w:p>
        </w:tc>
        <w:tc>
          <w:tcPr>
            <w:tcW w:w="1760" w:type="dxa"/>
            <w:vAlign w:val="bottom"/>
          </w:tcPr>
          <w:p>
            <w:pPr>
              <w:spacing w:after="0"/>
              <w:rPr>
                <w:sz w:val="24"/>
                <w:szCs w:val="24"/>
                <w:color w:val="auto"/>
              </w:rPr>
            </w:pPr>
          </w:p>
        </w:tc>
      </w:tr>
      <w:tr>
        <w:trPr>
          <w:trHeight w:val="473"/>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115,326</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101,785</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433,406</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373,357</w:t>
            </w:r>
          </w:p>
        </w:tc>
        <w:tc>
          <w:tcPr>
            <w:tcW w:w="1760" w:type="dxa"/>
            <w:vAlign w:val="bottom"/>
          </w:tcPr>
          <w:p>
            <w:pPr>
              <w:spacing w:after="0"/>
              <w:rPr>
                <w:sz w:val="24"/>
                <w:szCs w:val="24"/>
                <w:color w:val="auto"/>
              </w:rPr>
            </w:pPr>
          </w:p>
        </w:tc>
      </w:tr>
      <w:tr>
        <w:trPr>
          <w:trHeight w:val="493"/>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(1,848)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(1,599)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(6,417)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(8,743)</w:t>
            </w:r>
          </w:p>
        </w:tc>
        <w:tc>
          <w:tcPr>
            <w:tcW w:w="1760" w:type="dxa"/>
            <w:vAlign w:val="bottom"/>
          </w:tcPr>
          <w:p>
            <w:pPr>
              <w:spacing w:after="0"/>
              <w:rPr>
                <w:sz w:val="24"/>
                <w:szCs w:val="24"/>
                <w:color w:val="auto"/>
              </w:rPr>
            </w:pPr>
          </w:p>
        </w:tc>
      </w:tr>
      <w:tr>
        <w:trPr>
          <w:trHeight w:val="473"/>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113,478</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100,186</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426,989</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364,614</w:t>
            </w:r>
          </w:p>
        </w:tc>
        <w:tc>
          <w:tcPr>
            <w:tcW w:w="1760" w:type="dxa"/>
            <w:vAlign w:val="bottom"/>
          </w:tcPr>
          <w:p>
            <w:pPr>
              <w:spacing w:after="0"/>
              <w:rPr>
                <w:sz w:val="24"/>
                <w:szCs w:val="24"/>
                <w:color w:val="auto"/>
              </w:rPr>
            </w:pPr>
          </w:p>
        </w:tc>
      </w:tr>
      <w:tr>
        <w:trPr>
          <w:trHeight w:val="493"/>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(13,617)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(51,133)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(41,958)</w:t>
            </w:r>
          </w:p>
        </w:tc>
        <w:tc>
          <w:tcPr>
            <w:tcW w:w="1760" w:type="dxa"/>
            <w:vAlign w:val="bottom"/>
          </w:tcPr>
          <w:p>
            <w:pPr>
              <w:spacing w:after="0"/>
              <w:rPr>
                <w:sz w:val="24"/>
                <w:szCs w:val="24"/>
                <w:color w:val="auto"/>
              </w:rPr>
            </w:pPr>
          </w:p>
        </w:tc>
      </w:tr>
      <w:tr>
        <w:trPr>
          <w:trHeight w:val="473"/>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99,861</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88,163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375,856</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322,656</w:t>
            </w:r>
          </w:p>
        </w:tc>
        <w:tc>
          <w:tcPr>
            <w:tcW w:w="1760" w:type="dxa"/>
            <w:vAlign w:val="bottom"/>
          </w:tcPr>
          <w:p>
            <w:pPr>
              <w:spacing w:after="0"/>
              <w:rPr>
                <w:sz w:val="24"/>
                <w:szCs w:val="24"/>
                <w:color w:val="auto"/>
              </w:rPr>
            </w:pPr>
          </w:p>
        </w:tc>
      </w:tr>
      <w:tr>
        <w:trPr>
          <w:trHeight w:val="493"/>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(854)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(1,870)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24"/>
                <w:szCs w:val="24"/>
                <w:color w:val="auto"/>
              </w:rPr>
            </w:pPr>
          </w:p>
        </w:tc>
      </w:tr>
      <w:tr>
        <w:trPr>
          <w:trHeight w:val="480"/>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99,007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88,163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373,986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322,656</w:t>
            </w:r>
          </w:p>
        </w:tc>
        <w:tc>
          <w:tcPr>
            <w:tcW w:w="1760" w:type="dxa"/>
            <w:vAlign w:val="bottom"/>
          </w:tcPr>
          <w:p>
            <w:pPr>
              <w:spacing w:after="0"/>
              <w:rPr>
                <w:sz w:val="24"/>
                <w:szCs w:val="24"/>
                <w:color w:val="auto"/>
              </w:rPr>
            </w:pPr>
          </w:p>
        </w:tc>
      </w:tr>
      <w:tr>
        <w:trPr>
          <w:trHeight w:val="473"/>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3"/>
              </w:rPr>
              <w:t>Net income per Ordinary Share attributable to the Group:</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3"/>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$1.78</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$6.85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$5.96</w:t>
            </w:r>
          </w:p>
        </w:tc>
        <w:tc>
          <w:tcPr>
            <w:tcW w:w="1760" w:type="dxa"/>
            <w:vAlign w:val="bottom"/>
          </w:tcPr>
          <w:p>
            <w:pPr>
              <w:spacing w:after="0"/>
              <w:rPr>
                <w:sz w:val="24"/>
                <w:szCs w:val="24"/>
                <w:color w:val="auto"/>
              </w:rPr>
            </w:pPr>
          </w:p>
        </w:tc>
      </w:tr>
      <w:tr>
        <w:trPr>
          <w:trHeight w:val="480"/>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$1.76</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$1.62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$6.79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$5.89</w:t>
            </w:r>
          </w:p>
        </w:tc>
        <w:tc>
          <w:tcPr>
            <w:tcW w:w="1760" w:type="dxa"/>
            <w:vAlign w:val="bottom"/>
          </w:tcPr>
          <w:p>
            <w:pPr>
              <w:spacing w:after="0"/>
              <w:rPr>
                <w:sz w:val="24"/>
                <w:szCs w:val="24"/>
                <w:color w:val="auto"/>
              </w:rPr>
            </w:pPr>
          </w:p>
        </w:tc>
      </w:tr>
      <w:tr>
        <w:trPr>
          <w:trHeight w:val="473"/>
        </w:trPr>
        <w:tc>
          <w:tcPr>
            <w:tcW w:w="178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0"/>
              </w:rPr>
              <w:t>Weighted average number of Ordinary Shares outstanding:</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3"/>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53,630,331 54,071,137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53,859,537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54,118,764</w:t>
            </w:r>
          </w:p>
        </w:tc>
        <w:tc>
          <w:tcPr>
            <w:tcW w:w="1760" w:type="dxa"/>
            <w:vAlign w:val="bottom"/>
          </w:tcPr>
          <w:p>
            <w:pPr>
              <w:spacing w:after="0"/>
              <w:rPr>
                <w:sz w:val="24"/>
                <w:szCs w:val="24"/>
                <w:color w:val="auto"/>
              </w:rPr>
            </w:pPr>
          </w:p>
        </w:tc>
      </w:tr>
      <w:tr>
        <w:trPr>
          <w:trHeight w:val="480"/>
        </w:trPr>
        <w:tc>
          <w:tcPr>
            <w:tcW w:w="178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2"/>
              </w:rPr>
              <w:t>54,219,975 54,475,302</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54,333,461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54,790,663</w:t>
            </w:r>
          </w:p>
        </w:tc>
        <w:tc>
          <w:tcPr>
            <w:tcW w:w="1760" w:type="dxa"/>
            <w:vAlign w:val="bottom"/>
          </w:tcPr>
          <w:p>
            <w:pPr>
              <w:spacing w:after="0"/>
              <w:rPr>
                <w:sz w:val="24"/>
                <w:szCs w:val="24"/>
                <w:color w:val="auto"/>
              </w:rPr>
            </w:pPr>
          </w:p>
        </w:tc>
      </w:tr>
      <w:tr>
        <w:trPr>
          <w:trHeight w:val="183"/>
        </w:trPr>
        <w:tc>
          <w:tcPr>
            <w:tcW w:w="178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513" w:right="239" w:bottom="1440" w:gutter="0" w:footer="0" w:header="0"/>
        </w:sectPr>
      </w:pPr>
    </w:p>
    <w:bookmarkStart w:id="9" w:name="page10"/>
    <w:bookmarkEnd w:id="9"/>
    <w:p>
      <w:pPr>
        <w:jc w:val="center"/>
        <w:ind w:right="-1160"/>
        <w:spacing w:after="0"/>
        <w:rPr>
          <w:sz w:val="20"/>
          <w:szCs w:val="20"/>
          <w:color w:val="auto"/>
        </w:rPr>
      </w:pPr>
      <w:r>
        <w:rPr>
          <w:rFonts w:ascii="Arial" w:cs="Arial" w:eastAsia="Arial" w:hAnsi="Arial"/>
          <w:sz w:val="22"/>
          <w:szCs w:val="22"/>
          <w:b w:val="1"/>
          <w:bCs w:val="1"/>
          <w:color w:val="auto"/>
        </w:rPr>
        <w:t>ICON plc</w:t>
      </w:r>
    </w:p>
    <w:p>
      <w:pPr>
        <w:spacing w:after="0" w:line="4"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Summary Consolidated Balance Sheet Data</w:t>
      </w:r>
    </w:p>
    <w:p>
      <w:pPr>
        <w:jc w:val="center"/>
        <w:ind w:right="-1160"/>
        <w:spacing w:after="0" w:line="230" w:lineRule="auto"/>
        <w:rPr>
          <w:sz w:val="20"/>
          <w:szCs w:val="20"/>
          <w:color w:val="auto"/>
        </w:rPr>
      </w:pPr>
      <w:r>
        <w:rPr>
          <w:rFonts w:ascii="Arial" w:cs="Arial" w:eastAsia="Arial" w:hAnsi="Arial"/>
          <w:sz w:val="22"/>
          <w:szCs w:val="22"/>
          <w:b w:val="1"/>
          <w:bCs w:val="1"/>
          <w:color w:val="auto"/>
        </w:rPr>
        <w:t>December 31, 2019 and December 31, 2018</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(Dollars, in thousands)</w:t>
      </w:r>
    </w:p>
    <w:p>
      <w:pPr>
        <w:spacing w:after="0" w:line="205" w:lineRule="exact"/>
        <w:rPr>
          <w:sz w:val="20"/>
          <w:szCs w:val="20"/>
          <w:color w:val="auto"/>
        </w:rPr>
      </w:pPr>
    </w:p>
    <w:tbl>
      <w:tblPr>
        <w:tblLayout w:type="fixed"/>
        <w:tblInd w:w="340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December 31,</w:t>
            </w:r>
          </w:p>
        </w:tc>
      </w:tr>
      <w:tr>
        <w:trPr>
          <w:trHeight w:val="243"/>
        </w:trPr>
        <w:tc>
          <w:tcPr>
            <w:tcW w:w="23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43"/>
        </w:trPr>
        <w:tc>
          <w:tcPr>
            <w:tcW w:w="2380" w:type="dxa"/>
            <w:vAlign w:val="bottom"/>
          </w:tcPr>
          <w:p>
            <w:pPr>
              <w:spacing w:after="0"/>
              <w:rPr>
                <w:sz w:val="21"/>
                <w:szCs w:val="21"/>
                <w:color w:val="auto"/>
              </w:rPr>
            </w:pPr>
          </w:p>
        </w:tc>
        <w:tc>
          <w:tcPr>
            <w:tcW w:w="1180" w:type="dxa"/>
            <w:vAlign w:val="bottom"/>
          </w:tcPr>
          <w:p>
            <w:pPr>
              <w:ind w:left="100"/>
              <w:spacing w:after="0"/>
              <w:rPr>
                <w:sz w:val="20"/>
                <w:szCs w:val="20"/>
                <w:color w:val="auto"/>
              </w:rPr>
            </w:pPr>
            <w:r>
              <w:rPr>
                <w:rFonts w:ascii="Arial" w:cs="Arial" w:eastAsia="Arial" w:hAnsi="Arial"/>
                <w:sz w:val="18"/>
                <w:szCs w:val="18"/>
                <w:b w:val="1"/>
                <w:bCs w:val="1"/>
                <w:color w:val="auto"/>
              </w:rPr>
              <w:t>(Unaudited)</w:t>
            </w:r>
          </w:p>
        </w:tc>
        <w:tc>
          <w:tcPr>
            <w:tcW w:w="1060" w:type="dxa"/>
            <w:vAlign w:val="bottom"/>
          </w:tcPr>
          <w:p>
            <w:pPr>
              <w:ind w:left="160"/>
              <w:spacing w:after="0"/>
              <w:rPr>
                <w:sz w:val="20"/>
                <w:szCs w:val="20"/>
                <w:color w:val="auto"/>
              </w:rPr>
            </w:pPr>
            <w:r>
              <w:rPr>
                <w:rFonts w:ascii="Arial" w:cs="Arial" w:eastAsia="Arial" w:hAnsi="Arial"/>
                <w:sz w:val="18"/>
                <w:szCs w:val="18"/>
                <w:b w:val="1"/>
                <w:bCs w:val="1"/>
                <w:color w:val="auto"/>
              </w:rPr>
              <w:t>(Audited)</w:t>
            </w:r>
          </w:p>
        </w:tc>
      </w:tr>
      <w:tr>
        <w:trPr>
          <w:trHeight w:val="729"/>
        </w:trPr>
        <w:tc>
          <w:tcPr>
            <w:tcW w:w="2380" w:type="dxa"/>
            <w:vAlign w:val="bottom"/>
          </w:tcPr>
          <w:p>
            <w:pPr>
              <w:spacing w:after="0"/>
              <w:rPr>
                <w:sz w:val="20"/>
                <w:szCs w:val="20"/>
                <w:color w:val="auto"/>
              </w:rPr>
            </w:pPr>
            <w:r>
              <w:rPr>
                <w:rFonts w:ascii="Arial" w:cs="Arial" w:eastAsia="Arial" w:hAnsi="Arial"/>
                <w:sz w:val="18"/>
                <w:szCs w:val="18"/>
                <w:color w:val="auto"/>
                <w:w w:val="89"/>
              </w:rPr>
              <w:t>Cash and short-term investments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569,937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455,761</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Debt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(349,640)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(349,264)</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Net cash/(debt)</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220,297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106,497</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583,489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503,249</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Working Capital</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493,728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719,560</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2,907,512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2,354,255</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1,618,055</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1,354,281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ind w:right="2399"/>
        <w:spacing w:after="0" w:line="237"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2020-02-19T16:21:35Z</dcterms:created>
  <dcterms:modified xsi:type="dcterms:W3CDTF">2020-02-19T16:21:35Z</dcterms:modified>
</cp:coreProperties>
</file>