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6"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the month ended October, 2018</w:t>
      </w:r>
    </w:p>
    <w:p>
      <w:pPr>
        <w:spacing w:after="0" w:line="193" w:lineRule="exact"/>
        <w:rPr>
          <w:sz w:val="24"/>
          <w:szCs w:val="24"/>
          <w:color w:val="auto"/>
        </w:rPr>
      </w:pPr>
    </w:p>
    <w:p>
      <w:pPr>
        <w:ind w:left="508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+353-1-291-2000</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4"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ectPr>
          <w:pgSz w:w="11900" w:h="16838" w:orient="portrait"/>
          <w:cols w:equalWidth="0" w:num="1">
            <w:col w:w="10620"/>
          </w:cols>
          <w:pgMar w:left="280" w:top="67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2018 we had approximately 13,620 employees, in 93 locations in 37 countries. During the nine months ended September 30, 2018, we derived approximately 35.2%, 54.7% and 10.1% of our revenue in the United States, Europe and Rest of World respectively.</w:t>
      </w:r>
    </w:p>
    <w:p>
      <w:pPr>
        <w:spacing w:after="0" w:line="2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 and executive leadership transition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the Board approved the appointment of Mr. Ciaran Murray (Executive Chairman) as non-Executive Chairman of ICON plc with effect from May 12, 2018. Dr, Ronan Lambe retired from the Board at the AGM on July 24,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2017, a subsidiary of the Company, ICON Clinical Research Limited acquired Mapi Development SAS ('Mapi') and its subsidiaries ("Mapi Group"). Mapi Group has over 40 years of experience supporting life-science companies as a world leading patient-centered research company in commercializing novel treatments through real-world evidence, strategic regulatory services, pharmacovigilance, market access and language services. Mapi Group is the premier provider of health research and commercialization services to life-science companies enabling market authorization, market access and market adoption of novel therapeutics. Total cash outflows on acquisition were $145.8 million. The acquisition of Mapi Group strengthens ICON’s existing commercialization and outcomes research business adding significant commercialization presence, analytics, real world evidence generation and strategic regulatory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resolution was passed at the Company’s Annual General Meeting (“AGM”) on July 22, 2016, which authorizes the Directors to purchase (buyback) up to 10% of the outstanding shares in the Company. On October 3, 2016, the Company commenced the share buyback program of up to $400 million. At December 31, 2017, a total of 3,018,414 ordinary shares were redeemed by the Company under the buyback program for a total consideration of $243.1 million. At September 30, 2018 a total of 3,503,557 ordinary shares were redeemed by the Company under this buyback program for a total consideration of $300.1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new revenue recognition standard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was released in 2014 and became effective for ICON plc with effect from January 1, 2018. ICON has elected to adopt the new standard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the cumulative effect transition method. Under this transition method, the new standard is applied from January 1, 2018 without restatement of comparative period amounts. The cumulative effect of initially applying the new standard is reflected as an adjustment to opening equity at the date of application ($48.1 million). Results for the three months and nine months ended September 2017 are therefore presented under the previous revenue recognition accounting principles,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See 'Note 13-Impact of change in accounting policies' for details of implications of adoption.</w:t>
      </w:r>
    </w:p>
    <w:p>
      <w:pPr>
        <w:spacing w:after="0" w:line="2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was issued in October 2016 and requires entities to recognize at the transaction date the income tax consequences of intercompany asset transfers other than inventory. The effective date of the standard for public companies is for fiscal years beginning after December 15, 2017 and interim periods within those fiscal years. The Company has adopted the modified retrospective approach, as required by the standard, in determining the cumulative impact in retained earnings at January 1, 2018. The cumulative impact recognized in retained earnings as at January 1, 2018 is nil and the new guidance has no impact on the financial statements as at September 30,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new leasing standard (ASU No. 2016-02 ‘</w:t>
      </w:r>
      <w:r>
        <w:rPr>
          <w:rFonts w:ascii="Arial" w:cs="Arial" w:eastAsia="Arial" w:hAnsi="Arial"/>
          <w:sz w:val="17"/>
          <w:szCs w:val="17"/>
          <w:i w:val="1"/>
          <w:iCs w:val="1"/>
          <w:color w:val="auto"/>
        </w:rPr>
        <w:t>Leases</w:t>
      </w:r>
      <w:r>
        <w:rPr>
          <w:rFonts w:ascii="Arial" w:cs="Arial" w:eastAsia="Arial" w:hAnsi="Arial"/>
          <w:sz w:val="17"/>
          <w:szCs w:val="17"/>
          <w:color w:val="auto"/>
        </w:rPr>
        <w:t>’) was issued in February 2016 and will be effective for fiscal years beginning after December 15, 2018, and interim periods within those fiscal years, with early adoption permitted. ASC 842 ‘</w:t>
      </w:r>
      <w:r>
        <w:rPr>
          <w:rFonts w:ascii="Arial" w:cs="Arial" w:eastAsia="Arial" w:hAnsi="Arial"/>
          <w:sz w:val="17"/>
          <w:szCs w:val="17"/>
          <w:i w:val="1"/>
          <w:iCs w:val="1"/>
          <w:color w:val="auto"/>
        </w:rPr>
        <w:t>Leases</w:t>
      </w:r>
      <w:r>
        <w:rPr>
          <w:rFonts w:ascii="Arial" w:cs="Arial" w:eastAsia="Arial" w:hAnsi="Arial"/>
          <w:sz w:val="17"/>
          <w:szCs w:val="17"/>
          <w:color w:val="auto"/>
        </w:rPr>
        <w:t>’ supersedes the current requirements in ASC 840 '</w:t>
      </w:r>
      <w:r>
        <w:rPr>
          <w:rFonts w:ascii="Arial" w:cs="Arial" w:eastAsia="Arial" w:hAnsi="Arial"/>
          <w:sz w:val="17"/>
          <w:szCs w:val="17"/>
          <w:i w:val="1"/>
          <w:iCs w:val="1"/>
          <w:color w:val="auto"/>
        </w:rPr>
        <w:t>Leases</w:t>
      </w:r>
      <w:r>
        <w:rPr>
          <w:rFonts w:ascii="Arial" w:cs="Arial" w:eastAsia="Arial" w:hAnsi="Arial"/>
          <w:sz w:val="17"/>
          <w:szCs w:val="17"/>
          <w:color w:val="auto"/>
        </w:rPr>
        <w:t>'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Financial Accounting Standards Board (FASB) issued ASU No.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Targeted Improvements</w:t>
      </w:r>
      <w:r>
        <w:rPr>
          <w:rFonts w:ascii="Arial" w:cs="Arial" w:eastAsia="Arial" w:hAnsi="Arial"/>
          <w:sz w:val="17"/>
          <w:szCs w:val="17"/>
          <w:color w:val="auto"/>
        </w:rPr>
        <w:t>', which provides the option to adopt the standard retrospectively for each prior period presented, as initially set out in ASU No. 2016-02, or as of the adoption date with a cumulative-effect adjustment to the opening balance of retained earnings. While ICON is still determining the impact of this ASU on its consolidated financial statements, the most significant change is expected to be the recognition of the right-of-use assets and lease liabilities on the consolidated balance sheet for operating leases related to property.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which provides guidance on when to capitalize implementation costs incurred in hosting arrangements which are accounted for as service contracts. ICON is currently evaluating the impact of this ASU on its consolidated financial statements. This ASU will be effective for fiscal years beginning after December 15, 2020, and interim periods within those fiscal years, with early adoption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2" w:right="239" w:bottom="1440" w:gutter="0" w:footer="0" w:header="0"/>
        </w:sectPr>
      </w:pPr>
    </w:p>
    <w:bookmarkStart w:id="4" w:name="page5"/>
    <w:bookmarkEnd w:id="4"/>
    <w:p>
      <w:pPr>
        <w:ind w:left="54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AS AT SEPTEMBER 30, 2018 AND DECEMBER 31,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(Audited)</w:t>
            </w:r>
          </w:p>
        </w:tc>
      </w:tr>
      <w:tr>
        <w:trPr>
          <w:trHeight w:val="203"/>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7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7"/>
            <w:shd w:val="clear" w:color="auto" w:fill="CCEEFF"/>
          </w:tcPr>
          <w:p>
            <w:pPr>
              <w:jc w:val="right"/>
              <w:ind w:right="900"/>
              <w:spacing w:after="0"/>
              <w:rPr>
                <w:sz w:val="20"/>
                <w:szCs w:val="20"/>
                <w:color w:val="auto"/>
              </w:rPr>
            </w:pPr>
            <w:r>
              <w:rPr>
                <w:rFonts w:ascii="Arial" w:cs="Arial" w:eastAsia="Arial" w:hAnsi="Arial"/>
                <w:sz w:val="18"/>
                <w:szCs w:val="18"/>
                <w:color w:val="auto"/>
                <w:w w:val="89"/>
              </w:rPr>
              <w:t>(in thousands)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426,221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282,859</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Short term investments - available for sale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65,261</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77,589</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373,264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379,501</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338,523</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268,509</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38,501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33,798</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42,314</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34,377</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21,457</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24,385</w:t>
            </w: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1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1,305,541</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1,101,018</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154,548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163,051</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760,884</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769,058</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15,694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15,393</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income taxes receivable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18,977</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18,396</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asset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15,922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8,074</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54,162</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71,628</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2,325,728</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2,146,618</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15,306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18,590</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353,636</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298,992</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216,959</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233,503</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16,239</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14,973</w:t>
            </w: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1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602,140</w:t>
            </w: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566,058</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349,169</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348,888</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16,670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17,111</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government grants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966</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payable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14,773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14,879</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deferred tax liability</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7,590</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7,716</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1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991,244</w:t>
            </w: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955,618</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54,435,930 shares issued and outstanding at September 30, 2018 and</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54,081,601 shares issued and outstanding at December 31, 2017</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4,689</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4,664</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521,191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481,337</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912</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(64,526)</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(38,713)</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872,183</w:t>
            </w:r>
          </w:p>
        </w:tc>
        <w:tc>
          <w:tcPr>
            <w:tcW w:w="22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742,800</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1,334,484</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1,191,000</w:t>
            </w:r>
          </w:p>
        </w:tc>
      </w:tr>
      <w:tr>
        <w:trPr>
          <w:trHeight w:val="243"/>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2,325,728</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2,146,618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2018 AND SEPTEMBER 30, 2017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720" w:type="dxa"/>
            <w:vAlign w:val="bottom"/>
            <w:gridSpan w:val="9"/>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80" w:type="dxa"/>
            <w:vAlign w:val="bottom"/>
            <w:gridSpan w:val="9"/>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0"/>
              </w:rPr>
              <w:t>Nine Months Ended</w:t>
            </w: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gridSpan w:val="5"/>
          </w:tcPr>
          <w:p>
            <w:pPr>
              <w:jc w:val="right"/>
              <w:ind w:right="140"/>
              <w:spacing w:after="0" w:line="202" w:lineRule="exact"/>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7"/>
                <w:szCs w:val="17"/>
                <w:color w:val="auto"/>
              </w:rPr>
            </w:pPr>
          </w:p>
        </w:tc>
        <w:tc>
          <w:tcPr>
            <w:tcW w:w="12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20" w:type="dxa"/>
            <w:vAlign w:val="bottom"/>
          </w:tcPr>
          <w:p>
            <w:pPr>
              <w:spacing w:after="0"/>
              <w:rPr>
                <w:sz w:val="17"/>
                <w:szCs w:val="17"/>
                <w:color w:val="auto"/>
              </w:rPr>
            </w:pP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7"/>
                <w:szCs w:val="17"/>
                <w:color w:val="auto"/>
              </w:rPr>
            </w:pPr>
          </w:p>
        </w:tc>
        <w:tc>
          <w:tcPr>
            <w:tcW w:w="1220" w:type="dxa"/>
            <w:vAlign w:val="bottom"/>
            <w:gridSpan w:val="5"/>
          </w:tcPr>
          <w:p>
            <w:pPr>
              <w:jc w:val="right"/>
              <w:ind w:right="100"/>
              <w:spacing w:after="0" w:line="202" w:lineRule="exact"/>
              <w:rPr>
                <w:sz w:val="20"/>
                <w:szCs w:val="20"/>
                <w:color w:val="auto"/>
              </w:rPr>
            </w:pPr>
            <w:r>
              <w:rPr>
                <w:rFonts w:ascii="Arial" w:cs="Arial" w:eastAsia="Arial" w:hAnsi="Arial"/>
                <w:sz w:val="18"/>
                <w:szCs w:val="18"/>
                <w:b w:val="1"/>
                <w:bCs w:val="1"/>
                <w:color w:val="auto"/>
                <w:w w:val="89"/>
              </w:rPr>
              <w:t>September 30,</w:t>
            </w:r>
          </w:p>
        </w:tc>
      </w:tr>
      <w:tr>
        <w:trPr>
          <w:trHeight w:val="20"/>
        </w:trPr>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4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18"/>
            <w:shd w:val="clear" w:color="auto" w:fill="CCEEFF"/>
          </w:tcPr>
          <w:p>
            <w:pPr>
              <w:jc w:val="right"/>
              <w:ind w:right="1180"/>
              <w:spacing w:after="0"/>
              <w:rPr>
                <w:sz w:val="20"/>
                <w:szCs w:val="20"/>
                <w:color w:val="auto"/>
              </w:rPr>
            </w:pPr>
            <w:r>
              <w:rPr>
                <w:rFonts w:ascii="Arial" w:cs="Arial" w:eastAsia="Arial" w:hAnsi="Arial"/>
                <w:sz w:val="18"/>
                <w:szCs w:val="18"/>
                <w:b w:val="1"/>
                <w:bCs w:val="1"/>
                <w:color w:val="auto"/>
                <w:w w:val="91"/>
              </w:rPr>
              <w:t>(in thousands except share and per share data)</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Revenue:</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655,017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596,169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1,916,752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1,766,016</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Reimbursable expenses</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(155,846)</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(462,716)</w:t>
            </w:r>
          </w:p>
        </w:tc>
      </w:tr>
      <w:tr>
        <w:trPr>
          <w:trHeight w:val="34"/>
        </w:trPr>
        <w:tc>
          <w:tcPr>
            <w:tcW w:w="4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4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440,323</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1,303,300</w:t>
            </w: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49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Direct costs</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520"/>
              <w:spacing w:after="0"/>
              <w:rPr>
                <w:sz w:val="20"/>
                <w:szCs w:val="20"/>
                <w:color w:val="auto"/>
              </w:rPr>
            </w:pPr>
            <w:r>
              <w:rPr>
                <w:rFonts w:ascii="Arial" w:cs="Arial" w:eastAsia="Arial" w:hAnsi="Arial"/>
                <w:sz w:val="18"/>
                <w:szCs w:val="18"/>
                <w:color w:val="auto"/>
              </w:rPr>
              <w:t>- Reimbursable expenses</w:t>
            </w:r>
          </w:p>
        </w:tc>
        <w:tc>
          <w:tcPr>
            <w:tcW w:w="80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179,642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507,708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Other direct costs</w:t>
            </w: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279,554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259,672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831,306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760,175</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80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80,819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79,433</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242,670</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241,655</w:t>
            </w: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16,280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51,006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45,123</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12,490</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7,753</w:t>
            </w:r>
          </w:p>
        </w:tc>
      </w:tr>
      <w:tr>
        <w:trPr>
          <w:trHeight w:val="34"/>
        </w:trPr>
        <w:tc>
          <w:tcPr>
            <w:tcW w:w="4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80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557,077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355,385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1,645,180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1,054,706</w:t>
            </w:r>
          </w:p>
        </w:tc>
      </w:tr>
      <w:tr>
        <w:trPr>
          <w:trHeight w:val="34"/>
        </w:trPr>
        <w:tc>
          <w:tcPr>
            <w:tcW w:w="4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97,940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84,938</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271,572</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248,594</w:t>
            </w: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3,154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1,766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1"/>
                <w:szCs w:val="21"/>
                <w:color w:val="auto"/>
              </w:rPr>
            </w:pP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(3,201)</w:t>
            </w:r>
          </w:p>
        </w:tc>
        <w:tc>
          <w:tcPr>
            <w:tcW w:w="2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(3,177)</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(10,298)</w:t>
            </w:r>
          </w:p>
        </w:tc>
        <w:tc>
          <w:tcPr>
            <w:tcW w:w="200" w:type="dxa"/>
            <w:vAlign w:val="bottom"/>
          </w:tcPr>
          <w:p>
            <w:pPr>
              <w:spacing w:after="0"/>
              <w:rPr>
                <w:sz w:val="21"/>
                <w:szCs w:val="21"/>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(9,535)</w:t>
            </w:r>
          </w:p>
        </w:tc>
      </w:tr>
      <w:tr>
        <w:trPr>
          <w:trHeight w:val="34"/>
        </w:trPr>
        <w:tc>
          <w:tcPr>
            <w:tcW w:w="4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80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96,053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82,393</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264,428</w:t>
            </w:r>
          </w:p>
        </w:tc>
        <w:tc>
          <w:tcPr>
            <w:tcW w:w="20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240,825</w:t>
            </w: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(11,526)</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(8,239)</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(29,935)</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(30,445)</w:t>
            </w:r>
          </w:p>
        </w:tc>
      </w:tr>
      <w:tr>
        <w:trPr>
          <w:trHeight w:val="270"/>
        </w:trPr>
        <w:tc>
          <w:tcPr>
            <w:tcW w:w="49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84,527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74,154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234,493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210,380</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Ordinary Shares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54,368,656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54,109,566</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54,134,639</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54,110,022</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54,901,404</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54,756,184</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54,888,151</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54,840,112</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 AND SEPTEMBER 30,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9" w:lineRule="exact"/>
        <w:rPr>
          <w:sz w:val="20"/>
          <w:szCs w:val="20"/>
          <w:color w:val="auto"/>
        </w:rPr>
      </w:pPr>
    </w:p>
    <w:p>
      <w:pPr>
        <w:ind w:left="9240"/>
        <w:spacing w:after="0"/>
        <w:rPr>
          <w:sz w:val="20"/>
          <w:szCs w:val="20"/>
          <w:color w:val="auto"/>
        </w:rPr>
      </w:pPr>
      <w:r>
        <w:rPr>
          <w:rFonts w:ascii="Arial" w:cs="Arial" w:eastAsia="Arial" w:hAnsi="Arial"/>
          <w:sz w:val="18"/>
          <w:szCs w:val="18"/>
          <w:b w:val="1"/>
          <w:bCs w:val="1"/>
          <w:u w:val="single" w:color="auto"/>
          <w:color w:val="auto"/>
        </w:rPr>
        <w:t>Nine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196"/>
        </w:trPr>
        <w:tc>
          <w:tcPr>
            <w:tcW w:w="7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r>
      <w:tr>
        <w:trPr>
          <w:trHeight w:val="48"/>
        </w:trPr>
        <w:tc>
          <w:tcPr>
            <w:tcW w:w="7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8"/>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234,493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210,380</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spacing w:after="0"/>
              <w:rPr>
                <w:sz w:val="21"/>
                <w:szCs w:val="21"/>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35,432</w:t>
            </w:r>
          </w:p>
        </w:tc>
        <w:tc>
          <w:tcPr>
            <w:tcW w:w="20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31,748</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15,574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13,375</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Amortization of government grants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(33)</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on short term investments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(887)</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1360" w:type="dxa"/>
            <w:vAlign w:val="bottom"/>
          </w:tcPr>
          <w:p>
            <w:pPr>
              <w:spacing w:after="0"/>
              <w:rPr>
                <w:sz w:val="21"/>
                <w:szCs w:val="21"/>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24,974</w:t>
            </w:r>
          </w:p>
        </w:tc>
        <w:tc>
          <w:tcPr>
            <w:tcW w:w="20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26,961</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gain on interest rate hedge</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Amortization of financing costs</w:t>
            </w:r>
          </w:p>
        </w:tc>
        <w:tc>
          <w:tcPr>
            <w:tcW w:w="1360" w:type="dxa"/>
            <w:vAlign w:val="bottom"/>
          </w:tcPr>
          <w:p>
            <w:pPr>
              <w:spacing w:after="0"/>
              <w:rPr>
                <w:sz w:val="21"/>
                <w:szCs w:val="21"/>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408</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Decrease in accounts receivable</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4,935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90,205</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Increase in unbilled revenue</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(73,648)</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(47,707)</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Decrease/(increase) in other receivables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4,919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(5,560)</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Increase in prepayments and other current assets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(8,591)</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(2,169)</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other non-current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Decrease in payments on account</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(11,567)</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(40,389)</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(Decrease)/increase in other current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(14,422)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2,449</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Decrease in other non-current liabilities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(3,682)</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income taxes payable</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2,215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(Decrease)/increase in accounts payable</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(3,031)</w:t>
            </w:r>
          </w:p>
        </w:tc>
        <w:tc>
          <w:tcPr>
            <w:tcW w:w="20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1,444</w:t>
            </w:r>
          </w:p>
        </w:tc>
      </w:tr>
      <w:tr>
        <w:trPr>
          <w:trHeight w:val="34"/>
        </w:trPr>
        <w:tc>
          <w:tcPr>
            <w:tcW w:w="7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207,776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277,184</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 of property, plant and equipment</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(28,387)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(23,690)</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Purchase of subsidiary undertakings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(1,645)</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(144,131)</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acquired with subsidiary undertaking</w:t>
            </w: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18,634</w:t>
            </w: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Purchase of short term investments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(85,866)</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(36,451)</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Sale of short term investments</w:t>
            </w:r>
          </w:p>
        </w:tc>
        <w:tc>
          <w:tcPr>
            <w:tcW w:w="1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98,857</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22,728</w:t>
            </w:r>
          </w:p>
        </w:tc>
      </w:tr>
      <w:tr>
        <w:trPr>
          <w:trHeight w:val="243"/>
        </w:trPr>
        <w:tc>
          <w:tcPr>
            <w:tcW w:w="7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(17,041)</w:t>
            </w: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(162,910)</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20"/>
              <w:spacing w:after="0"/>
              <w:rPr>
                <w:sz w:val="20"/>
                <w:szCs w:val="20"/>
                <w:color w:val="auto"/>
              </w:rPr>
            </w:pPr>
            <w:r>
              <w:rPr>
                <w:rFonts w:ascii="Arial" w:cs="Arial" w:eastAsia="Arial" w:hAnsi="Arial"/>
                <w:sz w:val="18"/>
                <w:szCs w:val="18"/>
                <w:color w:val="auto"/>
              </w:rPr>
              <w:t>Financing costs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exercise of equity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14,930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7,825</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Share issue costs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ordinary shares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(56,960)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(108,106)</w:t>
            </w:r>
          </w:p>
        </w:tc>
      </w:tr>
      <w:tr>
        <w:trPr>
          <w:trHeight w:val="243"/>
        </w:trPr>
        <w:tc>
          <w:tcPr>
            <w:tcW w:w="7360" w:type="dxa"/>
            <w:vAlign w:val="bottom"/>
          </w:tcPr>
          <w:p>
            <w:pPr>
              <w:ind w:left="280"/>
              <w:spacing w:after="0"/>
              <w:rPr>
                <w:sz w:val="20"/>
                <w:szCs w:val="20"/>
                <w:color w:val="auto"/>
              </w:rPr>
            </w:pPr>
            <w:r>
              <w:rPr>
                <w:rFonts w:ascii="Arial" w:cs="Arial" w:eastAsia="Arial" w:hAnsi="Arial"/>
                <w:sz w:val="18"/>
                <w:szCs w:val="18"/>
                <w:color w:val="auto"/>
              </w:rPr>
              <w:t>Share repurchase costs</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(86)</w:t>
            </w:r>
          </w:p>
        </w:tc>
      </w:tr>
      <w:tr>
        <w:trPr>
          <w:trHeight w:val="34"/>
        </w:trPr>
        <w:tc>
          <w:tcPr>
            <w:tcW w:w="7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(42,912)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(100,380)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Effect of exchange rate movements on cash</w:t>
            </w:r>
          </w:p>
        </w:tc>
        <w:tc>
          <w:tcPr>
            <w:tcW w:w="1360" w:type="dxa"/>
            <w:vAlign w:val="bottom"/>
          </w:tcPr>
          <w:p>
            <w:pPr>
              <w:spacing w:after="0"/>
              <w:rPr>
                <w:sz w:val="21"/>
                <w:szCs w:val="21"/>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(4,461)</w:t>
            </w:r>
          </w:p>
        </w:tc>
        <w:tc>
          <w:tcPr>
            <w:tcW w:w="20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3,370</w:t>
            </w:r>
          </w:p>
        </w:tc>
      </w:tr>
      <w:tr>
        <w:trPr>
          <w:trHeight w:val="34"/>
        </w:trPr>
        <w:tc>
          <w:tcPr>
            <w:tcW w:w="7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143,362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17,264</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Pr>
          <w:p>
            <w:pPr>
              <w:spacing w:after="0"/>
              <w:rPr>
                <w:sz w:val="21"/>
                <w:szCs w:val="21"/>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282,859</w:t>
            </w:r>
          </w:p>
        </w:tc>
        <w:tc>
          <w:tcPr>
            <w:tcW w:w="20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192,541</w:t>
            </w:r>
          </w:p>
        </w:tc>
      </w:tr>
      <w:tr>
        <w:trPr>
          <w:trHeight w:val="34"/>
        </w:trPr>
        <w:tc>
          <w:tcPr>
            <w:tcW w:w="7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426,221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209,805</w:t>
            </w:r>
          </w:p>
        </w:tc>
      </w:tr>
      <w:tr>
        <w:trPr>
          <w:trHeight w:val="20"/>
        </w:trPr>
        <w:tc>
          <w:tcPr>
            <w:tcW w:w="7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1"/>
              </w:rPr>
              <w:t>Additional</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92"/>
              </w:rPr>
              <w:t>Other</w:t>
            </w:r>
          </w:p>
        </w:tc>
        <w:tc>
          <w:tcPr>
            <w:tcW w:w="320" w:type="dxa"/>
            <w:vAlign w:val="bottom"/>
            <w:shd w:val="clear" w:color="auto" w:fill="CCEEFF"/>
          </w:tcPr>
          <w:p>
            <w:pPr>
              <w:spacing w:after="0"/>
              <w:rPr>
                <w:sz w:val="16"/>
                <w:szCs w:val="16"/>
                <w:color w:val="auto"/>
              </w:rPr>
            </w:pPr>
          </w:p>
        </w:tc>
        <w:tc>
          <w:tcPr>
            <w:tcW w:w="130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Accumulated</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gridSpan w:val="3"/>
            <w:vMerge w:val="continue"/>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vMerge w:val="continue"/>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rPr>
              <w:t>Other</w:t>
            </w:r>
          </w:p>
        </w:tc>
        <w:tc>
          <w:tcPr>
            <w:tcW w:w="3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89"/>
              </w:rPr>
              <w:t>Retained</w:t>
            </w: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gridSpan w:val="2"/>
            <w:vMerge w:val="continue"/>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Shares</w:t>
            </w: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87"/>
              </w:rPr>
              <w:t>Amount</w:t>
            </w:r>
          </w:p>
        </w:tc>
        <w:tc>
          <w:tcPr>
            <w:tcW w:w="2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8"/>
              </w:rPr>
              <w:t>Paid-in</w:t>
            </w:r>
          </w:p>
        </w:tc>
        <w:tc>
          <w:tcPr>
            <w:tcW w:w="26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120"/>
              <w:spacing w:after="0" w:line="183" w:lineRule="exact"/>
              <w:rPr>
                <w:sz w:val="20"/>
                <w:szCs w:val="20"/>
                <w:color w:val="auto"/>
              </w:rPr>
            </w:pPr>
            <w:r>
              <w:rPr>
                <w:rFonts w:ascii="Arial" w:cs="Arial" w:eastAsia="Arial" w:hAnsi="Arial"/>
                <w:sz w:val="17"/>
                <w:szCs w:val="17"/>
                <w:b w:val="1"/>
                <w:bCs w:val="1"/>
                <w:color w:val="auto"/>
                <w:w w:val="88"/>
              </w:rPr>
              <w:t>Undenominated</w:t>
            </w:r>
          </w:p>
        </w:tc>
        <w:tc>
          <w:tcPr>
            <w:tcW w:w="320" w:type="dxa"/>
            <w:vAlign w:val="bottom"/>
            <w:shd w:val="clear" w:color="auto" w:fill="CCEEFF"/>
          </w:tcPr>
          <w:p>
            <w:pPr>
              <w:spacing w:after="0"/>
              <w:rPr>
                <w:sz w:val="15"/>
                <w:szCs w:val="15"/>
                <w:color w:val="auto"/>
              </w:rPr>
            </w:pPr>
          </w:p>
        </w:tc>
        <w:tc>
          <w:tcPr>
            <w:tcW w:w="1300" w:type="dxa"/>
            <w:vAlign w:val="bottom"/>
            <w:gridSpan w:val="5"/>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7"/>
              </w:rPr>
              <w:t>Comprehensive</w:t>
            </w:r>
          </w:p>
        </w:tc>
        <w:tc>
          <w:tcPr>
            <w:tcW w:w="3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120" w:type="dxa"/>
            <w:vAlign w:val="bottom"/>
            <w:gridSpan w:val="3"/>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gridSpan w:val="2"/>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8"/>
              </w:rPr>
              <w:t>Capital</w:t>
            </w:r>
          </w:p>
        </w:tc>
        <w:tc>
          <w:tcPr>
            <w:tcW w:w="26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120"/>
              <w:spacing w:after="0" w:line="183" w:lineRule="exact"/>
              <w:rPr>
                <w:sz w:val="20"/>
                <w:szCs w:val="20"/>
                <w:color w:val="auto"/>
              </w:rPr>
            </w:pPr>
            <w:r>
              <w:rPr>
                <w:rFonts w:ascii="Arial" w:cs="Arial" w:eastAsia="Arial" w:hAnsi="Arial"/>
                <w:sz w:val="17"/>
                <w:szCs w:val="17"/>
                <w:b w:val="1"/>
                <w:bCs w:val="1"/>
                <w:color w:val="auto"/>
              </w:rPr>
              <w:t>Capital</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7"/>
              </w:rPr>
              <w:t>Income</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b w:val="1"/>
                <w:bCs w:val="1"/>
                <w:color w:val="auto"/>
                <w:w w:val="87"/>
              </w:rPr>
              <w:t>Earnings</w:t>
            </w:r>
          </w:p>
        </w:tc>
        <w:tc>
          <w:tcPr>
            <w:tcW w:w="11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gridSpan w:val="13"/>
          </w:tcPr>
          <w:p>
            <w:pPr>
              <w:jc w:val="right"/>
              <w:ind w:right="560"/>
              <w:spacing w:after="0"/>
              <w:rPr>
                <w:sz w:val="20"/>
                <w:szCs w:val="20"/>
                <w:color w:val="auto"/>
              </w:rPr>
            </w:pPr>
            <w:r>
              <w:rPr>
                <w:rFonts w:ascii="Arial" w:cs="Arial" w:eastAsia="Arial" w:hAnsi="Arial"/>
                <w:sz w:val="18"/>
                <w:szCs w:val="18"/>
                <w:b w:val="1"/>
                <w:bCs w:val="1"/>
                <w:color w:val="auto"/>
                <w:w w:val="93"/>
              </w:rPr>
              <w:t>(dollars in thousands, except share data)</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54,081,601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(38,713)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742,800</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$ 1,191,000</w:t>
            </w:r>
          </w:p>
        </w:tc>
        <w:tc>
          <w:tcPr>
            <w:tcW w:w="0" w:type="dxa"/>
            <w:vAlign w:val="bottom"/>
          </w:tcPr>
          <w:p>
            <w:pPr>
              <w:spacing w:after="0"/>
              <w:rPr>
                <w:sz w:val="1"/>
                <w:szCs w:val="1"/>
                <w:color w:val="auto"/>
              </w:rPr>
            </w:pPr>
          </w:p>
        </w:tc>
      </w:tr>
      <w:tr>
        <w:trPr>
          <w:trHeight w:val="324"/>
        </w:trPr>
        <w:tc>
          <w:tcPr>
            <w:tcW w:w="2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adjustment from</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 of ASC 606</w:t>
            </w: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(48,104)</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(48,104)</w:t>
            </w:r>
          </w:p>
        </w:tc>
        <w:tc>
          <w:tcPr>
            <w:tcW w:w="0" w:type="dxa"/>
            <w:vAlign w:val="bottom"/>
          </w:tcPr>
          <w:p>
            <w:pPr>
              <w:spacing w:after="0"/>
              <w:rPr>
                <w:sz w:val="1"/>
                <w:szCs w:val="1"/>
                <w:color w:val="auto"/>
              </w:rPr>
            </w:pPr>
          </w:p>
        </w:tc>
      </w:tr>
      <w:tr>
        <w:trPr>
          <w:trHeight w:val="277"/>
        </w:trPr>
        <w:tc>
          <w:tcPr>
            <w:tcW w:w="2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54,081,601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(38,713)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694,696</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$ 1,142,896</w:t>
            </w:r>
          </w:p>
        </w:tc>
        <w:tc>
          <w:tcPr>
            <w:tcW w:w="0" w:type="dxa"/>
            <w:vAlign w:val="bottom"/>
          </w:tcPr>
          <w:p>
            <w:pPr>
              <w:spacing w:after="0"/>
              <w:rPr>
                <w:sz w:val="1"/>
                <w:szCs w:val="1"/>
                <w:color w:val="auto"/>
              </w:rPr>
            </w:pPr>
          </w:p>
        </w:tc>
      </w:tr>
      <w:tr>
        <w:trPr>
          <w:trHeight w:val="324"/>
        </w:trPr>
        <w:tc>
          <w:tcPr>
            <w:tcW w:w="2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234,493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234,493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(19,069)</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Currency impact of long term</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funding (net of tax)</w:t>
            </w:r>
          </w:p>
        </w:tc>
        <w:tc>
          <w:tcPr>
            <w:tcW w:w="46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(4,137)</w:t>
            </w:r>
          </w:p>
        </w:tc>
        <w:tc>
          <w:tcPr>
            <w:tcW w:w="3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capital gain –</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(698)</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Fair value of cash flow hedge (net of</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331"/>
        </w:trPr>
        <w:tc>
          <w:tcPr>
            <w:tcW w:w="2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(25,813)</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234,493</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324"/>
        </w:trPr>
        <w:tc>
          <w:tcPr>
            <w:tcW w:w="2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share options</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355,216</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14,870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14,895</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Issue of restricted share units</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484,256</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stock compensation</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Share issuance costs</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(485,143)</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(56,960)</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(56,960)</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Share repurchase costs</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28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right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54,435,930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521,191</w:t>
            </w: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947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(64,526)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872,183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$ 1,334,484</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2017. Operating results for the nine months ended September 30, 2018 are not necessarily indicative of the results that may be expected for the fiscal period ending December 31, 2018.</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with a date of initial application of January 1, 2018. The revenue recognition accounting policy applied in preparation of the results for the nine months ended September 30, 2018 therefore reflect application of ASC 606. ICON has elected to adopt the standard using the cumulative effect transition method. Under this transition method, ICON has applied the new standard as at the date of initial application (i.e. January 1, 2018), without restatement of comparative period amounts. The cumulative effect of initially applying the new standard (to revenue, costs and tax) is recorded as an adjustment to the opening balance of equity at the date of initial application. See 'Note 13 - Impact of change in accounting policies' for details. The comparative information has not been adjusted and therefore continues to be reported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trial.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therefore based on an input measure being total project costs (inclusive of third party costs) at each reporting period.</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13 - Impact of change in accounting policies' for details of the impact of application of the provisions of ASC 606 in the nine months ended September 30, 2018 and in respect of the position at September 30, 2018.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customer profile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3"/>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60" w:type="dxa"/>
            <w:vAlign w:val="bottom"/>
            <w:gridSpan w:val="10"/>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33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3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5"/>
          </w:tcPr>
          <w:p>
            <w:pPr>
              <w:jc w:val="right"/>
              <w:ind w:right="8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7"/>
                <w:szCs w:val="17"/>
                <w:color w:val="auto"/>
              </w:rPr>
            </w:pPr>
          </w:p>
        </w:tc>
        <w:tc>
          <w:tcPr>
            <w:tcW w:w="122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4"/>
          </w:tcPr>
          <w:p>
            <w:pPr>
              <w:jc w:val="right"/>
              <w:ind w:right="80"/>
              <w:spacing w:after="0" w:line="196" w:lineRule="exact"/>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33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8"/>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9"/>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r>
      <w:tr>
        <w:trPr>
          <w:trHeight w:val="270"/>
        </w:trPr>
        <w:tc>
          <w:tcPr>
            <w:tcW w:w="33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client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92,280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73,212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254,655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264,142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2-5</w:t>
            </w:r>
          </w:p>
        </w:tc>
        <w:tc>
          <w:tcPr>
            <w:tcW w:w="2680" w:type="dxa"/>
            <w:vAlign w:val="bottom"/>
          </w:tcPr>
          <w:p>
            <w:pPr>
              <w:spacing w:after="0"/>
              <w:rPr>
                <w:sz w:val="21"/>
                <w:szCs w:val="21"/>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173,112</w:t>
            </w:r>
          </w:p>
        </w:tc>
        <w:tc>
          <w:tcPr>
            <w:tcW w:w="20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95,068</w:t>
            </w:r>
          </w:p>
        </w:tc>
        <w:tc>
          <w:tcPr>
            <w:tcW w:w="240" w:type="dxa"/>
            <w:vAlign w:val="bottom"/>
          </w:tcPr>
          <w:p>
            <w:pPr>
              <w:spacing w:after="0"/>
              <w:rPr>
                <w:sz w:val="21"/>
                <w:szCs w:val="21"/>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502,514</w:t>
            </w:r>
          </w:p>
        </w:tc>
        <w:tc>
          <w:tcPr>
            <w:tcW w:w="18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274,074</w:t>
            </w:r>
          </w:p>
        </w:tc>
      </w:tr>
      <w:tr>
        <w:trPr>
          <w:trHeight w:val="27"/>
        </w:trPr>
        <w:tc>
          <w:tcPr>
            <w:tcW w:w="3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Clients 6-10</w:t>
            </w:r>
          </w:p>
        </w:tc>
        <w:tc>
          <w:tcPr>
            <w:tcW w:w="2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94,631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70,320</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287,782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184,800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11-25</w:t>
            </w:r>
          </w:p>
        </w:tc>
        <w:tc>
          <w:tcPr>
            <w:tcW w:w="26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106,184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79,377</w:t>
            </w:r>
          </w:p>
        </w:tc>
        <w:tc>
          <w:tcPr>
            <w:tcW w:w="240" w:type="dxa"/>
            <w:vAlign w:val="bottom"/>
          </w:tcPr>
          <w:p>
            <w:pPr>
              <w:spacing w:after="0"/>
              <w:rPr>
                <w:sz w:val="21"/>
                <w:szCs w:val="21"/>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329,833</w:t>
            </w:r>
          </w:p>
        </w:tc>
        <w:tc>
          <w:tcPr>
            <w:tcW w:w="18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223,267</w:t>
            </w:r>
          </w:p>
        </w:tc>
      </w:tr>
      <w:tr>
        <w:trPr>
          <w:trHeight w:val="27"/>
        </w:trPr>
        <w:tc>
          <w:tcPr>
            <w:tcW w:w="3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188,810</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122,347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541,968</w:t>
            </w:r>
          </w:p>
        </w:tc>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357,017</w:t>
            </w:r>
          </w:p>
        </w:tc>
      </w:tr>
      <w:tr>
        <w:trPr>
          <w:trHeight w:val="270"/>
        </w:trPr>
        <w:tc>
          <w:tcPr>
            <w:tcW w:w="3340" w:type="dxa"/>
            <w:vAlign w:val="bottom"/>
            <w:tcBorders>
              <w:top w:val="single" w:sz="8" w:color="auto"/>
            </w:tcBorders>
          </w:tcPr>
          <w:p>
            <w:pPr>
              <w:spacing w:after="0"/>
              <w:rPr>
                <w:sz w:val="23"/>
                <w:szCs w:val="23"/>
                <w:color w:val="auto"/>
              </w:rPr>
            </w:pPr>
          </w:p>
        </w:tc>
        <w:tc>
          <w:tcPr>
            <w:tcW w:w="26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655,017</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440,323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1,916,752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1,303,300</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3340" w:type="dxa"/>
            <w:vAlign w:val="bottom"/>
          </w:tcPr>
          <w:p>
            <w:pPr>
              <w:spacing w:after="0"/>
              <w:rPr>
                <w:sz w:val="24"/>
                <w:szCs w:val="24"/>
                <w:color w:val="auto"/>
              </w:rPr>
            </w:pP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w w:val="88"/>
              </w:rPr>
              <w:t>4. Trade accounts receivable, unbilled services and payments on account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Trade accounts receivables and unbilled revenue are as follows: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6"/>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55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5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11"/>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Billed services (accounts receivable)</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160"/>
              <w:spacing w:after="0"/>
              <w:rPr>
                <w:sz w:val="20"/>
                <w:szCs w:val="20"/>
                <w:color w:val="auto"/>
              </w:rPr>
            </w:pPr>
            <w:r>
              <w:rPr>
                <w:rFonts w:ascii="Arial" w:cs="Arial" w:eastAsia="Arial" w:hAnsi="Arial"/>
                <w:sz w:val="18"/>
                <w:szCs w:val="18"/>
                <w:color w:val="auto"/>
              </w:rPr>
              <w:t>381,735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6"/>
          </w:tcPr>
          <w:p>
            <w:pPr>
              <w:jc w:val="right"/>
              <w:ind w:right="100"/>
              <w:spacing w:after="0"/>
              <w:rPr>
                <w:sz w:val="20"/>
                <w:szCs w:val="20"/>
                <w:color w:val="auto"/>
              </w:rPr>
            </w:pPr>
            <w:r>
              <w:rPr>
                <w:rFonts w:ascii="Arial" w:cs="Arial" w:eastAsia="Arial" w:hAnsi="Arial"/>
                <w:sz w:val="18"/>
                <w:szCs w:val="18"/>
                <w:color w:val="auto"/>
              </w:rPr>
              <w:t>388,431</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services (unbilled revenue)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338,523</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268,509</w:t>
            </w:r>
          </w:p>
        </w:tc>
      </w:tr>
      <w:tr>
        <w:trPr>
          <w:trHeight w:val="243"/>
        </w:trPr>
        <w:tc>
          <w:tcPr>
            <w:tcW w:w="5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Trade accounts receivable and unbilled revenue</w:t>
            </w: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8"/>
                <w:szCs w:val="18"/>
                <w:color w:val="auto"/>
              </w:rPr>
              <w:t>720,258</w:t>
            </w: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656,940</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(8,471)</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(8,930)</w:t>
            </w:r>
          </w:p>
        </w:tc>
      </w:tr>
      <w:tr>
        <w:trPr>
          <w:trHeight w:val="324"/>
        </w:trPr>
        <w:tc>
          <w:tcPr>
            <w:tcW w:w="5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receivable and unbilled revenue, net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711,787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648,010</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5580" w:type="dxa"/>
            <w:vAlign w:val="bottom"/>
          </w:tcPr>
          <w:p>
            <w:pPr>
              <w:spacing w:after="0"/>
              <w:rPr>
                <w:sz w:val="20"/>
                <w:szCs w:val="20"/>
                <w:color w:val="auto"/>
              </w:rPr>
            </w:pPr>
            <w:r>
              <w:rPr>
                <w:rFonts w:ascii="Arial" w:cs="Arial" w:eastAsia="Arial" w:hAnsi="Arial"/>
                <w:sz w:val="18"/>
                <w:szCs w:val="18"/>
                <w:color w:val="auto"/>
              </w:rPr>
              <w:t>Unbilled services and payments on account were as follows: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2"/>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55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16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CCEEFF"/>
            </w:tcBorders>
            <w:gridSpan w:val="5"/>
            <w:shd w:val="clear" w:color="auto" w:fill="CCEEFF"/>
          </w:tcPr>
          <w:p>
            <w:pPr>
              <w:jc w:val="right"/>
              <w:ind w:right="440"/>
              <w:spacing w:after="0" w:line="196" w:lineRule="exact"/>
              <w:rPr>
                <w:sz w:val="20"/>
                <w:szCs w:val="20"/>
                <w:color w:val="auto"/>
              </w:rPr>
            </w:pPr>
            <w:r>
              <w:rPr>
                <w:rFonts w:ascii="Arial" w:cs="Arial" w:eastAsia="Arial" w:hAnsi="Arial"/>
                <w:sz w:val="18"/>
                <w:szCs w:val="18"/>
                <w:b w:val="1"/>
                <w:bCs w:val="1"/>
                <w:color w:val="auto"/>
                <w:w w:val="98"/>
              </w:rPr>
              <w:t>$ Change</w:t>
            </w:r>
          </w:p>
        </w:tc>
        <w:tc>
          <w:tcPr>
            <w:tcW w:w="2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CCEEFF"/>
            </w:tcBorders>
            <w:gridSpan w:val="4"/>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w w:val="91"/>
              </w:rPr>
              <w:t>% Change</w:t>
            </w:r>
          </w:p>
        </w:tc>
      </w:tr>
      <w:tr>
        <w:trPr>
          <w:trHeight w:val="324"/>
        </w:trPr>
        <w:tc>
          <w:tcPr>
            <w:tcW w:w="55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(unbilled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338,523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268,509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70,014</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Unearned revenue (payments on account)</w:t>
            </w:r>
          </w:p>
        </w:tc>
        <w:tc>
          <w:tcPr>
            <w:tcW w:w="16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(353,636)</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(298,992)</w:t>
            </w:r>
          </w:p>
        </w:tc>
        <w:tc>
          <w:tcPr>
            <w:tcW w:w="28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(54,644)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6"/>
          </w:tcPr>
          <w:p>
            <w:pPr>
              <w:jc w:val="right"/>
              <w:ind w:right="40"/>
              <w:spacing w:after="0"/>
              <w:rPr>
                <w:sz w:val="20"/>
                <w:szCs w:val="20"/>
                <w:color w:val="auto"/>
              </w:rPr>
            </w:pPr>
            <w:r>
              <w:rPr>
                <w:rFonts w:ascii="Arial" w:cs="Arial" w:eastAsia="Arial" w:hAnsi="Arial"/>
                <w:sz w:val="18"/>
                <w:szCs w:val="18"/>
                <w:color w:val="auto"/>
              </w:rPr>
              <w:t>18.3%</w:t>
            </w:r>
          </w:p>
        </w:tc>
      </w:tr>
      <w:tr>
        <w:trPr>
          <w:trHeight w:val="34"/>
        </w:trPr>
        <w:tc>
          <w:tcPr>
            <w:tcW w:w="5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324"/>
        </w:trPr>
        <w:tc>
          <w:tcPr>
            <w:tcW w:w="5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Net balance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(15,113)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(30,483)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15,370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6"/>
          </w:tcPr>
          <w:p>
            <w:pPr>
              <w:jc w:val="right"/>
              <w:ind w:right="40"/>
              <w:spacing w:after="0"/>
              <w:rPr>
                <w:sz w:val="20"/>
                <w:szCs w:val="20"/>
                <w:color w:val="auto"/>
              </w:rPr>
            </w:pPr>
            <w:r>
              <w:rPr>
                <w:rFonts w:ascii="Arial" w:cs="Arial" w:eastAsia="Arial" w:hAnsi="Arial"/>
                <w:sz w:val="18"/>
                <w:szCs w:val="18"/>
                <w:color w:val="auto"/>
              </w:rPr>
              <w:t>50.4%</w:t>
            </w:r>
          </w:p>
        </w:tc>
      </w:tr>
      <w:tr>
        <w:trPr>
          <w:trHeight w:val="27"/>
        </w:trPr>
        <w:tc>
          <w:tcPr>
            <w:tcW w:w="5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Unbilled services as at September 30, 2018 increased by $70.0 million as compared to December 31, 2017. Adoption of ASC 606 as at January 1, 2018 resulted in a net reduction in unbilled revenue of $42.0 million and a net increase in payments on account of $25.1 million. Unbilled services/revenue balances arise where invoicing or billing is based on the timing of agreed milestones related to service contracts for clinical research. Payments on account increased by $54.6 million over the same period resulting in an increase of $15.4 million in the net balance of unbilled services and payments on account between December 31, 2017 and September 30, 2018. These fluctuations are primarily due to timing of payments and invoicing related to the Group's clinical trial management contracts.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bad debt expense recognized on the Group's receivables and unbilled services was de minimis for the three and nine months ended September 30, 2018.</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approximately $5.2 billion of revenue is expected to be recognized in the future in respect of unrealized performance obligations. The Company expects to recognize revenue on approximately 40% of the unrealized performance obligation over the next 12 months,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5. Goodwill</w:t>
            </w: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1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w w:val="99"/>
              </w:rPr>
              <w:t>Nine Months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Year Ended</w:t>
            </w:r>
          </w:p>
        </w:tc>
      </w:tr>
      <w:tr>
        <w:trPr>
          <w:trHeight w:val="196"/>
        </w:trPr>
        <w:tc>
          <w:tcPr>
            <w:tcW w:w="414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Ended</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48"/>
        </w:trPr>
        <w:tc>
          <w:tcPr>
            <w:tcW w:w="4140" w:type="dxa"/>
            <w:vAlign w:val="bottom"/>
            <w:tcBorders>
              <w:top w:val="single" w:sz="8" w:color="CCEEFF"/>
            </w:tcBorders>
            <w:shd w:val="clear" w:color="auto" w:fill="CCEEFF"/>
          </w:tcPr>
          <w:p>
            <w:pPr>
              <w:spacing w:after="0"/>
              <w:rPr>
                <w:sz w:val="4"/>
                <w:szCs w:val="4"/>
                <w:color w:val="auto"/>
              </w:rPr>
            </w:pPr>
          </w:p>
        </w:tc>
        <w:tc>
          <w:tcPr>
            <w:tcW w:w="4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1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10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1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41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14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9"/>
            <w:shd w:val="clear" w:color="auto" w:fill="CCEEFF"/>
          </w:tcPr>
          <w:p>
            <w:pPr>
              <w:ind w:left="1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Opening balance</w:t>
            </w:r>
          </w:p>
        </w:tc>
        <w:tc>
          <w:tcPr>
            <w:tcW w:w="4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769,058</w:t>
            </w:r>
          </w:p>
        </w:tc>
        <w:tc>
          <w:tcPr>
            <w:tcW w:w="1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616,088</w:t>
            </w:r>
          </w:p>
        </w:tc>
      </w:tr>
      <w:tr>
        <w:trPr>
          <w:trHeight w:val="27"/>
        </w:trPr>
        <w:tc>
          <w:tcPr>
            <w:tcW w:w="4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period acquisitions (Note 6)</w:t>
            </w:r>
          </w:p>
        </w:tc>
        <w:tc>
          <w:tcPr>
            <w:tcW w:w="4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129,222</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Prior period acquisitions (Note 6)</w:t>
            </w:r>
          </w:p>
        </w:tc>
        <w:tc>
          <w:tcPr>
            <w:tcW w:w="450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1,048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1,393</w:t>
            </w:r>
          </w:p>
        </w:tc>
      </w:tr>
      <w:tr>
        <w:trPr>
          <w:trHeight w:val="27"/>
        </w:trPr>
        <w:tc>
          <w:tcPr>
            <w:tcW w:w="4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movement</w:t>
            </w:r>
          </w:p>
        </w:tc>
        <w:tc>
          <w:tcPr>
            <w:tcW w:w="45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(9,222)</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22,355</w:t>
            </w:r>
          </w:p>
        </w:tc>
      </w:tr>
      <w:tr>
        <w:trPr>
          <w:trHeight w:val="297"/>
        </w:trPr>
        <w:tc>
          <w:tcPr>
            <w:tcW w:w="4140" w:type="dxa"/>
            <w:vAlign w:val="bottom"/>
            <w:tcBorders>
              <w:top w:val="single" w:sz="8" w:color="auto"/>
            </w:tcBorders>
          </w:tcPr>
          <w:p>
            <w:pPr>
              <w:spacing w:after="0"/>
              <w:rPr>
                <w:sz w:val="24"/>
                <w:szCs w:val="24"/>
                <w:color w:val="auto"/>
              </w:rPr>
            </w:pPr>
          </w:p>
        </w:tc>
        <w:tc>
          <w:tcPr>
            <w:tcW w:w="4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balance</w:t>
            </w:r>
          </w:p>
        </w:tc>
        <w:tc>
          <w:tcPr>
            <w:tcW w:w="4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760,884</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769,058</w:t>
            </w:r>
          </w:p>
        </w:tc>
      </w:tr>
      <w:tr>
        <w:trPr>
          <w:trHeight w:val="20"/>
        </w:trPr>
        <w:tc>
          <w:tcPr>
            <w:tcW w:w="414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140" w:type="dxa"/>
            <w:vAlign w:val="bottom"/>
          </w:tcPr>
          <w:p>
            <w:pPr>
              <w:spacing w:after="0"/>
              <w:rPr>
                <w:sz w:val="24"/>
                <w:szCs w:val="24"/>
                <w:color w:val="auto"/>
              </w:rPr>
            </w:pPr>
          </w:p>
        </w:tc>
        <w:tc>
          <w:tcPr>
            <w:tcW w:w="4500" w:type="dxa"/>
            <w:vAlign w:val="bottom"/>
          </w:tcPr>
          <w:p>
            <w:pPr>
              <w:jc w:val="right"/>
              <w:ind w:right="27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Business Combinations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Mapi Group</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27, 2017, a subsidiary of the Company, ICON Clinical Research Limited, acquired Mapi Group. Mapi Group is a leading patient-centered health outcomes research and commercialization company. Cash outflows on acquisition were $145.8 million. The acquisition agreement provided for working capital targets to be achieved. On March 26, 2018, the Company paid $1.6 million in respect of these targets on completion of the working capital review.</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of Mapi Group has been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fair values of the assets acquired and liabilities assumed: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July 27,</w:t>
            </w: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19,649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130,270</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book</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Customer list</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18,392</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6,984</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1,430</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(2,994)</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(24,952)</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(11,104)</w:t>
            </w:r>
          </w:p>
        </w:tc>
      </w:tr>
      <w:tr>
        <w:trPr>
          <w:trHeight w:val="67"/>
        </w:trPr>
        <w:tc>
          <w:tcPr>
            <w:tcW w:w="62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51"/>
        </w:trPr>
        <w:tc>
          <w:tcPr>
            <w:tcW w:w="628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145,776</w:t>
            </w:r>
          </w:p>
        </w:tc>
      </w:tr>
      <w:tr>
        <w:trPr>
          <w:trHeight w:val="67"/>
        </w:trPr>
        <w:tc>
          <w:tcPr>
            <w:tcW w:w="62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51"/>
        </w:trPr>
        <w:tc>
          <w:tcPr>
            <w:tcW w:w="628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outflows</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144,131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adjustment</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145,776</w:t>
            </w:r>
          </w:p>
        </w:tc>
      </w:tr>
      <w:tr>
        <w:trPr>
          <w:trHeight w:val="27"/>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*Goodwill represents the acquisition of an established workforce with experience in late phase commercialization, analytics, real world evidence generation and strategic regulatory services in clinical trial services for biologics, drugs and devices. Goodwill related to the business acquired is not tax deductible.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8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Acquisitions – ICON Government &amp; Public Health Solutions (formerly Clinical Research Management (ClinicalRM))</w:t>
      </w:r>
    </w:p>
    <w:p>
      <w:pPr>
        <w:spacing w:after="0" w:line="3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15, 2016, a subsidiary of the Company, ICON US Holdings Inc. acquired ICON Government &amp; Public Health Solutions (''GPHS'') which resulted in net cash outflow of $52.4 million (including certain payments made on behalf of GPHS totaling $9.2 million). GPHS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GPHS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was payable if certain performance milestones are achieved in respect of periods up to December 31, 2017. The fair value of the contingent consideration on acquisition and at March 31, 2017 was estimated at $6 million The evaluation of the performance and forecast performance of GPHS against performance milestones was updated as required at June 30, 2017. Arising from that evaluation, the fair value of the contingent consideration liability was determined as $Nil, resulting in a net credit of $6 million being recorded within selling, general &amp; administrative expenses in the Statement of Operations.</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GPHS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September 15,</w:t>
            </w:r>
          </w:p>
        </w:tc>
      </w:tr>
      <w:tr>
        <w:trPr>
          <w:trHeight w:val="196"/>
        </w:trPr>
        <w:tc>
          <w:tcPr>
            <w:tcW w:w="628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48"/>
        </w:trPr>
        <w:tc>
          <w:tcPr>
            <w:tcW w:w="628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35,969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Brand</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(165)</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(5,569)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Pr>
          <w:p>
            <w:pPr>
              <w:spacing w:after="0"/>
              <w:rPr>
                <w:sz w:val="21"/>
                <w:szCs w:val="21"/>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04"/>
        </w:trPr>
        <w:tc>
          <w:tcPr>
            <w:tcW w:w="6280" w:type="dxa"/>
            <w:vAlign w:val="bottom"/>
            <w:tcBorders>
              <w:bottom w:val="single" w:sz="8" w:color="auto"/>
            </w:tcBorders>
            <w:shd w:val="clear" w:color="auto" w:fill="CCEEFF"/>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58,396</w:t>
            </w:r>
          </w:p>
        </w:tc>
        <w:tc>
          <w:tcPr>
            <w:tcW w:w="100" w:type="dxa"/>
            <w:vAlign w:val="bottom"/>
          </w:tcPr>
          <w:p>
            <w:pPr>
              <w:spacing w:after="0"/>
              <w:rPr>
                <w:sz w:val="21"/>
                <w:szCs w:val="21"/>
                <w:color w:val="auto"/>
              </w:rPr>
            </w:pPr>
          </w:p>
        </w:tc>
      </w:tr>
      <w:tr>
        <w:trPr>
          <w:trHeight w:val="67"/>
        </w:trPr>
        <w:tc>
          <w:tcPr>
            <w:tcW w:w="62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78"/>
        </w:trPr>
        <w:tc>
          <w:tcPr>
            <w:tcW w:w="6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58,396</w:t>
            </w:r>
          </w:p>
        </w:tc>
        <w:tc>
          <w:tcPr>
            <w:tcW w:w="100" w:type="dxa"/>
            <w:vAlign w:val="bottom"/>
          </w:tcPr>
          <w:p>
            <w:pPr>
              <w:spacing w:after="0"/>
              <w:rPr>
                <w:sz w:val="21"/>
                <w:szCs w:val="2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 In finalizing the goodwill on acquisition of GPHS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Restructuring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restructuring charge of $12.5 million was recognized during the nine months ended September 30, 2018 under a restructuring plan adopted following a review of operations. The restructuring plan reflected resource rationalization across the business to improve resource utilizations, resulting in a charge of $9.7 million and office consolidation resulting in the recognition of an onerous lease obligation of $2.8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restructuring charge recognized in the three and nine months ended September 30, 2018 are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60" w:type="dxa"/>
            <w:vAlign w:val="bottom"/>
            <w:gridSpan w:val="6"/>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gridSpan w:val="6"/>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1"/>
              </w:rPr>
              <w:t>Nine Months Ended</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8"/>
        </w:trPr>
        <w:tc>
          <w:tcPr>
            <w:tcW w:w="28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2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380" w:type="dxa"/>
            <w:vAlign w:val="bottom"/>
            <w:gridSpan w:val="6"/>
          </w:tcPr>
          <w:p>
            <w:pPr>
              <w:ind w:left="200"/>
              <w:spacing w:after="0" w:line="202" w:lineRule="exact"/>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7"/>
                <w:szCs w:val="17"/>
                <w:color w:val="auto"/>
              </w:rPr>
            </w:pPr>
          </w:p>
        </w:tc>
        <w:tc>
          <w:tcPr>
            <w:tcW w:w="11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w w:val="94"/>
              </w:rPr>
              <w:t>September 30,</w:t>
            </w:r>
          </w:p>
        </w:tc>
        <w:tc>
          <w:tcPr>
            <w:tcW w:w="1260" w:type="dxa"/>
            <w:vAlign w:val="bottom"/>
            <w:gridSpan w:val="5"/>
          </w:tcPr>
          <w:p>
            <w:pPr>
              <w:ind w:left="100"/>
              <w:spacing w:after="0" w:line="202" w:lineRule="exact"/>
              <w:rPr>
                <w:sz w:val="20"/>
                <w:szCs w:val="20"/>
                <w:color w:val="auto"/>
              </w:rPr>
            </w:pPr>
            <w:r>
              <w:rPr>
                <w:rFonts w:ascii="Arial" w:cs="Arial" w:eastAsia="Arial" w:hAnsi="Arial"/>
                <w:sz w:val="18"/>
                <w:szCs w:val="18"/>
                <w:b w:val="1"/>
                <w:bCs w:val="1"/>
                <w:color w:val="auto"/>
                <w:w w:val="92"/>
              </w:rPr>
              <w:t>September 30,</w:t>
            </w:r>
          </w:p>
        </w:tc>
      </w:tr>
      <w:tr>
        <w:trPr>
          <w:trHeight w:val="20"/>
        </w:trPr>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4"/>
              </w:rPr>
              <w:t>2017</w:t>
            </w:r>
          </w:p>
        </w:tc>
        <w:tc>
          <w:tcPr>
            <w:tcW w:w="60" w:type="dxa"/>
            <w:vAlign w:val="bottom"/>
          </w:tcPr>
          <w:p>
            <w:pPr>
              <w:spacing w:after="0"/>
              <w:rPr>
                <w:sz w:val="17"/>
                <w:szCs w:val="17"/>
                <w:color w:val="auto"/>
              </w:rPr>
            </w:pPr>
          </w:p>
        </w:tc>
      </w:tr>
      <w:tr>
        <w:trPr>
          <w:trHeight w:val="48"/>
        </w:trPr>
        <w:tc>
          <w:tcPr>
            <w:tcW w:w="2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12,490</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w w:val="84"/>
              </w:rPr>
              <w:t>7,753</w:t>
            </w:r>
          </w:p>
        </w:tc>
      </w:tr>
      <w:tr>
        <w:trPr>
          <w:trHeight w:val="27"/>
        </w:trPr>
        <w:tc>
          <w:tcPr>
            <w:tcW w:w="2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28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12,490</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w w:val="84"/>
              </w:rPr>
              <w:t>7,753</w:t>
            </w:r>
          </w:p>
        </w:tc>
      </w:tr>
      <w:tr>
        <w:trPr>
          <w:trHeight w:val="27"/>
        </w:trPr>
        <w:tc>
          <w:tcPr>
            <w:tcW w:w="2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the restructuring charge recognized in the three and nine months ended September 30, 2018 are as follows:</w:t>
      </w:r>
    </w:p>
    <w:p>
      <w:pPr>
        <w:spacing w:after="0" w:line="200" w:lineRule="exact"/>
        <w:rPr>
          <w:sz w:val="20"/>
          <w:szCs w:val="20"/>
          <w:color w:val="auto"/>
        </w:rPr>
      </w:pPr>
    </w:p>
    <w:p>
      <w:pPr>
        <w:spacing w:after="0" w:line="283"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40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Workforce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Onerous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40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Lease</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3"/>
        </w:trPr>
        <w:tc>
          <w:tcPr>
            <w:tcW w:w="4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restructuring charge recorded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9,684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12,490</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(3,978)</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(4,516)</w:t>
            </w:r>
          </w:p>
        </w:tc>
      </w:tr>
      <w:tr>
        <w:trPr>
          <w:trHeight w:val="34"/>
        </w:trPr>
        <w:tc>
          <w:tcPr>
            <w:tcW w:w="4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September 30, 2018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5,706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7,974</w:t>
            </w:r>
          </w:p>
        </w:tc>
      </w:tr>
      <w:tr>
        <w:trPr>
          <w:trHeight w:val="20"/>
        </w:trPr>
        <w:tc>
          <w:tcPr>
            <w:tcW w:w="40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w:t>
      </w:r>
    </w:p>
    <w:p>
      <w:pPr>
        <w:spacing w:after="0" w:line="200" w:lineRule="exact"/>
        <w:rPr>
          <w:sz w:val="20"/>
          <w:szCs w:val="20"/>
          <w:color w:val="auto"/>
        </w:rPr>
      </w:pP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518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Workforce</w:t>
            </w:r>
          </w:p>
        </w:tc>
      </w:tr>
      <w:tr>
        <w:trPr>
          <w:trHeight w:val="241"/>
        </w:trPr>
        <w:tc>
          <w:tcPr>
            <w:tcW w:w="51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Reductions</w:t>
            </w:r>
          </w:p>
        </w:tc>
      </w:tr>
      <w:tr>
        <w:trPr>
          <w:trHeight w:val="243"/>
        </w:trPr>
        <w:tc>
          <w:tcPr>
            <w:tcW w:w="5180" w:type="dxa"/>
            <w:vAlign w:val="bottom"/>
          </w:tcPr>
          <w:p>
            <w:pPr>
              <w:spacing w:after="0"/>
              <w:rPr>
                <w:sz w:val="21"/>
                <w:szCs w:val="21"/>
                <w:color w:val="auto"/>
              </w:rPr>
            </w:pPr>
          </w:p>
        </w:tc>
        <w:tc>
          <w:tcPr>
            <w:tcW w:w="4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7,753</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Utilized</w:t>
            </w:r>
          </w:p>
        </w:tc>
        <w:tc>
          <w:tcPr>
            <w:tcW w:w="30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34"/>
        </w:trPr>
        <w:tc>
          <w:tcPr>
            <w:tcW w:w="5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2017</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Utilized</w:t>
            </w:r>
          </w:p>
        </w:tc>
        <w:tc>
          <w:tcPr>
            <w:tcW w:w="30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34"/>
        </w:trPr>
        <w:tc>
          <w:tcPr>
            <w:tcW w:w="5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September 30, 2018</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a charge of $6.2 million and office consolidation resulting in the recognition of an onerous lease obligation of $2.0 million during the twelve months ended December 31, 2016.</w:t>
      </w:r>
    </w:p>
    <w:p>
      <w:pPr>
        <w:sectPr>
          <w:pgSz w:w="11900" w:h="16838" w:orient="portrait"/>
          <w:cols w:equalWidth="0" w:num="1">
            <w:col w:w="11420"/>
          </w:cols>
          <w:pgMar w:left="240" w:top="742"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42"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5"/>
        </w:trPr>
        <w:tc>
          <w:tcPr>
            <w:tcW w:w="45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Workforce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Onerous</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58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Reductions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Lease</w:t>
            </w:r>
          </w:p>
        </w:tc>
        <w:tc>
          <w:tcPr>
            <w:tcW w:w="5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3"/>
        </w:trPr>
        <w:tc>
          <w:tcPr>
            <w:tcW w:w="45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2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Utilized</w:t>
            </w:r>
          </w:p>
        </w:tc>
        <w:tc>
          <w:tcPr>
            <w:tcW w:w="25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(5,734)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7"/>
        </w:trPr>
        <w:tc>
          <w:tcPr>
            <w:tcW w:w="4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25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2016</w:t>
            </w:r>
          </w:p>
        </w:tc>
        <w:tc>
          <w:tcPr>
            <w:tcW w:w="25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1,398</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4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Utilized</w:t>
            </w:r>
          </w:p>
        </w:tc>
        <w:tc>
          <w:tcPr>
            <w:tcW w:w="25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43"/>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2017</w:t>
            </w:r>
          </w:p>
        </w:tc>
        <w:tc>
          <w:tcPr>
            <w:tcW w:w="25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317</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4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Utilized</w:t>
            </w:r>
          </w:p>
        </w:tc>
        <w:tc>
          <w:tcPr>
            <w:tcW w:w="25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September 30, 2018</w:t>
            </w:r>
          </w:p>
        </w:tc>
        <w:tc>
          <w:tcPr>
            <w:tcW w:w="25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5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Onerous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Asset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56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Lease</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Impairment</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8,796</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Asset write off</w:t>
            </w:r>
          </w:p>
        </w:tc>
        <w:tc>
          <w:tcPr>
            <w:tcW w:w="25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(5,629)</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(5,629)</w:t>
            </w:r>
          </w:p>
        </w:tc>
      </w:tr>
      <w:tr>
        <w:trPr>
          <w:trHeight w:val="34"/>
        </w:trPr>
        <w:tc>
          <w:tcPr>
            <w:tcW w:w="4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2014</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34"/>
        </w:trPr>
        <w:tc>
          <w:tcPr>
            <w:tcW w:w="4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2015</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34"/>
        </w:trPr>
        <w:tc>
          <w:tcPr>
            <w:tcW w:w="4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2016</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34"/>
        </w:trPr>
        <w:tc>
          <w:tcPr>
            <w:tcW w:w="4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2017</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34"/>
        </w:trPr>
        <w:tc>
          <w:tcPr>
            <w:tcW w:w="4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September 30, 2018</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$9.4 million is included within other liabilities and $0.7 million within non-current other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9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Income Taxes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and nine months ended September 30, 2018, comprise: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80" w:type="dxa"/>
            <w:vAlign w:val="bottom"/>
            <w:gridSpan w:val="8"/>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80" w:type="dxa"/>
            <w:vAlign w:val="bottom"/>
            <w:gridSpan w:val="9"/>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0"/>
              </w:rPr>
              <w:t>Nine Months Ended</w:t>
            </w:r>
          </w:p>
        </w:tc>
      </w:tr>
      <w:tr>
        <w:trPr>
          <w:trHeight w:val="48"/>
        </w:trPr>
        <w:tc>
          <w:tcPr>
            <w:tcW w:w="50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w w:val="90"/>
              </w:rPr>
              <w:t>September 30,</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60" w:type="dxa"/>
            <w:vAlign w:val="bottom"/>
          </w:tcPr>
          <w:p>
            <w:pPr>
              <w:spacing w:after="0"/>
              <w:rPr>
                <w:sz w:val="17"/>
                <w:szCs w:val="17"/>
                <w:color w:val="auto"/>
              </w:rPr>
            </w:pP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7"/>
                <w:szCs w:val="17"/>
                <w:color w:val="auto"/>
              </w:rPr>
            </w:pPr>
          </w:p>
        </w:tc>
        <w:tc>
          <w:tcPr>
            <w:tcW w:w="1220" w:type="dxa"/>
            <w:vAlign w:val="bottom"/>
            <w:gridSpan w:val="5"/>
          </w:tcPr>
          <w:p>
            <w:pPr>
              <w:jc w:val="right"/>
              <w:ind w:right="100"/>
              <w:spacing w:after="0" w:line="202" w:lineRule="exact"/>
              <w:rPr>
                <w:sz w:val="20"/>
                <w:szCs w:val="20"/>
                <w:color w:val="auto"/>
              </w:rPr>
            </w:pPr>
            <w:r>
              <w:rPr>
                <w:rFonts w:ascii="Arial" w:cs="Arial" w:eastAsia="Arial" w:hAnsi="Arial"/>
                <w:sz w:val="18"/>
                <w:szCs w:val="18"/>
                <w:b w:val="1"/>
                <w:bCs w:val="1"/>
                <w:color w:val="auto"/>
                <w:w w:val="89"/>
              </w:rPr>
              <w:t>September 30,</w:t>
            </w:r>
          </w:p>
        </w:tc>
      </w:tr>
      <w:tr>
        <w:trPr>
          <w:trHeight w:val="20"/>
        </w:trPr>
        <w:tc>
          <w:tcPr>
            <w:tcW w:w="5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5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7"/>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9"/>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11,526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8,239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31,388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31,414</w:t>
            </w:r>
          </w:p>
        </w:tc>
      </w:tr>
      <w:tr>
        <w:trPr>
          <w:trHeight w:val="27"/>
        </w:trPr>
        <w:tc>
          <w:tcPr>
            <w:tcW w:w="5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impact of restructuring and other items</w:t>
            </w: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r>
      <w:tr>
        <w:trPr>
          <w:trHeight w:val="243"/>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for income taxes after restructuring and other items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11,526</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8,239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29,935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30,445</w:t>
            </w:r>
          </w:p>
        </w:tc>
      </w:tr>
      <w:tr>
        <w:trPr>
          <w:trHeight w:val="27"/>
        </w:trPr>
        <w:tc>
          <w:tcPr>
            <w:tcW w:w="5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September 30, 2018 the Company maintains a $25.8 million liability (December 31, 2017: $26.1 million) for unrecognized tax benefit, which is comprised of $22.5 million (December 31, 2017: $23.7 million) related to items generating unrecognized tax benefits and $3.3 million (December 31, 2017: $2.4 million) for interest and related penalties to such items. The Company recognizes interest accrued on unrecognized tax benefits as an additional income tax expense.</w:t>
      </w:r>
    </w:p>
    <w:p>
      <w:pPr>
        <w:spacing w:after="0" w:line="2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2013 through 2017 tax years. The Company does not believe that the outcome of any examination will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income per ordinary share</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20" w:type="dxa"/>
            <w:vAlign w:val="bottom"/>
            <w:gridSpan w:val="7"/>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shd w:val="clear" w:color="auto" w:fill="CCEEFF"/>
          </w:tcPr>
          <w:p>
            <w:pPr>
              <w:spacing w:after="0"/>
              <w:rPr>
                <w:sz w:val="18"/>
                <w:szCs w:val="18"/>
                <w:color w:val="auto"/>
              </w:rPr>
            </w:pPr>
          </w:p>
        </w:tc>
        <w:tc>
          <w:tcPr>
            <w:tcW w:w="2660" w:type="dxa"/>
            <w:vAlign w:val="bottom"/>
            <w:gridSpan w:val="9"/>
            <w:shd w:val="clear" w:color="auto" w:fill="CCEEFF"/>
          </w:tcPr>
          <w:p>
            <w:pPr>
              <w:ind w:left="500"/>
              <w:spacing w:after="0"/>
              <w:rPr>
                <w:sz w:val="20"/>
                <w:szCs w:val="20"/>
                <w:color w:val="auto"/>
              </w:rPr>
            </w:pPr>
            <w:r>
              <w:rPr>
                <w:rFonts w:ascii="Arial" w:cs="Arial" w:eastAsia="Arial" w:hAnsi="Arial"/>
                <w:sz w:val="18"/>
                <w:szCs w:val="18"/>
                <w:b w:val="1"/>
                <w:bCs w:val="1"/>
                <w:color w:val="auto"/>
              </w:rPr>
              <w:t>Nine Months Ended</w:t>
            </w:r>
          </w:p>
        </w:tc>
      </w:tr>
      <w:tr>
        <w:trPr>
          <w:trHeight w:val="48"/>
        </w:trPr>
        <w:tc>
          <w:tcPr>
            <w:tcW w:w="54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420" w:type="dxa"/>
            <w:vAlign w:val="bottom"/>
          </w:tcPr>
          <w:p>
            <w:pPr>
              <w:spacing w:after="0"/>
              <w:rPr>
                <w:sz w:val="17"/>
                <w:szCs w:val="17"/>
                <w:color w:val="auto"/>
              </w:rPr>
            </w:pPr>
          </w:p>
        </w:tc>
        <w:tc>
          <w:tcPr>
            <w:tcW w:w="144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17"/>
                <w:szCs w:val="17"/>
                <w:color w:val="auto"/>
              </w:rPr>
            </w:pPr>
          </w:p>
        </w:tc>
        <w:tc>
          <w:tcPr>
            <w:tcW w:w="1280" w:type="dxa"/>
            <w:vAlign w:val="bottom"/>
            <w:gridSpan w:val="4"/>
          </w:tcPr>
          <w:p>
            <w:pPr>
              <w:jc w:val="right"/>
              <w:ind w:right="20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1480" w:type="dxa"/>
            <w:vAlign w:val="bottom"/>
            <w:gridSpan w:val="5"/>
          </w:tcPr>
          <w:p>
            <w:pPr>
              <w:ind w:left="200"/>
              <w:spacing w:after="0" w:line="202" w:lineRule="exact"/>
              <w:rPr>
                <w:sz w:val="20"/>
                <w:szCs w:val="20"/>
                <w:color w:val="auto"/>
              </w:rPr>
            </w:pPr>
            <w:r>
              <w:rPr>
                <w:rFonts w:ascii="Arial" w:cs="Arial" w:eastAsia="Arial" w:hAnsi="Arial"/>
                <w:sz w:val="18"/>
                <w:szCs w:val="18"/>
                <w:b w:val="1"/>
                <w:bCs w:val="1"/>
                <w:color w:val="auto"/>
              </w:rPr>
              <w:t>September 30,</w:t>
            </w:r>
          </w:p>
        </w:tc>
        <w:tc>
          <w:tcPr>
            <w:tcW w:w="1380" w:type="dxa"/>
            <w:vAlign w:val="bottom"/>
            <w:gridSpan w:val="5"/>
          </w:tcPr>
          <w:p>
            <w:pPr>
              <w:ind w:left="18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7"/>
                <w:szCs w:val="17"/>
                <w:color w:val="auto"/>
              </w:rPr>
            </w:pPr>
          </w:p>
        </w:tc>
        <w:tc>
          <w:tcPr>
            <w:tcW w:w="1280" w:type="dxa"/>
            <w:vAlign w:val="bottom"/>
            <w:gridSpan w:val="4"/>
          </w:tcPr>
          <w:p>
            <w:pPr>
              <w:jc w:val="right"/>
              <w:ind w:right="200"/>
              <w:spacing w:after="0" w:line="196" w:lineRule="exact"/>
              <w:rPr>
                <w:sz w:val="20"/>
                <w:szCs w:val="20"/>
                <w:color w:val="auto"/>
              </w:rPr>
            </w:pPr>
            <w:r>
              <w:rPr>
                <w:rFonts w:ascii="Arial" w:cs="Arial" w:eastAsia="Arial" w:hAnsi="Arial"/>
                <w:sz w:val="18"/>
                <w:szCs w:val="18"/>
                <w:b w:val="1"/>
                <w:bCs w:val="1"/>
                <w:color w:val="auto"/>
              </w:rPr>
              <w:t>2017</w:t>
            </w:r>
          </w:p>
        </w:tc>
        <w:tc>
          <w:tcPr>
            <w:tcW w:w="1480" w:type="dxa"/>
            <w:vAlign w:val="bottom"/>
            <w:gridSpan w:val="5"/>
          </w:tcPr>
          <w:p>
            <w:pPr>
              <w:jc w:val="right"/>
              <w:ind w:right="180"/>
              <w:spacing w:after="0" w:line="196" w:lineRule="exact"/>
              <w:rPr>
                <w:sz w:val="20"/>
                <w:szCs w:val="20"/>
                <w:color w:val="auto"/>
              </w:rPr>
            </w:pPr>
            <w:r>
              <w:rPr>
                <w:rFonts w:ascii="Arial" w:cs="Arial" w:eastAsia="Arial" w:hAnsi="Arial"/>
                <w:sz w:val="18"/>
                <w:szCs w:val="18"/>
                <w:b w:val="1"/>
                <w:bCs w:val="1"/>
                <w:color w:val="auto"/>
              </w:rPr>
              <w:t>2018</w:t>
            </w:r>
          </w:p>
        </w:tc>
        <w:tc>
          <w:tcPr>
            <w:tcW w:w="13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5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 average number of ordinary shares outstanding for basic net</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54,368,656</w:t>
            </w: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54,109,566</w:t>
            </w:r>
          </w:p>
        </w:tc>
        <w:tc>
          <w:tcPr>
            <w:tcW w:w="148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54,134,639</w:t>
            </w:r>
          </w:p>
        </w:tc>
        <w:tc>
          <w:tcPr>
            <w:tcW w:w="13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54,110,022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Effect of dilutive share options outstanding</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532,748</w:t>
            </w:r>
          </w:p>
        </w:tc>
        <w:tc>
          <w:tcPr>
            <w:tcW w:w="1700" w:type="dxa"/>
            <w:vAlign w:val="bottom"/>
            <w:gridSpan w:val="5"/>
          </w:tcPr>
          <w:p>
            <w:pPr>
              <w:jc w:val="right"/>
              <w:ind w:right="200"/>
              <w:spacing w:after="0"/>
              <w:rPr>
                <w:sz w:val="20"/>
                <w:szCs w:val="20"/>
                <w:color w:val="auto"/>
              </w:rPr>
            </w:pPr>
            <w:r>
              <w:rPr>
                <w:rFonts w:ascii="Arial" w:cs="Arial" w:eastAsia="Arial" w:hAnsi="Arial"/>
                <w:sz w:val="18"/>
                <w:szCs w:val="18"/>
                <w:color w:val="auto"/>
              </w:rPr>
              <w:t>646,618</w:t>
            </w:r>
          </w:p>
        </w:tc>
        <w:tc>
          <w:tcPr>
            <w:tcW w:w="1480" w:type="dxa"/>
            <w:vAlign w:val="bottom"/>
            <w:gridSpan w:val="5"/>
          </w:tcPr>
          <w:p>
            <w:pPr>
              <w:jc w:val="right"/>
              <w:ind w:right="180"/>
              <w:spacing w:after="0"/>
              <w:rPr>
                <w:sz w:val="20"/>
                <w:szCs w:val="20"/>
                <w:color w:val="auto"/>
              </w:rPr>
            </w:pPr>
            <w:r>
              <w:rPr>
                <w:rFonts w:ascii="Arial" w:cs="Arial" w:eastAsia="Arial" w:hAnsi="Arial"/>
                <w:sz w:val="18"/>
                <w:szCs w:val="18"/>
                <w:color w:val="auto"/>
              </w:rPr>
              <w:t>753,512</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730,090</w:t>
            </w:r>
          </w:p>
        </w:tc>
      </w:tr>
      <w:tr>
        <w:trPr>
          <w:trHeight w:val="34"/>
        </w:trPr>
        <w:tc>
          <w:tcPr>
            <w:tcW w:w="5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number of ordinary shares outstanding for diluted net</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2"/>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54,901,404</w:t>
            </w:r>
          </w:p>
        </w:tc>
        <w:tc>
          <w:tcPr>
            <w:tcW w:w="17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54,756,184</w:t>
            </w:r>
          </w:p>
        </w:tc>
        <w:tc>
          <w:tcPr>
            <w:tcW w:w="148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54,888,151</w:t>
            </w:r>
          </w:p>
        </w:tc>
        <w:tc>
          <w:tcPr>
            <w:tcW w:w="13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54,840,112</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420" w:type="dxa"/>
            <w:vAlign w:val="bottom"/>
          </w:tcPr>
          <w:p>
            <w:pPr>
              <w:spacing w:after="0"/>
              <w:rPr>
                <w:sz w:val="24"/>
                <w:szCs w:val="24"/>
                <w:color w:val="auto"/>
              </w:rPr>
            </w:pPr>
          </w:p>
        </w:tc>
        <w:tc>
          <w:tcPr>
            <w:tcW w:w="820" w:type="dxa"/>
            <w:vAlign w:val="bottom"/>
            <w:gridSpan w:val="2"/>
          </w:tcPr>
          <w:p>
            <w:pPr>
              <w:jc w:val="right"/>
              <w:ind w:right="35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Share-based Awards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3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1.0 million and to extend the date for options to be granted under the 2008 Option Plans.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Share option awards granted to non-Executive Directors during the nine months ended September 30, 2018 vest one year from the date of grant. The maximum contractual term of options outstanding at September 30, 2018 is eight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2018:</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08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Weighted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08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Average Grant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408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41"/>
        </w:trPr>
        <w:tc>
          <w:tcPr>
            <w:tcW w:w="40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2620" w:type="dxa"/>
            <w:vAlign w:val="bottom"/>
          </w:tcPr>
          <w:p>
            <w:pPr>
              <w:jc w:val="right"/>
              <w:ind w:right="70"/>
              <w:spacing w:after="0"/>
              <w:rPr>
                <w:sz w:val="20"/>
                <w:szCs w:val="20"/>
                <w:color w:val="auto"/>
              </w:rPr>
            </w:pPr>
            <w:r>
              <w:rPr>
                <w:rFonts w:ascii="Arial" w:cs="Arial" w:eastAsia="Arial" w:hAnsi="Arial"/>
                <w:sz w:val="18"/>
                <w:szCs w:val="18"/>
                <w:color w:val="auto"/>
              </w:rPr>
              <w:t>1,171,393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17.15</w:t>
            </w:r>
          </w:p>
        </w:tc>
        <w:tc>
          <w:tcPr>
            <w:tcW w:w="1320" w:type="dxa"/>
            <w:vAlign w:val="bottom"/>
          </w:tcPr>
          <w:p>
            <w:pPr>
              <w:spacing w:after="0"/>
              <w:rPr>
                <w:sz w:val="21"/>
                <w:szCs w:val="21"/>
                <w:color w:val="auto"/>
              </w:rPr>
            </w:pPr>
          </w:p>
        </w:tc>
      </w:tr>
      <w:tr>
        <w:trPr>
          <w:trHeight w:val="34"/>
        </w:trPr>
        <w:tc>
          <w:tcPr>
            <w:tcW w:w="40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167,557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36.84</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(355,216)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13.76</w:t>
            </w:r>
          </w:p>
        </w:tc>
        <w:tc>
          <w:tcPr>
            <w:tcW w:w="132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11.83</w:t>
            </w:r>
          </w:p>
        </w:tc>
        <w:tc>
          <w:tcPr>
            <w:tcW w:w="1320" w:type="dxa"/>
            <w:vAlign w:val="bottom"/>
            <w:tcBorders>
              <w:bottom w:val="single" w:sz="8" w:color="CCEEFF"/>
            </w:tcBorders>
            <w:shd w:val="clear" w:color="auto" w:fill="CCEEFF"/>
          </w:tcPr>
          <w:p>
            <w:pPr>
              <w:spacing w:after="0"/>
              <w:rPr>
                <w:sz w:val="24"/>
                <w:szCs w:val="24"/>
                <w:color w:val="auto"/>
              </w:rPr>
            </w:pPr>
          </w:p>
        </w:tc>
      </w:tr>
      <w:tr>
        <w:trPr>
          <w:trHeight w:val="297"/>
        </w:trPr>
        <w:tc>
          <w:tcPr>
            <w:tcW w:w="40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2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976,029</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21.80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2018</w:t>
            </w:r>
          </w:p>
        </w:tc>
        <w:tc>
          <w:tcPr>
            <w:tcW w:w="2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452,066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16.60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2" w:right="239" w:bottom="1440" w:gutter="0" w:footer="0" w:header="0"/>
          <w:type w:val="continuous"/>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$8.53 to $39.96 per option or a weighted average fair value of $14.57 per option. The Company issues ordinary shares for all options exercised. The total amount of fully vested share options which remained outstanding at September 30, 2018 was 452,066. Fully vested share options at September 30, 2018 have an average remaining contractual term of 3.86 years, an average exercise price of $53.6 and a total intrinsic value of $45.3 million. The total intrinsic value of options exercised during the nine months ended September 30, 2018 was $32.6 million (September 30, 2017: $21.8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nine months ended September 30, 2018:</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52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December 31, 2017</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694,727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68.06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20.03</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Granted</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167,557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118.90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36.84</w:t>
            </w:r>
          </w:p>
        </w:tc>
      </w:tr>
      <w:tr>
        <w:trPr>
          <w:trHeight w:val="27"/>
        </w:trPr>
        <w:tc>
          <w:tcPr>
            <w:tcW w:w="5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(335,616)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000" w:type="dxa"/>
            <w:vAlign w:val="bottom"/>
          </w:tcPr>
          <w:p>
            <w:pPr>
              <w:jc w:val="right"/>
              <w:ind w:right="10"/>
              <w:spacing w:after="0"/>
              <w:rPr>
                <w:sz w:val="20"/>
                <w:szCs w:val="20"/>
                <w:color w:val="auto"/>
              </w:rPr>
            </w:pPr>
            <w:r>
              <w:rPr>
                <w:rFonts w:ascii="Arial" w:cs="Arial" w:eastAsia="Arial" w:hAnsi="Arial"/>
                <w:sz w:val="18"/>
                <w:szCs w:val="18"/>
                <w:color w:val="auto"/>
              </w:rPr>
              <w:t>(2,705)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56.58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September 30, 2018</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523,963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88.07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26.38</w:t>
            </w:r>
          </w:p>
        </w:tc>
      </w:tr>
      <w:tr>
        <w:trPr>
          <w:trHeight w:val="27"/>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nine months ended September 30, 2018 and September 30, 2017 was calculated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060"/>
        <w:spacing w:after="0"/>
        <w:rPr>
          <w:sz w:val="20"/>
          <w:szCs w:val="20"/>
          <w:color w:val="auto"/>
        </w:rPr>
      </w:pPr>
      <w:r>
        <w:rPr>
          <w:rFonts w:ascii="Arial" w:cs="Arial" w:eastAsia="Arial" w:hAnsi="Arial"/>
          <w:sz w:val="18"/>
          <w:szCs w:val="18"/>
          <w:b w:val="1"/>
          <w:bCs w:val="1"/>
          <w:u w:val="single" w:color="auto"/>
          <w:color w:val="auto"/>
        </w:rPr>
        <w:t>Nine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4"/>
              </w:rPr>
              <w:t>September 30,</w:t>
            </w:r>
          </w:p>
        </w:tc>
      </w:tr>
      <w:tr>
        <w:trPr>
          <w:trHeight w:val="19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82"/>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r>
      <w:tr>
        <w:trPr>
          <w:trHeight w:val="203"/>
        </w:trPr>
        <w:tc>
          <w:tcPr>
            <w:tcW w:w="552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Assumptions:</w:t>
            </w:r>
          </w:p>
        </w:tc>
        <w:tc>
          <w:tcPr>
            <w:tcW w:w="2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Dividend yield</w:t>
            </w:r>
          </w:p>
        </w:tc>
        <w:tc>
          <w:tcPr>
            <w:tcW w:w="2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Expected life</w:t>
            </w:r>
          </w:p>
        </w:tc>
        <w:tc>
          <w:tcPr>
            <w:tcW w:w="2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 years</w:t>
            </w:r>
          </w:p>
        </w:tc>
      </w:tr>
      <w:tr>
        <w:trPr>
          <w:trHeight w:val="27"/>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ectPr>
          <w:pgSz w:w="11900" w:h="16838" w:orient="portrait"/>
          <w:cols w:equalWidth="0" w:num="1">
            <w:col w:w="11420"/>
          </w:cols>
          <w:pgMar w:left="240" w:top="746"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440" w:gutter="0" w:footer="0" w:header="0"/>
          <w:type w:val="continuous"/>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nine months ended September 30, 2018:</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PSU</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RSU</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PSU</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Weighted</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Weighted</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PSU</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Average</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RSU</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Average</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Outstanding</w:t>
            </w:r>
          </w:p>
        </w:tc>
        <w:tc>
          <w:tcPr>
            <w:tcW w:w="154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Remaining</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Outstanding</w:t>
            </w:r>
          </w:p>
        </w:tc>
        <w:tc>
          <w:tcPr>
            <w:tcW w:w="150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Remaining</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Number of</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Contractual</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Number of</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Contractual</w:t>
            </w:r>
          </w:p>
        </w:tc>
      </w:tr>
      <w:tr>
        <w:trPr>
          <w:trHeight w:val="233"/>
        </w:trPr>
        <w:tc>
          <w:tcPr>
            <w:tcW w:w="3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Life</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Life</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511,026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72.07</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0.93</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715,970</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72.65</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71,906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116.02</w:t>
            </w:r>
          </w:p>
        </w:tc>
        <w:tc>
          <w:tcPr>
            <w:tcW w:w="1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159,070</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123.32</w:t>
            </w:r>
          </w:p>
        </w:tc>
        <w:tc>
          <w:tcPr>
            <w:tcW w:w="118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(215,826)</w:t>
            </w:r>
          </w:p>
        </w:tc>
        <w:tc>
          <w:tcPr>
            <w:tcW w:w="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68.28</w:t>
            </w:r>
          </w:p>
        </w:tc>
        <w:tc>
          <w:tcPr>
            <w:tcW w:w="1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(271,183)</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67.96</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(116,053)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70.89</w:t>
            </w:r>
          </w:p>
        </w:tc>
        <w:tc>
          <w:tcPr>
            <w:tcW w:w="1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(57,429)</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76.90</w:t>
            </w:r>
          </w:p>
        </w:tc>
        <w:tc>
          <w:tcPr>
            <w:tcW w:w="1180" w:type="dxa"/>
            <w:vAlign w:val="bottom"/>
          </w:tcPr>
          <w:p>
            <w:pPr>
              <w:spacing w:after="0"/>
              <w:rPr>
                <w:sz w:val="21"/>
                <w:szCs w:val="21"/>
                <w:color w:val="auto"/>
              </w:rPr>
            </w:pP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September 30, 2018</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251,053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85.95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1.21</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546,428</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89.28</w:t>
            </w: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nine months ended September 30, 2018 totaled $18.4 million (full year 2017: $16.6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PSUs vested for the nine months ended September 30, 2018 totaled $14.7 million (full year 2017: $15.0 million).</w:t>
      </w:r>
    </w:p>
    <w:p>
      <w:pPr>
        <w:spacing w:after="0" w:line="3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PSUs vest based on service and specified EPS targets over the period 2015 – 2018, 2016 – 2019, 2017 – 2020 and 2018 – 2021. Since 2013, 147,630 PSUs (net of forfeitures) have been granted. Depending on the amount of EPS from 2015 to 2021, up to an additional 103,423 PSUs may also be granted.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nine months ended September 30, 2018 has been allocated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80" w:type="dxa"/>
            <w:vAlign w:val="bottom"/>
            <w:gridSpan w:val="8"/>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80" w:type="dxa"/>
            <w:vAlign w:val="bottom"/>
            <w:gridSpan w:val="9"/>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41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w w:val="90"/>
              </w:rPr>
              <w:t>September 30,</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6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7"/>
                <w:szCs w:val="17"/>
                <w:color w:val="auto"/>
              </w:rPr>
            </w:pPr>
          </w:p>
        </w:tc>
        <w:tc>
          <w:tcPr>
            <w:tcW w:w="122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4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7"/>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9"/>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4,708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4,551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13,761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14,855</w:t>
            </w:r>
          </w:p>
        </w:tc>
      </w:tr>
      <w:tr>
        <w:trPr>
          <w:trHeight w:val="27"/>
        </w:trPr>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3,709</w:t>
            </w: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12,106</w:t>
            </w:r>
          </w:p>
        </w:tc>
      </w:tr>
      <w:tr>
        <w:trPr>
          <w:trHeight w:val="270"/>
        </w:trPr>
        <w:tc>
          <w:tcPr>
            <w:tcW w:w="4100" w:type="dxa"/>
            <w:vAlign w:val="bottom"/>
            <w:tcBorders>
              <w:top w:val="single" w:sz="8" w:color="auto"/>
            </w:tcBorders>
          </w:tcPr>
          <w:p>
            <w:pPr>
              <w:spacing w:after="0"/>
              <w:rPr>
                <w:sz w:val="23"/>
                <w:szCs w:val="23"/>
                <w:color w:val="auto"/>
              </w:rPr>
            </w:pPr>
          </w:p>
        </w:tc>
        <w:tc>
          <w:tcPr>
            <w:tcW w:w="16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4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8,260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24,974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26,961</w:t>
            </w:r>
          </w:p>
        </w:tc>
      </w:tr>
      <w:tr>
        <w:trPr>
          <w:trHeight w:val="20"/>
        </w:trPr>
        <w:tc>
          <w:tcPr>
            <w:tcW w:w="4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non-cash stock compensation expense not yet recognized at September 30, 2018 amounted to $51.5 million. The weighted average period over which this is expected to be recognized is 2.1 years.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applied the updated standard prospectively during the year ended December 31,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Share Capital</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 months ended September 30, 2018 485,143 ordinary shares were redeemed by the Company under this buyback program for a total consideration of $57.0 million. At September 30, 2018 a total of 3,503,557 ordinary shares were redeemed by the Company under this buyback program for a total consideration of $300.1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Information</w:t>
      </w:r>
    </w:p>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was comprised of the Chief Executive Officer and the Chief Financial Officer.</w:t>
      </w: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ectPr>
          <w:pgSz w:w="11900" w:h="16838" w:orient="portrait"/>
          <w:cols w:equalWidth="0" w:num="1">
            <w:col w:w="11420"/>
          </w:cols>
          <w:pgMar w:left="240" w:top="742"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2" w:right="239" w:bottom="1440" w:gutter="0" w:footer="0" w:header="0"/>
          <w:type w:val="continuous"/>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Belgium, France, Germany, Italy, Spain, The Netherlands, Sweden, Turkey, Poland, Czech Republic, Latvia, Russia, Ukraine, Hungary, Israel, Romania, Canada, Mexico, Brazil, Colombia, Argentina, Chile, Peru, India, China, South Korea, Japan, Thailand, Taiwan, Singapore, The Philippines, Australia, New Zealand, and South Africa.</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geographical distribution of the Company’s segment measures as at September 30, 2018 and December 31, 2017 and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September 30, 2017 is as follows: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distribution of revenue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gridSpan w:val="9"/>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10"/>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360" w:type="dxa"/>
            <w:vAlign w:val="bottom"/>
            <w:gridSpan w:val="6"/>
          </w:tcPr>
          <w:p>
            <w:pPr>
              <w:ind w:left="16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36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9"/>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270,709</w:t>
            </w:r>
          </w:p>
        </w:tc>
        <w:tc>
          <w:tcPr>
            <w:tcW w:w="120" w:type="dxa"/>
            <w:vAlign w:val="bottom"/>
          </w:tcPr>
          <w:p>
            <w:pPr>
              <w:spacing w:after="0"/>
              <w:rPr>
                <w:sz w:val="21"/>
                <w:szCs w:val="21"/>
                <w:color w:val="auto"/>
              </w:rPr>
            </w:pP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231,718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765,939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695,382</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91,292</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94,622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283,024</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246,101</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227,279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213,202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674,150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666,222</w:t>
            </w:r>
          </w:p>
        </w:tc>
      </w:tr>
      <w:tr>
        <w:trPr>
          <w:trHeight w:val="27"/>
        </w:trPr>
        <w:tc>
          <w:tcPr>
            <w:tcW w:w="3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65,737</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56,627</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193,639</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158,311</w:t>
            </w:r>
          </w:p>
        </w:tc>
      </w:tr>
      <w:tr>
        <w:trPr>
          <w:trHeight w:val="270"/>
        </w:trPr>
        <w:tc>
          <w:tcPr>
            <w:tcW w:w="3600" w:type="dxa"/>
            <w:vAlign w:val="bottom"/>
            <w:tcBorders>
              <w:top w:val="single" w:sz="8" w:color="auto"/>
            </w:tcBorders>
          </w:tcPr>
          <w:p>
            <w:pPr>
              <w:spacing w:after="0"/>
              <w:rPr>
                <w:sz w:val="23"/>
                <w:szCs w:val="23"/>
                <w:color w:val="auto"/>
              </w:rPr>
            </w:pPr>
          </w:p>
        </w:tc>
        <w:tc>
          <w:tcPr>
            <w:tcW w:w="25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655,017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596,169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1,916,752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1,766,016</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7620" w:firstLine="8"/>
        <w:spacing w:after="0" w:line="663" w:lineRule="auto"/>
        <w:tabs>
          <w:tab w:leader="none" w:pos="635" w:val="left"/>
        </w:tabs>
        <w:numPr>
          <w:ilvl w:val="1"/>
          <w:numId w:val="1"/>
        </w:numPr>
        <w:rPr>
          <w:rFonts w:ascii="Arial" w:cs="Arial" w:eastAsia="Arial" w:hAnsi="Arial"/>
          <w:sz w:val="17"/>
          <w:szCs w:val="17"/>
          <w:color w:val="auto"/>
        </w:rPr>
      </w:pPr>
      <w:r>
        <w:rPr>
          <w:rFonts w:ascii="Arial" w:cs="Arial" w:eastAsia="Arial" w:hAnsi="Arial"/>
          <w:sz w:val="17"/>
          <w:szCs w:val="17"/>
          <w:color w:val="auto"/>
        </w:rPr>
        <w:t>All sales shown for Ireland are export sales. ** 2017 restated for gross revenue.</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20" w:type="dxa"/>
            <w:vAlign w:val="bottom"/>
            <w:gridSpan w:val="9"/>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10"/>
            <w:shd w:val="clear" w:color="auto" w:fill="CCEEFF"/>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48"/>
        </w:trPr>
        <w:tc>
          <w:tcPr>
            <w:tcW w:w="336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360" w:type="dxa"/>
            <w:vAlign w:val="bottom"/>
            <w:gridSpan w:val="6"/>
          </w:tcPr>
          <w:p>
            <w:pPr>
              <w:ind w:left="16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3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6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Ireland</w:t>
            </w:r>
          </w:p>
        </w:tc>
        <w:tc>
          <w:tcPr>
            <w:tcW w:w="32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71,435</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62,152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190,832</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164,760</w:t>
            </w:r>
          </w:p>
        </w:tc>
      </w:tr>
      <w:tr>
        <w:trPr>
          <w:trHeight w:val="27"/>
        </w:trPr>
        <w:tc>
          <w:tcPr>
            <w:tcW w:w="33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2,526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23,864</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15,124</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U.S.</w:t>
            </w:r>
          </w:p>
        </w:tc>
        <w:tc>
          <w:tcPr>
            <w:tcW w:w="2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14,413</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16,150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40,918</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52,897</w:t>
            </w:r>
          </w:p>
        </w:tc>
      </w:tr>
      <w:tr>
        <w:trPr>
          <w:trHeight w:val="27"/>
        </w:trPr>
        <w:tc>
          <w:tcPr>
            <w:tcW w:w="33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4,110</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15,958</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15,813</w:t>
            </w:r>
          </w:p>
        </w:tc>
      </w:tr>
      <w:tr>
        <w:trPr>
          <w:trHeight w:val="270"/>
        </w:trPr>
        <w:tc>
          <w:tcPr>
            <w:tcW w:w="3360" w:type="dxa"/>
            <w:vAlign w:val="bottom"/>
            <w:tcBorders>
              <w:top w:val="single" w:sz="8" w:color="auto"/>
            </w:tcBorders>
          </w:tcPr>
          <w:p>
            <w:pPr>
              <w:spacing w:after="0"/>
              <w:rPr>
                <w:sz w:val="23"/>
                <w:szCs w:val="23"/>
                <w:color w:val="auto"/>
              </w:rPr>
            </w:pPr>
          </w:p>
        </w:tc>
        <w:tc>
          <w:tcPr>
            <w:tcW w:w="27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97,940</w:t>
            </w:r>
          </w:p>
        </w:tc>
        <w:tc>
          <w:tcPr>
            <w:tcW w:w="6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84,938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271,572</w:t>
            </w:r>
          </w:p>
        </w:tc>
        <w:tc>
          <w:tcPr>
            <w:tcW w:w="6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248,594</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360" w:type="dxa"/>
            <w:vAlign w:val="bottom"/>
          </w:tcPr>
          <w:p>
            <w:pPr>
              <w:spacing w:after="0"/>
              <w:rPr>
                <w:sz w:val="24"/>
                <w:szCs w:val="24"/>
                <w:color w:val="auto"/>
              </w:rPr>
            </w:pPr>
          </w:p>
        </w:tc>
        <w:tc>
          <w:tcPr>
            <w:tcW w:w="276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c) The distribution of income from operations excluding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0" w:type="dxa"/>
            <w:vAlign w:val="bottom"/>
            <w:gridSpan w:val="9"/>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26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17"/>
                <w:szCs w:val="17"/>
                <w:color w:val="auto"/>
              </w:rPr>
            </w:pPr>
          </w:p>
        </w:tc>
        <w:tc>
          <w:tcPr>
            <w:tcW w:w="12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w w:val="95"/>
              </w:rPr>
              <w:t>September 30,</w:t>
            </w:r>
          </w:p>
        </w:tc>
        <w:tc>
          <w:tcPr>
            <w:tcW w:w="1280" w:type="dxa"/>
            <w:vAlign w:val="bottom"/>
            <w:gridSpan w:val="5"/>
          </w:tcPr>
          <w:p>
            <w:pPr>
              <w:ind w:left="100"/>
              <w:spacing w:after="0" w:line="202" w:lineRule="exact"/>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7"/>
                <w:szCs w:val="17"/>
                <w:color w:val="auto"/>
              </w:rPr>
            </w:pPr>
          </w:p>
        </w:tc>
        <w:tc>
          <w:tcPr>
            <w:tcW w:w="11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w w:val="90"/>
              </w:rPr>
              <w:t>September 30,</w:t>
            </w:r>
          </w:p>
        </w:tc>
      </w:tr>
      <w:tr>
        <w:trPr>
          <w:trHeight w:val="196"/>
        </w:trPr>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7"/>
                <w:szCs w:val="17"/>
                <w:color w:val="auto"/>
              </w:rPr>
            </w:pPr>
          </w:p>
        </w:tc>
      </w:tr>
      <w:tr>
        <w:trPr>
          <w:trHeight w:val="48"/>
        </w:trPr>
        <w:tc>
          <w:tcPr>
            <w:tcW w:w="26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26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5"/>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gridSpan w:val="5"/>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351"/>
        </w:trPr>
        <w:tc>
          <w:tcPr>
            <w:tcW w:w="26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Ireland</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71,435</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62,152</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203,322</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172,513</w:t>
            </w:r>
          </w:p>
        </w:tc>
      </w:tr>
      <w:tr>
        <w:trPr>
          <w:trHeight w:val="27"/>
        </w:trPr>
        <w:tc>
          <w:tcPr>
            <w:tcW w:w="2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1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7,038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23,864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15,124</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U.S.</w:t>
            </w: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14,413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16,150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40,918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52,897</w:t>
            </w:r>
          </w:p>
        </w:tc>
      </w:tr>
      <w:tr>
        <w:trPr>
          <w:trHeight w:val="27"/>
        </w:trPr>
        <w:tc>
          <w:tcPr>
            <w:tcW w:w="2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5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15,958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15,813</w:t>
            </w:r>
          </w:p>
        </w:tc>
      </w:tr>
      <w:tr>
        <w:trPr>
          <w:trHeight w:val="270"/>
        </w:trPr>
        <w:tc>
          <w:tcPr>
            <w:tcW w:w="262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r>
      <w:tr>
        <w:trPr>
          <w:trHeight w:val="275"/>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97,940</w:t>
            </w:r>
          </w:p>
        </w:tc>
        <w:tc>
          <w:tcPr>
            <w:tcW w:w="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84,938</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284,062</w:t>
            </w:r>
          </w:p>
        </w:tc>
        <w:tc>
          <w:tcPr>
            <w:tcW w:w="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256,347</w:t>
            </w: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September</w:t>
            </w:r>
          </w:p>
        </w:tc>
        <w:tc>
          <w:tcPr>
            <w:tcW w:w="3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30, 2018</w:t>
            </w: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31, 2017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40" w:type="dxa"/>
            <w:vAlign w:val="bottom"/>
            <w:tcBorders>
              <w:top w:val="single" w:sz="8" w:color="CCEEFF"/>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6"/>
          </w:tcPr>
          <w:p>
            <w:pPr>
              <w:ind w:left="2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5"/>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104,935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111,329</w:t>
            </w:r>
          </w:p>
        </w:tc>
        <w:tc>
          <w:tcPr>
            <w:tcW w:w="0" w:type="dxa"/>
            <w:vAlign w:val="bottom"/>
          </w:tcPr>
          <w:p>
            <w:pPr>
              <w:spacing w:after="0"/>
              <w:rPr>
                <w:sz w:val="1"/>
                <w:szCs w:val="1"/>
                <w:color w:val="auto"/>
              </w:rPr>
            </w:pPr>
          </w:p>
        </w:tc>
      </w:tr>
      <w:tr>
        <w:trPr>
          <w:trHeight w:val="169"/>
        </w:trPr>
        <w:tc>
          <w:tcPr>
            <w:tcW w:w="4040" w:type="dxa"/>
            <w:vAlign w:val="bottom"/>
            <w:tcBorders>
              <w:bottom w:val="single" w:sz="8" w:color="CCEEFF"/>
            </w:tcBorders>
            <w:shd w:val="clear" w:color="auto" w:fill="CCEEFF"/>
          </w:tcPr>
          <w:p>
            <w:pPr>
              <w:spacing w:after="0"/>
              <w:rPr>
                <w:sz w:val="14"/>
                <w:szCs w:val="14"/>
                <w:color w:val="auto"/>
              </w:rPr>
            </w:pPr>
          </w:p>
        </w:tc>
        <w:tc>
          <w:tcPr>
            <w:tcW w:w="3060" w:type="dxa"/>
            <w:vAlign w:val="bottom"/>
            <w:tcBorders>
              <w:bottom w:val="single" w:sz="8" w:color="CCEEFF"/>
            </w:tcBorders>
            <w:vMerge w:val="continue"/>
            <w:shd w:val="clear" w:color="auto" w:fill="CCEEFF"/>
          </w:tcPr>
          <w:p>
            <w:pPr>
              <w:spacing w:after="0"/>
              <w:rPr>
                <w:sz w:val="14"/>
                <w:szCs w:val="14"/>
                <w:color w:val="auto"/>
              </w:rPr>
            </w:pPr>
          </w:p>
        </w:tc>
        <w:tc>
          <w:tcPr>
            <w:tcW w:w="860" w:type="dxa"/>
            <w:vAlign w:val="bottom"/>
            <w:tcBorders>
              <w:bottom w:val="single" w:sz="8" w:color="CCEEFF"/>
            </w:tcBorders>
            <w:gridSpan w:val="3"/>
            <w:vMerge w:val="continue"/>
            <w:shd w:val="clear" w:color="auto" w:fill="CCEEFF"/>
          </w:tcPr>
          <w:p>
            <w:pPr>
              <w:spacing w:after="0"/>
              <w:rPr>
                <w:sz w:val="14"/>
                <w:szCs w:val="14"/>
                <w:color w:val="auto"/>
              </w:rPr>
            </w:pPr>
          </w:p>
        </w:tc>
        <w:tc>
          <w:tcPr>
            <w:tcW w:w="340" w:type="dxa"/>
            <w:vAlign w:val="bottom"/>
            <w:tcBorders>
              <w:bottom w:val="single" w:sz="8" w:color="CCEEFF"/>
            </w:tcBorders>
            <w:vMerge w:val="continue"/>
            <w:shd w:val="clear" w:color="auto" w:fill="CCEEFF"/>
          </w:tcPr>
          <w:p>
            <w:pPr>
              <w:spacing w:after="0"/>
              <w:rPr>
                <w:sz w:val="14"/>
                <w:szCs w:val="14"/>
                <w:color w:val="auto"/>
              </w:rPr>
            </w:pPr>
          </w:p>
        </w:tc>
        <w:tc>
          <w:tcPr>
            <w:tcW w:w="900" w:type="dxa"/>
            <w:vAlign w:val="bottom"/>
            <w:tcBorders>
              <w:bottom w:val="single" w:sz="8" w:color="CCEEFF"/>
            </w:tcBorders>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0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9,657</w:t>
            </w:r>
          </w:p>
        </w:tc>
        <w:tc>
          <w:tcPr>
            <w:tcW w:w="340" w:type="dxa"/>
            <w:vAlign w:val="bottom"/>
          </w:tcPr>
          <w:p>
            <w:pPr>
              <w:spacing w:after="0"/>
              <w:rPr>
                <w:sz w:val="21"/>
                <w:szCs w:val="21"/>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24,384</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27,797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0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15,572</w:t>
            </w:r>
          </w:p>
        </w:tc>
        <w:tc>
          <w:tcPr>
            <w:tcW w:w="340" w:type="dxa"/>
            <w:vAlign w:val="bottom"/>
          </w:tcPr>
          <w:p>
            <w:pPr>
              <w:spacing w:after="0"/>
              <w:rPr>
                <w:sz w:val="21"/>
                <w:szCs w:val="21"/>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14,899</w:t>
            </w:r>
          </w:p>
        </w:tc>
        <w:tc>
          <w:tcPr>
            <w:tcW w:w="0" w:type="dxa"/>
            <w:vAlign w:val="bottom"/>
          </w:tcPr>
          <w:p>
            <w:pPr>
              <w:spacing w:after="0"/>
              <w:rPr>
                <w:sz w:val="1"/>
                <w:szCs w:val="1"/>
                <w:color w:val="auto"/>
              </w:rPr>
            </w:pPr>
          </w:p>
        </w:tc>
      </w:tr>
      <w:tr>
        <w:trPr>
          <w:trHeight w:val="34"/>
        </w:trPr>
        <w:tc>
          <w:tcPr>
            <w:tcW w:w="40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0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Total</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154,548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163,051</w:t>
            </w:r>
          </w:p>
        </w:tc>
        <w:tc>
          <w:tcPr>
            <w:tcW w:w="0" w:type="dxa"/>
            <w:vAlign w:val="bottom"/>
          </w:tcPr>
          <w:p>
            <w:pPr>
              <w:spacing w:after="0"/>
              <w:rPr>
                <w:sz w:val="1"/>
                <w:szCs w:val="1"/>
                <w:color w:val="auto"/>
              </w:rPr>
            </w:pPr>
          </w:p>
        </w:tc>
      </w:tr>
      <w:tr>
        <w:trPr>
          <w:trHeight w:val="67"/>
        </w:trPr>
        <w:tc>
          <w:tcPr>
            <w:tcW w:w="40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40" w:type="dxa"/>
            <w:vAlign w:val="bottom"/>
            <w:shd w:val="clear" w:color="auto" w:fill="CCEEFF"/>
          </w:tcPr>
          <w:p>
            <w:pPr>
              <w:spacing w:after="0"/>
              <w:rPr>
                <w:sz w:val="8"/>
                <w:szCs w:val="8"/>
                <w:color w:val="auto"/>
              </w:rPr>
            </w:pPr>
          </w:p>
        </w:tc>
        <w:tc>
          <w:tcPr>
            <w:tcW w:w="30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80" w:type="dxa"/>
            <w:vAlign w:val="bottom"/>
            <w:gridSpan w:val="8"/>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80" w:type="dxa"/>
            <w:vAlign w:val="bottom"/>
            <w:gridSpan w:val="9"/>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91"/>
              </w:rPr>
              <w:t>Nine Months Ended</w:t>
            </w:r>
          </w:p>
        </w:tc>
      </w:tr>
      <w:tr>
        <w:trPr>
          <w:trHeight w:val="48"/>
        </w:trPr>
        <w:tc>
          <w:tcPr>
            <w:tcW w:w="338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w w:val="90"/>
              </w:rPr>
              <w:t>September 30,</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6"/>
              </w:rPr>
              <w:t>September 30,</w:t>
            </w:r>
          </w:p>
        </w:tc>
        <w:tc>
          <w:tcPr>
            <w:tcW w:w="26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7"/>
                <w:szCs w:val="17"/>
                <w:color w:val="auto"/>
              </w:rPr>
            </w:pPr>
          </w:p>
        </w:tc>
        <w:tc>
          <w:tcPr>
            <w:tcW w:w="122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7"/>
                <w:szCs w:val="17"/>
                <w:color w:val="auto"/>
              </w:rPr>
            </w:pPr>
          </w:p>
        </w:tc>
        <w:tc>
          <w:tcPr>
            <w:tcW w:w="120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33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7"/>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8"/>
            <w:shd w:val="clear" w:color="auto" w:fill="CCEEFF"/>
          </w:tcPr>
          <w:p>
            <w:pPr>
              <w:jc w:val="center"/>
              <w:ind w:right="820"/>
              <w:spacing w:after="0"/>
              <w:rPr>
                <w:sz w:val="20"/>
                <w:szCs w:val="20"/>
                <w:color w:val="auto"/>
              </w:rPr>
            </w:pPr>
            <w:r>
              <w:rPr>
                <w:rFonts w:ascii="Arial" w:cs="Arial" w:eastAsia="Arial" w:hAnsi="Arial"/>
                <w:sz w:val="18"/>
                <w:szCs w:val="18"/>
                <w:b w:val="1"/>
                <w:bCs w:val="1"/>
                <w:color w:val="auto"/>
                <w:w w:val="87"/>
              </w:rPr>
              <w:t>(in thousands)</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Ireland</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8,053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6,985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23,917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19,465</w:t>
            </w:r>
          </w:p>
        </w:tc>
      </w:tr>
      <w:tr>
        <w:trPr>
          <w:trHeight w:val="27"/>
        </w:trPr>
        <w:tc>
          <w:tcPr>
            <w:tcW w:w="33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3,469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4,654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6,498</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U.S.</w:t>
            </w:r>
          </w:p>
        </w:tc>
        <w:tc>
          <w:tcPr>
            <w:tcW w:w="238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6,396</w:t>
            </w:r>
          </w:p>
        </w:tc>
        <w:tc>
          <w:tcPr>
            <w:tcW w:w="380" w:type="dxa"/>
            <w:vAlign w:val="bottom"/>
          </w:tcPr>
          <w:p>
            <w:pPr>
              <w:spacing w:after="0"/>
              <w:rPr>
                <w:sz w:val="21"/>
                <w:szCs w:val="21"/>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4,819</w:t>
            </w:r>
          </w:p>
        </w:tc>
        <w:tc>
          <w:tcPr>
            <w:tcW w:w="26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18,997</w:t>
            </w:r>
          </w:p>
        </w:tc>
        <w:tc>
          <w:tcPr>
            <w:tcW w:w="240" w:type="dxa"/>
            <w:vAlign w:val="bottom"/>
          </w:tcPr>
          <w:p>
            <w:pPr>
              <w:spacing w:after="0"/>
              <w:rPr>
                <w:sz w:val="21"/>
                <w:szCs w:val="21"/>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16,348</w:t>
            </w:r>
          </w:p>
        </w:tc>
      </w:tr>
      <w:tr>
        <w:trPr>
          <w:trHeight w:val="27"/>
        </w:trPr>
        <w:tc>
          <w:tcPr>
            <w:tcW w:w="33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1,007</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3,438</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2,812</w:t>
            </w:r>
          </w:p>
        </w:tc>
      </w:tr>
      <w:tr>
        <w:trPr>
          <w:trHeight w:val="270"/>
        </w:trPr>
        <w:tc>
          <w:tcPr>
            <w:tcW w:w="3380" w:type="dxa"/>
            <w:vAlign w:val="bottom"/>
            <w:tcBorders>
              <w:top w:val="single" w:sz="8" w:color="auto"/>
            </w:tcBorders>
          </w:tcPr>
          <w:p>
            <w:pPr>
              <w:spacing w:after="0"/>
              <w:rPr>
                <w:sz w:val="23"/>
                <w:szCs w:val="23"/>
                <w:color w:val="auto"/>
              </w:rPr>
            </w:pPr>
          </w:p>
        </w:tc>
        <w:tc>
          <w:tcPr>
            <w:tcW w:w="23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16,280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51,006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45,123</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4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368"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500" w:type="dxa"/>
            <w:vAlign w:val="bottom"/>
          </w:tcPr>
          <w:p>
            <w:pPr>
              <w:ind w:left="340"/>
              <w:spacing w:after="0"/>
              <w:rPr>
                <w:sz w:val="20"/>
                <w:szCs w:val="20"/>
                <w:color w:val="auto"/>
              </w:rPr>
            </w:pPr>
            <w:r>
              <w:rPr>
                <w:rFonts w:ascii="Arial" w:cs="Arial" w:eastAsia="Arial" w:hAnsi="Arial"/>
                <w:sz w:val="18"/>
                <w:szCs w:val="18"/>
                <w:color w:val="auto"/>
                <w:w w:val="92"/>
              </w:rPr>
              <w:t>f) The distribution of total assets by geographical area was as follows:</w:t>
            </w:r>
          </w:p>
        </w:tc>
        <w:tc>
          <w:tcPr>
            <w:tcW w:w="3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5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50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5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550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55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680" w:type="dxa"/>
            <w:vAlign w:val="bottom"/>
            <w:gridSpan w:val="8"/>
          </w:tcPr>
          <w:p>
            <w:pPr>
              <w:ind w:left="72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5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1,020,644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880,378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32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493,363</w:t>
            </w:r>
          </w:p>
        </w:tc>
        <w:tc>
          <w:tcPr>
            <w:tcW w:w="26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504,418</w:t>
            </w:r>
          </w:p>
        </w:tc>
      </w:tr>
      <w:tr>
        <w:trPr>
          <w:trHeight w:val="27"/>
        </w:trPr>
        <w:tc>
          <w:tcPr>
            <w:tcW w:w="55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690,471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650,681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2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121,250</w:t>
            </w:r>
          </w:p>
        </w:tc>
        <w:tc>
          <w:tcPr>
            <w:tcW w:w="26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111,141</w:t>
            </w:r>
          </w:p>
        </w:tc>
      </w:tr>
      <w:tr>
        <w:trPr>
          <w:trHeight w:val="34"/>
        </w:trPr>
        <w:tc>
          <w:tcPr>
            <w:tcW w:w="55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2,325,728</w:t>
            </w: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2,146,618</w:t>
            </w:r>
          </w:p>
        </w:tc>
      </w:tr>
      <w:tr>
        <w:trPr>
          <w:trHeight w:val="27"/>
        </w:trPr>
        <w:tc>
          <w:tcPr>
            <w:tcW w:w="55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3240" w:type="dxa"/>
            <w:vAlign w:val="bottom"/>
          </w:tcPr>
          <w:p>
            <w:pPr>
              <w:jc w:val="right"/>
              <w:ind w:right="285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13.  Impact of change in accounting policies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with a date of initial application of January 1, 2018. The revenue recognition accounting policy applied in preparation of the results for the three and nine months ended September 30, 2018 therefore reflect application of ASC 606. ICON has elected to adopt the standard using the cumulative effect transition method. Under this transition method, ICON has applied the new standard as at the date of initial application (i.e. January 1, 2018), without restatement of comparative amounts. The cumulative effect of initially applying the new standard (to revenue, costs and tax) is recorded as an adjustment to the opening balance of equity at the date of initial application. The comparative information has not been adjusted and therefore continues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therefore based on on an input measure being total project costs (inclusive of third party costs) at each reporting period.</w:t>
      </w: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on the pages following summarize the impact of adopting ASC 606 on the consolidated financial statements for the three and nine months ended September 30, 2018.</w:t>
      </w:r>
    </w:p>
    <w:p>
      <w:pPr>
        <w:sectPr>
          <w:pgSz w:w="11900" w:h="16838" w:orient="portrait"/>
          <w:cols w:equalWidth="0" w:num="1">
            <w:col w:w="11420"/>
          </w:cols>
          <w:pgMar w:left="240" w:top="74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2" w:right="239" w:bottom="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SEPTEMBER 30, 2018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gridSpan w:val="5"/>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9"/>
              </w:rPr>
              <w:t>September 30, 2018</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03"/>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w w:val="89"/>
              </w:rPr>
              <w:t>Balance without adoption</w:t>
            </w:r>
          </w:p>
        </w:tc>
        <w:tc>
          <w:tcPr>
            <w:tcW w:w="40" w:type="dxa"/>
            <w:vAlign w:val="bottom"/>
          </w:tcPr>
          <w:p>
            <w:pPr>
              <w:spacing w:after="0"/>
              <w:rPr>
                <w:sz w:val="17"/>
                <w:szCs w:val="17"/>
                <w:color w:val="auto"/>
              </w:rPr>
            </w:pPr>
          </w:p>
        </w:tc>
      </w:tr>
      <w:tr>
        <w:trPr>
          <w:trHeight w:val="196"/>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250"/>
              <w:spacing w:after="0" w:line="196" w:lineRule="exact"/>
              <w:rPr>
                <w:sz w:val="20"/>
                <w:szCs w:val="20"/>
                <w:color w:val="auto"/>
              </w:rPr>
            </w:pPr>
            <w:r>
              <w:rPr>
                <w:rFonts w:ascii="Arial" w:cs="Arial" w:eastAsia="Arial" w:hAnsi="Arial"/>
                <w:sz w:val="18"/>
                <w:szCs w:val="18"/>
                <w:b w:val="1"/>
                <w:bCs w:val="1"/>
                <w:color w:val="auto"/>
                <w:w w:val="87"/>
              </w:rPr>
              <w:t>As reported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w w:val="88"/>
              </w:rPr>
              <w:t>Adjustments</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of Topic 606</w:t>
            </w:r>
          </w:p>
        </w:tc>
      </w:tr>
      <w:tr>
        <w:trPr>
          <w:trHeight w:val="48"/>
        </w:trPr>
        <w:tc>
          <w:tcPr>
            <w:tcW w:w="6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4"/>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426,221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426,221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Short term investments - available for sale</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65,261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65,261</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373,264</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373,264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338,523</w:t>
            </w:r>
          </w:p>
        </w:tc>
        <w:tc>
          <w:tcPr>
            <w:tcW w:w="1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45,851</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384,374</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38,501</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(12,455)</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26,046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42,314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42,314</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21,457</w:t>
            </w: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43"/>
        </w:trPr>
        <w:tc>
          <w:tcPr>
            <w:tcW w:w="62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1,305,541</w:t>
            </w: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33,396</w:t>
            </w:r>
          </w:p>
        </w:tc>
        <w:tc>
          <w:tcPr>
            <w:tcW w:w="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1,338,937</w:t>
            </w:r>
          </w:p>
        </w:tc>
        <w:tc>
          <w:tcPr>
            <w:tcW w:w="40" w:type="dxa"/>
            <w:vAlign w:val="bottom"/>
            <w:tcBorders>
              <w:top w:val="single" w:sz="8" w:color="auto"/>
            </w:tcBorders>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154,548</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154,548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760,884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760,884</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15,694</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15,694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income taxes receivable</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18,977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18,977</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asset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15,922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(5,978)</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54,162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54,162</w:t>
            </w:r>
          </w:p>
        </w:tc>
        <w:tc>
          <w:tcPr>
            <w:tcW w:w="40" w:type="dxa"/>
            <w:vAlign w:val="bottom"/>
          </w:tcPr>
          <w:p>
            <w:pPr>
              <w:spacing w:after="0"/>
              <w:rPr>
                <w:sz w:val="21"/>
                <w:szCs w:val="2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2,325,728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27,418</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2,353,146</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15,306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15,306</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353,636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(25,100)</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328,536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216,959</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216,959</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16,239</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17,530</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43"/>
        </w:trPr>
        <w:tc>
          <w:tcPr>
            <w:tcW w:w="62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602,140</w:t>
            </w: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(23,809)</w:t>
            </w:r>
          </w:p>
        </w:tc>
        <w:tc>
          <w:tcPr>
            <w:tcW w:w="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578,331</w:t>
            </w:r>
          </w:p>
        </w:tc>
        <w:tc>
          <w:tcPr>
            <w:tcW w:w="40" w:type="dxa"/>
            <w:vAlign w:val="bottom"/>
            <w:tcBorders>
              <w:top w:val="single" w:sz="8" w:color="auto"/>
            </w:tcBorders>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349,169</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349,169</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16,670</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16,670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government grants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14,773</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Non-current deferred tax liability</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7,590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7,590</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991,244</w:t>
            </w: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(23,809)</w:t>
            </w:r>
          </w:p>
        </w:tc>
        <w:tc>
          <w:tcPr>
            <w:tcW w:w="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967,435</w:t>
            </w:r>
          </w:p>
        </w:tc>
        <w:tc>
          <w:tcPr>
            <w:tcW w:w="40" w:type="dxa"/>
            <w:vAlign w:val="bottom"/>
            <w:tcBorders>
              <w:top w:val="single" w:sz="8" w:color="auto"/>
            </w:tcBorders>
          </w:tcPr>
          <w:p>
            <w:pPr>
              <w:spacing w:after="0"/>
              <w:rPr>
                <w:sz w:val="21"/>
                <w:szCs w:val="2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w w:val="89"/>
              </w:rPr>
              <w:t>Ordinary shares, par value 6 euro cents per share; 100,000,000 shares authorized,</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54,435,930 shares issued and outstanding at September 30, 2018 and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54,081,601 shares issued and outstanding at December 31, 2017</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4,689</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4,689</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521,191</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521,191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(64,526)</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(64,526)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872,183</w:t>
            </w:r>
          </w:p>
        </w:tc>
        <w:tc>
          <w:tcPr>
            <w:tcW w:w="1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51,227</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923,410</w:t>
            </w:r>
          </w:p>
        </w:tc>
        <w:tc>
          <w:tcPr>
            <w:tcW w:w="40" w:type="dxa"/>
            <w:vAlign w:val="bottom"/>
          </w:tcPr>
          <w:p>
            <w:pPr>
              <w:spacing w:after="0"/>
              <w:rPr>
                <w:sz w:val="21"/>
                <w:szCs w:val="2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1,334,484</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51,227</w:t>
            </w: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1,385,711</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43"/>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2,325,728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27,418</w:t>
            </w:r>
          </w:p>
        </w:tc>
        <w:tc>
          <w:tcPr>
            <w:tcW w:w="5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2,353,146</w:t>
            </w:r>
          </w:p>
        </w:tc>
        <w:tc>
          <w:tcPr>
            <w:tcW w:w="40" w:type="dxa"/>
            <w:vAlign w:val="bottom"/>
            <w:tcBorders>
              <w:top w:val="single" w:sz="8" w:color="auto"/>
            </w:tcBorders>
          </w:tcPr>
          <w:p>
            <w:pPr>
              <w:spacing w:after="0"/>
              <w:rPr>
                <w:sz w:val="21"/>
                <w:szCs w:val="2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0" w:right="239" w:bottom="1440" w:gutter="0" w:footer="0" w:header="0"/>
          <w:type w:val="continuous"/>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AND NINE MONTHS ENDED SEPTEMBER 30, 2018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gridSpan w:val="11"/>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gridSpan w:val="1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48"/>
        </w:trPr>
        <w:tc>
          <w:tcPr>
            <w:tcW w:w="4800" w:type="dxa"/>
            <w:vAlign w:val="bottom"/>
            <w:tcBorders>
              <w:top w:val="single" w:sz="8" w:color="CCEEFF"/>
            </w:tcBorders>
            <w:gridSpan w:val="7"/>
            <w:shd w:val="clear" w:color="auto" w:fill="CCEEFF"/>
          </w:tcPr>
          <w:p>
            <w:pPr>
              <w:spacing w:after="0"/>
              <w:rPr>
                <w:sz w:val="4"/>
                <w:szCs w:val="4"/>
                <w:color w:val="auto"/>
              </w:rPr>
            </w:pPr>
          </w:p>
        </w:tc>
        <w:tc>
          <w:tcPr>
            <w:tcW w:w="1640" w:type="dxa"/>
            <w:vAlign w:val="bottom"/>
            <w:tcBorders>
              <w:top w:val="single" w:sz="8" w:color="auto"/>
            </w:tcBorders>
            <w:gridSpan w:val="11"/>
            <w:shd w:val="clear" w:color="auto" w:fill="CCEEFF"/>
          </w:tcPr>
          <w:p>
            <w:pPr>
              <w:spacing w:after="0"/>
              <w:rPr>
                <w:sz w:val="4"/>
                <w:szCs w:val="4"/>
                <w:color w:val="auto"/>
              </w:rPr>
            </w:pPr>
          </w:p>
        </w:tc>
        <w:tc>
          <w:tcPr>
            <w:tcW w:w="2280" w:type="dxa"/>
            <w:vAlign w:val="bottom"/>
            <w:tcBorders>
              <w:top w:val="single" w:sz="8" w:color="CCEEFF"/>
            </w:tcBorders>
            <w:gridSpan w:val="18"/>
            <w:shd w:val="clear" w:color="auto" w:fill="CCEEFF"/>
          </w:tcPr>
          <w:p>
            <w:pPr>
              <w:spacing w:after="0"/>
              <w:rPr>
                <w:sz w:val="4"/>
                <w:szCs w:val="4"/>
                <w:color w:val="auto"/>
              </w:rPr>
            </w:pPr>
          </w:p>
        </w:tc>
        <w:tc>
          <w:tcPr>
            <w:tcW w:w="1540" w:type="dxa"/>
            <w:vAlign w:val="bottom"/>
            <w:tcBorders>
              <w:top w:val="single" w:sz="8" w:color="auto"/>
            </w:tcBorders>
            <w:gridSpan w:val="10"/>
            <w:shd w:val="clear" w:color="auto" w:fill="CCEEFF"/>
          </w:tcPr>
          <w:p>
            <w:pPr>
              <w:spacing w:after="0"/>
              <w:rPr>
                <w:sz w:val="4"/>
                <w:szCs w:val="4"/>
                <w:color w:val="auto"/>
              </w:rPr>
            </w:pPr>
          </w:p>
        </w:tc>
        <w:tc>
          <w:tcPr>
            <w:tcW w:w="1100" w:type="dxa"/>
            <w:vAlign w:val="bottom"/>
            <w:tcBorders>
              <w:top w:val="single" w:sz="8" w:color="CCEEFF"/>
            </w:tcBorders>
            <w:gridSpan w:val="11"/>
            <w:shd w:val="clear" w:color="auto" w:fill="CCEEFF"/>
          </w:tcPr>
          <w:p>
            <w:pPr>
              <w:spacing w:after="0"/>
              <w:rPr>
                <w:sz w:val="4"/>
                <w:szCs w:val="4"/>
                <w:color w:val="auto"/>
              </w:rPr>
            </w:pPr>
          </w:p>
        </w:tc>
      </w:tr>
      <w:tr>
        <w:trPr>
          <w:trHeight w:val="203"/>
        </w:trPr>
        <w:tc>
          <w:tcPr>
            <w:tcW w:w="3640" w:type="dxa"/>
            <w:vAlign w:val="bottom"/>
          </w:tcPr>
          <w:p>
            <w:pPr>
              <w:spacing w:after="0"/>
              <w:rPr>
                <w:sz w:val="17"/>
                <w:szCs w:val="17"/>
                <w:color w:val="auto"/>
              </w:rPr>
            </w:pPr>
          </w:p>
        </w:tc>
        <w:tc>
          <w:tcPr>
            <w:tcW w:w="1300" w:type="dxa"/>
            <w:vAlign w:val="bottom"/>
            <w:gridSpan w:val="8"/>
          </w:tcPr>
          <w:p>
            <w:pPr>
              <w:ind w:left="120"/>
              <w:spacing w:after="0" w:line="202" w:lineRule="exact"/>
              <w:rPr>
                <w:sz w:val="20"/>
                <w:szCs w:val="20"/>
                <w:color w:val="auto"/>
              </w:rPr>
            </w:pPr>
            <w:r>
              <w:rPr>
                <w:rFonts w:ascii="Arial" w:cs="Arial" w:eastAsia="Arial" w:hAnsi="Arial"/>
                <w:sz w:val="18"/>
                <w:szCs w:val="18"/>
                <w:b w:val="1"/>
                <w:bCs w:val="1"/>
                <w:color w:val="auto"/>
                <w:w w:val="94"/>
              </w:rPr>
              <w:t>September 30,</w:t>
            </w:r>
          </w:p>
        </w:tc>
        <w:tc>
          <w:tcPr>
            <w:tcW w:w="1420" w:type="dxa"/>
            <w:vAlign w:val="bottom"/>
            <w:gridSpan w:val="8"/>
          </w:tcPr>
          <w:p>
            <w:pPr>
              <w:jc w:val="center"/>
              <w:ind w:right="80"/>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1100" w:type="dxa"/>
            <w:vAlign w:val="bottom"/>
            <w:gridSpan w:val="12"/>
          </w:tcPr>
          <w:p>
            <w:pPr>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7"/>
                <w:szCs w:val="17"/>
                <w:color w:val="auto"/>
              </w:rPr>
            </w:pPr>
          </w:p>
        </w:tc>
        <w:tc>
          <w:tcPr>
            <w:tcW w:w="1120" w:type="dxa"/>
            <w:vAlign w:val="bottom"/>
            <w:gridSpan w:val="7"/>
          </w:tcPr>
          <w:p>
            <w:pPr>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1220" w:type="dxa"/>
            <w:vAlign w:val="bottom"/>
            <w:gridSpan w:val="6"/>
          </w:tcPr>
          <w:p>
            <w:pPr>
              <w:jc w:val="center"/>
              <w:ind w:right="120"/>
              <w:spacing w:after="0" w:line="202" w:lineRule="exact"/>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13"/>
          </w:tcPr>
          <w:p>
            <w:pPr>
              <w:ind w:left="80"/>
              <w:spacing w:after="0" w:line="202" w:lineRule="exact"/>
              <w:rPr>
                <w:sz w:val="20"/>
                <w:szCs w:val="20"/>
                <w:color w:val="auto"/>
              </w:rPr>
            </w:pPr>
            <w:r>
              <w:rPr>
                <w:rFonts w:ascii="Arial" w:cs="Arial" w:eastAsia="Arial" w:hAnsi="Arial"/>
                <w:sz w:val="18"/>
                <w:szCs w:val="18"/>
                <w:b w:val="1"/>
                <w:bCs w:val="1"/>
                <w:color w:val="auto"/>
                <w:w w:val="90"/>
              </w:rPr>
              <w:t>September 30,</w:t>
            </w:r>
          </w:p>
        </w:tc>
      </w:tr>
      <w:tr>
        <w:trPr>
          <w:trHeight w:val="196"/>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3"/>
          </w:tcPr>
          <w:p>
            <w:pPr>
              <w:jc w:val="center"/>
              <w:ind w:left="190"/>
              <w:spacing w:after="0" w:line="196" w:lineRule="exact"/>
              <w:rPr>
                <w:sz w:val="20"/>
                <w:szCs w:val="20"/>
                <w:color w:val="auto"/>
              </w:rPr>
            </w:pPr>
            <w:r>
              <w:rPr>
                <w:rFonts w:ascii="Arial" w:cs="Arial" w:eastAsia="Arial" w:hAnsi="Arial"/>
                <w:sz w:val="18"/>
                <w:szCs w:val="18"/>
                <w:b w:val="1"/>
                <w:bCs w:val="1"/>
                <w:color w:val="auto"/>
                <w:w w:val="89"/>
              </w:rPr>
              <w:t>2018</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6"/>
          </w:tcPr>
          <w:p>
            <w:pPr>
              <w:jc w:val="center"/>
              <w:ind w:left="11"/>
              <w:spacing w:after="0" w:line="196" w:lineRule="exact"/>
              <w:rPr>
                <w:sz w:val="20"/>
                <w:szCs w:val="20"/>
                <w:color w:val="auto"/>
              </w:rPr>
            </w:pPr>
            <w:r>
              <w:rPr>
                <w:rFonts w:ascii="Arial" w:cs="Arial" w:eastAsia="Arial" w:hAnsi="Arial"/>
                <w:sz w:val="18"/>
                <w:szCs w:val="18"/>
                <w:b w:val="1"/>
                <w:bCs w:val="1"/>
                <w:color w:val="auto"/>
                <w:w w:val="89"/>
              </w:rPr>
              <w:t>2018</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4"/>
          </w:tcPr>
          <w:p>
            <w:pPr>
              <w:jc w:val="right"/>
              <w:ind w:right="150"/>
              <w:spacing w:after="0" w:line="196"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9"/>
              </w:rPr>
              <w:t>2018</w:t>
            </w: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5"/>
          </w:tcPr>
          <w:p>
            <w:pPr>
              <w:jc w:val="center"/>
              <w:ind w:left="171"/>
              <w:spacing w:after="0" w:line="196" w:lineRule="exact"/>
              <w:rPr>
                <w:sz w:val="20"/>
                <w:szCs w:val="20"/>
                <w:color w:val="auto"/>
              </w:rPr>
            </w:pPr>
            <w:r>
              <w:rPr>
                <w:rFonts w:ascii="Arial" w:cs="Arial" w:eastAsia="Arial" w:hAnsi="Arial"/>
                <w:sz w:val="18"/>
                <w:szCs w:val="18"/>
                <w:b w:val="1"/>
                <w:bCs w:val="1"/>
                <w:color w:val="auto"/>
                <w:w w:val="89"/>
              </w:rPr>
              <w:t>2018</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120" w:type="dxa"/>
            <w:vAlign w:val="bottom"/>
            <w:gridSpan w:val="4"/>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940" w:type="dxa"/>
            <w:vAlign w:val="bottom"/>
            <w:gridSpan w:val="8"/>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940" w:type="dxa"/>
            <w:vAlign w:val="bottom"/>
            <w:gridSpan w:val="9"/>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900" w:type="dxa"/>
            <w:vAlign w:val="bottom"/>
            <w:gridSpan w:val="9"/>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940" w:type="dxa"/>
            <w:vAlign w:val="bottom"/>
            <w:gridSpan w:val="6"/>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960" w:type="dxa"/>
            <w:vAlign w:val="bottom"/>
            <w:gridSpan w:val="10"/>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00" w:type="dxa"/>
            <w:vAlign w:val="bottom"/>
            <w:gridSpan w:val="5"/>
          </w:tcPr>
          <w:p>
            <w:pPr>
              <w:spacing w:after="0"/>
              <w:rPr>
                <w:sz w:val="4"/>
                <w:szCs w:val="4"/>
                <w:color w:val="auto"/>
              </w:rPr>
            </w:pPr>
          </w:p>
        </w:tc>
      </w:tr>
      <w:tr>
        <w:trPr>
          <w:trHeight w:val="189"/>
        </w:trPr>
        <w:tc>
          <w:tcPr>
            <w:tcW w:w="3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5"/>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87"/>
              </w:rPr>
              <w:t>Balance</w:t>
            </w:r>
          </w:p>
        </w:tc>
        <w:tc>
          <w:tcPr>
            <w:tcW w:w="260" w:type="dxa"/>
            <w:vAlign w:val="bottom"/>
            <w:gridSpan w:val="3"/>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8"/>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7"/>
              </w:rPr>
              <w:t>Balance</w:t>
            </w:r>
          </w:p>
        </w:tc>
      </w:tr>
      <w:tr>
        <w:trPr>
          <w:trHeight w:val="183"/>
        </w:trPr>
        <w:tc>
          <w:tcPr>
            <w:tcW w:w="3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gridSpan w:val="3"/>
            <w:shd w:val="clear" w:color="auto" w:fill="CCEEFF"/>
          </w:tcPr>
          <w:p>
            <w:pPr>
              <w:jc w:val="center"/>
              <w:spacing w:after="0" w:line="183" w:lineRule="exact"/>
              <w:rPr>
                <w:sz w:val="20"/>
                <w:szCs w:val="20"/>
                <w:color w:val="auto"/>
              </w:rPr>
            </w:pPr>
            <w:r>
              <w:rPr>
                <w:rFonts w:ascii="Arial" w:cs="Arial" w:eastAsia="Arial" w:hAnsi="Arial"/>
                <w:sz w:val="16"/>
                <w:szCs w:val="16"/>
                <w:b w:val="1"/>
                <w:bCs w:val="1"/>
                <w:color w:val="auto"/>
                <w:w w:val="91"/>
              </w:rPr>
              <w:t>without</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gridSpan w:val="3"/>
            <w:shd w:val="clear" w:color="auto" w:fill="CCEEFF"/>
          </w:tcPr>
          <w:p>
            <w:pPr>
              <w:jc w:val="center"/>
              <w:spacing w:after="0" w:line="183" w:lineRule="exact"/>
              <w:rPr>
                <w:sz w:val="20"/>
                <w:szCs w:val="20"/>
                <w:color w:val="auto"/>
              </w:rPr>
            </w:pPr>
            <w:r>
              <w:rPr>
                <w:rFonts w:ascii="Arial" w:cs="Arial" w:eastAsia="Arial" w:hAnsi="Arial"/>
                <w:sz w:val="16"/>
                <w:szCs w:val="16"/>
                <w:b w:val="1"/>
                <w:bCs w:val="1"/>
                <w:color w:val="auto"/>
                <w:w w:val="94"/>
              </w:rPr>
              <w:t>without</w:t>
            </w:r>
          </w:p>
        </w:tc>
        <w:tc>
          <w:tcPr>
            <w:tcW w:w="32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83"/>
        </w:trPr>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10"/>
            <w:shd w:val="clear" w:color="auto" w:fill="CCEEFF"/>
          </w:tcPr>
          <w:p>
            <w:pPr>
              <w:jc w:val="center"/>
              <w:ind w:right="160"/>
              <w:spacing w:after="0" w:line="183" w:lineRule="exact"/>
              <w:rPr>
                <w:sz w:val="20"/>
                <w:szCs w:val="20"/>
                <w:color w:val="auto"/>
              </w:rPr>
            </w:pPr>
            <w:r>
              <w:rPr>
                <w:rFonts w:ascii="Arial" w:cs="Arial" w:eastAsia="Arial" w:hAnsi="Arial"/>
                <w:sz w:val="16"/>
                <w:szCs w:val="16"/>
                <w:b w:val="1"/>
                <w:bCs w:val="1"/>
                <w:color w:val="auto"/>
                <w:w w:val="89"/>
              </w:rPr>
              <w:t>adoption of</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10"/>
            <w:shd w:val="clear" w:color="auto" w:fill="CCEEFF"/>
          </w:tcPr>
          <w:p>
            <w:pPr>
              <w:jc w:val="center"/>
              <w:ind w:right="160"/>
              <w:spacing w:after="0" w:line="183" w:lineRule="exact"/>
              <w:rPr>
                <w:sz w:val="20"/>
                <w:szCs w:val="20"/>
                <w:color w:val="auto"/>
              </w:rPr>
            </w:pPr>
            <w:r>
              <w:rPr>
                <w:rFonts w:ascii="Arial" w:cs="Arial" w:eastAsia="Arial" w:hAnsi="Arial"/>
                <w:sz w:val="16"/>
                <w:szCs w:val="16"/>
                <w:b w:val="1"/>
                <w:bCs w:val="1"/>
                <w:color w:val="auto"/>
                <w:w w:val="89"/>
              </w:rPr>
              <w:t>adoption of</w:t>
            </w:r>
          </w:p>
        </w:tc>
      </w:tr>
      <w:tr>
        <w:trPr>
          <w:trHeight w:val="183"/>
        </w:trPr>
        <w:tc>
          <w:tcPr>
            <w:tcW w:w="3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gridSpan w:val="3"/>
            <w:shd w:val="clear" w:color="auto" w:fill="CCEEFF"/>
          </w:tcPr>
          <w:p>
            <w:pPr>
              <w:jc w:val="center"/>
              <w:spacing w:after="0" w:line="183" w:lineRule="exact"/>
              <w:rPr>
                <w:sz w:val="20"/>
                <w:szCs w:val="20"/>
                <w:color w:val="auto"/>
              </w:rPr>
            </w:pPr>
            <w:r>
              <w:rPr>
                <w:rFonts w:ascii="Arial" w:cs="Arial" w:eastAsia="Arial" w:hAnsi="Arial"/>
                <w:sz w:val="16"/>
                <w:szCs w:val="16"/>
                <w:b w:val="1"/>
                <w:bCs w:val="1"/>
                <w:color w:val="auto"/>
                <w:w w:val="91"/>
              </w:rPr>
              <w:t>As reported</w:t>
            </w:r>
          </w:p>
        </w:tc>
        <w:tc>
          <w:tcPr>
            <w:tcW w:w="220" w:type="dxa"/>
            <w:vAlign w:val="bottom"/>
            <w:tcBorders>
              <w:top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gridSpan w:val="5"/>
            <w:shd w:val="clear" w:color="auto" w:fill="CCEEFF"/>
          </w:tcPr>
          <w:p>
            <w:pPr>
              <w:jc w:val="center"/>
              <w:ind w:right="320"/>
              <w:spacing w:after="0" w:line="183" w:lineRule="exact"/>
              <w:rPr>
                <w:sz w:val="20"/>
                <w:szCs w:val="20"/>
                <w:color w:val="auto"/>
              </w:rPr>
            </w:pPr>
            <w:r>
              <w:rPr>
                <w:rFonts w:ascii="Arial" w:cs="Arial" w:eastAsia="Arial" w:hAnsi="Arial"/>
                <w:sz w:val="16"/>
                <w:szCs w:val="16"/>
                <w:b w:val="1"/>
                <w:bCs w:val="1"/>
                <w:color w:val="auto"/>
                <w:w w:val="90"/>
              </w:rPr>
              <w:t>Adjustments</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gridSpan w:val="8"/>
            <w:shd w:val="clear" w:color="auto" w:fill="CCEEFF"/>
          </w:tcPr>
          <w:p>
            <w:pPr>
              <w:jc w:val="center"/>
              <w:ind w:right="60"/>
              <w:spacing w:after="0" w:line="183" w:lineRule="exact"/>
              <w:rPr>
                <w:sz w:val="20"/>
                <w:szCs w:val="20"/>
                <w:color w:val="auto"/>
              </w:rPr>
            </w:pPr>
            <w:r>
              <w:rPr>
                <w:rFonts w:ascii="Arial" w:cs="Arial" w:eastAsia="Arial" w:hAnsi="Arial"/>
                <w:sz w:val="16"/>
                <w:szCs w:val="16"/>
                <w:b w:val="1"/>
                <w:bCs w:val="1"/>
                <w:color w:val="auto"/>
                <w:w w:val="89"/>
              </w:rPr>
              <w:t>Topic 606</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gridSpan w:val="6"/>
            <w:shd w:val="clear" w:color="auto" w:fill="CCEEFF"/>
          </w:tcPr>
          <w:p>
            <w:pPr>
              <w:jc w:val="center"/>
              <w:ind w:right="140"/>
              <w:spacing w:after="0" w:line="183" w:lineRule="exact"/>
              <w:rPr>
                <w:sz w:val="20"/>
                <w:szCs w:val="20"/>
                <w:color w:val="auto"/>
              </w:rPr>
            </w:pPr>
            <w:r>
              <w:rPr>
                <w:rFonts w:ascii="Arial" w:cs="Arial" w:eastAsia="Arial" w:hAnsi="Arial"/>
                <w:sz w:val="16"/>
                <w:szCs w:val="16"/>
                <w:b w:val="1"/>
                <w:bCs w:val="1"/>
                <w:color w:val="auto"/>
                <w:w w:val="91"/>
              </w:rPr>
              <w:t>As reported</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gridSpan w:val="5"/>
            <w:shd w:val="clear" w:color="auto" w:fill="CCEEFF"/>
          </w:tcPr>
          <w:p>
            <w:pPr>
              <w:jc w:val="center"/>
              <w:ind w:right="220"/>
              <w:spacing w:after="0" w:line="183" w:lineRule="exact"/>
              <w:rPr>
                <w:sz w:val="20"/>
                <w:szCs w:val="20"/>
                <w:color w:val="auto"/>
              </w:rPr>
            </w:pPr>
            <w:r>
              <w:rPr>
                <w:rFonts w:ascii="Arial" w:cs="Arial" w:eastAsia="Arial" w:hAnsi="Arial"/>
                <w:sz w:val="16"/>
                <w:szCs w:val="16"/>
                <w:b w:val="1"/>
                <w:bCs w:val="1"/>
                <w:color w:val="auto"/>
                <w:w w:val="92"/>
              </w:rPr>
              <w:t>Adjustments</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7"/>
            <w:shd w:val="clear" w:color="auto" w:fill="CCEEFF"/>
          </w:tcPr>
          <w:p>
            <w:pPr>
              <w:jc w:val="center"/>
              <w:spacing w:after="0" w:line="183" w:lineRule="exact"/>
              <w:rPr>
                <w:sz w:val="20"/>
                <w:szCs w:val="20"/>
                <w:color w:val="auto"/>
              </w:rPr>
            </w:pPr>
            <w:r>
              <w:rPr>
                <w:rFonts w:ascii="Arial" w:cs="Arial" w:eastAsia="Arial" w:hAnsi="Arial"/>
                <w:sz w:val="16"/>
                <w:szCs w:val="16"/>
                <w:b w:val="1"/>
                <w:bCs w:val="1"/>
                <w:color w:val="auto"/>
                <w:w w:val="89"/>
              </w:rPr>
              <w:t>Topic 606</w:t>
            </w:r>
          </w:p>
        </w:tc>
        <w:tc>
          <w:tcPr>
            <w:tcW w:w="20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3900" w:type="dxa"/>
            <w:vAlign w:val="bottom"/>
            <w:tcBorders>
              <w:top w:val="single" w:sz="8" w:color="CCEEFF"/>
            </w:tcBorders>
            <w:gridSpan w:val="3"/>
            <w:shd w:val="clear" w:color="auto" w:fill="CCEEFF"/>
          </w:tcPr>
          <w:p>
            <w:pPr>
              <w:spacing w:after="0"/>
              <w:rPr>
                <w:sz w:val="4"/>
                <w:szCs w:val="4"/>
                <w:color w:val="auto"/>
              </w:rPr>
            </w:pPr>
          </w:p>
        </w:tc>
        <w:tc>
          <w:tcPr>
            <w:tcW w:w="820" w:type="dxa"/>
            <w:vAlign w:val="bottom"/>
            <w:tcBorders>
              <w:top w:val="single" w:sz="8" w:color="auto"/>
            </w:tcBorders>
            <w:gridSpan w:val="3"/>
            <w:shd w:val="clear" w:color="auto" w:fill="CCEEFF"/>
          </w:tcPr>
          <w:p>
            <w:pPr>
              <w:spacing w:after="0"/>
              <w:rPr>
                <w:sz w:val="4"/>
                <w:szCs w:val="4"/>
                <w:color w:val="auto"/>
              </w:rPr>
            </w:pPr>
          </w:p>
        </w:tc>
        <w:tc>
          <w:tcPr>
            <w:tcW w:w="440" w:type="dxa"/>
            <w:vAlign w:val="bottom"/>
            <w:tcBorders>
              <w:top w:val="single" w:sz="8" w:color="CCEEFF"/>
            </w:tcBorders>
            <w:gridSpan w:val="6"/>
            <w:shd w:val="clear" w:color="auto" w:fill="CCEEFF"/>
          </w:tcPr>
          <w:p>
            <w:pPr>
              <w:spacing w:after="0"/>
              <w:rPr>
                <w:sz w:val="4"/>
                <w:szCs w:val="4"/>
                <w:color w:val="auto"/>
              </w:rPr>
            </w:pPr>
          </w:p>
        </w:tc>
        <w:tc>
          <w:tcPr>
            <w:tcW w:w="880" w:type="dxa"/>
            <w:vAlign w:val="bottom"/>
            <w:tcBorders>
              <w:top w:val="single" w:sz="8" w:color="auto"/>
            </w:tcBorders>
            <w:gridSpan w:val="3"/>
            <w:shd w:val="clear" w:color="auto" w:fill="CCEEFF"/>
          </w:tcPr>
          <w:p>
            <w:pPr>
              <w:spacing w:after="0"/>
              <w:rPr>
                <w:sz w:val="4"/>
                <w:szCs w:val="4"/>
                <w:color w:val="auto"/>
              </w:rPr>
            </w:pPr>
          </w:p>
        </w:tc>
        <w:tc>
          <w:tcPr>
            <w:tcW w:w="540" w:type="dxa"/>
            <w:vAlign w:val="bottom"/>
            <w:tcBorders>
              <w:top w:val="single" w:sz="8" w:color="CCEEFF"/>
            </w:tcBorders>
            <w:gridSpan w:val="5"/>
            <w:shd w:val="clear" w:color="auto" w:fill="CCEEFF"/>
          </w:tcPr>
          <w:p>
            <w:pPr>
              <w:spacing w:after="0"/>
              <w:rPr>
                <w:sz w:val="4"/>
                <w:szCs w:val="4"/>
                <w:color w:val="auto"/>
              </w:rPr>
            </w:pPr>
          </w:p>
        </w:tc>
        <w:tc>
          <w:tcPr>
            <w:tcW w:w="660" w:type="dxa"/>
            <w:vAlign w:val="bottom"/>
            <w:tcBorders>
              <w:top w:val="single" w:sz="8" w:color="auto"/>
            </w:tcBorders>
            <w:gridSpan w:val="7"/>
            <w:shd w:val="clear" w:color="auto" w:fill="CCEEFF"/>
          </w:tcPr>
          <w:p>
            <w:pPr>
              <w:spacing w:after="0"/>
              <w:rPr>
                <w:sz w:val="4"/>
                <w:szCs w:val="4"/>
                <w:color w:val="auto"/>
              </w:rPr>
            </w:pPr>
          </w:p>
        </w:tc>
        <w:tc>
          <w:tcPr>
            <w:tcW w:w="520" w:type="dxa"/>
            <w:vAlign w:val="bottom"/>
            <w:tcBorders>
              <w:top w:val="single" w:sz="8" w:color="CCEEFF"/>
            </w:tcBorders>
            <w:gridSpan w:val="5"/>
            <w:shd w:val="clear" w:color="auto" w:fill="CCEEFF"/>
          </w:tcPr>
          <w:p>
            <w:pPr>
              <w:spacing w:after="0"/>
              <w:rPr>
                <w:sz w:val="4"/>
                <w:szCs w:val="4"/>
                <w:color w:val="auto"/>
              </w:rPr>
            </w:pPr>
          </w:p>
        </w:tc>
        <w:tc>
          <w:tcPr>
            <w:tcW w:w="820" w:type="dxa"/>
            <w:vAlign w:val="bottom"/>
            <w:tcBorders>
              <w:top w:val="single" w:sz="8" w:color="auto"/>
            </w:tcBorders>
            <w:gridSpan w:val="3"/>
            <w:shd w:val="clear" w:color="auto" w:fill="CCEEFF"/>
          </w:tcPr>
          <w:p>
            <w:pPr>
              <w:spacing w:after="0"/>
              <w:rPr>
                <w:sz w:val="4"/>
                <w:szCs w:val="4"/>
                <w:color w:val="auto"/>
              </w:rPr>
            </w:pPr>
          </w:p>
        </w:tc>
        <w:tc>
          <w:tcPr>
            <w:tcW w:w="440" w:type="dxa"/>
            <w:vAlign w:val="bottom"/>
            <w:tcBorders>
              <w:top w:val="single" w:sz="8" w:color="CCEEFF"/>
            </w:tcBorders>
            <w:gridSpan w:val="4"/>
            <w:shd w:val="clear" w:color="auto" w:fill="CCEEFF"/>
          </w:tcPr>
          <w:p>
            <w:pPr>
              <w:spacing w:after="0"/>
              <w:rPr>
                <w:sz w:val="4"/>
                <w:szCs w:val="4"/>
                <w:color w:val="auto"/>
              </w:rPr>
            </w:pPr>
          </w:p>
        </w:tc>
        <w:tc>
          <w:tcPr>
            <w:tcW w:w="880" w:type="dxa"/>
            <w:vAlign w:val="bottom"/>
            <w:tcBorders>
              <w:top w:val="single" w:sz="8" w:color="auto"/>
            </w:tcBorders>
            <w:gridSpan w:val="3"/>
            <w:shd w:val="clear" w:color="auto" w:fill="CCEEFF"/>
          </w:tcPr>
          <w:p>
            <w:pPr>
              <w:spacing w:after="0"/>
              <w:rPr>
                <w:sz w:val="4"/>
                <w:szCs w:val="4"/>
                <w:color w:val="auto"/>
              </w:rPr>
            </w:pPr>
          </w:p>
        </w:tc>
        <w:tc>
          <w:tcPr>
            <w:tcW w:w="540" w:type="dxa"/>
            <w:vAlign w:val="bottom"/>
            <w:tcBorders>
              <w:top w:val="single" w:sz="8" w:color="CCEEFF"/>
            </w:tcBorders>
            <w:gridSpan w:val="7"/>
            <w:shd w:val="clear" w:color="auto" w:fill="CCEEFF"/>
          </w:tcPr>
          <w:p>
            <w:pPr>
              <w:spacing w:after="0"/>
              <w:rPr>
                <w:sz w:val="4"/>
                <w:szCs w:val="4"/>
                <w:color w:val="auto"/>
              </w:rPr>
            </w:pPr>
          </w:p>
        </w:tc>
        <w:tc>
          <w:tcPr>
            <w:tcW w:w="660" w:type="dxa"/>
            <w:vAlign w:val="bottom"/>
            <w:tcBorders>
              <w:top w:val="single" w:sz="8" w:color="auto"/>
            </w:tcBorders>
            <w:gridSpan w:val="5"/>
            <w:shd w:val="clear" w:color="auto" w:fill="CCEEFF"/>
          </w:tcPr>
          <w:p>
            <w:pPr>
              <w:spacing w:after="0"/>
              <w:rPr>
                <w:sz w:val="4"/>
                <w:szCs w:val="4"/>
                <w:color w:val="auto"/>
              </w:rPr>
            </w:pPr>
          </w:p>
        </w:tc>
        <w:tc>
          <w:tcPr>
            <w:tcW w:w="260" w:type="dxa"/>
            <w:vAlign w:val="bottom"/>
            <w:tcBorders>
              <w:top w:val="single" w:sz="8" w:color="CCEEFF"/>
            </w:tcBorders>
            <w:gridSpan w:val="3"/>
            <w:shd w:val="clear" w:color="auto" w:fill="CCEEFF"/>
          </w:tcPr>
          <w:p>
            <w:pPr>
              <w:spacing w:after="0"/>
              <w:rPr>
                <w:sz w:val="4"/>
                <w:szCs w:val="4"/>
                <w:color w:val="auto"/>
              </w:rPr>
            </w:pPr>
          </w:p>
        </w:tc>
      </w:tr>
      <w:tr>
        <w:trPr>
          <w:trHeight w:val="191"/>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25"/>
          </w:tcPr>
          <w:p>
            <w:pPr>
              <w:jc w:val="center"/>
              <w:ind w:right="34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24"/>
          </w:tcPr>
          <w:p>
            <w:pPr>
              <w:jc w:val="center"/>
              <w:ind w:right="360"/>
              <w:spacing w:after="0"/>
              <w:rPr>
                <w:sz w:val="20"/>
                <w:szCs w:val="20"/>
                <w:color w:val="auto"/>
              </w:rPr>
            </w:pPr>
            <w:r>
              <w:rPr>
                <w:rFonts w:ascii="Arial" w:cs="Arial" w:eastAsia="Arial" w:hAnsi="Arial"/>
                <w:sz w:val="14"/>
                <w:szCs w:val="14"/>
                <w:b w:val="1"/>
                <w:bCs w:val="1"/>
                <w:color w:val="auto"/>
                <w:w w:val="90"/>
              </w:rPr>
              <w:t>(in thousands except share and per share data)</w:t>
            </w:r>
          </w:p>
        </w:tc>
      </w:tr>
      <w:tr>
        <w:trPr>
          <w:trHeight w:val="80"/>
        </w:trPr>
        <w:tc>
          <w:tcPr>
            <w:tcW w:w="11360" w:type="dxa"/>
            <w:vAlign w:val="bottom"/>
            <w:gridSpan w:val="57"/>
          </w:tcPr>
          <w:p>
            <w:pPr>
              <w:spacing w:after="0"/>
              <w:rPr>
                <w:sz w:val="6"/>
                <w:szCs w:val="6"/>
                <w:color w:val="auto"/>
              </w:rPr>
            </w:pPr>
          </w:p>
        </w:tc>
      </w:tr>
      <w:tr>
        <w:trPr>
          <w:trHeight w:val="250"/>
        </w:trPr>
        <w:tc>
          <w:tcPr>
            <w:tcW w:w="11360" w:type="dxa"/>
            <w:vAlign w:val="bottom"/>
            <w:tcBorders>
              <w:bottom w:val="single" w:sz="8" w:color="CCEEFF"/>
            </w:tcBorders>
            <w:gridSpan w:val="57"/>
            <w:shd w:val="clear" w:color="auto" w:fill="CCEEFF"/>
          </w:tcPr>
          <w:p>
            <w:pPr>
              <w:ind w:left="20"/>
              <w:spacing w:after="0"/>
              <w:rPr>
                <w:sz w:val="20"/>
                <w:szCs w:val="20"/>
                <w:color w:val="auto"/>
              </w:rPr>
            </w:pPr>
            <w:r>
              <w:rPr>
                <w:rFonts w:ascii="Arial" w:cs="Arial" w:eastAsia="Arial" w:hAnsi="Arial"/>
                <w:sz w:val="18"/>
                <w:szCs w:val="18"/>
                <w:color w:val="auto"/>
              </w:rPr>
              <w:t>Revenue:</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655,017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10"/>
          </w:tcPr>
          <w:p>
            <w:pPr>
              <w:jc w:val="right"/>
              <w:ind w:right="80"/>
              <w:spacing w:after="0"/>
              <w:rPr>
                <w:sz w:val="20"/>
                <w:szCs w:val="20"/>
                <w:color w:val="auto"/>
              </w:rPr>
            </w:pPr>
            <w:r>
              <w:rPr>
                <w:rFonts w:ascii="Arial" w:cs="Arial" w:eastAsia="Arial" w:hAnsi="Arial"/>
                <w:sz w:val="18"/>
                <w:szCs w:val="18"/>
                <w:color w:val="auto"/>
              </w:rPr>
              <w:t>656,039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1,916,752</w:t>
            </w: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21"/>
                <w:szCs w:val="21"/>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9"/>
          </w:tcPr>
          <w:p>
            <w:pPr>
              <w:jc w:val="right"/>
              <w:ind w:right="80"/>
              <w:spacing w:after="0"/>
              <w:rPr>
                <w:sz w:val="20"/>
                <w:szCs w:val="20"/>
                <w:color w:val="auto"/>
              </w:rPr>
            </w:pPr>
            <w:r>
              <w:rPr>
                <w:rFonts w:ascii="Arial" w:cs="Arial" w:eastAsia="Arial" w:hAnsi="Arial"/>
                <w:sz w:val="18"/>
                <w:szCs w:val="18"/>
                <w:color w:val="auto"/>
              </w:rPr>
              <w:t>1,920,619</w:t>
            </w:r>
          </w:p>
        </w:tc>
        <w:tc>
          <w:tcPr>
            <w:tcW w:w="40" w:type="dxa"/>
            <w:vAlign w:val="bottom"/>
          </w:tcPr>
          <w:p>
            <w:pPr>
              <w:spacing w:after="0"/>
              <w:rPr>
                <w:sz w:val="21"/>
                <w:szCs w:val="21"/>
                <w:color w:val="auto"/>
              </w:rPr>
            </w:pPr>
          </w:p>
        </w:tc>
      </w:tr>
      <w:tr>
        <w:trPr>
          <w:trHeight w:val="27"/>
        </w:trPr>
        <w:tc>
          <w:tcPr>
            <w:tcW w:w="11360" w:type="dxa"/>
            <w:vAlign w:val="bottom"/>
            <w:gridSpan w:val="57"/>
          </w:tcPr>
          <w:p>
            <w:pPr>
              <w:spacing w:after="0"/>
              <w:rPr>
                <w:sz w:val="2"/>
                <w:szCs w:val="2"/>
                <w:color w:val="auto"/>
              </w:rPr>
            </w:pPr>
          </w:p>
        </w:tc>
      </w:tr>
      <w:tr>
        <w:trPr>
          <w:trHeight w:val="282"/>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Reimbursable expenses</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(179,642)</w:t>
            </w: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10"/>
            <w:shd w:val="clear" w:color="auto" w:fill="CCEEFF"/>
          </w:tcPr>
          <w:p>
            <w:pPr>
              <w:jc w:val="right"/>
              <w:ind w:right="20"/>
              <w:spacing w:after="0"/>
              <w:rPr>
                <w:sz w:val="20"/>
                <w:szCs w:val="20"/>
                <w:color w:val="auto"/>
              </w:rPr>
            </w:pPr>
            <w:r>
              <w:rPr>
                <w:rFonts w:ascii="Arial" w:cs="Arial" w:eastAsia="Arial" w:hAnsi="Arial"/>
                <w:sz w:val="18"/>
                <w:szCs w:val="18"/>
                <w:color w:val="auto"/>
              </w:rPr>
              <w:t>(179,642)</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(507,708)</w:t>
            </w:r>
          </w:p>
        </w:tc>
        <w:tc>
          <w:tcPr>
            <w:tcW w:w="2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9"/>
            <w:shd w:val="clear" w:color="auto" w:fill="CCEEFF"/>
          </w:tcPr>
          <w:p>
            <w:pPr>
              <w:jc w:val="right"/>
              <w:ind w:right="20"/>
              <w:spacing w:after="0"/>
              <w:rPr>
                <w:sz w:val="20"/>
                <w:szCs w:val="20"/>
                <w:color w:val="auto"/>
              </w:rPr>
            </w:pPr>
            <w:r>
              <w:rPr>
                <w:rFonts w:ascii="Arial" w:cs="Arial" w:eastAsia="Arial" w:hAnsi="Arial"/>
                <w:sz w:val="18"/>
                <w:szCs w:val="18"/>
                <w:color w:val="auto"/>
              </w:rPr>
              <w:t>(507,708)</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11360" w:type="dxa"/>
            <w:vAlign w:val="bottom"/>
            <w:tcBorders>
              <w:top w:val="single" w:sz="8" w:color="auto"/>
            </w:tcBorders>
            <w:gridSpan w:val="57"/>
          </w:tcPr>
          <w:p>
            <w:pPr>
              <w:spacing w:after="0"/>
              <w:rPr>
                <w:sz w:val="23"/>
                <w:szCs w:val="23"/>
                <w:color w:val="auto"/>
              </w:rPr>
            </w:pPr>
          </w:p>
        </w:tc>
      </w:tr>
      <w:tr>
        <w:trPr>
          <w:trHeight w:val="250"/>
        </w:trPr>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(178,620)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10"/>
            <w:shd w:val="clear" w:color="auto" w:fill="CCEEFF"/>
          </w:tcPr>
          <w:p>
            <w:pPr>
              <w:jc w:val="right"/>
              <w:ind w:right="80"/>
              <w:spacing w:after="0"/>
              <w:rPr>
                <w:sz w:val="20"/>
                <w:szCs w:val="20"/>
                <w:color w:val="auto"/>
              </w:rPr>
            </w:pPr>
            <w:r>
              <w:rPr>
                <w:rFonts w:ascii="Arial" w:cs="Arial" w:eastAsia="Arial" w:hAnsi="Arial"/>
                <w:sz w:val="18"/>
                <w:szCs w:val="18"/>
                <w:color w:val="auto"/>
              </w:rPr>
              <w:t>476,397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(503,841)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1,412,911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70"/>
        </w:trPr>
        <w:tc>
          <w:tcPr>
            <w:tcW w:w="11360" w:type="dxa"/>
            <w:vAlign w:val="bottom"/>
            <w:gridSpan w:val="57"/>
          </w:tcPr>
          <w:p>
            <w:pPr>
              <w:spacing w:after="0"/>
              <w:rPr>
                <w:sz w:val="23"/>
                <w:szCs w:val="23"/>
                <w:color w:val="auto"/>
              </w:rPr>
            </w:pPr>
          </w:p>
        </w:tc>
      </w:tr>
      <w:tr>
        <w:trPr>
          <w:trHeight w:val="250"/>
        </w:trPr>
        <w:tc>
          <w:tcPr>
            <w:tcW w:w="11360" w:type="dxa"/>
            <w:vAlign w:val="bottom"/>
            <w:tcBorders>
              <w:bottom w:val="single" w:sz="8" w:color="CCEEFF"/>
            </w:tcBorders>
            <w:gridSpan w:val="57"/>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r>
      <w:tr>
        <w:trPr>
          <w:trHeight w:val="243"/>
        </w:trPr>
        <w:tc>
          <w:tcPr>
            <w:tcW w:w="11360" w:type="dxa"/>
            <w:vAlign w:val="bottom"/>
            <w:gridSpan w:val="57"/>
          </w:tcPr>
          <w:p>
            <w:pPr>
              <w:ind w:left="380"/>
              <w:spacing w:after="0"/>
              <w:rPr>
                <w:sz w:val="20"/>
                <w:szCs w:val="20"/>
                <w:color w:val="auto"/>
              </w:rPr>
            </w:pPr>
            <w:r>
              <w:rPr>
                <w:rFonts w:ascii="Arial" w:cs="Arial" w:eastAsia="Arial" w:hAnsi="Arial"/>
                <w:sz w:val="18"/>
                <w:szCs w:val="18"/>
                <w:color w:val="auto"/>
              </w:rPr>
              <w:t>Direct costs</w:t>
            </w:r>
          </w:p>
        </w:tc>
      </w:tr>
      <w:tr>
        <w:trPr>
          <w:trHeight w:val="27"/>
        </w:trPr>
        <w:tc>
          <w:tcPr>
            <w:tcW w:w="11360" w:type="dxa"/>
            <w:vAlign w:val="bottom"/>
            <w:gridSpan w:val="57"/>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179,642</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(179,642)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507,708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(507,708)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r>
      <w:tr>
        <w:trPr>
          <w:trHeight w:val="243"/>
        </w:trPr>
        <w:tc>
          <w:tcPr>
            <w:tcW w:w="3640" w:type="dxa"/>
            <w:vAlign w:val="bottom"/>
          </w:tcPr>
          <w:p>
            <w:pPr>
              <w:ind w:left="520"/>
              <w:spacing w:after="0"/>
              <w:rPr>
                <w:sz w:val="20"/>
                <w:szCs w:val="20"/>
                <w:color w:val="auto"/>
              </w:rPr>
            </w:pPr>
            <w:r>
              <w:rPr>
                <w:rFonts w:ascii="Arial" w:cs="Arial" w:eastAsia="Arial" w:hAnsi="Arial"/>
                <w:sz w:val="18"/>
                <w:szCs w:val="18"/>
                <w:color w:val="auto"/>
              </w:rPr>
              <w:t>- Other direct costs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279,554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10"/>
          </w:tcPr>
          <w:p>
            <w:pPr>
              <w:jc w:val="right"/>
              <w:ind w:right="80"/>
              <w:spacing w:after="0"/>
              <w:rPr>
                <w:sz w:val="20"/>
                <w:szCs w:val="20"/>
                <w:color w:val="auto"/>
              </w:rPr>
            </w:pPr>
            <w:r>
              <w:rPr>
                <w:rFonts w:ascii="Arial" w:cs="Arial" w:eastAsia="Arial" w:hAnsi="Arial"/>
                <w:sz w:val="18"/>
                <w:szCs w:val="18"/>
                <w:color w:val="auto"/>
              </w:rPr>
              <w:t>279,554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831,306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9"/>
          </w:tcPr>
          <w:p>
            <w:pPr>
              <w:jc w:val="right"/>
              <w:ind w:right="80"/>
              <w:spacing w:after="0"/>
              <w:rPr>
                <w:sz w:val="20"/>
                <w:szCs w:val="20"/>
                <w:color w:val="auto"/>
              </w:rPr>
            </w:pPr>
            <w:r>
              <w:rPr>
                <w:rFonts w:ascii="Arial" w:cs="Arial" w:eastAsia="Arial" w:hAnsi="Arial"/>
                <w:sz w:val="18"/>
                <w:szCs w:val="18"/>
                <w:color w:val="auto"/>
              </w:rPr>
              <w:t>831,306</w:t>
            </w:r>
          </w:p>
        </w:tc>
        <w:tc>
          <w:tcPr>
            <w:tcW w:w="40" w:type="dxa"/>
            <w:vAlign w:val="bottom"/>
          </w:tcPr>
          <w:p>
            <w:pPr>
              <w:spacing w:after="0"/>
              <w:rPr>
                <w:sz w:val="21"/>
                <w:szCs w:val="21"/>
                <w:color w:val="auto"/>
              </w:rPr>
            </w:pPr>
          </w:p>
        </w:tc>
      </w:tr>
      <w:tr>
        <w:trPr>
          <w:trHeight w:val="27"/>
        </w:trPr>
        <w:tc>
          <w:tcPr>
            <w:tcW w:w="11360" w:type="dxa"/>
            <w:vAlign w:val="bottom"/>
            <w:gridSpan w:val="57"/>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Selling, 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80,819</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10"/>
            <w:shd w:val="clear" w:color="auto" w:fill="CCEEFF"/>
          </w:tcPr>
          <w:p>
            <w:pPr>
              <w:jc w:val="right"/>
              <w:ind w:right="80"/>
              <w:spacing w:after="0"/>
              <w:rPr>
                <w:sz w:val="20"/>
                <w:szCs w:val="20"/>
                <w:color w:val="auto"/>
              </w:rPr>
            </w:pPr>
            <w:r>
              <w:rPr>
                <w:rFonts w:ascii="Arial" w:cs="Arial" w:eastAsia="Arial" w:hAnsi="Arial"/>
                <w:sz w:val="18"/>
                <w:szCs w:val="18"/>
                <w:color w:val="auto"/>
              </w:rPr>
              <w:t>80,944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242,670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243,017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17,062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10"/>
          </w:tcPr>
          <w:p>
            <w:pPr>
              <w:jc w:val="right"/>
              <w:ind w:right="80"/>
              <w:spacing w:after="0"/>
              <w:rPr>
                <w:sz w:val="20"/>
                <w:szCs w:val="20"/>
                <w:color w:val="auto"/>
              </w:rPr>
            </w:pPr>
            <w:r>
              <w:rPr>
                <w:rFonts w:ascii="Arial" w:cs="Arial" w:eastAsia="Arial" w:hAnsi="Arial"/>
                <w:sz w:val="18"/>
                <w:szCs w:val="18"/>
                <w:color w:val="auto"/>
              </w:rPr>
              <w:t>17,062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51,006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9"/>
          </w:tcPr>
          <w:p>
            <w:pPr>
              <w:jc w:val="right"/>
              <w:ind w:right="80"/>
              <w:spacing w:after="0"/>
              <w:rPr>
                <w:sz w:val="20"/>
                <w:szCs w:val="20"/>
                <w:color w:val="auto"/>
              </w:rPr>
            </w:pPr>
            <w:r>
              <w:rPr>
                <w:rFonts w:ascii="Arial" w:cs="Arial" w:eastAsia="Arial" w:hAnsi="Arial"/>
                <w:sz w:val="18"/>
                <w:szCs w:val="18"/>
                <w:color w:val="auto"/>
              </w:rPr>
              <w:t>51,006</w:t>
            </w:r>
          </w:p>
        </w:tc>
        <w:tc>
          <w:tcPr>
            <w:tcW w:w="40" w:type="dxa"/>
            <w:vAlign w:val="bottom"/>
          </w:tcPr>
          <w:p>
            <w:pPr>
              <w:spacing w:after="0"/>
              <w:rPr>
                <w:sz w:val="21"/>
                <w:szCs w:val="21"/>
                <w:color w:val="auto"/>
              </w:rPr>
            </w:pPr>
          </w:p>
        </w:tc>
      </w:tr>
      <w:tr>
        <w:trPr>
          <w:trHeight w:val="27"/>
        </w:trPr>
        <w:tc>
          <w:tcPr>
            <w:tcW w:w="11360" w:type="dxa"/>
            <w:vAlign w:val="bottom"/>
            <w:gridSpan w:val="57"/>
          </w:tcPr>
          <w:p>
            <w:pPr>
              <w:spacing w:after="0"/>
              <w:rPr>
                <w:sz w:val="2"/>
                <w:szCs w:val="2"/>
                <w:color w:val="auto"/>
              </w:rPr>
            </w:pPr>
          </w:p>
        </w:tc>
      </w:tr>
      <w:tr>
        <w:trPr>
          <w:trHeight w:val="282"/>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12,490</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11360" w:type="dxa"/>
            <w:vAlign w:val="bottom"/>
            <w:tcBorders>
              <w:top w:val="single" w:sz="8" w:color="auto"/>
            </w:tcBorders>
            <w:gridSpan w:val="57"/>
          </w:tcPr>
          <w:p>
            <w:pPr>
              <w:spacing w:after="0"/>
              <w:rPr>
                <w:sz w:val="23"/>
                <w:szCs w:val="23"/>
                <w:color w:val="auto"/>
              </w:rPr>
            </w:pPr>
          </w:p>
        </w:tc>
      </w:tr>
      <w:tr>
        <w:trPr>
          <w:trHeight w:val="282"/>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557,077</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(179,517)</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10"/>
            <w:shd w:val="clear" w:color="auto" w:fill="CCEEFF"/>
          </w:tcPr>
          <w:p>
            <w:pPr>
              <w:jc w:val="right"/>
              <w:ind w:right="80"/>
              <w:spacing w:after="0"/>
              <w:rPr>
                <w:sz w:val="20"/>
                <w:szCs w:val="20"/>
                <w:color w:val="auto"/>
              </w:rPr>
            </w:pPr>
            <w:r>
              <w:rPr>
                <w:rFonts w:ascii="Arial" w:cs="Arial" w:eastAsia="Arial" w:hAnsi="Arial"/>
                <w:sz w:val="18"/>
                <w:szCs w:val="18"/>
                <w:color w:val="auto"/>
              </w:rPr>
              <w:t>377,560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1,645,180</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(507,361)</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1,137,819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11360" w:type="dxa"/>
            <w:vAlign w:val="bottom"/>
            <w:tcBorders>
              <w:top w:val="single" w:sz="8" w:color="auto"/>
            </w:tcBorders>
            <w:gridSpan w:val="57"/>
          </w:tcPr>
          <w:p>
            <w:pPr>
              <w:spacing w:after="0"/>
              <w:rPr>
                <w:sz w:val="23"/>
                <w:szCs w:val="23"/>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97,940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10"/>
            <w:shd w:val="clear" w:color="auto" w:fill="CCEEFF"/>
          </w:tcPr>
          <w:p>
            <w:pPr>
              <w:jc w:val="right"/>
              <w:ind w:right="80"/>
              <w:spacing w:after="0"/>
              <w:rPr>
                <w:sz w:val="20"/>
                <w:szCs w:val="20"/>
                <w:color w:val="auto"/>
              </w:rPr>
            </w:pPr>
            <w:r>
              <w:rPr>
                <w:rFonts w:ascii="Arial" w:cs="Arial" w:eastAsia="Arial" w:hAnsi="Arial"/>
                <w:sz w:val="18"/>
                <w:szCs w:val="18"/>
                <w:color w:val="auto"/>
              </w:rPr>
              <w:t>98,837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271,572</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275,092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1,314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10"/>
          </w:tcPr>
          <w:p>
            <w:pPr>
              <w:jc w:val="right"/>
              <w:ind w:right="80"/>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3,154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9"/>
          </w:tcPr>
          <w:p>
            <w:pPr>
              <w:jc w:val="right"/>
              <w:ind w:right="80"/>
              <w:spacing w:after="0"/>
              <w:rPr>
                <w:sz w:val="20"/>
                <w:szCs w:val="20"/>
                <w:color w:val="auto"/>
              </w:rPr>
            </w:pPr>
            <w:r>
              <w:rPr>
                <w:rFonts w:ascii="Arial" w:cs="Arial" w:eastAsia="Arial" w:hAnsi="Arial"/>
                <w:sz w:val="18"/>
                <w:szCs w:val="18"/>
                <w:color w:val="auto"/>
              </w:rPr>
              <w:t>3,154</w:t>
            </w:r>
          </w:p>
        </w:tc>
        <w:tc>
          <w:tcPr>
            <w:tcW w:w="40" w:type="dxa"/>
            <w:vAlign w:val="bottom"/>
          </w:tcPr>
          <w:p>
            <w:pPr>
              <w:spacing w:after="0"/>
              <w:rPr>
                <w:sz w:val="21"/>
                <w:szCs w:val="21"/>
                <w:color w:val="auto"/>
              </w:rPr>
            </w:pPr>
          </w:p>
        </w:tc>
      </w:tr>
      <w:tr>
        <w:trPr>
          <w:trHeight w:val="27"/>
        </w:trPr>
        <w:tc>
          <w:tcPr>
            <w:tcW w:w="11360" w:type="dxa"/>
            <w:vAlign w:val="bottom"/>
            <w:gridSpan w:val="57"/>
          </w:tcPr>
          <w:p>
            <w:pPr>
              <w:spacing w:after="0"/>
              <w:rPr>
                <w:sz w:val="2"/>
                <w:szCs w:val="2"/>
                <w:color w:val="auto"/>
              </w:rPr>
            </w:pPr>
          </w:p>
        </w:tc>
      </w:tr>
      <w:tr>
        <w:trPr>
          <w:trHeight w:val="28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10"/>
            <w:shd w:val="clear" w:color="auto" w:fill="CCEEFF"/>
          </w:tcPr>
          <w:p>
            <w:pPr>
              <w:jc w:val="right"/>
              <w:ind w:right="20"/>
              <w:spacing w:after="0"/>
              <w:rPr>
                <w:sz w:val="20"/>
                <w:szCs w:val="20"/>
                <w:color w:val="auto"/>
              </w:rPr>
            </w:pPr>
            <w:r>
              <w:rPr>
                <w:rFonts w:ascii="Arial" w:cs="Arial" w:eastAsia="Arial" w:hAnsi="Arial"/>
                <w:sz w:val="18"/>
                <w:szCs w:val="18"/>
                <w:color w:val="auto"/>
              </w:rPr>
              <w:t>(3,201)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9"/>
            <w:shd w:val="clear" w:color="auto" w:fill="CCEEFF"/>
          </w:tcPr>
          <w:p>
            <w:pPr>
              <w:jc w:val="right"/>
              <w:ind w:right="20"/>
              <w:spacing w:after="0"/>
              <w:rPr>
                <w:sz w:val="20"/>
                <w:szCs w:val="20"/>
                <w:color w:val="auto"/>
              </w:rPr>
            </w:pPr>
            <w:r>
              <w:rPr>
                <w:rFonts w:ascii="Arial" w:cs="Arial" w:eastAsia="Arial" w:hAnsi="Arial"/>
                <w:sz w:val="18"/>
                <w:szCs w:val="18"/>
                <w:color w:val="auto"/>
              </w:rPr>
              <w:t>(10,298)</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11360" w:type="dxa"/>
            <w:vAlign w:val="bottom"/>
            <w:tcBorders>
              <w:top w:val="single" w:sz="8" w:color="auto"/>
            </w:tcBorders>
            <w:gridSpan w:val="57"/>
          </w:tcPr>
          <w:p>
            <w:pPr>
              <w:spacing w:after="0"/>
              <w:rPr>
                <w:sz w:val="23"/>
                <w:szCs w:val="23"/>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96,053</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10"/>
            <w:shd w:val="clear" w:color="auto" w:fill="CCEEFF"/>
          </w:tcPr>
          <w:p>
            <w:pPr>
              <w:jc w:val="right"/>
              <w:ind w:right="80"/>
              <w:spacing w:after="0"/>
              <w:rPr>
                <w:sz w:val="20"/>
                <w:szCs w:val="20"/>
                <w:color w:val="auto"/>
              </w:rPr>
            </w:pPr>
            <w:r>
              <w:rPr>
                <w:rFonts w:ascii="Arial" w:cs="Arial" w:eastAsia="Arial" w:hAnsi="Arial"/>
                <w:sz w:val="18"/>
                <w:szCs w:val="18"/>
                <w:color w:val="auto"/>
              </w:rPr>
              <w:t>96,950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264,428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267,948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(11,526)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10"/>
          </w:tcPr>
          <w:p>
            <w:pPr>
              <w:jc w:val="right"/>
              <w:ind w:right="20"/>
              <w:spacing w:after="0"/>
              <w:rPr>
                <w:sz w:val="20"/>
                <w:szCs w:val="20"/>
                <w:color w:val="auto"/>
              </w:rPr>
            </w:pPr>
            <w:r>
              <w:rPr>
                <w:rFonts w:ascii="Arial" w:cs="Arial" w:eastAsia="Arial" w:hAnsi="Arial"/>
                <w:sz w:val="18"/>
                <w:szCs w:val="18"/>
                <w:color w:val="auto"/>
              </w:rPr>
              <w:t>(11,634)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(29,935)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9"/>
          </w:tcPr>
          <w:p>
            <w:pPr>
              <w:jc w:val="right"/>
              <w:ind w:right="20"/>
              <w:spacing w:after="0"/>
              <w:rPr>
                <w:sz w:val="20"/>
                <w:szCs w:val="20"/>
                <w:color w:val="auto"/>
              </w:rPr>
            </w:pPr>
            <w:r>
              <w:rPr>
                <w:rFonts w:ascii="Arial" w:cs="Arial" w:eastAsia="Arial" w:hAnsi="Arial"/>
                <w:sz w:val="18"/>
                <w:szCs w:val="18"/>
                <w:color w:val="auto"/>
              </w:rPr>
              <w:t>(30,332)</w:t>
            </w:r>
          </w:p>
        </w:tc>
        <w:tc>
          <w:tcPr>
            <w:tcW w:w="40" w:type="dxa"/>
            <w:vAlign w:val="bottom"/>
          </w:tcPr>
          <w:p>
            <w:pPr>
              <w:spacing w:after="0"/>
              <w:rPr>
                <w:sz w:val="21"/>
                <w:szCs w:val="21"/>
                <w:color w:val="auto"/>
              </w:rPr>
            </w:pPr>
          </w:p>
        </w:tc>
      </w:tr>
      <w:tr>
        <w:trPr>
          <w:trHeight w:val="34"/>
        </w:trPr>
        <w:tc>
          <w:tcPr>
            <w:tcW w:w="11360" w:type="dxa"/>
            <w:vAlign w:val="bottom"/>
            <w:tcBorders>
              <w:bottom w:val="single" w:sz="8" w:color="auto"/>
            </w:tcBorders>
            <w:gridSpan w:val="57"/>
          </w:tcPr>
          <w:p>
            <w:pPr>
              <w:spacing w:after="0"/>
              <w:rPr>
                <w:sz w:val="2"/>
                <w:szCs w:val="2"/>
                <w:color w:val="auto"/>
              </w:rPr>
            </w:pPr>
          </w:p>
        </w:tc>
      </w:tr>
      <w:tr>
        <w:trPr>
          <w:trHeight w:val="270"/>
        </w:trPr>
        <w:tc>
          <w:tcPr>
            <w:tcW w:w="11360" w:type="dxa"/>
            <w:vAlign w:val="bottom"/>
            <w:gridSpan w:val="57"/>
            <w:shd w:val="clear" w:color="auto" w:fill="CCEEFF"/>
          </w:tcPr>
          <w:p>
            <w:pPr>
              <w:spacing w:after="0"/>
              <w:rPr>
                <w:sz w:val="23"/>
                <w:szCs w:val="23"/>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84,527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10"/>
          </w:tcPr>
          <w:p>
            <w:pPr>
              <w:jc w:val="right"/>
              <w:ind w:right="80"/>
              <w:spacing w:after="0"/>
              <w:rPr>
                <w:sz w:val="20"/>
                <w:szCs w:val="20"/>
                <w:color w:val="auto"/>
              </w:rPr>
            </w:pPr>
            <w:r>
              <w:rPr>
                <w:rFonts w:ascii="Arial" w:cs="Arial" w:eastAsia="Arial" w:hAnsi="Arial"/>
                <w:sz w:val="18"/>
                <w:szCs w:val="18"/>
                <w:color w:val="auto"/>
              </w:rPr>
              <w:t>85,316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234,493</w:t>
            </w: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1"/>
                <w:szCs w:val="21"/>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9"/>
          </w:tcPr>
          <w:p>
            <w:pPr>
              <w:jc w:val="right"/>
              <w:ind w:right="80"/>
              <w:spacing w:after="0"/>
              <w:rPr>
                <w:sz w:val="20"/>
                <w:szCs w:val="20"/>
                <w:color w:val="auto"/>
              </w:rPr>
            </w:pPr>
            <w:r>
              <w:rPr>
                <w:rFonts w:ascii="Arial" w:cs="Arial" w:eastAsia="Arial" w:hAnsi="Arial"/>
                <w:sz w:val="18"/>
                <w:szCs w:val="18"/>
                <w:color w:val="auto"/>
              </w:rPr>
              <w:t>237,616</w:t>
            </w:r>
          </w:p>
        </w:tc>
        <w:tc>
          <w:tcPr>
            <w:tcW w:w="40" w:type="dxa"/>
            <w:vAlign w:val="bottom"/>
          </w:tcPr>
          <w:p>
            <w:pPr>
              <w:spacing w:after="0"/>
              <w:rPr>
                <w:sz w:val="21"/>
                <w:szCs w:val="21"/>
                <w:color w:val="auto"/>
              </w:rPr>
            </w:pPr>
          </w:p>
        </w:tc>
      </w:tr>
      <w:tr>
        <w:trPr>
          <w:trHeight w:val="27"/>
        </w:trPr>
        <w:tc>
          <w:tcPr>
            <w:tcW w:w="11360" w:type="dxa"/>
            <w:vAlign w:val="bottom"/>
            <w:tcBorders>
              <w:bottom w:val="single" w:sz="8" w:color="auto"/>
            </w:tcBorders>
            <w:gridSpan w:val="57"/>
          </w:tcPr>
          <w:p>
            <w:pPr>
              <w:spacing w:after="0"/>
              <w:rPr>
                <w:sz w:val="2"/>
                <w:szCs w:val="2"/>
                <w:color w:val="auto"/>
              </w:rPr>
            </w:pPr>
          </w:p>
        </w:tc>
      </w:tr>
      <w:tr>
        <w:trPr>
          <w:trHeight w:val="20"/>
        </w:trPr>
        <w:tc>
          <w:tcPr>
            <w:tcW w:w="11360" w:type="dxa"/>
            <w:vAlign w:val="bottom"/>
            <w:tcBorders>
              <w:bottom w:val="single" w:sz="8" w:color="auto"/>
            </w:tcBorders>
            <w:gridSpan w:val="57"/>
          </w:tcPr>
          <w:p>
            <w:pPr>
              <w:spacing w:after="0" w:line="20" w:lineRule="exact"/>
              <w:rPr>
                <w:sz w:val="1"/>
                <w:szCs w:val="1"/>
                <w:color w:val="auto"/>
              </w:rPr>
            </w:pPr>
          </w:p>
        </w:tc>
      </w:tr>
      <w:tr>
        <w:trPr>
          <w:trHeight w:val="440"/>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60"/>
          </w:cols>
          <w:pgMar w:left="280" w:top="1121"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2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43"/>
        </w:trPr>
        <w:tc>
          <w:tcPr>
            <w:tcW w:w="6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4"/>
          </w:tcPr>
          <w:p>
            <w:pPr>
              <w:ind w:left="80"/>
              <w:spacing w:after="0"/>
              <w:rPr>
                <w:sz w:val="20"/>
                <w:szCs w:val="20"/>
                <w:color w:val="auto"/>
              </w:rPr>
            </w:pPr>
            <w:r>
              <w:rPr>
                <w:rFonts w:ascii="Arial" w:cs="Arial" w:eastAsia="Arial" w:hAnsi="Arial"/>
                <w:sz w:val="18"/>
                <w:szCs w:val="18"/>
                <w:b w:val="1"/>
                <w:bCs w:val="1"/>
                <w:color w:val="auto"/>
                <w:w w:val="90"/>
              </w:rPr>
              <w:t>September 30, 2018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420" w:type="dxa"/>
            <w:vAlign w:val="bottom"/>
            <w:gridSpan w:val="4"/>
            <w:shd w:val="clear" w:color="auto" w:fill="CCEEFF"/>
          </w:tcPr>
          <w:p>
            <w:pPr>
              <w:jc w:val="center"/>
              <w:ind w:right="180"/>
              <w:spacing w:after="0" w:line="202" w:lineRule="exact"/>
              <w:rPr>
                <w:sz w:val="20"/>
                <w:szCs w:val="20"/>
                <w:color w:val="auto"/>
              </w:rPr>
            </w:pPr>
            <w:r>
              <w:rPr>
                <w:rFonts w:ascii="Arial" w:cs="Arial" w:eastAsia="Arial" w:hAnsi="Arial"/>
                <w:sz w:val="18"/>
                <w:szCs w:val="18"/>
                <w:b w:val="1"/>
                <w:bCs w:val="1"/>
                <w:color w:val="auto"/>
                <w:w w:val="89"/>
              </w:rPr>
              <w:t>Balance without</w:t>
            </w:r>
          </w:p>
        </w:tc>
      </w:tr>
      <w:tr>
        <w:trPr>
          <w:trHeight w:val="20"/>
        </w:trPr>
        <w:tc>
          <w:tcPr>
            <w:tcW w:w="6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6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5"/>
            <w:shd w:val="clear" w:color="auto" w:fill="CCEEFF"/>
          </w:tcPr>
          <w:p>
            <w:pPr>
              <w:jc w:val="center"/>
              <w:ind w:right="100"/>
              <w:spacing w:after="0" w:line="196" w:lineRule="exact"/>
              <w:rPr>
                <w:sz w:val="20"/>
                <w:szCs w:val="20"/>
                <w:color w:val="auto"/>
              </w:rPr>
            </w:pPr>
            <w:r>
              <w:rPr>
                <w:rFonts w:ascii="Arial" w:cs="Arial" w:eastAsia="Arial" w:hAnsi="Arial"/>
                <w:sz w:val="18"/>
                <w:szCs w:val="18"/>
                <w:b w:val="1"/>
                <w:bCs w:val="1"/>
                <w:color w:val="auto"/>
                <w:w w:val="88"/>
              </w:rPr>
              <w:t>adoption of Topic</w:t>
            </w:r>
          </w:p>
        </w:tc>
      </w:tr>
      <w:tr>
        <w:trPr>
          <w:trHeight w:val="244"/>
        </w:trPr>
        <w:tc>
          <w:tcPr>
            <w:tcW w:w="62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As Reported</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89"/>
              </w:rPr>
              <w:t>Adjustments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3"/>
              </w:rPr>
              <w:t>606</w:t>
            </w:r>
          </w:p>
        </w:tc>
        <w:tc>
          <w:tcPr>
            <w:tcW w:w="5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234,493</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3,123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237,616</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35,432</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15,574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15,574</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government grants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Interest on short term investments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(1,094)</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24,974</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Amortization of gain on interest rate hedge</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(698)</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financing costs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21"/>
                <w:szCs w:val="21"/>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4,530</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Decrease in accounts receivable</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4,935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4,935</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unbilled revenue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(73,648)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(71,395)</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Decrease in other receivables</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200" w:type="dxa"/>
            <w:vAlign w:val="bottom"/>
          </w:tcPr>
          <w:p>
            <w:pPr>
              <w:spacing w:after="0"/>
              <w:rPr>
                <w:sz w:val="21"/>
                <w:szCs w:val="21"/>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12,455</w:t>
            </w:r>
          </w:p>
        </w:tc>
        <w:tc>
          <w:tcPr>
            <w:tcW w:w="10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17,374</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prepayments and other 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(8,591)</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Increase in other non-current assets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(323)</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payments on account</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(11,567)</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(36,667)</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Decrease in other current liabilities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(14,422)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(14,422)</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other non-current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Increase in income taxes payable</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2,215</w:t>
            </w:r>
          </w:p>
        </w:tc>
        <w:tc>
          <w:tcPr>
            <w:tcW w:w="200" w:type="dxa"/>
            <w:vAlign w:val="bottom"/>
          </w:tcPr>
          <w:p>
            <w:pPr>
              <w:spacing w:after="0"/>
              <w:rPr>
                <w:sz w:val="21"/>
                <w:szCs w:val="21"/>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3,506</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2"/>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accounts payable</w:t>
            </w:r>
          </w:p>
        </w:tc>
        <w:tc>
          <w:tcPr>
            <w:tcW w:w="7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(3,031)</w:t>
            </w:r>
          </w:p>
        </w:tc>
      </w:tr>
      <w:tr>
        <w:trPr>
          <w:trHeight w:val="243"/>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207,776</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207,776</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(28,387)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(28,387)</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undertakings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Purchase of short term investments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(85,866)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(85,866)</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2"/>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short term investments</w:t>
            </w:r>
          </w:p>
        </w:tc>
        <w:tc>
          <w:tcPr>
            <w:tcW w:w="7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98,857</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98,857</w:t>
            </w:r>
          </w:p>
        </w:tc>
      </w:tr>
      <w:tr>
        <w:trPr>
          <w:trHeight w:val="243"/>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(17,041)</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(17,041)</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Financing costs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(823)</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equity compensation</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14,930</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Share issue costs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6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ordinary shares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(56,960)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(56,960)</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Share repurchase costs</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(46)</w:t>
            </w:r>
          </w:p>
        </w:tc>
      </w:tr>
      <w:tr>
        <w:trPr>
          <w:trHeight w:val="34"/>
        </w:trPr>
        <w:tc>
          <w:tcPr>
            <w:tcW w:w="6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(42,912)</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Effect of exchange rate movements on cash</w:t>
            </w:r>
          </w:p>
        </w:tc>
        <w:tc>
          <w:tcPr>
            <w:tcW w:w="7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(4,461)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(4,461)</w:t>
            </w:r>
          </w:p>
        </w:tc>
      </w:tr>
      <w:tr>
        <w:trPr>
          <w:trHeight w:val="34"/>
        </w:trPr>
        <w:tc>
          <w:tcPr>
            <w:tcW w:w="6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143,362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143,362</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282,859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282,859</w:t>
            </w:r>
          </w:p>
        </w:tc>
      </w:tr>
      <w:tr>
        <w:trPr>
          <w:trHeight w:val="34"/>
        </w:trPr>
        <w:tc>
          <w:tcPr>
            <w:tcW w:w="6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426,221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426,221</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80"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Accumulated</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0"/>
              </w:rPr>
              <w:t>Additional</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Other</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Other</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9"/>
              </w:rPr>
              <w:t>Undenominated</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7"/>
              </w:rPr>
              <w:t>Comprehensive</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9"/>
              </w:rPr>
              <w:t>Retained</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3"/>
              </w:rPr>
              <w:t>Shares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1"/>
              </w:rPr>
              <w:t>Amount</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3"/>
              </w:rPr>
              <w:t>Capital</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3"/>
              </w:rPr>
              <w:t>Capital</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8"/>
              </w:rPr>
              <w:t>Income</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8"/>
              </w:rPr>
              <w:t>Earnings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13"/>
          </w:tcPr>
          <w:p>
            <w:pPr>
              <w:jc w:val="right"/>
              <w:ind w:right="760"/>
              <w:spacing w:after="0"/>
              <w:rPr>
                <w:sz w:val="20"/>
                <w:szCs w:val="20"/>
                <w:color w:val="auto"/>
              </w:rPr>
            </w:pPr>
            <w:r>
              <w:rPr>
                <w:rFonts w:ascii="Arial" w:cs="Arial" w:eastAsia="Arial" w:hAnsi="Arial"/>
                <w:sz w:val="18"/>
                <w:szCs w:val="18"/>
                <w:b w:val="1"/>
                <w:bCs w:val="1"/>
                <w:color w:val="auto"/>
                <w:w w:val="90"/>
              </w:rPr>
              <w:t>(dollars in thousands, except share data)</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Balance at December 31, 2017</w:t>
            </w: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54,081,601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4,664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(38,713)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742,800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1,191,000</w:t>
            </w:r>
          </w:p>
        </w:tc>
        <w:tc>
          <w:tcPr>
            <w:tcW w:w="0" w:type="dxa"/>
            <w:vAlign w:val="bottom"/>
          </w:tcPr>
          <w:p>
            <w:pPr>
              <w:spacing w:after="0"/>
              <w:rPr>
                <w:sz w:val="1"/>
                <w:szCs w:val="1"/>
                <w:color w:val="auto"/>
              </w:rPr>
            </w:pPr>
          </w:p>
        </w:tc>
      </w:tr>
      <w:tr>
        <w:trPr>
          <w:trHeight w:val="270"/>
        </w:trPr>
        <w:tc>
          <w:tcPr>
            <w:tcW w:w="25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Net income (as reported)</w:t>
            </w:r>
          </w:p>
        </w:tc>
        <w:tc>
          <w:tcPr>
            <w:tcW w:w="5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234,493</w:t>
            </w:r>
          </w:p>
        </w:tc>
        <w:tc>
          <w:tcPr>
            <w:tcW w:w="22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234,493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Impact of change in accounting</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policy</w:t>
            </w:r>
          </w:p>
        </w:tc>
        <w:tc>
          <w:tcPr>
            <w:tcW w:w="5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w w:val="97"/>
              </w:rPr>
              <w:t>Currency translation adjustment</w:t>
            </w:r>
          </w:p>
        </w:tc>
        <w:tc>
          <w:tcPr>
            <w:tcW w:w="5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(19,069)</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impact of long term</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funding</w:t>
            </w:r>
          </w:p>
        </w:tc>
        <w:tc>
          <w:tcPr>
            <w:tcW w:w="5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(4,137)</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rPr>
              <w:t>Unrealized capital gain –</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5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interest rate</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hedge</w:t>
            </w:r>
          </w:p>
        </w:tc>
        <w:tc>
          <w:tcPr>
            <w:tcW w:w="5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Fair value of cash flow hedge</w:t>
            </w:r>
          </w:p>
        </w:tc>
        <w:tc>
          <w:tcPr>
            <w:tcW w:w="5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(1,480)</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34"/>
        </w:trPr>
        <w:tc>
          <w:tcPr>
            <w:tcW w:w="2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tcBorders>
              <w:right w:val="single" w:sz="8" w:color="CCEEFF"/>
            </w:tcBorders>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5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(25,813)</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237,616</w:t>
            </w:r>
          </w:p>
        </w:tc>
        <w:tc>
          <w:tcPr>
            <w:tcW w:w="22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211,803</w:t>
            </w:r>
          </w:p>
        </w:tc>
        <w:tc>
          <w:tcPr>
            <w:tcW w:w="0" w:type="dxa"/>
            <w:vAlign w:val="bottom"/>
          </w:tcPr>
          <w:p>
            <w:pPr>
              <w:spacing w:after="0"/>
              <w:rPr>
                <w:sz w:val="1"/>
                <w:szCs w:val="1"/>
                <w:color w:val="auto"/>
              </w:rPr>
            </w:pPr>
          </w:p>
        </w:tc>
      </w:tr>
      <w:tr>
        <w:trPr>
          <w:trHeight w:val="34"/>
        </w:trPr>
        <w:tc>
          <w:tcPr>
            <w:tcW w:w="2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tcBorders>
              <w:right w:val="single" w:sz="8" w:color="CCEEFF"/>
            </w:tcBorders>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Exercise of share options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355,216</w:t>
            </w:r>
          </w:p>
        </w:tc>
        <w:tc>
          <w:tcPr>
            <w:tcW w:w="24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14,870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14,895</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 of restricted share units</w:t>
            </w: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484,256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5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24,997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expense</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issuance costs</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Share repurchase program</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(485,143)</w:t>
            </w:r>
          </w:p>
        </w:tc>
        <w:tc>
          <w:tcPr>
            <w:tcW w:w="2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(56,960)</w:t>
            </w:r>
          </w:p>
        </w:tc>
        <w:tc>
          <w:tcPr>
            <w:tcW w:w="22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(56,960)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 costs</w:t>
            </w:r>
          </w:p>
        </w:tc>
        <w:tc>
          <w:tcPr>
            <w:tcW w:w="5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25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w:t>
            </w:r>
          </w:p>
        </w:tc>
        <w:tc>
          <w:tcPr>
            <w:tcW w:w="11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54,435,930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4,689</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521,191</w:t>
            </w:r>
          </w:p>
        </w:tc>
        <w:tc>
          <w:tcPr>
            <w:tcW w:w="8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3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(64,526)</w:t>
            </w: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923,410</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1,385,711</w:t>
            </w:r>
          </w:p>
        </w:tc>
        <w:tc>
          <w:tcPr>
            <w:tcW w:w="0" w:type="dxa"/>
            <w:vAlign w:val="bottom"/>
          </w:tcPr>
          <w:p>
            <w:pPr>
              <w:spacing w:after="0"/>
              <w:rPr>
                <w:sz w:val="1"/>
                <w:szCs w:val="1"/>
                <w:color w:val="auto"/>
              </w:rPr>
            </w:pPr>
          </w:p>
        </w:tc>
      </w:tr>
      <w:tr>
        <w:trPr>
          <w:trHeight w:val="126"/>
        </w:trPr>
        <w:tc>
          <w:tcPr>
            <w:tcW w:w="2540" w:type="dxa"/>
            <w:vAlign w:val="bottom"/>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rPr>
              <w:t>2018</w:t>
            </w:r>
          </w:p>
        </w:tc>
        <w:tc>
          <w:tcPr>
            <w:tcW w:w="1180" w:type="dxa"/>
            <w:vAlign w:val="bottom"/>
            <w:gridSpan w:val="3"/>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00" w:type="dxa"/>
            <w:vAlign w:val="bottom"/>
            <w:gridSpan w:val="3"/>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840" w:type="dxa"/>
            <w:vAlign w:val="bottom"/>
            <w:tcBorders>
              <w:right w:val="single" w:sz="8" w:color="CCEEFF"/>
            </w:tcBorders>
            <w:gridSpan w:val="3"/>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420" w:type="dxa"/>
            <w:vAlign w:val="bottom"/>
            <w:tcBorders>
              <w:right w:val="single" w:sz="8" w:color="CCEEFF"/>
            </w:tcBorders>
            <w:gridSpan w:val="4"/>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280" w:type="dxa"/>
            <w:vAlign w:val="bottom"/>
            <w:gridSpan w:val="5"/>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92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tcBorders>
              <w:bottom w:val="single" w:sz="8" w:color="CCEEFF"/>
            </w:tcBorders>
            <w:vMerge w:val="continue"/>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right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2017. The Consolidated Financial Statements have been prepared in accordance with accounting principles generally accepted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2018 we employed approximately 13,620 employees, in 93 locations in 37 countries. During the nine months ended September 30, 2018 we derived approximately 35.2%, 54.7% and 10.1% of our revenue in the United States, Europe and Rest of World respectively.</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backlog consists of potential revenue yet to be earned from projects awarded by clients. At September 30, 2018 we had an unrealized performance obligation of approximately $5.2 billion (see Note 4). We believe that our remaining or unrealized performance obligation as of any date is not necessarily a meaningful predictor of future results, due to the potential for cancellation or delay of revenue.</w:t>
      </w:r>
    </w:p>
    <w:p>
      <w:pPr>
        <w:spacing w:after="0" w:line="2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42"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with Three Months Ended September 30, 2017</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80" w:type="dxa"/>
            <w:vAlign w:val="bottom"/>
            <w:tcBorders>
              <w:bottom w:val="single" w:sz="8" w:color="CCEEFF"/>
            </w:tcBorders>
            <w:gridSpan w:val="4"/>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60" w:type="dxa"/>
            <w:vAlign w:val="bottom"/>
            <w:gridSpan w:val="5"/>
          </w:tcPr>
          <w:p>
            <w:pPr>
              <w:jc w:val="right"/>
              <w:ind w:right="56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800" w:type="dxa"/>
            <w:vAlign w:val="bottom"/>
            <w:gridSpan w:val="5"/>
          </w:tcPr>
          <w:p>
            <w:pPr>
              <w:jc w:val="right"/>
              <w:ind w:right="70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140" w:type="dxa"/>
            <w:vAlign w:val="bottom"/>
            <w:gridSpan w:val="5"/>
          </w:tcPr>
          <w:p>
            <w:pPr>
              <w:jc w:val="right"/>
              <w:ind w:right="180"/>
              <w:spacing w:after="0" w:line="202" w:lineRule="exact"/>
              <w:rPr>
                <w:sz w:val="20"/>
                <w:szCs w:val="20"/>
                <w:color w:val="auto"/>
              </w:rPr>
            </w:pPr>
            <w:r>
              <w:rPr>
                <w:rFonts w:ascii="Arial" w:cs="Arial" w:eastAsia="Arial" w:hAnsi="Arial"/>
                <w:sz w:val="18"/>
                <w:szCs w:val="18"/>
                <w:b w:val="1"/>
                <w:bCs w:val="1"/>
                <w:color w:val="auto"/>
                <w:w w:val="87"/>
              </w:rPr>
              <w:t>2018 to 2017</w:t>
            </w: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7"/>
                <w:szCs w:val="17"/>
                <w:color w:val="auto"/>
              </w:rPr>
            </w:pPr>
          </w:p>
        </w:tc>
        <w:tc>
          <w:tcPr>
            <w:tcW w:w="11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6"/>
              </w:rPr>
              <w:t>Percentage</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Borders>
              <w:bottom w:val="single" w:sz="8" w:color="auto"/>
            </w:tcBorders>
            <w:gridSpan w:val="6"/>
          </w:tcPr>
          <w:p>
            <w:pPr>
              <w:jc w:val="center"/>
              <w:spacing w:after="0" w:line="202" w:lineRule="exact"/>
              <w:rPr>
                <w:sz w:val="20"/>
                <w:szCs w:val="20"/>
                <w:color w:val="auto"/>
              </w:rPr>
            </w:pPr>
            <w:r>
              <w:rPr>
                <w:rFonts w:ascii="Arial" w:cs="Arial" w:eastAsia="Arial" w:hAnsi="Arial"/>
                <w:sz w:val="18"/>
                <w:szCs w:val="18"/>
                <w:b w:val="1"/>
                <w:bCs w:val="1"/>
                <w:color w:val="auto"/>
                <w:w w:val="88"/>
              </w:rPr>
              <w:t>Percentage of Revenue</w:t>
            </w:r>
          </w:p>
        </w:tc>
        <w:tc>
          <w:tcPr>
            <w:tcW w:w="1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7"/>
              </w:rPr>
              <w:t>Increase/</w:t>
            </w:r>
          </w:p>
        </w:tc>
        <w:tc>
          <w:tcPr>
            <w:tcW w:w="1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ind w:right="180"/>
              <w:spacing w:after="0" w:line="196" w:lineRule="exact"/>
              <w:rPr>
                <w:sz w:val="20"/>
                <w:szCs w:val="20"/>
                <w:color w:val="auto"/>
              </w:rPr>
            </w:pPr>
            <w:r>
              <w:rPr>
                <w:rFonts w:ascii="Arial" w:cs="Arial" w:eastAsia="Arial" w:hAnsi="Arial"/>
                <w:sz w:val="18"/>
                <w:szCs w:val="18"/>
                <w:b w:val="1"/>
                <w:bCs w:val="1"/>
                <w:color w:val="auto"/>
                <w:w w:val="86"/>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82"/>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0" w:type="dxa"/>
            <w:vAlign w:val="bottom"/>
            <w:tcBorders>
              <w:bottom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80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3200" w:type="dxa"/>
            <w:vAlign w:val="bottom"/>
            <w:tcBorders>
              <w:top w:val="single" w:sz="8" w:color="auto"/>
            </w:tcBorders>
          </w:tcPr>
          <w:p>
            <w:pPr>
              <w:spacing w:after="0"/>
              <w:rPr>
                <w:sz w:val="23"/>
                <w:szCs w:val="23"/>
                <w:color w:val="auto"/>
              </w:rPr>
            </w:pPr>
          </w:p>
        </w:tc>
        <w:tc>
          <w:tcPr>
            <w:tcW w:w="2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r>
      <w:tr>
        <w:trPr>
          <w:trHeight w:val="203"/>
        </w:trPr>
        <w:tc>
          <w:tcPr>
            <w:tcW w:w="46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2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32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3800" w:type="dxa"/>
            <w:vAlign w:val="bottom"/>
            <w:gridSpan w:val="6"/>
          </w:tcPr>
          <w:p>
            <w:pPr>
              <w:jc w:val="right"/>
              <w:ind w:right="400"/>
              <w:spacing w:after="0"/>
              <w:rPr>
                <w:sz w:val="20"/>
                <w:szCs w:val="20"/>
                <w:color w:val="auto"/>
              </w:rPr>
            </w:pPr>
            <w:r>
              <w:rPr>
                <w:rFonts w:ascii="Arial" w:cs="Arial" w:eastAsia="Arial" w:hAnsi="Arial"/>
                <w:sz w:val="18"/>
                <w:szCs w:val="18"/>
                <w:color w:val="auto"/>
              </w:rPr>
              <w:t>42.7%</w:t>
            </w:r>
          </w:p>
        </w:tc>
        <w:tc>
          <w:tcPr>
            <w:tcW w:w="1800" w:type="dxa"/>
            <w:vAlign w:val="bottom"/>
            <w:gridSpan w:val="5"/>
          </w:tcPr>
          <w:p>
            <w:pPr>
              <w:jc w:val="right"/>
              <w:ind w:right="540"/>
              <w:spacing w:after="0"/>
              <w:rPr>
                <w:sz w:val="20"/>
                <w:szCs w:val="20"/>
                <w:color w:val="auto"/>
              </w:rPr>
            </w:pPr>
            <w:r>
              <w:rPr>
                <w:rFonts w:ascii="Arial" w:cs="Arial" w:eastAsia="Arial" w:hAnsi="Arial"/>
                <w:sz w:val="18"/>
                <w:szCs w:val="18"/>
                <w:color w:val="auto"/>
              </w:rPr>
              <w:t>43.6%</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7.7%</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800" w:type="dxa"/>
            <w:vAlign w:val="bottom"/>
            <w:tcBorders>
              <w:bottom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27.4%</w:t>
            </w:r>
          </w:p>
        </w:tc>
        <w:tc>
          <w:tcPr>
            <w:tcW w:w="180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26.2%</w:t>
            </w:r>
          </w:p>
        </w:tc>
        <w:tc>
          <w:tcPr>
            <w:tcW w:w="11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800" w:type="dxa"/>
            <w:vAlign w:val="bottom"/>
            <w:gridSpan w:val="6"/>
          </w:tcPr>
          <w:p>
            <w:pPr>
              <w:jc w:val="right"/>
              <w:ind w:right="400"/>
              <w:spacing w:after="0"/>
              <w:rPr>
                <w:sz w:val="20"/>
                <w:szCs w:val="20"/>
                <w:color w:val="auto"/>
              </w:rPr>
            </w:pPr>
            <w:r>
              <w:rPr>
                <w:rFonts w:ascii="Arial" w:cs="Arial" w:eastAsia="Arial" w:hAnsi="Arial"/>
                <w:sz w:val="18"/>
                <w:szCs w:val="18"/>
                <w:color w:val="auto"/>
              </w:rPr>
              <w:t>12.3%</w:t>
            </w:r>
          </w:p>
        </w:tc>
        <w:tc>
          <w:tcPr>
            <w:tcW w:w="1800" w:type="dxa"/>
            <w:vAlign w:val="bottom"/>
            <w:gridSpan w:val="5"/>
          </w:tcPr>
          <w:p>
            <w:pPr>
              <w:jc w:val="right"/>
              <w:ind w:right="540"/>
              <w:spacing w:after="0"/>
              <w:rPr>
                <w:sz w:val="20"/>
                <w:szCs w:val="20"/>
                <w:color w:val="auto"/>
              </w:rPr>
            </w:pPr>
            <w:r>
              <w:rPr>
                <w:rFonts w:ascii="Arial" w:cs="Arial" w:eastAsia="Arial" w:hAnsi="Arial"/>
                <w:sz w:val="18"/>
                <w:szCs w:val="18"/>
                <w:color w:val="auto"/>
              </w:rPr>
              <w:t>13.3%</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800" w:type="dxa"/>
            <w:vAlign w:val="bottom"/>
            <w:tcBorders>
              <w:bottom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80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800" w:type="dxa"/>
            <w:vAlign w:val="bottom"/>
            <w:gridSpan w:val="6"/>
          </w:tcPr>
          <w:p>
            <w:pPr>
              <w:jc w:val="right"/>
              <w:ind w:right="400"/>
              <w:spacing w:after="0"/>
              <w:rPr>
                <w:sz w:val="20"/>
                <w:szCs w:val="20"/>
                <w:color w:val="auto"/>
              </w:rPr>
            </w:pPr>
            <w:r>
              <w:rPr>
                <w:rFonts w:ascii="Arial" w:cs="Arial" w:eastAsia="Arial" w:hAnsi="Arial"/>
                <w:sz w:val="18"/>
                <w:szCs w:val="18"/>
                <w:color w:val="auto"/>
              </w:rPr>
              <w:t>0.8%</w:t>
            </w:r>
          </w:p>
        </w:tc>
        <w:tc>
          <w:tcPr>
            <w:tcW w:w="1800" w:type="dxa"/>
            <w:vAlign w:val="bottom"/>
            <w:gridSpan w:val="5"/>
          </w:tcPr>
          <w:p>
            <w:pPr>
              <w:jc w:val="right"/>
              <w:ind w:right="540"/>
              <w:spacing w:after="0"/>
              <w:rPr>
                <w:sz w:val="20"/>
                <w:szCs w:val="20"/>
                <w:color w:val="auto"/>
              </w:rPr>
            </w:pPr>
            <w:r>
              <w:rPr>
                <w:rFonts w:ascii="Arial" w:cs="Arial" w:eastAsia="Arial" w:hAnsi="Arial"/>
                <w:sz w:val="18"/>
                <w:szCs w:val="18"/>
                <w:color w:val="auto"/>
              </w:rPr>
              <w:t>0.8%</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82"/>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2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3200" w:type="dxa"/>
            <w:vAlign w:val="bottom"/>
            <w:tcBorders>
              <w:top w:val="single" w:sz="8" w:color="auto"/>
            </w:tcBorders>
          </w:tcPr>
          <w:p>
            <w:pPr>
              <w:spacing w:after="0"/>
              <w:rPr>
                <w:sz w:val="23"/>
                <w:szCs w:val="23"/>
                <w:color w:val="auto"/>
              </w:rPr>
            </w:pPr>
          </w:p>
        </w:tc>
        <w:tc>
          <w:tcPr>
            <w:tcW w:w="2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r>
      <w:tr>
        <w:trPr>
          <w:trHeight w:val="275"/>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0" w:type="dxa"/>
            <w:vAlign w:val="bottom"/>
            <w:tcBorders>
              <w:bottom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180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14.2%</w:t>
            </w:r>
          </w:p>
        </w:tc>
        <w:tc>
          <w:tcPr>
            <w:tcW w:w="11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period increased by $58.8 million, or 9.9%, from $596.2 million for the three months ended September 30, 2017 to $655.0 million for the three months ended September 30, 2018. Revenue increased by 10% in constant currency and increased by 8.4% in constant dollar organic terms. The increase in revenues in the three months ended September 30, 2018 can be explained by both continued organic growth, and the additional revenues from the acquisition of Mapi on July 27, 2017. The Company changed its accounting policy for revenue recognition on the adoption of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with a date of initial application of January 1, 2018 (</w:t>
      </w:r>
      <w:r>
        <w:rPr>
          <w:rFonts w:ascii="Arial" w:cs="Arial" w:eastAsia="Arial" w:hAnsi="Arial"/>
          <w:sz w:val="17"/>
          <w:szCs w:val="17"/>
          <w:i w:val="1"/>
          <w:iCs w:val="1"/>
          <w:color w:val="auto"/>
        </w:rPr>
        <w:t>see Notes 2 and 13</w:t>
      </w:r>
      <w:r>
        <w:rPr>
          <w:rFonts w:ascii="Arial" w:cs="Arial" w:eastAsia="Arial" w:hAnsi="Arial"/>
          <w:sz w:val="17"/>
          <w:szCs w:val="17"/>
          <w:color w:val="auto"/>
        </w:rPr>
        <w:t>).</w:t>
      </w: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September 30, 2018 we derived approximately 34.7%, 55.3% and 10% of our revenue in the United States, Europe and Rest of World respectively. During the three months ended September 30, 2018, $265.4 million or 40.5% of our revenues were derived from our top 5 customers. The largest of these customers related to a Strategic Partnership with a large global pharmaceutical company. Revenue from this customer contributed 14.1% of revenue for the quarter. Revenue from our second largest customer contributed 7.8% for the quarter. Net revenues (reported under ASC 605 see Note 13) derived from our top 5 customers were $182.5 million or 38.3% during the three months ended September 30, 2018, compared to $168.3 million or 38.2% of net revenues (reported under ASC 605) during the three months ended September 30, 2017. Net revenue from our top customer (reported under ASC 605 see Note 13) was 13.1% for the three months ended September 30, 2018 and 16.6% of net revenue (reported under ASC 605 see Note 13) in respect of the three months ended September 30, 2017. The addition of new customer accounts, particularly mid-tier pharma customers and biotech customers continues to result in a reduction in concentration of revenues from our top 5 customers.</w:t>
      </w:r>
    </w:p>
    <w:p>
      <w:pPr>
        <w:spacing w:after="0" w:line="2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Ireland increased from $231.7 million for the three months ended September 30, 2017 to $270.7 million for the three months ended September 30, 2018. Revenue in Ireland is principally a function of the Company’s global transfer pricing model (</w:t>
      </w:r>
      <w:r>
        <w:rPr>
          <w:rFonts w:ascii="Arial" w:cs="Arial" w:eastAsia="Arial" w:hAnsi="Arial"/>
          <w:sz w:val="17"/>
          <w:szCs w:val="17"/>
          <w:i w:val="1"/>
          <w:iCs w:val="1"/>
          <w:color w:val="auto"/>
        </w:rPr>
        <w:t>see note 12 Business Segmental Information for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details</w:t>
      </w:r>
      <w:r>
        <w:rPr>
          <w:rFonts w:ascii="Arial" w:cs="Arial" w:eastAsia="Arial" w:hAnsi="Arial"/>
          <w:sz w:val="17"/>
          <w:szCs w:val="17"/>
          <w:color w:val="auto"/>
        </w:rPr>
        <w:t>). Revenue in our Rest of Europe region decreased from $94.6 million for the three months ended September 30, 2017 to $91.3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2018. Revenue in our Rest of World region increased from $56.6 million for the three months ended September 30, 2017 to $65.7 million for the three months ended September 30, 2018. Revenue in the U.S. region increased from $213.2 million for the three months ended September 30, 2017 to $227.3 million for the three months ended September 30, 2018.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Direct costs for the period increased by $19.9 million, or 7.7%, from $259.7 million for the three months ended September 30, 2017 to $279.6 million for the three months ended September 30, 2018. Direct costs consist primarily of compensation, associated fringe benefits and share based compensation expense for project-related employees and other direct project driven costs. The increase in direct costs during the period arose primarily from an increase in personnel related expenditure of $14.6 million. As a percentage of revenue, direct costs have decreased from 43.6% for the three months ended September 30, 2017 to 42.7% for the three months ended September 30, 2018.</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Reimbursable expenses for the period increased by $23.8 million, or 15.3%, from $155.8 million for the three months ended September 30, 2017 to $179.6 million for the three months ended September 30, 2018</w:t>
      </w:r>
      <w:r>
        <w:rPr>
          <w:rFonts w:ascii="Arial" w:cs="Arial" w:eastAsia="Arial" w:hAnsi="Arial"/>
          <w:sz w:val="18"/>
          <w:szCs w:val="18"/>
          <w:i w:val="1"/>
          <w:iCs w:val="1"/>
          <w:color w:val="auto"/>
        </w:rPr>
        <w:t>.</w:t>
      </w:r>
      <w:r>
        <w:rPr>
          <w:rFonts w:ascii="Arial" w:cs="Arial" w:eastAsia="Arial" w:hAnsi="Arial"/>
          <w:sz w:val="18"/>
          <w:szCs w:val="18"/>
          <w:color w:val="auto"/>
        </w:rPr>
        <w:t xml:space="preserve"> As a percentage of revenue, reimbursable expenses have increased from 26.2% for the three months ended September 30, 2017 to 27.4% for the three months ended September 30, 2018.</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for the period increased by $1.4 million, or 1.7%, from $79.4 million for the three months ended September 30, 2017 to $80.8 million for the three months ended September 30, 2018.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net increase in selling, general and administration expenses for the period of $1.4 million reflects a continued focus on personnel related expenditure and facilities and related costs. As a percentage of revenue, selling, general and administrative expenses, decreased from 13.3% for the three months ended September 30, 2017 to 12.3% for the three months ended September 30, 2018.</w:t>
      </w:r>
    </w:p>
    <w:p>
      <w:pPr>
        <w:spacing w:after="0" w:line="2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increased by $0.3 million, or 2.6%, from $11.4 million for three months ended September 30, 2017 to $11.7 million for three months ended September 30, 2018. Depreciation expense arises principally from continued investment in facilities, information systems and equipment to support the Company’s growth. As a percentage of revenue the depreciation expense decreased from 1.9% for the three months ended September 30, 2017 to 1.8% for the three months ended September 30, 2018. Amortization expense for the period increased by $0.5 million, or 10.0%, from $4.9 million for the three months ended September 30, 2017 to $5.4 million for the three months ended September 30, 2018. Amortization expense represents the amortization of intangible assets acquired on business combinations. The increase in the amortization expense for the period relates primarily to the acquisition of Mapi in July 2017. As a percentage of revenue, amortization expense for the three months ended September 30, 2018 was 0.8% which was in line with the three months ended September 30, 2017.</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period increased by $13.0 million, or 15.3%, from $84.9 million for the three months ended September 30, 2017 to $97.9 millionfor the three months ended September 30, 2018. As a percentage of revenue, income from operations for the three months ended September 30, 2018 increased from 14.2% of revenues for the three months ended September 30, 2017 to 15.0% of revenues for the three months ended September 30, 2018.</w:t>
      </w: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Income from operations in Ireland increased from a profit of $62.2 million for the three months ended September 30, 2017 to a profit of $71.4 million for the three months ended September 30, 2018. Income from operations in Ireland is impacted by the Group’s global transfer pricing model </w:t>
      </w:r>
      <w:r>
        <w:rPr>
          <w:rFonts w:ascii="Arial" w:cs="Arial" w:eastAsia="Arial" w:hAnsi="Arial"/>
          <w:sz w:val="18"/>
          <w:szCs w:val="18"/>
          <w:i w:val="1"/>
          <w:iCs w:val="1"/>
          <w:color w:val="auto"/>
        </w:rPr>
        <w:t>(see note 12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Segmental Information for further details). </w:t>
      </w:r>
      <w:r>
        <w:rPr>
          <w:rFonts w:ascii="Arial" w:cs="Arial" w:eastAsia="Arial" w:hAnsi="Arial"/>
          <w:sz w:val="18"/>
          <w:szCs w:val="18"/>
          <w:color w:val="auto"/>
        </w:rPr>
        <w:t>Income from operations in our Rest of Europe region increased from $2.5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to $7.0 million for the three months ended September 30, 2018, while income from operations in our Rest of World region increased from $4.1 million for the three months ended September 30, 2017 to $5.1 million for the three months ended September 30, 2018. Income from operations in the U.S. region decreased from $16.2 million for the three months ended September 30, 2017 to $14.4 million for the three months ended September 30, 2018.</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increased by $0.02 million, or 0.8%, from $3.2 million for the three months ended September 30, 2017 to $3.2 million for the three months ended September 30, 2018. Interest income increased by $0.7 million or 107.9% from $0.6 million for the three months ended September 30, 2017 to $1.3 million for the three months ended September 30, 2018.</w:t>
      </w: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increased from $8.2 million for the three months ended September 30, 2017 to $11.5 million for the three months ended September 30, 2018. The Company’s effective tax rate for the three months ended September 30, 2018 was 12% compared with 10% for the three months ended September 30, 2017. The Company’s effective tax rate remains principally a function of the distribution of pre-tax profits amongst the territories in which it operates.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46"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Nine Months Ended September 30, 2018 compared with Nine Months Ended September 30, 2017</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gridSpan w:val="8"/>
            <w:shd w:val="clear" w:color="auto" w:fill="CCEEFF"/>
          </w:tcPr>
          <w:p>
            <w:pPr>
              <w:jc w:val="right"/>
              <w:ind w:right="760"/>
              <w:spacing w:after="0"/>
              <w:rPr>
                <w:sz w:val="20"/>
                <w:szCs w:val="20"/>
                <w:color w:val="auto"/>
              </w:rPr>
            </w:pPr>
            <w:r>
              <w:rPr>
                <w:rFonts w:ascii="Arial" w:cs="Arial" w:eastAsia="Arial" w:hAnsi="Arial"/>
                <w:sz w:val="18"/>
                <w:szCs w:val="18"/>
                <w:b w:val="1"/>
                <w:bCs w:val="1"/>
                <w:color w:val="auto"/>
                <w:w w:val="90"/>
              </w:rPr>
              <w:t>Nine Months Ended</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gridSpan w:val="5"/>
          </w:tcPr>
          <w:p>
            <w:pPr>
              <w:jc w:val="right"/>
              <w:ind w:right="34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440" w:type="dxa"/>
            <w:vAlign w:val="bottom"/>
            <w:gridSpan w:val="5"/>
          </w:tcPr>
          <w:p>
            <w:pPr>
              <w:jc w:val="right"/>
              <w:ind w:right="340"/>
              <w:spacing w:after="0" w:line="202" w:lineRule="exact"/>
              <w:rPr>
                <w:sz w:val="20"/>
                <w:szCs w:val="20"/>
                <w:color w:val="auto"/>
              </w:rPr>
            </w:pPr>
            <w:r>
              <w:rPr>
                <w:rFonts w:ascii="Arial" w:cs="Arial" w:eastAsia="Arial" w:hAnsi="Arial"/>
                <w:sz w:val="18"/>
                <w:szCs w:val="18"/>
                <w:b w:val="1"/>
                <w:bCs w:val="1"/>
                <w:color w:val="auto"/>
                <w:w w:val="87"/>
              </w:rPr>
              <w:t>September 30,</w:t>
            </w:r>
          </w:p>
        </w:tc>
        <w:tc>
          <w:tcPr>
            <w:tcW w:w="1160" w:type="dxa"/>
            <w:vAlign w:val="bottom"/>
            <w:gridSpan w:val="4"/>
          </w:tcPr>
          <w:p>
            <w:pPr>
              <w:jc w:val="right"/>
              <w:ind w:right="200"/>
              <w:spacing w:after="0" w:line="202" w:lineRule="exact"/>
              <w:rPr>
                <w:sz w:val="20"/>
                <w:szCs w:val="20"/>
                <w:color w:val="auto"/>
              </w:rPr>
            </w:pPr>
            <w:r>
              <w:rPr>
                <w:rFonts w:ascii="Arial" w:cs="Arial" w:eastAsia="Arial" w:hAnsi="Arial"/>
                <w:sz w:val="18"/>
                <w:szCs w:val="18"/>
                <w:b w:val="1"/>
                <w:bCs w:val="1"/>
                <w:color w:val="auto"/>
                <w:w w:val="87"/>
              </w:rPr>
              <w:t>2018 to 2017</w:t>
            </w: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7"/>
                <w:szCs w:val="17"/>
                <w:color w:val="auto"/>
              </w:rPr>
            </w:pPr>
          </w:p>
        </w:tc>
        <w:tc>
          <w:tcPr>
            <w:tcW w:w="11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w w:val="96"/>
              </w:rPr>
              <w:t>Percentage</w:t>
            </w:r>
          </w:p>
        </w:tc>
      </w:tr>
      <w:tr>
        <w:trPr>
          <w:trHeight w:val="20"/>
        </w:trPr>
        <w:tc>
          <w:tcPr>
            <w:tcW w:w="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w w:val="87"/>
              </w:rPr>
              <w:t>Increase/</w:t>
            </w:r>
          </w:p>
        </w:tc>
      </w:tr>
      <w:tr>
        <w:trPr>
          <w:trHeight w:val="20"/>
        </w:trPr>
        <w:tc>
          <w:tcPr>
            <w:tcW w:w="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880" w:type="dxa"/>
            <w:vAlign w:val="bottom"/>
            <w:gridSpan w:val="10"/>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60" w:type="dxa"/>
            <w:vAlign w:val="bottom"/>
            <w:gridSpan w:val="7"/>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Percentage of Revenue</w:t>
            </w:r>
          </w:p>
        </w:tc>
        <w:tc>
          <w:tcPr>
            <w:tcW w:w="640" w:type="dxa"/>
            <w:vAlign w:val="bottom"/>
            <w:gridSpan w:val="2"/>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spacing w:after="0"/>
              <w:rPr>
                <w:sz w:val="21"/>
                <w:szCs w:val="21"/>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100.0%</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100.0%</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8.5%</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03"/>
        </w:trPr>
        <w:tc>
          <w:tcPr>
            <w:tcW w:w="38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276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14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11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760" w:type="dxa"/>
            <w:vAlign w:val="bottom"/>
            <w:gridSpan w:val="6"/>
          </w:tcPr>
          <w:p>
            <w:pPr>
              <w:jc w:val="right"/>
              <w:ind w:right="180"/>
              <w:spacing w:after="0"/>
              <w:rPr>
                <w:sz w:val="20"/>
                <w:szCs w:val="20"/>
                <w:color w:val="auto"/>
              </w:rPr>
            </w:pPr>
            <w:r>
              <w:rPr>
                <w:rFonts w:ascii="Arial" w:cs="Arial" w:eastAsia="Arial" w:hAnsi="Arial"/>
                <w:sz w:val="18"/>
                <w:szCs w:val="18"/>
                <w:color w:val="auto"/>
              </w:rPr>
              <w:t>26.5%</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26.2%</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9.7%</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76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4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1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2760" w:type="dxa"/>
            <w:vAlign w:val="bottom"/>
            <w:gridSpan w:val="6"/>
          </w:tcPr>
          <w:p>
            <w:pPr>
              <w:jc w:val="right"/>
              <w:ind w:right="180"/>
              <w:spacing w:after="0"/>
              <w:rPr>
                <w:sz w:val="20"/>
                <w:szCs w:val="20"/>
                <w:color w:val="auto"/>
              </w:rPr>
            </w:pPr>
            <w:r>
              <w:rPr>
                <w:rFonts w:ascii="Arial" w:cs="Arial" w:eastAsia="Arial" w:hAnsi="Arial"/>
                <w:sz w:val="18"/>
                <w:szCs w:val="18"/>
                <w:color w:val="auto"/>
              </w:rPr>
              <w:t>1.8%</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1.8%</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760" w:type="dxa"/>
            <w:vAlign w:val="bottom"/>
            <w:tcBorders>
              <w:bottom w:val="single" w:sz="8" w:color="CCEEFF"/>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4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1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Restructuring</w:t>
            </w:r>
          </w:p>
        </w:tc>
        <w:tc>
          <w:tcPr>
            <w:tcW w:w="2760" w:type="dxa"/>
            <w:vAlign w:val="bottom"/>
            <w:gridSpan w:val="6"/>
          </w:tcPr>
          <w:p>
            <w:pPr>
              <w:jc w:val="right"/>
              <w:ind w:right="180"/>
              <w:spacing w:after="0"/>
              <w:rPr>
                <w:sz w:val="20"/>
                <w:szCs w:val="20"/>
                <w:color w:val="auto"/>
              </w:rPr>
            </w:pPr>
            <w:r>
              <w:rPr>
                <w:rFonts w:ascii="Arial" w:cs="Arial" w:eastAsia="Arial" w:hAnsi="Arial"/>
                <w:sz w:val="18"/>
                <w:szCs w:val="18"/>
                <w:color w:val="auto"/>
              </w:rPr>
              <w:t>0.6%</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0.4%</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61.1%</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2760" w:type="dxa"/>
            <w:vAlign w:val="bottom"/>
            <w:gridSpan w:val="6"/>
          </w:tcPr>
          <w:p>
            <w:pPr>
              <w:jc w:val="right"/>
              <w:ind w:right="180"/>
              <w:spacing w:after="0"/>
              <w:rPr>
                <w:sz w:val="20"/>
                <w:szCs w:val="20"/>
                <w:color w:val="auto"/>
              </w:rPr>
            </w:pPr>
            <w:r>
              <w:rPr>
                <w:rFonts w:ascii="Arial" w:cs="Arial" w:eastAsia="Arial" w:hAnsi="Arial"/>
                <w:sz w:val="18"/>
                <w:szCs w:val="18"/>
                <w:color w:val="auto"/>
              </w:rPr>
              <w:t>14.2%</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14.1%</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period increased by $150.7 million, or 8.5%, from $1,766.0 million for the nine months ended September 30, 2017 to $1,916.8 million for the nine months ended September 30, 2018. Revenue increased by 6.7% in constant currency and increased by 2.3% in constant dollar organic terms. The increase in revenues in the nine months ended September 30, 2018 can be explained by both continued organic growth, and the additional revenues from the acquisition of Mapi on July 27, 2017. The Company changed its accounting policy for revenue recognition on the adoption of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with a date of initial application of January 1, 2018 (</w:t>
      </w:r>
      <w:r>
        <w:rPr>
          <w:rFonts w:ascii="Arial" w:cs="Arial" w:eastAsia="Arial" w:hAnsi="Arial"/>
          <w:sz w:val="17"/>
          <w:szCs w:val="17"/>
          <w:i w:val="1"/>
          <w:iCs w:val="1"/>
          <w:color w:val="auto"/>
        </w:rPr>
        <w:t>see Notes 2 and 13</w:t>
      </w:r>
      <w:r>
        <w:rPr>
          <w:rFonts w:ascii="Arial" w:cs="Arial" w:eastAsia="Arial" w:hAnsi="Arial"/>
          <w:sz w:val="17"/>
          <w:szCs w:val="17"/>
          <w:color w:val="auto"/>
        </w:rPr>
        <w:t>).</w:t>
      </w:r>
    </w:p>
    <w:p>
      <w:pPr>
        <w:spacing w:after="0" w:line="2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2018 we derived approximately 35.2%, 54.7% and 10.1% of our revenue in the United States, Europe and Rest of World respectively. During the nine months ended September 30, 2018 $757.2 million or 39.5% of our revenues were derived from our top 5 customers. The largest of these customers related to a Strategic Partnership with a large global pharmaceutical company. Revenue from this customer contributed 13.3% of revenue for the nine months ended September 30, 2018. Revenue from our second largest customer contributed 9.5% for the nine months ended September 30, 2018. Net revenues (reported under ASC 605 see Note 13) derived from our top 5 customers were $540.5 million or 38.3% during the nine months ended September 30, 2018, compared to $538.2 million or 41.3% of net revenues (reported under ASC 605) during the nine months ended September 30, 2017. Net revenue from our top customer (reported under ASC 605 see Note 13) was 13.2% for the nine months ended September 30, 2018 and 20.3% of revenue (reported under ASC 605 see Note 13) in respect of the nine months ended September 30, 2017. The addition of new customer accounts, particularly mid-tier pharma customers and biotech customers continues to result in a reduction in concentration of revenues from our top 5 customers.</w:t>
      </w:r>
    </w:p>
    <w:p>
      <w:pPr>
        <w:spacing w:after="0" w:line="3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in Ireland increased from $695.4 million for the nine months ended September 30, 2017 to $765.9 million for the nine months ended September 30, 2018. Revenue in Ireland is principally a function of the Company’s global transfer pricing model (</w:t>
      </w:r>
      <w:r>
        <w:rPr>
          <w:rFonts w:ascii="Arial" w:cs="Arial" w:eastAsia="Arial" w:hAnsi="Arial"/>
          <w:sz w:val="16"/>
          <w:szCs w:val="16"/>
          <w:i w:val="1"/>
          <w:iCs w:val="1"/>
          <w:color w:val="auto"/>
        </w:rPr>
        <w:t>see note 12 Business Segmental Information for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details</w:t>
      </w:r>
      <w:r>
        <w:rPr>
          <w:rFonts w:ascii="Arial" w:cs="Arial" w:eastAsia="Arial" w:hAnsi="Arial"/>
          <w:sz w:val="16"/>
          <w:szCs w:val="16"/>
          <w:color w:val="auto"/>
        </w:rPr>
        <w:t>). Revenue in our Rest of Europe region increased from $246.1 million for the nine months ended September 30, 2017 to $283.0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2018, principally reflecting the acquisition of Mapi in July 2017. Revenue in our Rest of World region increased from $158.3 million for the nine months ended September 30, 2017 to $193.6 million for the nine months ended September 30, 2018. Revenue in the U.S. region increased from $666.2 million for the nine months ended September 30, 2017 to $674.2 million for the nine months ended September 30, 2018.</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4" w:name="page35"/>
    <w:bookmarkEnd w:id="34"/>
    <w:p>
      <w:pPr>
        <w:jc w:val="both"/>
        <w:spacing w:after="0" w:line="276" w:lineRule="auto"/>
        <w:rPr>
          <w:sz w:val="20"/>
          <w:szCs w:val="20"/>
          <w:color w:val="auto"/>
        </w:rPr>
      </w:pPr>
      <w:r>
        <w:rPr>
          <w:rFonts w:ascii="Arial" w:cs="Arial" w:eastAsia="Arial" w:hAnsi="Arial"/>
          <w:sz w:val="17"/>
          <w:szCs w:val="17"/>
          <w:color w:val="auto"/>
        </w:rPr>
        <w:t>Direct costs for the period increased by $71.1 million, or 9.4%, from $760.2 million for the nine months ended September 30, 2017 to $831.3 million for the nine months ended September 30, 2018.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$68.5 million. As a percentage of revenue, direct costs have increased from 43.0% for the nine months ended September 30, 2017 to 43.4% for the nine months ended September 30, 2018.</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Reimbursable expenses for the period increased by $45.0 million, or 9.7%, from $462.7 million for the nine months ended September 30, 2017 to $507.7 million for the nine months ended September 30, 2018</w:t>
      </w:r>
      <w:r>
        <w:rPr>
          <w:rFonts w:ascii="Arial" w:cs="Arial" w:eastAsia="Arial" w:hAnsi="Arial"/>
          <w:sz w:val="18"/>
          <w:szCs w:val="18"/>
          <w:i w:val="1"/>
          <w:iCs w:val="1"/>
          <w:color w:val="auto"/>
        </w:rPr>
        <w:t>.</w:t>
      </w:r>
      <w:r>
        <w:rPr>
          <w:rFonts w:ascii="Arial" w:cs="Arial" w:eastAsia="Arial" w:hAnsi="Arial"/>
          <w:sz w:val="18"/>
          <w:szCs w:val="18"/>
          <w:color w:val="auto"/>
        </w:rPr>
        <w:t xml:space="preserve"> As a percentage of revenue, reimbursable expenses have increased from 26.2% for the nine months ended September 30, 2017 to 26.5% for the nine months ended September 30, 2018. The increase in reimbursable expenses is directly related to the increased activity.</w:t>
      </w:r>
    </w:p>
    <w:p>
      <w:pPr>
        <w:spacing w:after="0" w:line="2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for the period increased by $1.0 million, or 0.4%, from $241.7 million for the nine months ended September 30, 2017 to $242.7 million for the nine months ended September 30, 2018.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net increase in selling, general and administration expenses for the period of $1.0 million reflects a continued focus on personnel related expenditure and facilities and related costs. As a percentage of revenue, selling, general and administrative expenses decreased from 13.7% for the nine months ended September 30, 2017 to 12.7% for the nine months ended September 30, 2018.</w:t>
      </w:r>
    </w:p>
    <w:p>
      <w:pPr>
        <w:spacing w:after="0" w:line="2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increased by $3.7 million, or 11.6%, from $31.7 million for the nine months ended September 30, 2017 to $35.4 million for nine months ended September 30, 2018. Depreciation expense arises principally from continued investment in facilities, information systems and equipment to support the Company’s growth. As a percentage of revenue the depreciation expense for the nine months ended September 30, 2018 was 1.8% which was in line with percentage of revenue charge for the nine months ended September 30, 2017. Amortization expense for the period increased by $2.2 million, or 16.4%, from $13.4 million for the nine months ended September 30, 2017 to $15.6 million for the nine months ended September 30, 2018. Amortization expense represents the amortization of intangible assets acquired on business combinations. The increase in the amortization expense for the period relates primarily to the acquisition of Mapi in July 2017. As a percentage of revenue, amortization expense for the nine months ended September 30, 2018 was 0.8%, which is line with the nine months ended September 30, 2017.</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2018, a restructuring charge of $12.5 million was recognized under a restructuring plan adopted following a review by the company of its operations. The restructuring plan includes resource rationalization in certain areas of the business to improve resource utilization (</w:t>
      </w:r>
      <w:r>
        <w:rPr>
          <w:rFonts w:ascii="Arial" w:cs="Arial" w:eastAsia="Arial" w:hAnsi="Arial"/>
          <w:sz w:val="18"/>
          <w:szCs w:val="18"/>
          <w:i w:val="1"/>
          <w:iCs w:val="1"/>
          <w:color w:val="auto"/>
        </w:rPr>
        <w:t>see note 4 Restructuring for further information).</w:t>
      </w:r>
      <w:r>
        <w:rPr>
          <w:rFonts w:ascii="Arial" w:cs="Arial" w:eastAsia="Arial" w:hAnsi="Arial"/>
          <w:sz w:val="18"/>
          <w:szCs w:val="18"/>
          <w:color w:val="auto"/>
        </w:rPr>
        <w:t xml:space="preserve"> During the nine months September 30, 2017, a restructuring charge of $7.8 million was recognized.</w:t>
      </w: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above, income from operations for the period increased by $23.0 million or 9.2%, from $248.6 million ($256.3 million excluding restructuring) for the nine months ended September 30, 2017 to $271.6 million ($284.1 million excluding restructuring) for the nine months ended September 30, 2018 . As a percentage of revenue, income from operations for the nine months ended September 30, 2018 increased from 14.1% (14.5% excluding restructuring charges) of revenues for the nine months ended September 30, 2017 to 14.2% (14.8% excluding restructuring charges) of revenues for the nine months ended September 30, 2018.</w:t>
      </w:r>
    </w:p>
    <w:p>
      <w:pPr>
        <w:spacing w:after="0" w:line="2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Income from operations in Ireland increased from a profit of $164.8 million ($172.5 million excluding restructuring charges) for the nine months ended September 30, 2017 to a profit of $190.8 million ($203.3 million excluding restructuring charges) for the nine months ended September 30, 2018 . Income from operations in Ireland is impacted by the Group’s global transfer pricing model </w:t>
      </w:r>
      <w:r>
        <w:rPr>
          <w:rFonts w:ascii="Arial" w:cs="Arial" w:eastAsia="Arial" w:hAnsi="Arial"/>
          <w:sz w:val="16"/>
          <w:szCs w:val="16"/>
          <w:i w:val="1"/>
          <w:iCs w:val="1"/>
          <w:color w:val="auto"/>
        </w:rPr>
        <w:t>(see note 12 Business Segmental Information for further details).</w:t>
      </w:r>
      <w:r>
        <w:rPr>
          <w:rFonts w:ascii="Arial" w:cs="Arial" w:eastAsia="Arial" w:hAnsi="Arial"/>
          <w:sz w:val="16"/>
          <w:szCs w:val="16"/>
          <w:color w:val="auto"/>
        </w:rPr>
        <w:t xml:space="preserve"> Income from operations in our Rest of Europe region increased from $15.1 million ($15.1 million excluding restructuring charges) for the nine months ended September 30, 2017 to $23.9 million ($23.9 million excluding restructuring charges) for the nine months ended September 30, 2018, while income from operations in our Rest of World region increased from $15.8 million ($15.8 million excluding restructuring charges) for the nine months ended September 30, 2017 to $16.0 million ($16.0 million excluding restructuring charges) for the nine months ended September 30, 2018. Income from operations in the U.S. region decreased from $52.9 million ($52.9 million excluding restructuring charges) for the nine months ended September 30, 2017 to $40.9 million ($40.9 million excluding restructuring charges) for the nine months ended September 30, 2018 . During the nine months ended September 30, 2017 a credit of $6 million was recorded being the reduction in the assessment of the fair value of contingent consideration liability relating to the acquisition of ClinicalRM.</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Interest expense for the period increased by $0.8 million, or 8%, from $9.5 million for the nine months ended September 30, 2017 to $10.3 million for the nine months ended September 30, 2018. Interest income increased by $1.4 million or 78.6%, from $1.8 million for the nine months ended September 30, 2017 to $3.2 million for the nine months ended September 30, 2018.</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decreased from $30.4 million ($31.4 million excluding restructuring charges) for the nine months ended September 30, 2017 to $29.9 million ($31.4 million excluding restructuring charges) for the nine months ended September 30, 2018. The Company’s effective tax rate for the nine months ended September 30, 2018 was 11.3% (11.3% excluding restructuring charges) compared with 12.6% (12.6% excluding restructuring charges) for the nine months ended September 30, 2017. The Company’s effective tax rate remains principally a function of the distribution of pre-tax profits amongst the territories in which it operates.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Balance</w:t>
            </w: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Drawn</w:t>
            </w:r>
          </w:p>
        </w:tc>
        <w:tc>
          <w:tcPr>
            <w:tcW w:w="3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Net cash</w:t>
            </w:r>
          </w:p>
        </w:tc>
        <w:tc>
          <w:tcPr>
            <w:tcW w:w="3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Other non-</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Effect of</w:t>
            </w: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2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6"/>
              </w:rPr>
              <w:t>December</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down/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inflow/</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cash</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exchange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September</w:t>
            </w:r>
          </w:p>
        </w:tc>
      </w:tr>
      <w:tr>
        <w:trPr>
          <w:trHeight w:val="241"/>
        </w:trPr>
        <w:tc>
          <w:tcPr>
            <w:tcW w:w="29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31, 2017</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(repaid)</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(outflow)</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6"/>
              </w:rPr>
              <w:t>adjustments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rates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30, 2018</w:t>
            </w:r>
          </w:p>
        </w:tc>
      </w:tr>
      <w:tr>
        <w:trPr>
          <w:trHeight w:val="243"/>
        </w:trPr>
        <w:tc>
          <w:tcPr>
            <w:tcW w:w="2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282,859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147,823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426,221</w:t>
            </w: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Private placement notes</w:t>
            </w:r>
          </w:p>
        </w:tc>
        <w:tc>
          <w:tcPr>
            <w:tcW w:w="9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(348,888)</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(281)</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(349,169)</w:t>
            </w:r>
          </w:p>
        </w:tc>
      </w:tr>
      <w:tr>
        <w:trPr>
          <w:trHeight w:val="34"/>
        </w:trPr>
        <w:tc>
          <w:tcPr>
            <w:tcW w:w="2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2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29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(66,029)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147,823</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(281)</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(4,461)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77,052</w:t>
            </w:r>
          </w:p>
        </w:tc>
      </w:tr>
      <w:tr>
        <w:trPr>
          <w:trHeight w:val="27"/>
        </w:trPr>
        <w:tc>
          <w:tcPr>
            <w:tcW w:w="2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September 30, 2018 amounted to $491.5 million compared with cash and short term investment balances of $360.5 million at December 31, 2017. The Company’s cash and short term investment balances at September 30, 2018 comprised of cash and cash equivalents of $426.2 million and short-term investments of $65.3 million. The Company’s cash and short term investment balances at December 31, 2017 comprised of cash and cash equivalents of $282.9 million and short-term investments of $77.6 million.</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No amounts were drawn at September 30, 2018, or at December 31, 2017, in respect of the Revolving Credit Facility. Amounts available to the Group under the facility at September 30, 2018 were $150.0 million and at December 31, 2017 were $100.0 million.</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also has an uncommitted short-term revolving credit facility of $30 million. No amounts were drawn under this facility at December 31, 2017 or at September 30, 2018.</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was $207.8 million for the nine months ended September 30, 2018 compared with cash provided by operating activities of $277.2 million for the nine months ended September 30, 2017. This reflects the impact of the increase in revenues and underlying profitability of the Company offset by movements in working capital balances in the period.</w:t>
      </w:r>
    </w:p>
    <w:p>
      <w:pPr>
        <w:sectPr>
          <w:pgSz w:w="11900" w:h="16838" w:orient="portrait"/>
          <w:cols w:equalWidth="0" w:num="1">
            <w:col w:w="11420"/>
          </w:cols>
          <w:pgMar w:left="240" w:top="746"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46" w:right="239" w:bottom="1440" w:gutter="0" w:footer="0" w:header="0"/>
          <w:type w:val="continuous"/>
        </w:sectPr>
      </w:pPr>
    </w:p>
    <w:bookmarkStart w:id="36" w:name="page37"/>
    <w:bookmarkEnd w:id="36"/>
    <w:p>
      <w:pPr>
        <w:jc w:val="both"/>
        <w:spacing w:after="0" w:line="270" w:lineRule="auto"/>
        <w:rPr>
          <w:sz w:val="20"/>
          <w:szCs w:val="20"/>
          <w:color w:val="auto"/>
        </w:rPr>
      </w:pPr>
      <w:r>
        <w:rPr>
          <w:rFonts w:ascii="Arial" w:cs="Arial" w:eastAsia="Arial" w:hAnsi="Arial"/>
          <w:sz w:val="17"/>
          <w:szCs w:val="17"/>
          <w:color w:val="auto"/>
        </w:rPr>
        <w:t>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delivery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2018 was 49 days (under ASC 606) and was in line with 49 days at December 31, 2017 (under ASC 605). The number of days revenue outstanding at September 30, 2017 was 50 days compared to 50 days at December 31, 2016.</w:t>
      </w:r>
    </w:p>
    <w:p>
      <w:pPr>
        <w:spacing w:after="0" w:line="2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investing activities was $17.0 million for the nine months ended September 30, 2018 compared to net cash used in investing activities of $162.9 million for the nine months ended September 30, 2017. Net cash used in the nine months ended September 30, 2018 relates to capital expenditure of $28.4 million, which was mainly comprised of investment in facilities and IT infrastructure. During the nine months ended September 30, 2018 $85.9 million was used for the purchase of short term investments and $98.9 million was generated by the sale of short term investments. Net cash used in investing activities during the nine months ended September 30, 2017 relates to capital expenditure of $23.7 million, which was mainly comprised of investment in facilities and IT infrastructure. During the nine months ended September 30, 2017 $144.1 million was used for the acquisition of Mapi Group, $36.5 million was used for the purchase of short term investments and $22.7 million was generated by the sale of short term investments.</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during the nine months ended September 30, 2018 amounted to $42.9 million compared to net cash used in financing activities of $100.4 million for the nine months ended September 30, 2017. Cash outflows in respect of financing includes cash payments in respect of the Company’s share repurchase program totaling $57.0 million during the nine months ended September 30, 2018 and financing costs of $0.8 million. In addition, $14.9 million was received by the Company from the exercise of share options. During the nine months ended September 30, 2017, $108.1 million was recognized in relation to the Company's share repurchase program. In addition, $7.8 million was received by the Company from the exercise of share options.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increased by $143.4 million for the nine months ended September 30, 2018 compared to an increase of $17.3 million for the nine months ended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8"/>
          <w:szCs w:val="18"/>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841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57" w:lineRule="exact"/>
        <w:rPr>
          <w:sz w:val="20"/>
          <w:szCs w:val="20"/>
          <w:color w:val="auto"/>
        </w:rPr>
      </w:pPr>
    </w:p>
    <w:p>
      <w:pPr>
        <w:ind w:left="720" w:right="1720" w:hanging="7994"/>
        <w:spacing w:after="0" w:line="290"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2018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2019-12-06T12:02:11Z</dcterms:created>
  <dcterms:modified xsi:type="dcterms:W3CDTF">2019-12-06T12:02:11Z</dcterms:modified>
</cp:coreProperties>
</file>