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2009</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22, 2009</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2140"/>
        <w:spacing w:after="0" w:line="435" w:lineRule="auto"/>
        <w:rPr>
          <w:sz w:val="20"/>
          <w:szCs w:val="20"/>
          <w:color w:val="auto"/>
        </w:rPr>
      </w:pPr>
      <w:r>
        <w:rPr>
          <w:rFonts w:ascii="Arial" w:cs="Arial" w:eastAsia="Arial" w:hAnsi="Arial"/>
          <w:sz w:val="22"/>
          <w:szCs w:val="22"/>
          <w:b w:val="1"/>
          <w:bCs w:val="1"/>
          <w:color w:val="auto"/>
        </w:rPr>
        <w:t>ICON Reports 22% Increase in EPS and Strong Cash Flows (NASDAQ:ICLR) (ISIN:IE0005711209) Highlights – Second Quarter Fiscal 2009</w:t>
      </w:r>
    </w:p>
    <w:p>
      <w:pPr>
        <w:spacing w:after="0" w:line="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Net revenue of $220 million.</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Income from operations increased by 20%, to $29.3 million, before one time net charges.</w:t>
      </w:r>
    </w:p>
    <w:p>
      <w:pPr>
        <w:spacing w:after="0" w:line="206" w:lineRule="exact"/>
        <w:rPr>
          <w:rFonts w:ascii="Arial" w:cs="Arial" w:eastAsia="Arial" w:hAnsi="Arial"/>
          <w:sz w:val="22"/>
          <w:szCs w:val="22"/>
          <w:b w:val="1"/>
          <w:bCs w:val="1"/>
          <w:color w:val="auto"/>
        </w:rPr>
      </w:pPr>
    </w:p>
    <w:p>
      <w:pPr>
        <w:ind w:right="220" w:firstLine="8"/>
        <w:spacing w:after="0" w:line="256" w:lineRule="auto"/>
        <w:tabs>
          <w:tab w:leader="none" w:pos="16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Operating margins before one time net charges expanded to 13.3% from 11.2% and EPS on the same basis increased by 22% to 38 cents.</w:t>
      </w:r>
    </w:p>
    <w:p>
      <w:pPr>
        <w:spacing w:after="0" w:line="162"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One time net charges of $4.2 million arising from restructuring charges and tax credits.</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Net new business wins in the quarter of $266m, representing a book-to-bill ratio of 1.2.</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Net cash of $83.2 million compared to net debt of $2.2 million in Q1.</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Revenue guidance for 09 amended to $880-$900 million and EPS guidance, before one time net charges has firmed to</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$1.38 - $1.44</w:t>
      </w:r>
    </w:p>
    <w:p>
      <w:pPr>
        <w:spacing w:after="0" w:line="188" w:lineRule="exact"/>
        <w:rPr>
          <w:sz w:val="20"/>
          <w:szCs w:val="20"/>
          <w:color w:val="auto"/>
        </w:rPr>
      </w:pPr>
    </w:p>
    <w:p>
      <w:pPr>
        <w:jc w:val="both"/>
        <w:ind w:right="320"/>
        <w:spacing w:after="0"/>
        <w:rPr>
          <w:sz w:val="20"/>
          <w:szCs w:val="20"/>
          <w:color w:val="auto"/>
        </w:rPr>
      </w:pPr>
      <w:r>
        <w:rPr>
          <w:rFonts w:ascii="Arial" w:cs="Arial" w:eastAsia="Arial" w:hAnsi="Arial"/>
          <w:sz w:val="22"/>
          <w:szCs w:val="22"/>
          <w:color w:val="auto"/>
        </w:rPr>
        <w:t>DUBLIN--(BUSINESS WIRE)--July 22, 2009--ICON (NASDAQ:ICLR)(ISIN:IE0005711209), a global provider of outsourced development services to the pharmaceutical, biotechnology and medical device industries, today reported its financial results for the second quarter ended June 30, 2009.</w:t>
      </w:r>
    </w:p>
    <w:p>
      <w:pPr>
        <w:spacing w:after="0" w:line="186"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Net revenues for the quarter were $220 million, representing a 1% increase over net revenues of $218.3 million for the comparative quarter last year. Year-to-date, net revenues were $439.8 million, representing a 5% increase over the same period last year.</w:t>
      </w:r>
    </w:p>
    <w:p>
      <w:pPr>
        <w:spacing w:after="0" w:line="105"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Before one time net charges income from operations was $29.3 million or 13.3% of revenue, compared to $24.4 million or 11.2% for the same quarter last year. Net income was $22.8 million or 38 cents per share on a diluted basis, compared with $18.8 million or 31 cents per share last year.</w:t>
      </w:r>
    </w:p>
    <w:p>
      <w:pPr>
        <w:spacing w:after="0" w:line="186" w:lineRule="exact"/>
        <w:rPr>
          <w:sz w:val="20"/>
          <w:szCs w:val="20"/>
          <w:color w:val="auto"/>
        </w:rPr>
      </w:pPr>
    </w:p>
    <w:p>
      <w:pPr>
        <w:ind w:right="840"/>
        <w:spacing w:after="0"/>
        <w:rPr>
          <w:sz w:val="20"/>
          <w:szCs w:val="20"/>
          <w:color w:val="auto"/>
        </w:rPr>
      </w:pPr>
      <w:r>
        <w:rPr>
          <w:rFonts w:ascii="Arial" w:cs="Arial" w:eastAsia="Arial" w:hAnsi="Arial"/>
          <w:sz w:val="22"/>
          <w:szCs w:val="22"/>
          <w:color w:val="auto"/>
        </w:rPr>
        <w:t>Before one time net charges year-to-date income from operations was $56.2 million, compared to $45.9 million last year representing a margin of 12.8% in 2009 v a margin of 10.9% in 2008. Net income was $43.7 million or 73 cents per share, compared with $35.7 million or 59 cents last year.</w:t>
      </w:r>
    </w:p>
    <w:p>
      <w:pPr>
        <w:spacing w:after="0" w:line="18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49 days at June 30, 2009, compared to 59 days at March 31, 2009.</w:t>
      </w:r>
    </w:p>
    <w:p>
      <w:pPr>
        <w:spacing w:after="0" w:line="173" w:lineRule="exact"/>
        <w:rPr>
          <w:sz w:val="20"/>
          <w:szCs w:val="20"/>
          <w:color w:val="auto"/>
        </w:rPr>
      </w:pPr>
    </w:p>
    <w:p>
      <w:pPr>
        <w:jc w:val="both"/>
        <w:ind w:right="280"/>
        <w:spacing w:after="0"/>
        <w:rPr>
          <w:sz w:val="20"/>
          <w:szCs w:val="20"/>
          <w:color w:val="auto"/>
        </w:rPr>
      </w:pPr>
      <w:r>
        <w:rPr>
          <w:rFonts w:ascii="Arial" w:cs="Arial" w:eastAsia="Arial" w:hAnsi="Arial"/>
          <w:sz w:val="22"/>
          <w:szCs w:val="22"/>
          <w:color w:val="auto"/>
        </w:rPr>
        <w:t>For the quarter ended June 30, 2009, cash provided from operating activities was $103 million and capital expenditure was $8.3 million. As a result, the company’s net cash, amounted to $83.2 million at June 30, 2009, compared to net debt of $2.2 million at March 31, 2009.</w:t>
      </w:r>
    </w:p>
    <w:p>
      <w:pPr>
        <w:spacing w:after="0" w:line="186"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Chairman Dr. John Climax commented “I am very pleased with ICON’s performance for the first six months of 2009. Our growth in margins, operating income and earnings was very encouraging. Year to date revenue was 5% ahead of prior year and earnings per share were up 24% over the first six months of 08.”</w:t>
      </w:r>
    </w:p>
    <w:p>
      <w:pPr>
        <w:spacing w:after="0" w:line="186"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“In the current market, we are pleased with the results for the quarter”, said CEO Peter Gray. “We continue to expand margin and as a result we increased operating income by 20% compared to the same period last year. In addition we are now amending guidance for revenue for the remainder of 2009 to $880 - $900 million and firming our EPS guidance, before one time net charges to, $1.38 -$1.44.”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9" w:lineRule="auto"/>
        <w:rPr>
          <w:sz w:val="20"/>
          <w:szCs w:val="20"/>
          <w:color w:val="auto"/>
        </w:rPr>
      </w:pPr>
      <w:r>
        <w:rPr>
          <w:rFonts w:ascii="Arial" w:cs="Arial" w:eastAsia="Arial" w:hAnsi="Arial"/>
          <w:sz w:val="19"/>
          <w:szCs w:val="19"/>
          <w:color w:val="auto"/>
        </w:rPr>
        <w:t>During the quarter the company undertook a number of cost reduction steps which led to one time gross restructuring costs of $13.4 million. An offsetting credit from government incentive payments relating to prior periods resulted in a net charge of $8.9 million. In addition, tax credits amounting to a further $4.7 million reduced the provision for income tax. Thus the overall net one time charge was $4.2 million. US GAAP operating income after these items amounted to $20.4 million or 9.3% of revenue and year-to-date operating income amounts to $47.3 million or 10.8% of revenue. US GAAP net income for the quarter is $18.5 million or 31 cents per share and for the year-to-date net income is $39.5 million or 66 cents.</w:t>
      </w:r>
    </w:p>
    <w:p>
      <w:pPr>
        <w:spacing w:after="0" w:line="151"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The company will hold its second quarter conference call today, July 22, 2009 at 10:00 EST [15:00 Ireland &amp; UK]. This call and linked slide presentation can be accessed live from our website at </w:t>
      </w:r>
      <w:r>
        <w:rPr>
          <w:rFonts w:ascii="Arial" w:cs="Arial" w:eastAsia="Arial" w:hAnsi="Arial"/>
          <w:sz w:val="21"/>
          <w:szCs w:val="21"/>
          <w:u w:val="single" w:color="auto"/>
          <w:color w:val="auto"/>
        </w:rPr>
        <w:t>http://www.iconplc.com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71 locations in 38 countries and has approximately 7,000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Consolidated Income Statements (Unaudited) (Before one time net charges)</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Three and Six Months ended June 30, 2009 and June 30, 2008</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Three Months Ended</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56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1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351"/>
        </w:trPr>
        <w:tc>
          <w:tcPr>
            <w:tcW w:w="5640" w:type="dxa"/>
            <w:vAlign w:val="bottom"/>
          </w:tcPr>
          <w:p>
            <w:pPr>
              <w:ind w:left="140"/>
              <w:spacing w:after="0"/>
              <w:rPr>
                <w:sz w:val="20"/>
                <w:szCs w:val="20"/>
                <w:color w:val="auto"/>
              </w:rPr>
            </w:pPr>
            <w:r>
              <w:rPr>
                <w:rFonts w:ascii="Arial" w:cs="Arial" w:eastAsia="Arial" w:hAnsi="Arial"/>
                <w:sz w:val="14"/>
                <w:szCs w:val="14"/>
                <w:color w:val="auto"/>
              </w:rPr>
              <w:t>Gross Revenue</w:t>
            </w:r>
          </w:p>
        </w:tc>
        <w:tc>
          <w:tcPr>
            <w:tcW w:w="1340" w:type="dxa"/>
            <w:vAlign w:val="bottom"/>
          </w:tcPr>
          <w:p>
            <w:pPr>
              <w:jc w:val="right"/>
              <w:spacing w:after="0"/>
              <w:rPr>
                <w:sz w:val="20"/>
                <w:szCs w:val="20"/>
                <w:color w:val="auto"/>
              </w:rPr>
            </w:pPr>
            <w:r>
              <w:rPr>
                <w:rFonts w:ascii="Arial" w:cs="Arial" w:eastAsia="Arial" w:hAnsi="Arial"/>
                <w:sz w:val="14"/>
                <w:szCs w:val="14"/>
                <w:color w:val="auto"/>
              </w:rPr>
              <w:t>300,969</w:t>
            </w:r>
          </w:p>
        </w:tc>
        <w:tc>
          <w:tcPr>
            <w:tcW w:w="1600" w:type="dxa"/>
            <w:vAlign w:val="bottom"/>
            <w:gridSpan w:val="3"/>
          </w:tcPr>
          <w:p>
            <w:pPr>
              <w:jc w:val="right"/>
              <w:ind w:right="140"/>
              <w:spacing w:after="0"/>
              <w:rPr>
                <w:sz w:val="20"/>
                <w:szCs w:val="20"/>
                <w:color w:val="auto"/>
              </w:rPr>
            </w:pPr>
            <w:r>
              <w:rPr>
                <w:rFonts w:ascii="Arial" w:cs="Arial" w:eastAsia="Arial" w:hAnsi="Arial"/>
                <w:sz w:val="14"/>
                <w:szCs w:val="14"/>
                <w:color w:val="auto"/>
              </w:rPr>
              <w:t>316,592</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619,507</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600,445</w:t>
            </w:r>
          </w:p>
        </w:tc>
        <w:tc>
          <w:tcPr>
            <w:tcW w:w="0" w:type="dxa"/>
            <w:vAlign w:val="bottom"/>
          </w:tcPr>
          <w:p>
            <w:pPr>
              <w:spacing w:after="0"/>
              <w:rPr>
                <w:sz w:val="1"/>
                <w:szCs w:val="1"/>
                <w:color w:val="auto"/>
              </w:rPr>
            </w:pPr>
          </w:p>
        </w:tc>
      </w:tr>
      <w:tr>
        <w:trPr>
          <w:trHeight w:val="351"/>
        </w:trPr>
        <w:tc>
          <w:tcPr>
            <w:tcW w:w="5640" w:type="dxa"/>
            <w:vAlign w:val="bottom"/>
          </w:tcPr>
          <w:p>
            <w:pPr>
              <w:ind w:left="140"/>
              <w:spacing w:after="0"/>
              <w:rPr>
                <w:sz w:val="20"/>
                <w:szCs w:val="20"/>
                <w:color w:val="auto"/>
              </w:rPr>
            </w:pPr>
            <w:r>
              <w:rPr>
                <w:rFonts w:ascii="Arial" w:cs="Arial" w:eastAsia="Arial" w:hAnsi="Arial"/>
                <w:sz w:val="14"/>
                <w:szCs w:val="14"/>
                <w:color w:val="auto"/>
              </w:rPr>
              <w:t>Reimbursable expenses</w:t>
            </w:r>
          </w:p>
        </w:tc>
        <w:tc>
          <w:tcPr>
            <w:tcW w:w="1340" w:type="dxa"/>
            <w:vAlign w:val="bottom"/>
          </w:tcPr>
          <w:p>
            <w:pPr>
              <w:jc w:val="right"/>
              <w:spacing w:after="0"/>
              <w:rPr>
                <w:sz w:val="20"/>
                <w:szCs w:val="20"/>
                <w:color w:val="auto"/>
              </w:rPr>
            </w:pPr>
            <w:r>
              <w:rPr>
                <w:rFonts w:ascii="Arial" w:cs="Arial" w:eastAsia="Arial" w:hAnsi="Arial"/>
                <w:sz w:val="14"/>
                <w:szCs w:val="14"/>
                <w:color w:val="auto"/>
              </w:rPr>
              <w:t>80,968</w:t>
            </w:r>
          </w:p>
        </w:tc>
        <w:tc>
          <w:tcPr>
            <w:tcW w:w="1600" w:type="dxa"/>
            <w:vAlign w:val="bottom"/>
            <w:gridSpan w:val="3"/>
          </w:tcPr>
          <w:p>
            <w:pPr>
              <w:jc w:val="right"/>
              <w:ind w:right="140"/>
              <w:spacing w:after="0"/>
              <w:rPr>
                <w:sz w:val="20"/>
                <w:szCs w:val="20"/>
                <w:color w:val="auto"/>
              </w:rPr>
            </w:pPr>
            <w:r>
              <w:rPr>
                <w:rFonts w:ascii="Arial" w:cs="Arial" w:eastAsia="Arial" w:hAnsi="Arial"/>
                <w:sz w:val="14"/>
                <w:szCs w:val="14"/>
                <w:color w:val="auto"/>
              </w:rPr>
              <w:t>98,292</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179,675</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180,801</w:t>
            </w:r>
          </w:p>
        </w:tc>
        <w:tc>
          <w:tcPr>
            <w:tcW w:w="0" w:type="dxa"/>
            <w:vAlign w:val="bottom"/>
          </w:tcPr>
          <w:p>
            <w:pPr>
              <w:spacing w:after="0"/>
              <w:rPr>
                <w:sz w:val="1"/>
                <w:szCs w:val="1"/>
                <w:color w:val="auto"/>
              </w:rPr>
            </w:pPr>
          </w:p>
        </w:tc>
      </w:tr>
      <w:tr>
        <w:trPr>
          <w:trHeight w:val="174"/>
        </w:trPr>
        <w:tc>
          <w:tcPr>
            <w:tcW w:w="56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Net Revenue</w:t>
            </w: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vMerge w:val="continue"/>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220,001</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218,300</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439,832</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419,644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640" w:type="dxa"/>
            <w:vAlign w:val="bottom"/>
          </w:tcPr>
          <w:p>
            <w:pPr>
              <w:ind w:left="140"/>
              <w:spacing w:after="0"/>
              <w:rPr>
                <w:sz w:val="20"/>
                <w:szCs w:val="20"/>
                <w:color w:val="auto"/>
              </w:rPr>
            </w:pPr>
            <w:r>
              <w:rPr>
                <w:rFonts w:ascii="Arial" w:cs="Arial" w:eastAsia="Arial" w:hAnsi="Arial"/>
                <w:sz w:val="14"/>
                <w:szCs w:val="14"/>
                <w:b w:val="1"/>
                <w:bCs w:val="1"/>
                <w:color w:val="auto"/>
              </w:rPr>
              <w:t>Costs and expenses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140"/>
              <w:spacing w:after="0"/>
              <w:rPr>
                <w:sz w:val="20"/>
                <w:szCs w:val="20"/>
                <w:color w:val="auto"/>
              </w:rPr>
            </w:pPr>
            <w:r>
              <w:rPr>
                <w:rFonts w:ascii="Arial" w:cs="Arial" w:eastAsia="Arial" w:hAnsi="Arial"/>
                <w:sz w:val="14"/>
                <w:szCs w:val="14"/>
                <w:color w:val="auto"/>
              </w:rPr>
              <w:t>Direct costs</w:t>
            </w:r>
          </w:p>
        </w:tc>
        <w:tc>
          <w:tcPr>
            <w:tcW w:w="1340" w:type="dxa"/>
            <w:vAlign w:val="bottom"/>
          </w:tcPr>
          <w:p>
            <w:pPr>
              <w:jc w:val="right"/>
              <w:spacing w:after="0"/>
              <w:rPr>
                <w:sz w:val="20"/>
                <w:szCs w:val="20"/>
                <w:color w:val="auto"/>
              </w:rPr>
            </w:pPr>
            <w:r>
              <w:rPr>
                <w:rFonts w:ascii="Arial" w:cs="Arial" w:eastAsia="Arial" w:hAnsi="Arial"/>
                <w:sz w:val="14"/>
                <w:szCs w:val="14"/>
                <w:color w:val="auto"/>
              </w:rPr>
              <w:t>125,146</w:t>
            </w:r>
          </w:p>
        </w:tc>
        <w:tc>
          <w:tcPr>
            <w:tcW w:w="1600" w:type="dxa"/>
            <w:vAlign w:val="bottom"/>
            <w:gridSpan w:val="3"/>
          </w:tcPr>
          <w:p>
            <w:pPr>
              <w:jc w:val="right"/>
              <w:ind w:right="140"/>
              <w:spacing w:after="0"/>
              <w:rPr>
                <w:sz w:val="20"/>
                <w:szCs w:val="20"/>
                <w:color w:val="auto"/>
              </w:rPr>
            </w:pPr>
            <w:r>
              <w:rPr>
                <w:rFonts w:ascii="Arial" w:cs="Arial" w:eastAsia="Arial" w:hAnsi="Arial"/>
                <w:sz w:val="14"/>
                <w:szCs w:val="14"/>
                <w:color w:val="auto"/>
              </w:rPr>
              <w:t>122,976</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249,314</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236,165</w:t>
            </w:r>
          </w:p>
        </w:tc>
        <w:tc>
          <w:tcPr>
            <w:tcW w:w="0" w:type="dxa"/>
            <w:vAlign w:val="bottom"/>
          </w:tcPr>
          <w:p>
            <w:pPr>
              <w:spacing w:after="0"/>
              <w:rPr>
                <w:sz w:val="1"/>
                <w:szCs w:val="1"/>
                <w:color w:val="auto"/>
              </w:rPr>
            </w:pPr>
          </w:p>
        </w:tc>
      </w:tr>
      <w:tr>
        <w:trPr>
          <w:trHeight w:val="176"/>
        </w:trPr>
        <w:tc>
          <w:tcPr>
            <w:tcW w:w="564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1340" w:type="dxa"/>
            <w:vAlign w:val="bottom"/>
          </w:tcPr>
          <w:p>
            <w:pPr>
              <w:jc w:val="right"/>
              <w:spacing w:after="0"/>
              <w:rPr>
                <w:sz w:val="20"/>
                <w:szCs w:val="20"/>
                <w:color w:val="auto"/>
              </w:rPr>
            </w:pPr>
            <w:r>
              <w:rPr>
                <w:rFonts w:ascii="Arial" w:cs="Arial" w:eastAsia="Arial" w:hAnsi="Arial"/>
                <w:sz w:val="14"/>
                <w:szCs w:val="14"/>
                <w:color w:val="auto"/>
              </w:rPr>
              <w:t>58,010</w:t>
            </w:r>
          </w:p>
        </w:tc>
        <w:tc>
          <w:tcPr>
            <w:tcW w:w="1600" w:type="dxa"/>
            <w:vAlign w:val="bottom"/>
            <w:gridSpan w:val="3"/>
          </w:tcPr>
          <w:p>
            <w:pPr>
              <w:jc w:val="right"/>
              <w:ind w:right="140"/>
              <w:spacing w:after="0"/>
              <w:rPr>
                <w:sz w:val="20"/>
                <w:szCs w:val="20"/>
                <w:color w:val="auto"/>
              </w:rPr>
            </w:pPr>
            <w:r>
              <w:rPr>
                <w:rFonts w:ascii="Arial" w:cs="Arial" w:eastAsia="Arial" w:hAnsi="Arial"/>
                <w:sz w:val="14"/>
                <w:szCs w:val="14"/>
                <w:color w:val="auto"/>
              </w:rPr>
              <w:t>64,289</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119,268</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124,834</w:t>
            </w:r>
          </w:p>
        </w:tc>
        <w:tc>
          <w:tcPr>
            <w:tcW w:w="0" w:type="dxa"/>
            <w:vAlign w:val="bottom"/>
          </w:tcPr>
          <w:p>
            <w:pPr>
              <w:spacing w:after="0"/>
              <w:rPr>
                <w:sz w:val="1"/>
                <w:szCs w:val="1"/>
                <w:color w:val="auto"/>
              </w:rPr>
            </w:pPr>
          </w:p>
        </w:tc>
      </w:tr>
      <w:tr>
        <w:trPr>
          <w:trHeight w:val="182"/>
        </w:trPr>
        <w:tc>
          <w:tcPr>
            <w:tcW w:w="56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340" w:type="dxa"/>
            <w:vAlign w:val="bottom"/>
          </w:tcPr>
          <w:p>
            <w:pPr>
              <w:jc w:val="right"/>
              <w:spacing w:after="0"/>
              <w:rPr>
                <w:sz w:val="20"/>
                <w:szCs w:val="20"/>
                <w:color w:val="auto"/>
              </w:rPr>
            </w:pPr>
            <w:r>
              <w:rPr>
                <w:rFonts w:ascii="Arial" w:cs="Arial" w:eastAsia="Arial" w:hAnsi="Arial"/>
                <w:sz w:val="14"/>
                <w:szCs w:val="14"/>
                <w:color w:val="auto"/>
              </w:rPr>
              <w:t>7,526</w:t>
            </w:r>
          </w:p>
        </w:tc>
        <w:tc>
          <w:tcPr>
            <w:tcW w:w="1600" w:type="dxa"/>
            <w:vAlign w:val="bottom"/>
            <w:gridSpan w:val="3"/>
          </w:tcPr>
          <w:p>
            <w:pPr>
              <w:jc w:val="right"/>
              <w:ind w:right="140"/>
              <w:spacing w:after="0"/>
              <w:rPr>
                <w:sz w:val="20"/>
                <w:szCs w:val="20"/>
                <w:color w:val="auto"/>
              </w:rPr>
            </w:pPr>
            <w:r>
              <w:rPr>
                <w:rFonts w:ascii="Arial" w:cs="Arial" w:eastAsia="Arial" w:hAnsi="Arial"/>
                <w:sz w:val="14"/>
                <w:szCs w:val="14"/>
                <w:color w:val="auto"/>
              </w:rPr>
              <w:t>6,641</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15,016</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12,739</w:t>
            </w:r>
          </w:p>
        </w:tc>
        <w:tc>
          <w:tcPr>
            <w:tcW w:w="0" w:type="dxa"/>
            <w:vAlign w:val="bottom"/>
          </w:tcPr>
          <w:p>
            <w:pPr>
              <w:spacing w:after="0"/>
              <w:rPr>
                <w:sz w:val="1"/>
                <w:szCs w:val="1"/>
                <w:color w:val="auto"/>
              </w:rPr>
            </w:pPr>
          </w:p>
        </w:tc>
      </w:tr>
      <w:tr>
        <w:trPr>
          <w:trHeight w:val="174"/>
        </w:trPr>
        <w:tc>
          <w:tcPr>
            <w:tcW w:w="56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 costs and expenses</w:t>
            </w:r>
          </w:p>
        </w:tc>
        <w:tc>
          <w:tcPr>
            <w:tcW w:w="1340" w:type="dxa"/>
            <w:vAlign w:val="bottom"/>
          </w:tcPr>
          <w:p>
            <w:pPr>
              <w:spacing w:after="0"/>
              <w:rPr>
                <w:sz w:val="15"/>
                <w:szCs w:val="15"/>
                <w:color w:val="auto"/>
              </w:rPr>
            </w:pPr>
          </w:p>
        </w:tc>
        <w:tc>
          <w:tcPr>
            <w:tcW w:w="1600" w:type="dxa"/>
            <w:vAlign w:val="bottom"/>
            <w:gridSpan w:val="3"/>
          </w:tcPr>
          <w:p>
            <w:pPr>
              <w:spacing w:after="0"/>
              <w:rPr>
                <w:sz w:val="15"/>
                <w:szCs w:val="15"/>
                <w:color w:val="auto"/>
              </w:rPr>
            </w:pPr>
          </w:p>
        </w:tc>
        <w:tc>
          <w:tcPr>
            <w:tcW w:w="1480" w:type="dxa"/>
            <w:vAlign w:val="bottom"/>
            <w:gridSpan w:val="2"/>
          </w:tcPr>
          <w:p>
            <w:pPr>
              <w:spacing w:after="0"/>
              <w:rPr>
                <w:sz w:val="15"/>
                <w:szCs w:val="15"/>
                <w:color w:val="auto"/>
              </w:rPr>
            </w:pPr>
          </w:p>
        </w:tc>
        <w:tc>
          <w:tcPr>
            <w:tcW w:w="13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vMerge w:val="continue"/>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190,682</w:t>
            </w:r>
          </w:p>
        </w:tc>
        <w:tc>
          <w:tcPr>
            <w:tcW w:w="140" w:type="dxa"/>
            <w:vAlign w:val="bottom"/>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193,906</w:t>
            </w:r>
          </w:p>
        </w:tc>
        <w:tc>
          <w:tcPr>
            <w:tcW w:w="14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383,598</w:t>
            </w:r>
          </w:p>
        </w:tc>
        <w:tc>
          <w:tcPr>
            <w:tcW w:w="14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373,738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5640" w:type="dxa"/>
            <w:vAlign w:val="bottom"/>
          </w:tcPr>
          <w:p>
            <w:pPr>
              <w:ind w:left="140"/>
              <w:spacing w:after="0"/>
              <w:rPr>
                <w:sz w:val="20"/>
                <w:szCs w:val="20"/>
                <w:color w:val="auto"/>
              </w:rPr>
            </w:pPr>
            <w:r>
              <w:rPr>
                <w:rFonts w:ascii="Arial" w:cs="Arial" w:eastAsia="Arial" w:hAnsi="Arial"/>
                <w:sz w:val="14"/>
                <w:szCs w:val="14"/>
                <w:b w:val="1"/>
                <w:bCs w:val="1"/>
                <w:color w:val="auto"/>
              </w:rPr>
              <w:t>Income from operations</w:t>
            </w:r>
          </w:p>
        </w:tc>
        <w:tc>
          <w:tcPr>
            <w:tcW w:w="1340" w:type="dxa"/>
            <w:vAlign w:val="bottom"/>
          </w:tcPr>
          <w:p>
            <w:pPr>
              <w:jc w:val="right"/>
              <w:spacing w:after="0"/>
              <w:rPr>
                <w:sz w:val="20"/>
                <w:szCs w:val="20"/>
                <w:color w:val="auto"/>
              </w:rPr>
            </w:pPr>
            <w:r>
              <w:rPr>
                <w:rFonts w:ascii="Arial" w:cs="Arial" w:eastAsia="Arial" w:hAnsi="Arial"/>
                <w:sz w:val="14"/>
                <w:szCs w:val="14"/>
                <w:color w:val="auto"/>
              </w:rPr>
              <w:t>29,319</w:t>
            </w:r>
          </w:p>
        </w:tc>
        <w:tc>
          <w:tcPr>
            <w:tcW w:w="1600" w:type="dxa"/>
            <w:vAlign w:val="bottom"/>
            <w:gridSpan w:val="3"/>
          </w:tcPr>
          <w:p>
            <w:pPr>
              <w:jc w:val="right"/>
              <w:ind w:right="140"/>
              <w:spacing w:after="0"/>
              <w:rPr>
                <w:sz w:val="20"/>
                <w:szCs w:val="20"/>
                <w:color w:val="auto"/>
              </w:rPr>
            </w:pPr>
            <w:r>
              <w:rPr>
                <w:rFonts w:ascii="Arial" w:cs="Arial" w:eastAsia="Arial" w:hAnsi="Arial"/>
                <w:sz w:val="14"/>
                <w:szCs w:val="14"/>
                <w:color w:val="auto"/>
              </w:rPr>
              <w:t>24,394</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56,234</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45,906</w:t>
            </w:r>
          </w:p>
        </w:tc>
        <w:tc>
          <w:tcPr>
            <w:tcW w:w="0" w:type="dxa"/>
            <w:vAlign w:val="bottom"/>
          </w:tcPr>
          <w:p>
            <w:pPr>
              <w:spacing w:after="0"/>
              <w:rPr>
                <w:sz w:val="1"/>
                <w:szCs w:val="1"/>
                <w:color w:val="auto"/>
              </w:rPr>
            </w:pPr>
          </w:p>
        </w:tc>
      </w:tr>
      <w:tr>
        <w:trPr>
          <w:trHeight w:val="351"/>
        </w:trPr>
        <w:tc>
          <w:tcPr>
            <w:tcW w:w="5640" w:type="dxa"/>
            <w:vAlign w:val="bottom"/>
          </w:tcPr>
          <w:p>
            <w:pPr>
              <w:ind w:left="140"/>
              <w:spacing w:after="0"/>
              <w:rPr>
                <w:sz w:val="20"/>
                <w:szCs w:val="20"/>
                <w:color w:val="auto"/>
              </w:rPr>
            </w:pPr>
            <w:r>
              <w:rPr>
                <w:rFonts w:ascii="Arial" w:cs="Arial" w:eastAsia="Arial" w:hAnsi="Arial"/>
                <w:sz w:val="14"/>
                <w:szCs w:val="14"/>
                <w:color w:val="auto"/>
              </w:rPr>
              <w:t>Net interest expense</w:t>
            </w:r>
          </w:p>
        </w:tc>
        <w:tc>
          <w:tcPr>
            <w:tcW w:w="1340" w:type="dxa"/>
            <w:vAlign w:val="bottom"/>
          </w:tcPr>
          <w:p>
            <w:pPr>
              <w:jc w:val="right"/>
              <w:spacing w:after="0"/>
              <w:rPr>
                <w:sz w:val="20"/>
                <w:szCs w:val="20"/>
                <w:color w:val="auto"/>
              </w:rPr>
            </w:pPr>
            <w:r>
              <w:rPr>
                <w:rFonts w:ascii="Arial" w:cs="Arial" w:eastAsia="Arial" w:hAnsi="Arial"/>
                <w:sz w:val="14"/>
                <w:szCs w:val="14"/>
                <w:color w:val="auto"/>
              </w:rPr>
              <w:t>(875)</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(476)</w:t>
            </w:r>
          </w:p>
        </w:tc>
        <w:tc>
          <w:tcPr>
            <w:tcW w:w="14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(1,611)</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74"/>
        </w:trPr>
        <w:tc>
          <w:tcPr>
            <w:tcW w:w="56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Income before provision of income taxes</w:t>
            </w:r>
          </w:p>
        </w:tc>
        <w:tc>
          <w:tcPr>
            <w:tcW w:w="1340" w:type="dxa"/>
            <w:vAlign w:val="bottom"/>
          </w:tcPr>
          <w:p>
            <w:pPr>
              <w:spacing w:after="0"/>
              <w:rPr>
                <w:sz w:val="15"/>
                <w:szCs w:val="15"/>
                <w:color w:val="auto"/>
              </w:rPr>
            </w:pPr>
          </w:p>
        </w:tc>
        <w:tc>
          <w:tcPr>
            <w:tcW w:w="1600" w:type="dxa"/>
            <w:vAlign w:val="bottom"/>
            <w:gridSpan w:val="3"/>
          </w:tcPr>
          <w:p>
            <w:pPr>
              <w:spacing w:after="0"/>
              <w:rPr>
                <w:sz w:val="15"/>
                <w:szCs w:val="15"/>
                <w:color w:val="auto"/>
              </w:rPr>
            </w:pPr>
          </w:p>
        </w:tc>
        <w:tc>
          <w:tcPr>
            <w:tcW w:w="1480" w:type="dxa"/>
            <w:vAlign w:val="bottom"/>
            <w:gridSpan w:val="2"/>
          </w:tcPr>
          <w:p>
            <w:pPr>
              <w:spacing w:after="0"/>
              <w:rPr>
                <w:sz w:val="15"/>
                <w:szCs w:val="15"/>
                <w:color w:val="auto"/>
              </w:rPr>
            </w:pPr>
          </w:p>
        </w:tc>
        <w:tc>
          <w:tcPr>
            <w:tcW w:w="13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vMerge w:val="continue"/>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28,444</w:t>
            </w:r>
          </w:p>
        </w:tc>
        <w:tc>
          <w:tcPr>
            <w:tcW w:w="140" w:type="dxa"/>
            <w:vAlign w:val="bottom"/>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23,918</w:t>
            </w:r>
          </w:p>
        </w:tc>
        <w:tc>
          <w:tcPr>
            <w:tcW w:w="14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54,623</w:t>
            </w:r>
          </w:p>
        </w:tc>
        <w:tc>
          <w:tcPr>
            <w:tcW w:w="14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45,387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64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1340" w:type="dxa"/>
            <w:vAlign w:val="bottom"/>
          </w:tcPr>
          <w:p>
            <w:pPr>
              <w:jc w:val="right"/>
              <w:spacing w:after="0"/>
              <w:rPr>
                <w:sz w:val="20"/>
                <w:szCs w:val="20"/>
                <w:color w:val="auto"/>
              </w:rPr>
            </w:pPr>
            <w:r>
              <w:rPr>
                <w:rFonts w:ascii="Arial" w:cs="Arial" w:eastAsia="Arial" w:hAnsi="Arial"/>
                <w:sz w:val="14"/>
                <w:szCs w:val="14"/>
                <w:color w:val="auto"/>
              </w:rPr>
              <w:t>5,687</w:t>
            </w:r>
          </w:p>
        </w:tc>
        <w:tc>
          <w:tcPr>
            <w:tcW w:w="1600" w:type="dxa"/>
            <w:vAlign w:val="bottom"/>
            <w:gridSpan w:val="3"/>
          </w:tcPr>
          <w:p>
            <w:pPr>
              <w:jc w:val="right"/>
              <w:ind w:right="140"/>
              <w:spacing w:after="0"/>
              <w:rPr>
                <w:sz w:val="20"/>
                <w:szCs w:val="20"/>
                <w:color w:val="auto"/>
              </w:rPr>
            </w:pPr>
            <w:r>
              <w:rPr>
                <w:rFonts w:ascii="Arial" w:cs="Arial" w:eastAsia="Arial" w:hAnsi="Arial"/>
                <w:sz w:val="14"/>
                <w:szCs w:val="14"/>
                <w:color w:val="auto"/>
              </w:rPr>
              <w:t>4,891</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10,922</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9,138</w:t>
            </w:r>
          </w:p>
        </w:tc>
        <w:tc>
          <w:tcPr>
            <w:tcW w:w="0" w:type="dxa"/>
            <w:vAlign w:val="bottom"/>
          </w:tcPr>
          <w:p>
            <w:pPr>
              <w:spacing w:after="0"/>
              <w:rPr>
                <w:sz w:val="1"/>
                <w:szCs w:val="1"/>
                <w:color w:val="auto"/>
              </w:rPr>
            </w:pPr>
          </w:p>
        </w:tc>
      </w:tr>
      <w:tr>
        <w:trPr>
          <w:trHeight w:val="181"/>
        </w:trPr>
        <w:tc>
          <w:tcPr>
            <w:tcW w:w="5640" w:type="dxa"/>
            <w:vAlign w:val="bottom"/>
          </w:tcPr>
          <w:p>
            <w:pPr>
              <w:ind w:left="140"/>
              <w:spacing w:after="0"/>
              <w:rPr>
                <w:sz w:val="20"/>
                <w:szCs w:val="20"/>
                <w:color w:val="auto"/>
              </w:rPr>
            </w:pPr>
            <w:r>
              <w:rPr>
                <w:rFonts w:ascii="Arial" w:cs="Arial" w:eastAsia="Arial" w:hAnsi="Arial"/>
                <w:sz w:val="14"/>
                <w:szCs w:val="14"/>
                <w:color w:val="auto"/>
              </w:rPr>
              <w:t>Minority interest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206</w:t>
            </w:r>
          </w:p>
        </w:tc>
        <w:tc>
          <w:tcPr>
            <w:tcW w:w="14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40" w:type="dxa"/>
            <w:vAlign w:val="bottom"/>
            <w:vMerge w:val="continue"/>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22,757</w:t>
            </w:r>
          </w:p>
        </w:tc>
        <w:tc>
          <w:tcPr>
            <w:tcW w:w="14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18,821</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43,701</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35,715</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140"/>
              <w:spacing w:after="0"/>
              <w:rPr>
                <w:sz w:val="20"/>
                <w:szCs w:val="20"/>
                <w:color w:val="auto"/>
              </w:rPr>
            </w:pPr>
            <w:r>
              <w:rPr>
                <w:rFonts w:ascii="Arial" w:cs="Arial" w:eastAsia="Arial" w:hAnsi="Arial"/>
                <w:sz w:val="14"/>
                <w:szCs w:val="14"/>
                <w:color w:val="auto"/>
              </w:rPr>
              <w:t>Net income per ordinary share</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6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640" w:type="dxa"/>
            <w:vAlign w:val="bottom"/>
          </w:tcPr>
          <w:p>
            <w:pPr>
              <w:ind w:left="140"/>
              <w:spacing w:after="0"/>
              <w:rPr>
                <w:sz w:val="20"/>
                <w:szCs w:val="20"/>
                <w:color w:val="auto"/>
              </w:rPr>
            </w:pPr>
            <w:r>
              <w:rPr>
                <w:rFonts w:ascii="Arial" w:cs="Arial" w:eastAsia="Arial" w:hAnsi="Arial"/>
                <w:sz w:val="14"/>
                <w:szCs w:val="14"/>
                <w:color w:val="auto"/>
              </w:rPr>
              <w:t>Basic</w:t>
            </w:r>
          </w:p>
        </w:tc>
        <w:tc>
          <w:tcPr>
            <w:tcW w:w="1340" w:type="dxa"/>
            <w:vAlign w:val="bottom"/>
          </w:tcPr>
          <w:p>
            <w:pPr>
              <w:jc w:val="right"/>
              <w:spacing w:after="0"/>
              <w:rPr>
                <w:sz w:val="20"/>
                <w:szCs w:val="20"/>
                <w:color w:val="auto"/>
              </w:rPr>
            </w:pPr>
            <w:r>
              <w:rPr>
                <w:rFonts w:ascii="Arial" w:cs="Arial" w:eastAsia="Arial" w:hAnsi="Arial"/>
                <w:sz w:val="14"/>
                <w:szCs w:val="14"/>
                <w:color w:val="auto"/>
              </w:rPr>
              <w:t>$0.39</w:t>
            </w:r>
          </w:p>
        </w:tc>
        <w:tc>
          <w:tcPr>
            <w:tcW w:w="14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$0.32</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$0.75</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40" w:type="dxa"/>
            <w:vAlign w:val="bottom"/>
          </w:tcPr>
          <w:p>
            <w:pPr>
              <w:ind w:left="140"/>
              <w:spacing w:after="0"/>
              <w:rPr>
                <w:sz w:val="20"/>
                <w:szCs w:val="20"/>
                <w:color w:val="auto"/>
              </w:rPr>
            </w:pPr>
            <w:r>
              <w:rPr>
                <w:rFonts w:ascii="Arial" w:cs="Arial" w:eastAsia="Arial" w:hAnsi="Arial"/>
                <w:sz w:val="14"/>
                <w:szCs w:val="14"/>
                <w:color w:val="auto"/>
              </w:rPr>
              <w:t>Diluted</w:t>
            </w:r>
          </w:p>
        </w:tc>
        <w:tc>
          <w:tcPr>
            <w:tcW w:w="1340" w:type="dxa"/>
            <w:vAlign w:val="bottom"/>
          </w:tcPr>
          <w:p>
            <w:pPr>
              <w:jc w:val="right"/>
              <w:spacing w:after="0"/>
              <w:rPr>
                <w:sz w:val="20"/>
                <w:szCs w:val="20"/>
                <w:color w:val="auto"/>
              </w:rPr>
            </w:pPr>
            <w:r>
              <w:rPr>
                <w:rFonts w:ascii="Arial" w:cs="Arial" w:eastAsia="Arial" w:hAnsi="Arial"/>
                <w:sz w:val="14"/>
                <w:szCs w:val="14"/>
                <w:color w:val="auto"/>
              </w:rPr>
              <w:t>$0.38</w:t>
            </w:r>
          </w:p>
        </w:tc>
        <w:tc>
          <w:tcPr>
            <w:tcW w:w="14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$0.31</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$0.73</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339"/>
        </w:trPr>
        <w:tc>
          <w:tcPr>
            <w:tcW w:w="5640" w:type="dxa"/>
            <w:vAlign w:val="bottom"/>
          </w:tcPr>
          <w:p>
            <w:pPr>
              <w:ind w:left="140"/>
              <w:spacing w:after="0"/>
              <w:rPr>
                <w:sz w:val="20"/>
                <w:szCs w:val="20"/>
                <w:color w:val="auto"/>
              </w:rPr>
            </w:pPr>
            <w:r>
              <w:rPr>
                <w:rFonts w:ascii="Arial" w:cs="Arial" w:eastAsia="Arial" w:hAnsi="Arial"/>
                <w:sz w:val="14"/>
                <w:szCs w:val="14"/>
                <w:color w:val="auto"/>
              </w:rPr>
              <w:t>Weighted average number of ordinary shares</w:t>
            </w:r>
          </w:p>
        </w:tc>
        <w:tc>
          <w:tcPr>
            <w:tcW w:w="1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40" w:type="dxa"/>
            <w:vAlign w:val="bottom"/>
          </w:tcPr>
          <w:p>
            <w:pPr>
              <w:ind w:left="140"/>
              <w:spacing w:after="0"/>
              <w:rPr>
                <w:sz w:val="20"/>
                <w:szCs w:val="20"/>
                <w:color w:val="auto"/>
              </w:rPr>
            </w:pPr>
            <w:r>
              <w:rPr>
                <w:rFonts w:ascii="Arial" w:cs="Arial" w:eastAsia="Arial" w:hAnsi="Arial"/>
                <w:sz w:val="14"/>
                <w:szCs w:val="14"/>
                <w:color w:val="auto"/>
              </w:rPr>
              <w:t>Basic</w:t>
            </w:r>
          </w:p>
        </w:tc>
        <w:tc>
          <w:tcPr>
            <w:tcW w:w="1340" w:type="dxa"/>
            <w:vAlign w:val="bottom"/>
          </w:tcPr>
          <w:p>
            <w:pPr>
              <w:jc w:val="right"/>
              <w:spacing w:after="0"/>
              <w:rPr>
                <w:sz w:val="20"/>
                <w:szCs w:val="20"/>
                <w:color w:val="auto"/>
              </w:rPr>
            </w:pPr>
            <w:r>
              <w:rPr>
                <w:rFonts w:ascii="Arial" w:cs="Arial" w:eastAsia="Arial" w:hAnsi="Arial"/>
                <w:sz w:val="14"/>
                <w:szCs w:val="14"/>
                <w:color w:val="auto"/>
              </w:rPr>
              <w:t>58,576,384</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58,213,388</w:t>
            </w:r>
          </w:p>
        </w:tc>
        <w:tc>
          <w:tcPr>
            <w:tcW w:w="14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58,557,089</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58,009,324</w:t>
            </w:r>
          </w:p>
        </w:tc>
        <w:tc>
          <w:tcPr>
            <w:tcW w:w="0" w:type="dxa"/>
            <w:vAlign w:val="bottom"/>
          </w:tcPr>
          <w:p>
            <w:pPr>
              <w:spacing w:after="0"/>
              <w:rPr>
                <w:sz w:val="1"/>
                <w:szCs w:val="1"/>
                <w:color w:val="auto"/>
              </w:rPr>
            </w:pPr>
          </w:p>
        </w:tc>
      </w:tr>
      <w:tr>
        <w:trPr>
          <w:trHeight w:val="351"/>
        </w:trPr>
        <w:tc>
          <w:tcPr>
            <w:tcW w:w="5640" w:type="dxa"/>
            <w:vAlign w:val="bottom"/>
          </w:tcPr>
          <w:p>
            <w:pPr>
              <w:ind w:left="140"/>
              <w:spacing w:after="0"/>
              <w:rPr>
                <w:sz w:val="20"/>
                <w:szCs w:val="20"/>
                <w:color w:val="auto"/>
              </w:rPr>
            </w:pPr>
            <w:r>
              <w:rPr>
                <w:rFonts w:ascii="Arial" w:cs="Arial" w:eastAsia="Arial" w:hAnsi="Arial"/>
                <w:sz w:val="14"/>
                <w:szCs w:val="14"/>
                <w:color w:val="auto"/>
              </w:rPr>
              <w:t>Diluted</w:t>
            </w:r>
          </w:p>
        </w:tc>
        <w:tc>
          <w:tcPr>
            <w:tcW w:w="1340" w:type="dxa"/>
            <w:vAlign w:val="bottom"/>
          </w:tcPr>
          <w:p>
            <w:pPr>
              <w:jc w:val="right"/>
              <w:spacing w:after="0"/>
              <w:rPr>
                <w:sz w:val="20"/>
                <w:szCs w:val="20"/>
                <w:color w:val="auto"/>
              </w:rPr>
            </w:pPr>
            <w:r>
              <w:rPr>
                <w:rFonts w:ascii="Arial" w:cs="Arial" w:eastAsia="Arial" w:hAnsi="Arial"/>
                <w:sz w:val="14"/>
                <w:szCs w:val="14"/>
                <w:color w:val="auto"/>
              </w:rPr>
              <w:t>59,674,939</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60,313,126</w:t>
            </w:r>
          </w:p>
        </w:tc>
        <w:tc>
          <w:tcPr>
            <w:tcW w:w="14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59,716,244</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60,167,978</w:t>
            </w:r>
          </w:p>
        </w:tc>
        <w:tc>
          <w:tcPr>
            <w:tcW w:w="0" w:type="dxa"/>
            <w:vAlign w:val="bottom"/>
          </w:tcPr>
          <w:p>
            <w:pPr>
              <w:spacing w:after="0"/>
              <w:rPr>
                <w:sz w:val="1"/>
                <w:szCs w:val="1"/>
                <w:color w:val="auto"/>
              </w:rPr>
            </w:pPr>
          </w:p>
        </w:tc>
      </w:tr>
      <w:tr>
        <w:trPr>
          <w:trHeight w:val="134"/>
        </w:trPr>
        <w:tc>
          <w:tcPr>
            <w:tcW w:w="56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564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444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rPr>
              <w:t>ICON plc</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300" w:type="dxa"/>
            <w:vAlign w:val="bottom"/>
          </w:tcPr>
          <w:p>
            <w:pPr>
              <w:spacing w:after="0"/>
              <w:rPr>
                <w:sz w:val="24"/>
                <w:szCs w:val="24"/>
                <w:color w:val="auto"/>
              </w:rPr>
            </w:pPr>
          </w:p>
        </w:tc>
        <w:tc>
          <w:tcPr>
            <w:tcW w:w="444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w w:val="93"/>
              </w:rPr>
              <w:t>Consolidated Income Statements (Unaudited) (US GAAP)</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00" w:type="dxa"/>
            <w:vAlign w:val="bottom"/>
          </w:tcPr>
          <w:p>
            <w:pPr>
              <w:spacing w:after="0"/>
              <w:rPr>
                <w:sz w:val="24"/>
                <w:szCs w:val="24"/>
                <w:color w:val="auto"/>
              </w:rPr>
            </w:pPr>
          </w:p>
        </w:tc>
        <w:tc>
          <w:tcPr>
            <w:tcW w:w="444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w w:val="92"/>
              </w:rPr>
              <w:t>Three and Six Months ended June 30, 2009 and June 30, 2008</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444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Three Months Ended</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100" w:type="dxa"/>
            <w:vAlign w:val="bottom"/>
            <w:gridSpan w:val="3"/>
          </w:tcPr>
          <w:p>
            <w:pPr>
              <w:ind w:left="820"/>
              <w:spacing w:after="0"/>
              <w:rPr>
                <w:sz w:val="20"/>
                <w:szCs w:val="20"/>
                <w:color w:val="auto"/>
              </w:rPr>
            </w:pPr>
            <w:r>
              <w:rPr>
                <w:rFonts w:ascii="Arial" w:cs="Arial" w:eastAsia="Arial" w:hAnsi="Arial"/>
                <w:sz w:val="14"/>
                <w:szCs w:val="14"/>
                <w:b w:val="1"/>
                <w:bCs w:val="1"/>
                <w:color w:val="auto"/>
              </w:rPr>
              <w:t>June 30,</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1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351"/>
        </w:trPr>
        <w:tc>
          <w:tcPr>
            <w:tcW w:w="3300" w:type="dxa"/>
            <w:vAlign w:val="bottom"/>
          </w:tcPr>
          <w:p>
            <w:pPr>
              <w:ind w:left="140"/>
              <w:spacing w:after="0"/>
              <w:rPr>
                <w:sz w:val="20"/>
                <w:szCs w:val="20"/>
                <w:color w:val="auto"/>
              </w:rPr>
            </w:pPr>
            <w:r>
              <w:rPr>
                <w:rFonts w:ascii="Arial" w:cs="Arial" w:eastAsia="Arial" w:hAnsi="Arial"/>
                <w:sz w:val="14"/>
                <w:szCs w:val="14"/>
                <w:color w:val="auto"/>
              </w:rPr>
              <w:t>Gross Revenue</w:t>
            </w:r>
          </w:p>
        </w:tc>
        <w:tc>
          <w:tcPr>
            <w:tcW w:w="3680" w:type="dxa"/>
            <w:vAlign w:val="bottom"/>
            <w:gridSpan w:val="2"/>
          </w:tcPr>
          <w:p>
            <w:pPr>
              <w:jc w:val="right"/>
              <w:spacing w:after="0"/>
              <w:rPr>
                <w:sz w:val="20"/>
                <w:szCs w:val="20"/>
                <w:color w:val="auto"/>
              </w:rPr>
            </w:pPr>
            <w:r>
              <w:rPr>
                <w:rFonts w:ascii="Arial" w:cs="Arial" w:eastAsia="Arial" w:hAnsi="Arial"/>
                <w:sz w:val="14"/>
                <w:szCs w:val="14"/>
                <w:color w:val="auto"/>
              </w:rPr>
              <w:t>300,969</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316,592</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619,507</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600,445</w:t>
            </w:r>
          </w:p>
        </w:tc>
        <w:tc>
          <w:tcPr>
            <w:tcW w:w="0" w:type="dxa"/>
            <w:vAlign w:val="bottom"/>
          </w:tcPr>
          <w:p>
            <w:pPr>
              <w:spacing w:after="0"/>
              <w:rPr>
                <w:sz w:val="1"/>
                <w:szCs w:val="1"/>
                <w:color w:val="auto"/>
              </w:rPr>
            </w:pPr>
          </w:p>
        </w:tc>
      </w:tr>
      <w:tr>
        <w:trPr>
          <w:trHeight w:val="351"/>
        </w:trPr>
        <w:tc>
          <w:tcPr>
            <w:tcW w:w="3300" w:type="dxa"/>
            <w:vAlign w:val="bottom"/>
          </w:tcPr>
          <w:p>
            <w:pPr>
              <w:ind w:left="140"/>
              <w:spacing w:after="0"/>
              <w:rPr>
                <w:sz w:val="20"/>
                <w:szCs w:val="20"/>
                <w:color w:val="auto"/>
              </w:rPr>
            </w:pPr>
            <w:r>
              <w:rPr>
                <w:rFonts w:ascii="Arial" w:cs="Arial" w:eastAsia="Arial" w:hAnsi="Arial"/>
                <w:sz w:val="14"/>
                <w:szCs w:val="14"/>
                <w:color w:val="auto"/>
              </w:rPr>
              <w:t>Reimbursable expenses</w:t>
            </w:r>
          </w:p>
        </w:tc>
        <w:tc>
          <w:tcPr>
            <w:tcW w:w="3680" w:type="dxa"/>
            <w:vAlign w:val="bottom"/>
            <w:gridSpan w:val="2"/>
          </w:tcPr>
          <w:p>
            <w:pPr>
              <w:jc w:val="right"/>
              <w:spacing w:after="0"/>
              <w:rPr>
                <w:sz w:val="20"/>
                <w:szCs w:val="20"/>
                <w:color w:val="auto"/>
              </w:rPr>
            </w:pPr>
            <w:r>
              <w:rPr>
                <w:rFonts w:ascii="Arial" w:cs="Arial" w:eastAsia="Arial" w:hAnsi="Arial"/>
                <w:sz w:val="14"/>
                <w:szCs w:val="14"/>
                <w:color w:val="auto"/>
              </w:rPr>
              <w:t>80,968</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98,292</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179,675</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180,801</w:t>
            </w:r>
          </w:p>
        </w:tc>
        <w:tc>
          <w:tcPr>
            <w:tcW w:w="0" w:type="dxa"/>
            <w:vAlign w:val="bottom"/>
          </w:tcPr>
          <w:p>
            <w:pPr>
              <w:spacing w:after="0"/>
              <w:rPr>
                <w:sz w:val="1"/>
                <w:szCs w:val="1"/>
                <w:color w:val="auto"/>
              </w:rPr>
            </w:pPr>
          </w:p>
        </w:tc>
      </w:tr>
      <w:tr>
        <w:trPr>
          <w:trHeight w:val="174"/>
        </w:trPr>
        <w:tc>
          <w:tcPr>
            <w:tcW w:w="33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Net Revenue</w:t>
            </w:r>
          </w:p>
        </w:tc>
        <w:tc>
          <w:tcPr>
            <w:tcW w:w="36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220,001</w:t>
            </w: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218,300</w:t>
            </w:r>
          </w:p>
        </w:tc>
        <w:tc>
          <w:tcPr>
            <w:tcW w:w="14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439,832</w:t>
            </w:r>
          </w:p>
        </w:tc>
        <w:tc>
          <w:tcPr>
            <w:tcW w:w="14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419,644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300" w:type="dxa"/>
            <w:vAlign w:val="bottom"/>
          </w:tcPr>
          <w:p>
            <w:pPr>
              <w:ind w:left="140"/>
              <w:spacing w:after="0"/>
              <w:rPr>
                <w:sz w:val="20"/>
                <w:szCs w:val="20"/>
                <w:color w:val="auto"/>
              </w:rPr>
            </w:pPr>
            <w:r>
              <w:rPr>
                <w:rFonts w:ascii="Arial" w:cs="Arial" w:eastAsia="Arial" w:hAnsi="Arial"/>
                <w:sz w:val="14"/>
                <w:szCs w:val="14"/>
                <w:b w:val="1"/>
                <w:bCs w:val="1"/>
                <w:color w:val="auto"/>
              </w:rPr>
              <w:t>Costs and expenses</w:t>
            </w:r>
          </w:p>
        </w:tc>
        <w:tc>
          <w:tcPr>
            <w:tcW w:w="2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140"/>
              <w:spacing w:after="0"/>
              <w:rPr>
                <w:sz w:val="20"/>
                <w:szCs w:val="20"/>
                <w:color w:val="auto"/>
              </w:rPr>
            </w:pPr>
            <w:r>
              <w:rPr>
                <w:rFonts w:ascii="Arial" w:cs="Arial" w:eastAsia="Arial" w:hAnsi="Arial"/>
                <w:sz w:val="14"/>
                <w:szCs w:val="14"/>
                <w:color w:val="auto"/>
              </w:rPr>
              <w:t>Direct costs</w:t>
            </w:r>
          </w:p>
        </w:tc>
        <w:tc>
          <w:tcPr>
            <w:tcW w:w="3680" w:type="dxa"/>
            <w:vAlign w:val="bottom"/>
            <w:gridSpan w:val="2"/>
          </w:tcPr>
          <w:p>
            <w:pPr>
              <w:jc w:val="right"/>
              <w:spacing w:after="0"/>
              <w:rPr>
                <w:sz w:val="20"/>
                <w:szCs w:val="20"/>
                <w:color w:val="auto"/>
              </w:rPr>
            </w:pPr>
            <w:r>
              <w:rPr>
                <w:rFonts w:ascii="Arial" w:cs="Arial" w:eastAsia="Arial" w:hAnsi="Arial"/>
                <w:sz w:val="14"/>
                <w:szCs w:val="14"/>
                <w:color w:val="auto"/>
              </w:rPr>
              <w:t>125,146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122,976</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249,314</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236,165</w:t>
            </w:r>
          </w:p>
        </w:tc>
        <w:tc>
          <w:tcPr>
            <w:tcW w:w="0" w:type="dxa"/>
            <w:vAlign w:val="bottom"/>
          </w:tcPr>
          <w:p>
            <w:pPr>
              <w:spacing w:after="0"/>
              <w:rPr>
                <w:sz w:val="1"/>
                <w:szCs w:val="1"/>
                <w:color w:val="auto"/>
              </w:rPr>
            </w:pPr>
          </w:p>
        </w:tc>
      </w:tr>
      <w:tr>
        <w:trPr>
          <w:trHeight w:val="176"/>
        </w:trPr>
        <w:tc>
          <w:tcPr>
            <w:tcW w:w="330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3680" w:type="dxa"/>
            <w:vAlign w:val="bottom"/>
            <w:gridSpan w:val="2"/>
          </w:tcPr>
          <w:p>
            <w:pPr>
              <w:jc w:val="right"/>
              <w:spacing w:after="0"/>
              <w:rPr>
                <w:sz w:val="20"/>
                <w:szCs w:val="20"/>
                <w:color w:val="auto"/>
              </w:rPr>
            </w:pPr>
            <w:r>
              <w:rPr>
                <w:rFonts w:ascii="Arial" w:cs="Arial" w:eastAsia="Arial" w:hAnsi="Arial"/>
                <w:sz w:val="14"/>
                <w:szCs w:val="14"/>
                <w:color w:val="auto"/>
              </w:rPr>
              <w:t>58,010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64,289</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119,268</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124,834</w:t>
            </w:r>
          </w:p>
        </w:tc>
        <w:tc>
          <w:tcPr>
            <w:tcW w:w="0" w:type="dxa"/>
            <w:vAlign w:val="bottom"/>
          </w:tcPr>
          <w:p>
            <w:pPr>
              <w:spacing w:after="0"/>
              <w:rPr>
                <w:sz w:val="1"/>
                <w:szCs w:val="1"/>
                <w:color w:val="auto"/>
              </w:rPr>
            </w:pPr>
          </w:p>
        </w:tc>
      </w:tr>
      <w:tr>
        <w:trPr>
          <w:trHeight w:val="176"/>
        </w:trPr>
        <w:tc>
          <w:tcPr>
            <w:tcW w:w="33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680" w:type="dxa"/>
            <w:vAlign w:val="bottom"/>
            <w:gridSpan w:val="2"/>
          </w:tcPr>
          <w:p>
            <w:pPr>
              <w:jc w:val="right"/>
              <w:spacing w:after="0"/>
              <w:rPr>
                <w:sz w:val="20"/>
                <w:szCs w:val="20"/>
                <w:color w:val="auto"/>
              </w:rPr>
            </w:pPr>
            <w:r>
              <w:rPr>
                <w:rFonts w:ascii="Arial" w:cs="Arial" w:eastAsia="Arial" w:hAnsi="Arial"/>
                <w:sz w:val="14"/>
                <w:szCs w:val="14"/>
                <w:color w:val="auto"/>
              </w:rPr>
              <w:t>7,526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6,641</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15,016</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12,739</w:t>
            </w:r>
          </w:p>
        </w:tc>
        <w:tc>
          <w:tcPr>
            <w:tcW w:w="0" w:type="dxa"/>
            <w:vAlign w:val="bottom"/>
          </w:tcPr>
          <w:p>
            <w:pPr>
              <w:spacing w:after="0"/>
              <w:rPr>
                <w:sz w:val="1"/>
                <w:szCs w:val="1"/>
                <w:color w:val="auto"/>
              </w:rPr>
            </w:pPr>
          </w:p>
        </w:tc>
      </w:tr>
      <w:tr>
        <w:trPr>
          <w:trHeight w:val="181"/>
        </w:trPr>
        <w:tc>
          <w:tcPr>
            <w:tcW w:w="3300" w:type="dxa"/>
            <w:vAlign w:val="bottom"/>
          </w:tcPr>
          <w:p>
            <w:pPr>
              <w:ind w:left="140"/>
              <w:spacing w:after="0"/>
              <w:rPr>
                <w:sz w:val="20"/>
                <w:szCs w:val="20"/>
                <w:color w:val="auto"/>
              </w:rPr>
            </w:pPr>
            <w:r>
              <w:rPr>
                <w:rFonts w:ascii="Arial" w:cs="Arial" w:eastAsia="Arial" w:hAnsi="Arial"/>
                <w:sz w:val="14"/>
                <w:szCs w:val="14"/>
                <w:color w:val="auto"/>
              </w:rPr>
              <w:t>One off items</w:t>
            </w:r>
          </w:p>
        </w:tc>
        <w:tc>
          <w:tcPr>
            <w:tcW w:w="3680" w:type="dxa"/>
            <w:vAlign w:val="bottom"/>
            <w:gridSpan w:val="2"/>
          </w:tcPr>
          <w:p>
            <w:pPr>
              <w:jc w:val="right"/>
              <w:spacing w:after="0"/>
              <w:rPr>
                <w:sz w:val="20"/>
                <w:szCs w:val="20"/>
                <w:color w:val="auto"/>
              </w:rPr>
            </w:pPr>
            <w:r>
              <w:rPr>
                <w:rFonts w:ascii="Arial" w:cs="Arial" w:eastAsia="Arial" w:hAnsi="Arial"/>
                <w:sz w:val="14"/>
                <w:szCs w:val="14"/>
                <w:color w:val="auto"/>
              </w:rPr>
              <w:t>8,941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8,941</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300" w:type="dxa"/>
            <w:vAlign w:val="bottom"/>
          </w:tcPr>
          <w:p>
            <w:pPr>
              <w:ind w:left="140"/>
              <w:spacing w:after="0"/>
              <w:rPr>
                <w:sz w:val="20"/>
                <w:szCs w:val="20"/>
                <w:color w:val="auto"/>
              </w:rPr>
            </w:pPr>
            <w:r>
              <w:rPr>
                <w:rFonts w:ascii="Arial" w:cs="Arial" w:eastAsia="Arial" w:hAnsi="Arial"/>
                <w:sz w:val="14"/>
                <w:szCs w:val="14"/>
                <w:b w:val="1"/>
                <w:bCs w:val="1"/>
                <w:color w:val="auto"/>
              </w:rPr>
              <w:t>Total costs and expenses</w:t>
            </w:r>
          </w:p>
        </w:tc>
        <w:tc>
          <w:tcPr>
            <w:tcW w:w="234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199,623</w:t>
            </w: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193,906</w:t>
            </w:r>
          </w:p>
        </w:tc>
        <w:tc>
          <w:tcPr>
            <w:tcW w:w="14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392,539</w:t>
            </w:r>
          </w:p>
        </w:tc>
        <w:tc>
          <w:tcPr>
            <w:tcW w:w="14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373,738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300" w:type="dxa"/>
            <w:vAlign w:val="bottom"/>
          </w:tcPr>
          <w:p>
            <w:pPr>
              <w:ind w:left="140"/>
              <w:spacing w:after="0"/>
              <w:rPr>
                <w:sz w:val="20"/>
                <w:szCs w:val="20"/>
                <w:color w:val="auto"/>
              </w:rPr>
            </w:pPr>
            <w:r>
              <w:rPr>
                <w:rFonts w:ascii="Arial" w:cs="Arial" w:eastAsia="Arial" w:hAnsi="Arial"/>
                <w:sz w:val="14"/>
                <w:szCs w:val="14"/>
                <w:b w:val="1"/>
                <w:bCs w:val="1"/>
                <w:color w:val="auto"/>
              </w:rPr>
              <w:t>Income from operations</w:t>
            </w:r>
          </w:p>
        </w:tc>
        <w:tc>
          <w:tcPr>
            <w:tcW w:w="3680" w:type="dxa"/>
            <w:vAlign w:val="bottom"/>
            <w:gridSpan w:val="2"/>
          </w:tcPr>
          <w:p>
            <w:pPr>
              <w:jc w:val="right"/>
              <w:spacing w:after="0"/>
              <w:rPr>
                <w:sz w:val="20"/>
                <w:szCs w:val="20"/>
                <w:color w:val="auto"/>
              </w:rPr>
            </w:pPr>
            <w:r>
              <w:rPr>
                <w:rFonts w:ascii="Arial" w:cs="Arial" w:eastAsia="Arial" w:hAnsi="Arial"/>
                <w:sz w:val="14"/>
                <w:szCs w:val="14"/>
                <w:color w:val="auto"/>
              </w:rPr>
              <w:t>20,378</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24,394</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47,293</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45,906</w:t>
            </w:r>
          </w:p>
        </w:tc>
        <w:tc>
          <w:tcPr>
            <w:tcW w:w="0" w:type="dxa"/>
            <w:vAlign w:val="bottom"/>
          </w:tcPr>
          <w:p>
            <w:pPr>
              <w:spacing w:after="0"/>
              <w:rPr>
                <w:sz w:val="1"/>
                <w:szCs w:val="1"/>
                <w:color w:val="auto"/>
              </w:rPr>
            </w:pPr>
          </w:p>
        </w:tc>
      </w:tr>
      <w:tr>
        <w:trPr>
          <w:trHeight w:val="351"/>
        </w:trPr>
        <w:tc>
          <w:tcPr>
            <w:tcW w:w="3300" w:type="dxa"/>
            <w:vAlign w:val="bottom"/>
          </w:tcPr>
          <w:p>
            <w:pPr>
              <w:ind w:left="140"/>
              <w:spacing w:after="0"/>
              <w:rPr>
                <w:sz w:val="20"/>
                <w:szCs w:val="20"/>
                <w:color w:val="auto"/>
              </w:rPr>
            </w:pPr>
            <w:r>
              <w:rPr>
                <w:rFonts w:ascii="Arial" w:cs="Arial" w:eastAsia="Arial" w:hAnsi="Arial"/>
                <w:sz w:val="14"/>
                <w:szCs w:val="14"/>
                <w:color w:val="auto"/>
              </w:rPr>
              <w:t>Net interest expense</w:t>
            </w:r>
          </w:p>
        </w:tc>
        <w:tc>
          <w:tcPr>
            <w:tcW w:w="3680" w:type="dxa"/>
            <w:vAlign w:val="bottom"/>
            <w:gridSpan w:val="2"/>
          </w:tcPr>
          <w:p>
            <w:pPr>
              <w:jc w:val="right"/>
              <w:spacing w:after="0"/>
              <w:rPr>
                <w:sz w:val="20"/>
                <w:szCs w:val="20"/>
                <w:color w:val="auto"/>
              </w:rPr>
            </w:pPr>
            <w:r>
              <w:rPr>
                <w:rFonts w:ascii="Arial" w:cs="Arial" w:eastAsia="Arial" w:hAnsi="Arial"/>
                <w:sz w:val="14"/>
                <w:szCs w:val="14"/>
                <w:color w:val="auto"/>
              </w:rPr>
              <w:t>(875)</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(476)</w:t>
            </w:r>
          </w:p>
        </w:tc>
        <w:tc>
          <w:tcPr>
            <w:tcW w:w="14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(1,611)</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74"/>
        </w:trPr>
        <w:tc>
          <w:tcPr>
            <w:tcW w:w="33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Income before provision of income taxes</w:t>
            </w:r>
          </w:p>
        </w:tc>
        <w:tc>
          <w:tcPr>
            <w:tcW w:w="36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1480" w:type="dxa"/>
            <w:vAlign w:val="bottom"/>
            <w:gridSpan w:val="2"/>
          </w:tcPr>
          <w:p>
            <w:pPr>
              <w:spacing w:after="0"/>
              <w:rPr>
                <w:sz w:val="15"/>
                <w:szCs w:val="15"/>
                <w:color w:val="auto"/>
              </w:rPr>
            </w:pPr>
          </w:p>
        </w:tc>
        <w:tc>
          <w:tcPr>
            <w:tcW w:w="13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19,503</w:t>
            </w: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23,918</w:t>
            </w:r>
          </w:p>
        </w:tc>
        <w:tc>
          <w:tcPr>
            <w:tcW w:w="14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45,682</w:t>
            </w:r>
          </w:p>
        </w:tc>
        <w:tc>
          <w:tcPr>
            <w:tcW w:w="14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45,387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30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3680" w:type="dxa"/>
            <w:vAlign w:val="bottom"/>
            <w:gridSpan w:val="2"/>
          </w:tcPr>
          <w:p>
            <w:pPr>
              <w:jc w:val="right"/>
              <w:spacing w:after="0"/>
              <w:rPr>
                <w:sz w:val="20"/>
                <w:szCs w:val="20"/>
                <w:color w:val="auto"/>
              </w:rPr>
            </w:pPr>
            <w:r>
              <w:rPr>
                <w:rFonts w:ascii="Arial" w:cs="Arial" w:eastAsia="Arial" w:hAnsi="Arial"/>
                <w:sz w:val="14"/>
                <w:szCs w:val="14"/>
                <w:color w:val="auto"/>
              </w:rPr>
              <w:t>973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4,891</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6,208</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9,138</w:t>
            </w:r>
          </w:p>
        </w:tc>
        <w:tc>
          <w:tcPr>
            <w:tcW w:w="0" w:type="dxa"/>
            <w:vAlign w:val="bottom"/>
          </w:tcPr>
          <w:p>
            <w:pPr>
              <w:spacing w:after="0"/>
              <w:rPr>
                <w:sz w:val="1"/>
                <w:szCs w:val="1"/>
                <w:color w:val="auto"/>
              </w:rPr>
            </w:pPr>
          </w:p>
        </w:tc>
      </w:tr>
      <w:tr>
        <w:trPr>
          <w:trHeight w:val="181"/>
        </w:trPr>
        <w:tc>
          <w:tcPr>
            <w:tcW w:w="3300" w:type="dxa"/>
            <w:vAlign w:val="bottom"/>
          </w:tcPr>
          <w:p>
            <w:pPr>
              <w:ind w:left="140"/>
              <w:spacing w:after="0"/>
              <w:rPr>
                <w:sz w:val="20"/>
                <w:szCs w:val="20"/>
                <w:color w:val="auto"/>
              </w:rPr>
            </w:pPr>
            <w:r>
              <w:rPr>
                <w:rFonts w:ascii="Arial" w:cs="Arial" w:eastAsia="Arial" w:hAnsi="Arial"/>
                <w:sz w:val="14"/>
                <w:szCs w:val="14"/>
                <w:color w:val="auto"/>
              </w:rPr>
              <w:t>Minority interest</w:t>
            </w:r>
          </w:p>
        </w:tc>
        <w:tc>
          <w:tcPr>
            <w:tcW w:w="2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206</w:t>
            </w:r>
          </w:p>
        </w:tc>
        <w:tc>
          <w:tcPr>
            <w:tcW w:w="14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2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0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18,530</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18,821</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39,474</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35,715</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140"/>
              <w:spacing w:after="0"/>
              <w:rPr>
                <w:sz w:val="20"/>
                <w:szCs w:val="20"/>
                <w:color w:val="auto"/>
              </w:rPr>
            </w:pPr>
            <w:r>
              <w:rPr>
                <w:rFonts w:ascii="Arial" w:cs="Arial" w:eastAsia="Arial" w:hAnsi="Arial"/>
                <w:sz w:val="14"/>
                <w:szCs w:val="14"/>
                <w:color w:val="auto"/>
              </w:rPr>
              <w:t>Net income per ordinary share</w:t>
            </w:r>
          </w:p>
        </w:tc>
        <w:tc>
          <w:tcPr>
            <w:tcW w:w="2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30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300" w:type="dxa"/>
            <w:vAlign w:val="bottom"/>
          </w:tcPr>
          <w:p>
            <w:pPr>
              <w:ind w:left="140"/>
              <w:spacing w:after="0"/>
              <w:rPr>
                <w:sz w:val="20"/>
                <w:szCs w:val="20"/>
                <w:color w:val="auto"/>
              </w:rPr>
            </w:pPr>
            <w:r>
              <w:rPr>
                <w:rFonts w:ascii="Arial" w:cs="Arial" w:eastAsia="Arial" w:hAnsi="Arial"/>
                <w:sz w:val="14"/>
                <w:szCs w:val="14"/>
                <w:color w:val="auto"/>
              </w:rPr>
              <w:t>Basic</w:t>
            </w:r>
          </w:p>
        </w:tc>
        <w:tc>
          <w:tcPr>
            <w:tcW w:w="2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$0.32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$0.33</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$0.67</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00" w:type="dxa"/>
            <w:vAlign w:val="bottom"/>
          </w:tcPr>
          <w:p>
            <w:pPr>
              <w:ind w:left="140"/>
              <w:spacing w:after="0"/>
              <w:rPr>
                <w:sz w:val="20"/>
                <w:szCs w:val="20"/>
                <w:color w:val="auto"/>
              </w:rPr>
            </w:pPr>
            <w:r>
              <w:rPr>
                <w:rFonts w:ascii="Arial" w:cs="Arial" w:eastAsia="Arial" w:hAnsi="Arial"/>
                <w:sz w:val="14"/>
                <w:szCs w:val="14"/>
                <w:color w:val="auto"/>
              </w:rPr>
              <w:t>Diluted</w:t>
            </w:r>
          </w:p>
        </w:tc>
        <w:tc>
          <w:tcPr>
            <w:tcW w:w="2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$0.31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$0.31</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$0.66</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339"/>
        </w:trPr>
        <w:tc>
          <w:tcPr>
            <w:tcW w:w="3300" w:type="dxa"/>
            <w:vAlign w:val="bottom"/>
          </w:tcPr>
          <w:p>
            <w:pPr>
              <w:ind w:left="140"/>
              <w:spacing w:after="0"/>
              <w:rPr>
                <w:sz w:val="20"/>
                <w:szCs w:val="20"/>
                <w:color w:val="auto"/>
              </w:rPr>
            </w:pPr>
            <w:r>
              <w:rPr>
                <w:rFonts w:ascii="Arial" w:cs="Arial" w:eastAsia="Arial" w:hAnsi="Arial"/>
                <w:sz w:val="14"/>
                <w:szCs w:val="14"/>
                <w:color w:val="auto"/>
              </w:rPr>
              <w:t>Weighted average number of ordinary shares</w:t>
            </w:r>
          </w:p>
        </w:tc>
        <w:tc>
          <w:tcPr>
            <w:tcW w:w="234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140"/>
              <w:spacing w:after="0"/>
              <w:rPr>
                <w:sz w:val="20"/>
                <w:szCs w:val="20"/>
                <w:color w:val="auto"/>
              </w:rPr>
            </w:pPr>
            <w:r>
              <w:rPr>
                <w:rFonts w:ascii="Arial" w:cs="Arial" w:eastAsia="Arial" w:hAnsi="Arial"/>
                <w:sz w:val="14"/>
                <w:szCs w:val="14"/>
                <w:color w:val="auto"/>
              </w:rPr>
              <w:t>Basic</w:t>
            </w:r>
          </w:p>
        </w:tc>
        <w:tc>
          <w:tcPr>
            <w:tcW w:w="3680" w:type="dxa"/>
            <w:vAlign w:val="bottom"/>
            <w:gridSpan w:val="2"/>
          </w:tcPr>
          <w:p>
            <w:pPr>
              <w:jc w:val="right"/>
              <w:spacing w:after="0"/>
              <w:rPr>
                <w:sz w:val="20"/>
                <w:szCs w:val="20"/>
                <w:color w:val="auto"/>
              </w:rPr>
            </w:pPr>
            <w:r>
              <w:rPr>
                <w:rFonts w:ascii="Arial" w:cs="Arial" w:eastAsia="Arial" w:hAnsi="Arial"/>
                <w:sz w:val="14"/>
                <w:szCs w:val="14"/>
                <w:color w:val="auto"/>
              </w:rPr>
              <w:t>58,576,384</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58,213,388</w:t>
            </w:r>
          </w:p>
        </w:tc>
        <w:tc>
          <w:tcPr>
            <w:tcW w:w="14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58,557,089</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58,009,324</w:t>
            </w:r>
          </w:p>
        </w:tc>
        <w:tc>
          <w:tcPr>
            <w:tcW w:w="0" w:type="dxa"/>
            <w:vAlign w:val="bottom"/>
          </w:tcPr>
          <w:p>
            <w:pPr>
              <w:spacing w:after="0"/>
              <w:rPr>
                <w:sz w:val="1"/>
                <w:szCs w:val="1"/>
                <w:color w:val="auto"/>
              </w:rPr>
            </w:pPr>
          </w:p>
        </w:tc>
      </w:tr>
      <w:tr>
        <w:trPr>
          <w:trHeight w:val="351"/>
        </w:trPr>
        <w:tc>
          <w:tcPr>
            <w:tcW w:w="3300" w:type="dxa"/>
            <w:vAlign w:val="bottom"/>
          </w:tcPr>
          <w:p>
            <w:pPr>
              <w:ind w:left="140"/>
              <w:spacing w:after="0"/>
              <w:rPr>
                <w:sz w:val="20"/>
                <w:szCs w:val="20"/>
                <w:color w:val="auto"/>
              </w:rPr>
            </w:pPr>
            <w:r>
              <w:rPr>
                <w:rFonts w:ascii="Arial" w:cs="Arial" w:eastAsia="Arial" w:hAnsi="Arial"/>
                <w:sz w:val="14"/>
                <w:szCs w:val="14"/>
                <w:color w:val="auto"/>
              </w:rPr>
              <w:t>Diluted</w:t>
            </w:r>
          </w:p>
        </w:tc>
        <w:tc>
          <w:tcPr>
            <w:tcW w:w="3680" w:type="dxa"/>
            <w:vAlign w:val="bottom"/>
            <w:gridSpan w:val="2"/>
          </w:tcPr>
          <w:p>
            <w:pPr>
              <w:jc w:val="right"/>
              <w:spacing w:after="0"/>
              <w:rPr>
                <w:sz w:val="20"/>
                <w:szCs w:val="20"/>
                <w:color w:val="auto"/>
              </w:rPr>
            </w:pPr>
            <w:r>
              <w:rPr>
                <w:rFonts w:ascii="Arial" w:cs="Arial" w:eastAsia="Arial" w:hAnsi="Arial"/>
                <w:sz w:val="14"/>
                <w:szCs w:val="14"/>
                <w:color w:val="auto"/>
              </w:rPr>
              <w:t>59,674,939</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60,313,126</w:t>
            </w:r>
          </w:p>
        </w:tc>
        <w:tc>
          <w:tcPr>
            <w:tcW w:w="14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59,716,244</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60,167,978</w:t>
            </w:r>
          </w:p>
        </w:tc>
        <w:tc>
          <w:tcPr>
            <w:tcW w:w="0" w:type="dxa"/>
            <w:vAlign w:val="bottom"/>
          </w:tcPr>
          <w:p>
            <w:pPr>
              <w:spacing w:after="0"/>
              <w:rPr>
                <w:sz w:val="1"/>
                <w:szCs w:val="1"/>
                <w:color w:val="auto"/>
              </w:rPr>
            </w:pPr>
          </w:p>
        </w:tc>
      </w:tr>
      <w:tr>
        <w:trPr>
          <w:trHeight w:val="134"/>
        </w:trPr>
        <w:tc>
          <w:tcPr>
            <w:tcW w:w="3300" w:type="dxa"/>
            <w:vAlign w:val="bottom"/>
            <w:tcBorders>
              <w:bottom w:val="single" w:sz="8" w:color="9A9A9A"/>
            </w:tcBorders>
          </w:tcPr>
          <w:p>
            <w:pPr>
              <w:spacing w:after="0"/>
              <w:rPr>
                <w:sz w:val="11"/>
                <w:szCs w:val="11"/>
                <w:color w:val="auto"/>
              </w:rPr>
            </w:pPr>
          </w:p>
        </w:tc>
        <w:tc>
          <w:tcPr>
            <w:tcW w:w="23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30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2009 and December 31, 2008</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6800" w:type="dxa"/>
            <w:vAlign w:val="bottom"/>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3120" w:type="dxa"/>
            <w:vAlign w:val="bottom"/>
          </w:tcPr>
          <w:p>
            <w:pPr>
              <w:spacing w:after="0"/>
              <w:rPr>
                <w:sz w:val="15"/>
                <w:szCs w:val="15"/>
                <w:color w:val="auto"/>
              </w:rPr>
            </w:pPr>
          </w:p>
        </w:tc>
        <w:tc>
          <w:tcPr>
            <w:tcW w:w="6800" w:type="dxa"/>
            <w:vAlign w:val="bottom"/>
          </w:tcPr>
          <w:p>
            <w:pPr>
              <w:jc w:val="right"/>
              <w:ind w:right="568"/>
              <w:spacing w:after="0"/>
              <w:rPr>
                <w:sz w:val="20"/>
                <w:szCs w:val="20"/>
                <w:color w:val="auto"/>
              </w:rPr>
            </w:pPr>
            <w:r>
              <w:rPr>
                <w:rFonts w:ascii="Arial" w:cs="Arial" w:eastAsia="Arial" w:hAnsi="Arial"/>
                <w:sz w:val="14"/>
                <w:szCs w:val="14"/>
                <w:b w:val="1"/>
                <w:bCs w:val="1"/>
                <w:color w:val="auto"/>
              </w:rPr>
              <w:t>2009</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r>
      <w:tr>
        <w:trPr>
          <w:trHeight w:val="180"/>
        </w:trPr>
        <w:tc>
          <w:tcPr>
            <w:tcW w:w="3120" w:type="dxa"/>
            <w:vAlign w:val="bottom"/>
          </w:tcPr>
          <w:p>
            <w:pPr>
              <w:spacing w:after="0"/>
              <w:rPr>
                <w:sz w:val="15"/>
                <w:szCs w:val="15"/>
                <w:color w:val="auto"/>
              </w:rPr>
            </w:pPr>
          </w:p>
        </w:tc>
        <w:tc>
          <w:tcPr>
            <w:tcW w:w="6800" w:type="dxa"/>
            <w:vAlign w:val="bottom"/>
          </w:tcPr>
          <w:p>
            <w:pPr>
              <w:jc w:val="right"/>
              <w:ind w:right="568"/>
              <w:spacing w:after="0"/>
              <w:rPr>
                <w:sz w:val="20"/>
                <w:szCs w:val="20"/>
                <w:color w:val="auto"/>
              </w:rPr>
            </w:pPr>
            <w:r>
              <w:rPr>
                <w:rFonts w:ascii="Arial" w:cs="Arial" w:eastAsia="Arial" w:hAnsi="Arial"/>
                <w:sz w:val="14"/>
                <w:szCs w:val="14"/>
                <w:b w:val="1"/>
                <w:bCs w:val="1"/>
                <w:color w:val="auto"/>
              </w:rPr>
              <w:t>(Unaudited)</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176"/>
        </w:trPr>
        <w:tc>
          <w:tcPr>
            <w:tcW w:w="312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6800" w:type="dxa"/>
            <w:vAlign w:val="bottom"/>
          </w:tcPr>
          <w:p>
            <w:pPr>
              <w:jc w:val="right"/>
              <w:ind w:right="568"/>
              <w:spacing w:after="0"/>
              <w:rPr>
                <w:sz w:val="20"/>
                <w:szCs w:val="20"/>
                <w:color w:val="auto"/>
              </w:rPr>
            </w:pPr>
            <w:r>
              <w:rPr>
                <w:rFonts w:ascii="Arial" w:cs="Arial" w:eastAsia="Arial" w:hAnsi="Arial"/>
                <w:sz w:val="14"/>
                <w:szCs w:val="14"/>
                <w:color w:val="auto"/>
              </w:rPr>
              <w:t>147,304</w:t>
            </w:r>
          </w:p>
        </w:tc>
        <w:tc>
          <w:tcPr>
            <w:tcW w:w="1500" w:type="dxa"/>
            <w:vAlign w:val="bottom"/>
          </w:tcPr>
          <w:p>
            <w:pPr>
              <w:jc w:val="right"/>
              <w:spacing w:after="0"/>
              <w:rPr>
                <w:sz w:val="20"/>
                <w:szCs w:val="20"/>
                <w:color w:val="auto"/>
              </w:rPr>
            </w:pPr>
            <w:r>
              <w:rPr>
                <w:rFonts w:ascii="Arial" w:cs="Arial" w:eastAsia="Arial" w:hAnsi="Arial"/>
                <w:sz w:val="14"/>
                <w:szCs w:val="14"/>
                <w:color w:val="auto"/>
              </w:rPr>
              <w:t>101,104</w:t>
            </w:r>
          </w:p>
        </w:tc>
      </w:tr>
      <w:tr>
        <w:trPr>
          <w:trHeight w:val="176"/>
        </w:trPr>
        <w:tc>
          <w:tcPr>
            <w:tcW w:w="3120" w:type="dxa"/>
            <w:vAlign w:val="bottom"/>
          </w:tcPr>
          <w:p>
            <w:pPr>
              <w:spacing w:after="0"/>
              <w:rPr>
                <w:sz w:val="20"/>
                <w:szCs w:val="20"/>
                <w:color w:val="auto"/>
              </w:rPr>
            </w:pPr>
            <w:r>
              <w:rPr>
                <w:rFonts w:ascii="Arial" w:cs="Arial" w:eastAsia="Arial" w:hAnsi="Arial"/>
                <w:sz w:val="14"/>
                <w:szCs w:val="14"/>
                <w:color w:val="auto"/>
              </w:rPr>
              <w:t>Debt</w:t>
            </w:r>
          </w:p>
        </w:tc>
        <w:tc>
          <w:tcPr>
            <w:tcW w:w="6800" w:type="dxa"/>
            <w:vAlign w:val="bottom"/>
          </w:tcPr>
          <w:p>
            <w:pPr>
              <w:jc w:val="right"/>
              <w:ind w:right="568"/>
              <w:spacing w:after="0"/>
              <w:rPr>
                <w:sz w:val="20"/>
                <w:szCs w:val="20"/>
                <w:color w:val="auto"/>
              </w:rPr>
            </w:pPr>
            <w:r>
              <w:rPr>
                <w:rFonts w:ascii="Arial" w:cs="Arial" w:eastAsia="Arial" w:hAnsi="Arial"/>
                <w:sz w:val="14"/>
                <w:szCs w:val="14"/>
                <w:color w:val="auto"/>
              </w:rPr>
              <w:t>64,107</w:t>
            </w:r>
          </w:p>
        </w:tc>
        <w:tc>
          <w:tcPr>
            <w:tcW w:w="1500" w:type="dxa"/>
            <w:vAlign w:val="bottom"/>
          </w:tcPr>
          <w:p>
            <w:pPr>
              <w:jc w:val="right"/>
              <w:spacing w:after="0"/>
              <w:rPr>
                <w:sz w:val="20"/>
                <w:szCs w:val="20"/>
                <w:color w:val="auto"/>
              </w:rPr>
            </w:pPr>
            <w:r>
              <w:rPr>
                <w:rFonts w:ascii="Arial" w:cs="Arial" w:eastAsia="Arial" w:hAnsi="Arial"/>
                <w:sz w:val="14"/>
                <w:szCs w:val="14"/>
                <w:color w:val="auto"/>
              </w:rPr>
              <w:t>105,379</w:t>
            </w:r>
          </w:p>
        </w:tc>
      </w:t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Net cash/(debt)</w:t>
            </w:r>
          </w:p>
        </w:tc>
        <w:tc>
          <w:tcPr>
            <w:tcW w:w="6800" w:type="dxa"/>
            <w:vAlign w:val="bottom"/>
          </w:tcPr>
          <w:p>
            <w:pPr>
              <w:jc w:val="right"/>
              <w:ind w:right="568"/>
              <w:spacing w:after="0"/>
              <w:rPr>
                <w:sz w:val="20"/>
                <w:szCs w:val="20"/>
                <w:color w:val="auto"/>
              </w:rPr>
            </w:pPr>
            <w:r>
              <w:rPr>
                <w:rFonts w:ascii="Arial" w:cs="Arial" w:eastAsia="Arial" w:hAnsi="Arial"/>
                <w:sz w:val="14"/>
                <w:szCs w:val="14"/>
                <w:color w:val="auto"/>
              </w:rPr>
              <w:t>83,197</w:t>
            </w:r>
          </w:p>
        </w:tc>
        <w:tc>
          <w:tcPr>
            <w:tcW w:w="1500" w:type="dxa"/>
            <w:vAlign w:val="bottom"/>
          </w:tcPr>
          <w:p>
            <w:pPr>
              <w:jc w:val="right"/>
              <w:spacing w:after="0"/>
              <w:rPr>
                <w:sz w:val="20"/>
                <w:szCs w:val="20"/>
                <w:color w:val="auto"/>
              </w:rPr>
            </w:pPr>
            <w:r>
              <w:rPr>
                <w:rFonts w:ascii="Arial" w:cs="Arial" w:eastAsia="Arial" w:hAnsi="Arial"/>
                <w:sz w:val="14"/>
                <w:szCs w:val="14"/>
                <w:color w:val="auto"/>
              </w:rPr>
              <w:t>(4,275)</w:t>
            </w:r>
          </w:p>
        </w:tc>
      </w:tr>
      <w:tr>
        <w:trPr>
          <w:trHeight w:val="344"/>
        </w:trPr>
        <w:tc>
          <w:tcPr>
            <w:tcW w:w="3120" w:type="dxa"/>
            <w:vAlign w:val="bottom"/>
          </w:tcPr>
          <w:p>
            <w:pPr>
              <w:spacing w:after="0"/>
              <w:rPr>
                <w:sz w:val="20"/>
                <w:szCs w:val="20"/>
                <w:color w:val="auto"/>
              </w:rPr>
            </w:pPr>
            <w:r>
              <w:rPr>
                <w:rFonts w:ascii="Arial" w:cs="Arial" w:eastAsia="Arial" w:hAnsi="Arial"/>
                <w:sz w:val="14"/>
                <w:szCs w:val="14"/>
                <w:color w:val="auto"/>
              </w:rPr>
              <w:t>Accounts receivable</w:t>
            </w:r>
          </w:p>
        </w:tc>
        <w:tc>
          <w:tcPr>
            <w:tcW w:w="6800" w:type="dxa"/>
            <w:vAlign w:val="bottom"/>
          </w:tcPr>
          <w:p>
            <w:pPr>
              <w:jc w:val="right"/>
              <w:ind w:right="568"/>
              <w:spacing w:after="0"/>
              <w:rPr>
                <w:sz w:val="20"/>
                <w:szCs w:val="20"/>
                <w:color w:val="auto"/>
              </w:rPr>
            </w:pPr>
            <w:r>
              <w:rPr>
                <w:rFonts w:ascii="Arial" w:cs="Arial" w:eastAsia="Arial" w:hAnsi="Arial"/>
                <w:sz w:val="14"/>
                <w:szCs w:val="14"/>
                <w:color w:val="auto"/>
              </w:rPr>
              <w:t>208,461</w:t>
            </w:r>
          </w:p>
        </w:tc>
        <w:tc>
          <w:tcPr>
            <w:tcW w:w="1500" w:type="dxa"/>
            <w:vAlign w:val="bottom"/>
          </w:tcPr>
          <w:p>
            <w:pPr>
              <w:jc w:val="right"/>
              <w:spacing w:after="0"/>
              <w:rPr>
                <w:sz w:val="20"/>
                <w:szCs w:val="20"/>
                <w:color w:val="auto"/>
              </w:rPr>
            </w:pPr>
            <w:r>
              <w:rPr>
                <w:rFonts w:ascii="Arial" w:cs="Arial" w:eastAsia="Arial" w:hAnsi="Arial"/>
                <w:sz w:val="14"/>
                <w:szCs w:val="14"/>
                <w:color w:val="auto"/>
              </w:rPr>
              <w:t>210,535</w:t>
            </w:r>
          </w:p>
        </w:tc>
      </w:tr>
      <w:tr>
        <w:trPr>
          <w:trHeight w:val="176"/>
        </w:trPr>
        <w:tc>
          <w:tcPr>
            <w:tcW w:w="3120" w:type="dxa"/>
            <w:vAlign w:val="bottom"/>
          </w:tcPr>
          <w:p>
            <w:pPr>
              <w:spacing w:after="0"/>
              <w:rPr>
                <w:sz w:val="20"/>
                <w:szCs w:val="20"/>
                <w:color w:val="auto"/>
              </w:rPr>
            </w:pPr>
            <w:r>
              <w:rPr>
                <w:rFonts w:ascii="Arial" w:cs="Arial" w:eastAsia="Arial" w:hAnsi="Arial"/>
                <w:sz w:val="14"/>
                <w:szCs w:val="14"/>
                <w:color w:val="auto"/>
              </w:rPr>
              <w:t>Unbilled revenue</w:t>
            </w:r>
          </w:p>
        </w:tc>
        <w:tc>
          <w:tcPr>
            <w:tcW w:w="6800" w:type="dxa"/>
            <w:vAlign w:val="bottom"/>
          </w:tcPr>
          <w:p>
            <w:pPr>
              <w:jc w:val="right"/>
              <w:ind w:right="568"/>
              <w:spacing w:after="0"/>
              <w:rPr>
                <w:sz w:val="20"/>
                <w:szCs w:val="20"/>
                <w:color w:val="auto"/>
              </w:rPr>
            </w:pPr>
            <w:r>
              <w:rPr>
                <w:rFonts w:ascii="Arial" w:cs="Arial" w:eastAsia="Arial" w:hAnsi="Arial"/>
                <w:sz w:val="14"/>
                <w:szCs w:val="14"/>
                <w:color w:val="auto"/>
              </w:rPr>
              <w:t>114,028</w:t>
            </w:r>
          </w:p>
        </w:tc>
        <w:tc>
          <w:tcPr>
            <w:tcW w:w="1500" w:type="dxa"/>
            <w:vAlign w:val="bottom"/>
          </w:tcPr>
          <w:p>
            <w:pPr>
              <w:jc w:val="right"/>
              <w:spacing w:after="0"/>
              <w:rPr>
                <w:sz w:val="20"/>
                <w:szCs w:val="20"/>
                <w:color w:val="auto"/>
              </w:rPr>
            </w:pPr>
            <w:r>
              <w:rPr>
                <w:rFonts w:ascii="Arial" w:cs="Arial" w:eastAsia="Arial" w:hAnsi="Arial"/>
                <w:sz w:val="14"/>
                <w:szCs w:val="14"/>
                <w:color w:val="auto"/>
              </w:rPr>
              <w:t>141,727</w:t>
            </w:r>
          </w:p>
        </w:tc>
      </w:tr>
      <w:tr>
        <w:trPr>
          <w:trHeight w:val="176"/>
        </w:trPr>
        <w:tc>
          <w:tcPr>
            <w:tcW w:w="3120" w:type="dxa"/>
            <w:vAlign w:val="bottom"/>
          </w:tcPr>
          <w:p>
            <w:pPr>
              <w:spacing w:after="0"/>
              <w:rPr>
                <w:sz w:val="20"/>
                <w:szCs w:val="20"/>
                <w:color w:val="auto"/>
              </w:rPr>
            </w:pPr>
            <w:r>
              <w:rPr>
                <w:rFonts w:ascii="Arial" w:cs="Arial" w:eastAsia="Arial" w:hAnsi="Arial"/>
                <w:sz w:val="14"/>
                <w:szCs w:val="14"/>
                <w:color w:val="auto"/>
              </w:rPr>
              <w:t>Payments on account</w:t>
            </w:r>
          </w:p>
        </w:tc>
        <w:tc>
          <w:tcPr>
            <w:tcW w:w="6800" w:type="dxa"/>
            <w:vAlign w:val="bottom"/>
          </w:tcPr>
          <w:p>
            <w:pPr>
              <w:jc w:val="right"/>
              <w:ind w:right="568"/>
              <w:spacing w:after="0"/>
              <w:rPr>
                <w:sz w:val="20"/>
                <w:szCs w:val="20"/>
                <w:color w:val="auto"/>
              </w:rPr>
            </w:pPr>
            <w:r>
              <w:rPr>
                <w:rFonts w:ascii="Arial" w:cs="Arial" w:eastAsia="Arial" w:hAnsi="Arial"/>
                <w:sz w:val="14"/>
                <w:szCs w:val="14"/>
                <w:color w:val="auto"/>
              </w:rPr>
              <w:t>(158,823)</w:t>
            </w:r>
          </w:p>
        </w:tc>
        <w:tc>
          <w:tcPr>
            <w:tcW w:w="1500" w:type="dxa"/>
            <w:vAlign w:val="bottom"/>
          </w:tcPr>
          <w:p>
            <w:pPr>
              <w:jc w:val="right"/>
              <w:spacing w:after="0"/>
              <w:rPr>
                <w:sz w:val="20"/>
                <w:szCs w:val="20"/>
                <w:color w:val="auto"/>
              </w:rPr>
            </w:pPr>
            <w:r>
              <w:rPr>
                <w:rFonts w:ascii="Arial" w:cs="Arial" w:eastAsia="Arial" w:hAnsi="Arial"/>
                <w:sz w:val="14"/>
                <w:szCs w:val="14"/>
                <w:color w:val="auto"/>
              </w:rPr>
              <w:t>(121,935)</w:t>
            </w:r>
          </w:p>
        </w:tc>
      </w:t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Total</w:t>
            </w:r>
          </w:p>
        </w:tc>
        <w:tc>
          <w:tcPr>
            <w:tcW w:w="6800" w:type="dxa"/>
            <w:vAlign w:val="bottom"/>
          </w:tcPr>
          <w:p>
            <w:pPr>
              <w:jc w:val="right"/>
              <w:ind w:right="568"/>
              <w:spacing w:after="0"/>
              <w:rPr>
                <w:sz w:val="20"/>
                <w:szCs w:val="20"/>
                <w:color w:val="auto"/>
              </w:rPr>
            </w:pPr>
            <w:r>
              <w:rPr>
                <w:rFonts w:ascii="Arial" w:cs="Arial" w:eastAsia="Arial" w:hAnsi="Arial"/>
                <w:sz w:val="14"/>
                <w:szCs w:val="14"/>
                <w:color w:val="auto"/>
              </w:rPr>
              <w:t>163,666</w:t>
            </w:r>
          </w:p>
        </w:tc>
        <w:tc>
          <w:tcPr>
            <w:tcW w:w="1500" w:type="dxa"/>
            <w:vAlign w:val="bottom"/>
          </w:tcPr>
          <w:p>
            <w:pPr>
              <w:jc w:val="right"/>
              <w:spacing w:after="0"/>
              <w:rPr>
                <w:sz w:val="20"/>
                <w:szCs w:val="20"/>
                <w:color w:val="auto"/>
              </w:rPr>
            </w:pPr>
            <w:r>
              <w:rPr>
                <w:rFonts w:ascii="Arial" w:cs="Arial" w:eastAsia="Arial" w:hAnsi="Arial"/>
                <w:sz w:val="14"/>
                <w:szCs w:val="14"/>
                <w:color w:val="auto"/>
              </w:rPr>
              <w:t>230,327</w:t>
            </w:r>
          </w:p>
        </w:tc>
      </w:tr>
      <w:tr>
        <w:trPr>
          <w:trHeight w:val="351"/>
        </w:trPr>
        <w:tc>
          <w:tcPr>
            <w:tcW w:w="3120" w:type="dxa"/>
            <w:vAlign w:val="bottom"/>
          </w:tcPr>
          <w:p>
            <w:pPr>
              <w:spacing w:after="0"/>
              <w:rPr>
                <w:sz w:val="20"/>
                <w:szCs w:val="20"/>
                <w:color w:val="auto"/>
              </w:rPr>
            </w:pPr>
            <w:r>
              <w:rPr>
                <w:rFonts w:ascii="Arial" w:cs="Arial" w:eastAsia="Arial" w:hAnsi="Arial"/>
                <w:sz w:val="14"/>
                <w:szCs w:val="14"/>
                <w:color w:val="auto"/>
              </w:rPr>
              <w:t>Working Capital</w:t>
            </w:r>
          </w:p>
        </w:tc>
        <w:tc>
          <w:tcPr>
            <w:tcW w:w="6800" w:type="dxa"/>
            <w:vAlign w:val="bottom"/>
          </w:tcPr>
          <w:p>
            <w:pPr>
              <w:jc w:val="right"/>
              <w:ind w:right="568"/>
              <w:spacing w:after="0"/>
              <w:rPr>
                <w:sz w:val="20"/>
                <w:szCs w:val="20"/>
                <w:color w:val="auto"/>
              </w:rPr>
            </w:pPr>
            <w:r>
              <w:rPr>
                <w:rFonts w:ascii="Arial" w:cs="Arial" w:eastAsia="Arial" w:hAnsi="Arial"/>
                <w:sz w:val="14"/>
                <w:szCs w:val="14"/>
                <w:color w:val="auto"/>
              </w:rPr>
              <w:t>197,473</w:t>
            </w:r>
          </w:p>
        </w:tc>
        <w:tc>
          <w:tcPr>
            <w:tcW w:w="1500" w:type="dxa"/>
            <w:vAlign w:val="bottom"/>
          </w:tcPr>
          <w:p>
            <w:pPr>
              <w:jc w:val="right"/>
              <w:spacing w:after="0"/>
              <w:rPr>
                <w:sz w:val="20"/>
                <w:szCs w:val="20"/>
                <w:color w:val="auto"/>
              </w:rPr>
            </w:pPr>
            <w:r>
              <w:rPr>
                <w:rFonts w:ascii="Arial" w:cs="Arial" w:eastAsia="Arial" w:hAnsi="Arial"/>
                <w:sz w:val="14"/>
                <w:szCs w:val="14"/>
                <w:color w:val="auto"/>
              </w:rPr>
              <w:t>185,957</w:t>
            </w:r>
          </w:p>
        </w:tc>
      </w:tr>
      <w:tr>
        <w:trPr>
          <w:trHeight w:val="351"/>
        </w:trPr>
        <w:tc>
          <w:tcPr>
            <w:tcW w:w="3120" w:type="dxa"/>
            <w:vAlign w:val="bottom"/>
          </w:tcPr>
          <w:p>
            <w:pPr>
              <w:spacing w:after="0"/>
              <w:rPr>
                <w:sz w:val="20"/>
                <w:szCs w:val="20"/>
                <w:color w:val="auto"/>
              </w:rPr>
            </w:pPr>
            <w:r>
              <w:rPr>
                <w:rFonts w:ascii="Arial" w:cs="Arial" w:eastAsia="Arial" w:hAnsi="Arial"/>
                <w:sz w:val="14"/>
                <w:szCs w:val="14"/>
                <w:color w:val="auto"/>
              </w:rPr>
              <w:t>Total Assets</w:t>
            </w:r>
          </w:p>
        </w:tc>
        <w:tc>
          <w:tcPr>
            <w:tcW w:w="6800" w:type="dxa"/>
            <w:vAlign w:val="bottom"/>
          </w:tcPr>
          <w:p>
            <w:pPr>
              <w:jc w:val="right"/>
              <w:ind w:right="568"/>
              <w:spacing w:after="0"/>
              <w:rPr>
                <w:sz w:val="20"/>
                <w:szCs w:val="20"/>
                <w:color w:val="auto"/>
              </w:rPr>
            </w:pPr>
            <w:r>
              <w:rPr>
                <w:rFonts w:ascii="Arial" w:cs="Arial" w:eastAsia="Arial" w:hAnsi="Arial"/>
                <w:sz w:val="14"/>
                <w:szCs w:val="14"/>
                <w:color w:val="auto"/>
              </w:rPr>
              <w:t>897,478</w:t>
            </w:r>
          </w:p>
        </w:tc>
        <w:tc>
          <w:tcPr>
            <w:tcW w:w="1500" w:type="dxa"/>
            <w:vAlign w:val="bottom"/>
          </w:tcPr>
          <w:p>
            <w:pPr>
              <w:jc w:val="right"/>
              <w:spacing w:after="0"/>
              <w:rPr>
                <w:sz w:val="20"/>
                <w:szCs w:val="20"/>
                <w:color w:val="auto"/>
              </w:rPr>
            </w:pPr>
            <w:r>
              <w:rPr>
                <w:rFonts w:ascii="Arial" w:cs="Arial" w:eastAsia="Arial" w:hAnsi="Arial"/>
                <w:sz w:val="14"/>
                <w:szCs w:val="14"/>
                <w:color w:val="auto"/>
              </w:rPr>
              <w:t>867,285</w:t>
            </w:r>
          </w:p>
        </w:tc>
      </w:tr>
      <w:tr>
        <w:trPr>
          <w:trHeight w:val="351"/>
        </w:trPr>
        <w:tc>
          <w:tcPr>
            <w:tcW w:w="3120" w:type="dxa"/>
            <w:vAlign w:val="bottom"/>
          </w:tcPr>
          <w:p>
            <w:pPr>
              <w:spacing w:after="0"/>
              <w:rPr>
                <w:sz w:val="20"/>
                <w:szCs w:val="20"/>
                <w:color w:val="auto"/>
              </w:rPr>
            </w:pPr>
            <w:r>
              <w:rPr>
                <w:rFonts w:ascii="Arial" w:cs="Arial" w:eastAsia="Arial" w:hAnsi="Arial"/>
                <w:sz w:val="14"/>
                <w:szCs w:val="14"/>
                <w:color w:val="auto"/>
              </w:rPr>
              <w:t>Shareholder's Equity</w:t>
            </w:r>
          </w:p>
        </w:tc>
        <w:tc>
          <w:tcPr>
            <w:tcW w:w="6800" w:type="dxa"/>
            <w:vAlign w:val="bottom"/>
          </w:tcPr>
          <w:p>
            <w:pPr>
              <w:jc w:val="right"/>
              <w:ind w:right="568"/>
              <w:spacing w:after="0"/>
              <w:rPr>
                <w:sz w:val="20"/>
                <w:szCs w:val="20"/>
                <w:color w:val="auto"/>
              </w:rPr>
            </w:pPr>
            <w:r>
              <w:rPr>
                <w:rFonts w:ascii="Arial" w:cs="Arial" w:eastAsia="Arial" w:hAnsi="Arial"/>
                <w:sz w:val="14"/>
                <w:szCs w:val="14"/>
                <w:color w:val="auto"/>
              </w:rPr>
              <w:t>507,924</w:t>
            </w:r>
          </w:p>
        </w:tc>
        <w:tc>
          <w:tcPr>
            <w:tcW w:w="1500" w:type="dxa"/>
            <w:vAlign w:val="bottom"/>
          </w:tcPr>
          <w:p>
            <w:pPr>
              <w:jc w:val="right"/>
              <w:spacing w:after="0"/>
              <w:rPr>
                <w:sz w:val="20"/>
                <w:szCs w:val="20"/>
                <w:color w:val="auto"/>
              </w:rPr>
            </w:pPr>
            <w:r>
              <w:rPr>
                <w:rFonts w:ascii="Arial" w:cs="Arial" w:eastAsia="Arial" w:hAnsi="Arial"/>
                <w:sz w:val="14"/>
                <w:szCs w:val="14"/>
                <w:color w:val="auto"/>
              </w:rPr>
              <w:t>456,366</w:t>
            </w:r>
          </w:p>
        </w:tc>
      </w:tr>
      <w:tr>
        <w:trPr>
          <w:trHeight w:val="527"/>
        </w:trPr>
        <w:tc>
          <w:tcPr>
            <w:tcW w:w="3120" w:type="dxa"/>
            <w:vAlign w:val="bottom"/>
          </w:tcPr>
          <w:p>
            <w:pPr>
              <w:spacing w:after="0"/>
              <w:rPr>
                <w:sz w:val="20"/>
                <w:szCs w:val="20"/>
                <w:color w:val="auto"/>
              </w:rPr>
            </w:pPr>
            <w:r>
              <w:rPr>
                <w:rFonts w:ascii="Arial" w:cs="Arial" w:eastAsia="Arial" w:hAnsi="Arial"/>
                <w:sz w:val="14"/>
                <w:szCs w:val="14"/>
                <w:b w:val="1"/>
                <w:bCs w:val="1"/>
                <w:color w:val="auto"/>
              </w:rPr>
              <w:t>Source:</w:t>
            </w:r>
          </w:p>
        </w:tc>
        <w:tc>
          <w:tcPr>
            <w:tcW w:w="6800" w:type="dxa"/>
            <w:vAlign w:val="bottom"/>
          </w:tcPr>
          <w:p>
            <w:pPr>
              <w:ind w:left="1200"/>
              <w:spacing w:after="0"/>
              <w:rPr>
                <w:sz w:val="20"/>
                <w:szCs w:val="20"/>
                <w:color w:val="auto"/>
              </w:rPr>
            </w:pPr>
            <w:r>
              <w:rPr>
                <w:rFonts w:ascii="Arial" w:cs="Arial" w:eastAsia="Arial" w:hAnsi="Arial"/>
                <w:sz w:val="14"/>
                <w:szCs w:val="14"/>
                <w:color w:val="auto"/>
              </w:rPr>
              <w:t>ICON plc</w:t>
            </w:r>
          </w:p>
        </w:tc>
        <w:tc>
          <w:tcPr>
            <w:tcW w:w="1500" w:type="dxa"/>
            <w:vAlign w:val="bottom"/>
          </w:tcPr>
          <w:p>
            <w:pPr>
              <w:spacing w:after="0"/>
              <w:rPr>
                <w:sz w:val="24"/>
                <w:szCs w:val="24"/>
                <w:color w:val="auto"/>
              </w:rPr>
            </w:pPr>
          </w:p>
        </w:tc>
      </w:tr>
      <w:tr>
        <w:trPr>
          <w:trHeight w:val="344"/>
        </w:trPr>
        <w:tc>
          <w:tcPr>
            <w:tcW w:w="312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6800" w:type="dxa"/>
            <w:vAlign w:val="bottom"/>
          </w:tcPr>
          <w:p>
            <w:pPr>
              <w:ind w:left="1200"/>
              <w:spacing w:after="0"/>
              <w:rPr>
                <w:sz w:val="20"/>
                <w:szCs w:val="20"/>
                <w:color w:val="auto"/>
              </w:rPr>
            </w:pPr>
            <w:r>
              <w:rPr>
                <w:rFonts w:ascii="Arial" w:cs="Arial" w:eastAsia="Arial" w:hAnsi="Arial"/>
                <w:sz w:val="14"/>
                <w:szCs w:val="14"/>
                <w:color w:val="auto"/>
              </w:rPr>
              <w:t>Investor Relations 1-888-381-7923 or</w:t>
            </w:r>
          </w:p>
        </w:tc>
        <w:tc>
          <w:tcPr>
            <w:tcW w:w="1500" w:type="dxa"/>
            <w:vAlign w:val="bottom"/>
          </w:tcPr>
          <w:p>
            <w:pPr>
              <w:spacing w:after="0"/>
              <w:rPr>
                <w:sz w:val="24"/>
                <w:szCs w:val="24"/>
                <w:color w:val="auto"/>
              </w:rPr>
            </w:pPr>
          </w:p>
        </w:tc>
      </w:tr>
      <w:tr>
        <w:trPr>
          <w:trHeight w:val="176"/>
        </w:trPr>
        <w:tc>
          <w:tcPr>
            <w:tcW w:w="3120" w:type="dxa"/>
            <w:vAlign w:val="bottom"/>
          </w:tcPr>
          <w:p>
            <w:pPr>
              <w:spacing w:after="0"/>
              <w:rPr>
                <w:sz w:val="15"/>
                <w:szCs w:val="15"/>
                <w:color w:val="auto"/>
              </w:rPr>
            </w:pPr>
          </w:p>
        </w:tc>
        <w:tc>
          <w:tcPr>
            <w:tcW w:w="6800" w:type="dxa"/>
            <w:vAlign w:val="bottom"/>
          </w:tcPr>
          <w:p>
            <w:pPr>
              <w:ind w:left="1200"/>
              <w:spacing w:after="0"/>
              <w:rPr>
                <w:sz w:val="20"/>
                <w:szCs w:val="20"/>
                <w:color w:val="auto"/>
              </w:rPr>
            </w:pPr>
            <w:r>
              <w:rPr>
                <w:rFonts w:ascii="Arial" w:cs="Arial" w:eastAsia="Arial" w:hAnsi="Arial"/>
                <w:sz w:val="14"/>
                <w:szCs w:val="14"/>
                <w:color w:val="auto"/>
              </w:rPr>
              <w:t>Ciaran Murray CFO + 353 1 291 2000</w:t>
            </w:r>
          </w:p>
        </w:tc>
        <w:tc>
          <w:tcPr>
            <w:tcW w:w="1500" w:type="dxa"/>
            <w:vAlign w:val="bottom"/>
          </w:tcPr>
          <w:p>
            <w:pPr>
              <w:spacing w:after="0"/>
              <w:rPr>
                <w:sz w:val="15"/>
                <w:szCs w:val="15"/>
                <w:color w:val="auto"/>
              </w:rPr>
            </w:pPr>
          </w:p>
        </w:tc>
      </w:tr>
      <w:tr>
        <w:trPr>
          <w:trHeight w:val="182"/>
        </w:trPr>
        <w:tc>
          <w:tcPr>
            <w:tcW w:w="3120" w:type="dxa"/>
            <w:vAlign w:val="bottom"/>
          </w:tcPr>
          <w:p>
            <w:pPr>
              <w:spacing w:after="0"/>
              <w:rPr>
                <w:sz w:val="15"/>
                <w:szCs w:val="15"/>
                <w:color w:val="auto"/>
              </w:rPr>
            </w:pPr>
          </w:p>
        </w:tc>
        <w:tc>
          <w:tcPr>
            <w:tcW w:w="6800" w:type="dxa"/>
            <w:vAlign w:val="bottom"/>
          </w:tcPr>
          <w:p>
            <w:pPr>
              <w:ind w:left="1200"/>
              <w:spacing w:after="0"/>
              <w:rPr>
                <w:sz w:val="20"/>
                <w:szCs w:val="20"/>
                <w:color w:val="auto"/>
              </w:rPr>
            </w:pPr>
            <w:r>
              <w:rPr>
                <w:rFonts w:ascii="Arial" w:cs="Arial" w:eastAsia="Arial" w:hAnsi="Arial"/>
                <w:sz w:val="14"/>
                <w:szCs w:val="14"/>
                <w:color w:val="auto"/>
              </w:rPr>
              <w:t>both at ICON.</w:t>
            </w:r>
          </w:p>
        </w:tc>
        <w:tc>
          <w:tcPr>
            <w:tcW w:w="1500" w:type="dxa"/>
            <w:vAlign w:val="bottom"/>
          </w:tcPr>
          <w:p>
            <w:pPr>
              <w:spacing w:after="0"/>
              <w:rPr>
                <w:sz w:val="15"/>
                <w:szCs w:val="15"/>
                <w:color w:val="auto"/>
              </w:rPr>
            </w:pPr>
          </w:p>
        </w:tc>
      </w:tr>
    </w:tbl>
    <w:p>
      <w:pPr>
        <w:spacing w:after="0" w:line="169" w:lineRule="exact"/>
        <w:rPr>
          <w:sz w:val="20"/>
          <w:szCs w:val="20"/>
          <w:color w:val="auto"/>
        </w:rPr>
      </w:pPr>
    </w:p>
    <w:p>
      <w:pPr>
        <w:ind w:left="4320"/>
        <w:spacing w:after="0"/>
        <w:rPr>
          <w:sz w:val="20"/>
          <w:szCs w:val="20"/>
          <w:color w:val="auto"/>
        </w:rPr>
      </w:pPr>
      <w:r>
        <w:rPr>
          <w:rFonts w:ascii="Arial" w:cs="Arial" w:eastAsia="Arial" w:hAnsi="Arial"/>
          <w:sz w:val="14"/>
          <w:szCs w:val="14"/>
          <w:u w:val="single" w:color="auto"/>
          <w:color w:val="auto"/>
        </w:rPr>
        <w:t>http://www.iconplc.com</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Ciaran Murray, Chief Financial Officer</w:t>
      </w:r>
    </w:p>
    <w:p>
      <w:pPr>
        <w:ind w:right="9740" w:firstLine="8"/>
        <w:spacing w:after="0" w:line="230" w:lineRule="auto"/>
        <w:tabs>
          <w:tab w:leader="none" w:pos="176"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Brendan Brennan, Corporate FP&amp;A</w:t>
      </w:r>
    </w:p>
    <w:p>
      <w:pPr>
        <w:ind w:left="180" w:hanging="172"/>
        <w:spacing w:after="0"/>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2019-12-10T17:05:21Z</dcterms:created>
  <dcterms:modified xsi:type="dcterms:W3CDTF">2019-12-10T17:05:21Z</dcterms:modified>
</cp:coreProperties>
</file>