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(Amendment No. 7)*</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ICON PLC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Common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G4705A100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December 31, 2021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this Statement)</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660" w:right="8960" w:hanging="4"/>
        <w:spacing w:after="0" w:line="504" w:lineRule="auto"/>
        <w:tabs>
          <w:tab w:leader="none" w:pos="1068"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[_] Rule 13d-1(c)</w:t>
      </w:r>
    </w:p>
    <w:p>
      <w:pPr>
        <w:ind w:left="660"/>
        <w:spacing w:after="0"/>
        <w:rPr>
          <w:rFonts w:ascii="Arial" w:cs="Arial" w:eastAsia="Arial" w:hAnsi="Arial"/>
          <w:sz w:val="19"/>
          <w:szCs w:val="19"/>
          <w:color w:val="auto"/>
        </w:rPr>
      </w:pPr>
      <w:r>
        <w:rPr>
          <w:rFonts w:ascii="Arial" w:cs="Arial" w:eastAsia="Arial" w:hAnsi="Arial"/>
          <w:sz w:val="22"/>
          <w:szCs w:val="22"/>
          <w:color w:val="auto"/>
        </w:rPr>
        <w:t>[_] Rule 13d-1(d)</w:t>
      </w:r>
    </w:p>
    <w:p>
      <w:pPr>
        <w:spacing w:after="0" w:line="20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SCHEDULE 13G</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16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8"/>
                <w:szCs w:val="18"/>
                <w:b w:val="1"/>
                <w:bCs w:val="1"/>
                <w:color w:val="auto"/>
              </w:rPr>
              <w:t>CUSIP No.</w:t>
            </w:r>
          </w:p>
        </w:tc>
        <w:tc>
          <w:tcPr>
            <w:tcW w:w="222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G4705A100</w:t>
            </w:r>
          </w:p>
        </w:tc>
      </w:tr>
      <w:tr>
        <w:trPr>
          <w:trHeight w:val="41"/>
        </w:trPr>
        <w:tc>
          <w:tcPr>
            <w:tcW w:w="1160" w:type="dxa"/>
            <w:vAlign w:val="bottom"/>
            <w:tcBorders>
              <w:left w:val="single" w:sz="8" w:color="auto"/>
              <w:bottom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r>
    </w:tbl>
    <w:p>
      <w:pPr>
        <w:spacing w:after="0" w:line="238" w:lineRule="exact"/>
        <w:rPr>
          <w:sz w:val="20"/>
          <w:szCs w:val="20"/>
          <w:color w:val="auto"/>
        </w:rPr>
      </w:pPr>
    </w:p>
    <w:p>
      <w:pPr>
        <w:ind w:left="680" w:hanging="561"/>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5186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5186045"/>
                    </a:xfrm>
                    <a:prstGeom prst="rect">
                      <a:avLst/>
                    </a:prstGeom>
                    <a:noFill/>
                  </pic:spPr>
                </pic:pic>
              </a:graphicData>
            </a:graphic>
          </wp:anchor>
        </w:drawing>
      </w:r>
    </w:p>
    <w:p>
      <w:pPr>
        <w:spacing w:after="0" w:line="20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WCM Investment Management, LLC</w:t>
      </w:r>
    </w:p>
    <w:p>
      <w:pPr>
        <w:spacing w:after="0" w:line="23" w:lineRule="exact"/>
        <w:rPr>
          <w:sz w:val="20"/>
          <w:szCs w:val="20"/>
          <w:color w:val="auto"/>
        </w:rPr>
      </w:pPr>
    </w:p>
    <w:p>
      <w:pPr>
        <w:ind w:left="680" w:hanging="561"/>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24" w:lineRule="exact"/>
        <w:rPr>
          <w:rFonts w:ascii="Arial" w:cs="Arial" w:eastAsia="Arial" w:hAnsi="Arial"/>
          <w:sz w:val="18"/>
          <w:szCs w:val="18"/>
          <w:b w:val="1"/>
          <w:bCs w:val="1"/>
          <w:color w:val="auto"/>
        </w:rPr>
      </w:pPr>
    </w:p>
    <w:p>
      <w:pPr>
        <w:ind w:left="1220" w:hanging="285"/>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240" w:hanging="305"/>
        <w:spacing w:after="0"/>
        <w:tabs>
          <w:tab w:leader="none" w:pos="1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sz w:val="20"/>
          <w:szCs w:val="20"/>
          <w:color w:val="auto"/>
        </w:rPr>
      </w:pPr>
    </w:p>
    <w:p>
      <w:pPr>
        <w:ind w:left="680" w:hanging="561"/>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sz w:val="20"/>
          <w:szCs w:val="20"/>
          <w:color w:val="auto"/>
        </w:rPr>
      </w:pPr>
    </w:p>
    <w:p>
      <w:pPr>
        <w:spacing w:after="0" w:line="250" w:lineRule="exact"/>
        <w:rPr>
          <w:sz w:val="20"/>
          <w:szCs w:val="20"/>
          <w:color w:val="auto"/>
        </w:rPr>
      </w:pPr>
    </w:p>
    <w:p>
      <w:pPr>
        <w:ind w:left="680" w:hanging="561"/>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29"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23" w:lineRule="exact"/>
        <w:rPr>
          <w:rFonts w:ascii="Arial" w:cs="Arial" w:eastAsia="Arial" w:hAnsi="Arial"/>
          <w:sz w:val="18"/>
          <w:szCs w:val="18"/>
          <w:b w:val="1"/>
          <w:bCs w:val="1"/>
          <w:color w:val="auto"/>
        </w:rPr>
      </w:pPr>
    </w:p>
    <w:p>
      <w:pPr>
        <w:ind w:left="22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5"/>
          <w:szCs w:val="15"/>
          <w:b w:val="1"/>
          <w:bCs w:val="1"/>
          <w:color w:val="auto"/>
        </w:rPr>
        <w:t>Sole Voting Power</w:t>
      </w:r>
    </w:p>
    <w:p>
      <w:pPr>
        <w:spacing w:after="0" w:line="224"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1740" w:type="dxa"/>
            <w:vAlign w:val="bottom"/>
            <w:vMerge w:val="restart"/>
          </w:tcPr>
          <w:p>
            <w:pPr>
              <w:jc w:val="center"/>
              <w:ind w:right="310"/>
              <w:spacing w:after="0"/>
              <w:rPr>
                <w:sz w:val="20"/>
                <w:szCs w:val="20"/>
                <w:color w:val="auto"/>
              </w:rPr>
            </w:pPr>
            <w:r>
              <w:rPr>
                <w:rFonts w:ascii="Arial" w:cs="Arial" w:eastAsia="Arial" w:hAnsi="Arial"/>
                <w:sz w:val="18"/>
                <w:szCs w:val="18"/>
                <w:b w:val="1"/>
                <w:bCs w:val="1"/>
                <w:color w:val="auto"/>
                <w:w w:val="91"/>
              </w:rPr>
              <w:t>Number of</w:t>
            </w:r>
          </w:p>
        </w:tc>
        <w:tc>
          <w:tcPr>
            <w:tcW w:w="440" w:type="dxa"/>
            <w:vAlign w:val="bottom"/>
            <w:tcBorders>
              <w:bottom w:val="single" w:sz="8" w:color="auto"/>
            </w:tcBorders>
          </w:tcPr>
          <w:p>
            <w:pPr>
              <w:spacing w:after="0"/>
              <w:rPr>
                <w:sz w:val="20"/>
                <w:szCs w:val="20"/>
                <w:color w:val="auto"/>
              </w:rPr>
            </w:pPr>
          </w:p>
        </w:tc>
        <w:tc>
          <w:tcPr>
            <w:tcW w:w="86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7,179,979</w:t>
            </w:r>
          </w:p>
        </w:tc>
        <w:tc>
          <w:tcPr>
            <w:tcW w:w="0" w:type="dxa"/>
            <w:vAlign w:val="bottom"/>
          </w:tcPr>
          <w:p>
            <w:pPr>
              <w:spacing w:after="0"/>
              <w:rPr>
                <w:sz w:val="1"/>
                <w:szCs w:val="1"/>
                <w:color w:val="auto"/>
              </w:rPr>
            </w:pPr>
          </w:p>
        </w:tc>
      </w:tr>
      <w:tr>
        <w:trPr>
          <w:trHeight w:val="191"/>
        </w:trPr>
        <w:tc>
          <w:tcPr>
            <w:tcW w:w="1740" w:type="dxa"/>
            <w:vAlign w:val="bottom"/>
            <w:vMerge w:val="continue"/>
          </w:tcPr>
          <w:p>
            <w:pPr>
              <w:spacing w:after="0"/>
              <w:rPr>
                <w:sz w:val="16"/>
                <w:szCs w:val="16"/>
                <w:color w:val="auto"/>
              </w:rPr>
            </w:pPr>
          </w:p>
        </w:tc>
        <w:tc>
          <w:tcPr>
            <w:tcW w:w="44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6</w:t>
            </w:r>
          </w:p>
        </w:tc>
        <w:tc>
          <w:tcPr>
            <w:tcW w:w="8680" w:type="dxa"/>
            <w:vAlign w:val="bottom"/>
          </w:tcPr>
          <w:p>
            <w:pPr>
              <w:ind w:left="240"/>
              <w:spacing w:after="0" w:line="191"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40" w:type="dxa"/>
            <w:vAlign w:val="bottom"/>
          </w:tcPr>
          <w:p>
            <w:pPr>
              <w:jc w:val="center"/>
              <w:ind w:right="290"/>
              <w:spacing w:after="0"/>
              <w:rPr>
                <w:sz w:val="20"/>
                <w:szCs w:val="20"/>
                <w:color w:val="auto"/>
              </w:rPr>
            </w:pPr>
            <w:r>
              <w:rPr>
                <w:rFonts w:ascii="Arial" w:cs="Arial" w:eastAsia="Arial" w:hAnsi="Arial"/>
                <w:sz w:val="18"/>
                <w:szCs w:val="18"/>
                <w:b w:val="1"/>
                <w:bCs w:val="1"/>
                <w:color w:val="auto"/>
                <w:w w:val="86"/>
              </w:rPr>
              <w:t>Shares</w:t>
            </w:r>
          </w:p>
        </w:tc>
        <w:tc>
          <w:tcPr>
            <w:tcW w:w="44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4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Beneficially</w:t>
            </w:r>
          </w:p>
        </w:tc>
        <w:tc>
          <w:tcPr>
            <w:tcW w:w="440" w:type="dxa"/>
            <w:vAlign w:val="bottom"/>
            <w:tcBorders>
              <w:bottom w:val="single" w:sz="8" w:color="auto"/>
            </w:tcBorders>
          </w:tcPr>
          <w:p>
            <w:pPr>
              <w:spacing w:after="0"/>
              <w:rPr>
                <w:sz w:val="20"/>
                <w:szCs w:val="20"/>
                <w:color w:val="auto"/>
              </w:rPr>
            </w:pPr>
          </w:p>
        </w:tc>
        <w:tc>
          <w:tcPr>
            <w:tcW w:w="86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8"/>
        </w:trPr>
        <w:tc>
          <w:tcPr>
            <w:tcW w:w="1740" w:type="dxa"/>
            <w:vAlign w:val="bottom"/>
          </w:tcPr>
          <w:p>
            <w:pPr>
              <w:jc w:val="center"/>
              <w:ind w:right="310"/>
              <w:spacing w:after="0" w:line="177" w:lineRule="exact"/>
              <w:rPr>
                <w:sz w:val="20"/>
                <w:szCs w:val="20"/>
                <w:color w:val="auto"/>
              </w:rPr>
            </w:pPr>
            <w:r>
              <w:rPr>
                <w:rFonts w:ascii="Arial" w:cs="Arial" w:eastAsia="Arial" w:hAnsi="Arial"/>
                <w:sz w:val="18"/>
                <w:szCs w:val="18"/>
                <w:b w:val="1"/>
                <w:bCs w:val="1"/>
                <w:color w:val="auto"/>
                <w:w w:val="90"/>
              </w:rPr>
              <w:t>Owned by Each</w:t>
            </w:r>
          </w:p>
        </w:tc>
        <w:tc>
          <w:tcPr>
            <w:tcW w:w="440" w:type="dxa"/>
            <w:vAlign w:val="bottom"/>
          </w:tcPr>
          <w:p>
            <w:pPr>
              <w:jc w:val="right"/>
              <w:ind w:right="150"/>
              <w:spacing w:after="0" w:line="177" w:lineRule="exact"/>
              <w:rPr>
                <w:sz w:val="20"/>
                <w:szCs w:val="20"/>
                <w:color w:val="auto"/>
              </w:rPr>
            </w:pPr>
            <w:r>
              <w:rPr>
                <w:rFonts w:ascii="Arial" w:cs="Arial" w:eastAsia="Arial" w:hAnsi="Arial"/>
                <w:sz w:val="18"/>
                <w:szCs w:val="18"/>
                <w:b w:val="1"/>
                <w:bCs w:val="1"/>
                <w:color w:val="auto"/>
              </w:rPr>
              <w:t>7</w:t>
            </w:r>
          </w:p>
        </w:tc>
        <w:tc>
          <w:tcPr>
            <w:tcW w:w="8680" w:type="dxa"/>
            <w:vAlign w:val="bottom"/>
          </w:tcPr>
          <w:p>
            <w:pPr>
              <w:ind w:left="240"/>
              <w:spacing w:after="0" w:line="177"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40" w:type="dxa"/>
            <w:vAlign w:val="bottom"/>
          </w:tcPr>
          <w:p>
            <w:pPr>
              <w:jc w:val="center"/>
              <w:ind w:right="310"/>
              <w:spacing w:after="0"/>
              <w:rPr>
                <w:sz w:val="20"/>
                <w:szCs w:val="20"/>
                <w:color w:val="auto"/>
              </w:rPr>
            </w:pPr>
            <w:r>
              <w:rPr>
                <w:rFonts w:ascii="Arial" w:cs="Arial" w:eastAsia="Arial" w:hAnsi="Arial"/>
                <w:sz w:val="18"/>
                <w:szCs w:val="18"/>
                <w:b w:val="1"/>
                <w:bCs w:val="1"/>
                <w:color w:val="auto"/>
                <w:w w:val="88"/>
              </w:rPr>
              <w:t>Reporting Person</w:t>
            </w:r>
          </w:p>
        </w:tc>
        <w:tc>
          <w:tcPr>
            <w:tcW w:w="44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740" w:type="dxa"/>
            <w:vAlign w:val="bottom"/>
          </w:tcPr>
          <w:p>
            <w:pPr>
              <w:jc w:val="center"/>
              <w:ind w:right="310"/>
              <w:spacing w:after="0"/>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tcBorders>
          </w:tcPr>
          <w:p>
            <w:pPr>
              <w:spacing w:after="0"/>
              <w:rPr>
                <w:sz w:val="21"/>
                <w:szCs w:val="21"/>
                <w:color w:val="auto"/>
              </w:rPr>
            </w:pPr>
          </w:p>
        </w:tc>
        <w:tc>
          <w:tcPr>
            <w:tcW w:w="86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7,179,979</w:t>
            </w:r>
          </w:p>
        </w:tc>
        <w:tc>
          <w:tcPr>
            <w:tcW w:w="0" w:type="dxa"/>
            <w:vAlign w:val="bottom"/>
          </w:tcPr>
          <w:p>
            <w:pPr>
              <w:spacing w:after="0"/>
              <w:rPr>
                <w:sz w:val="1"/>
                <w:szCs w:val="1"/>
                <w:color w:val="auto"/>
              </w:rPr>
            </w:pPr>
          </w:p>
        </w:tc>
      </w:tr>
      <w:tr>
        <w:trPr>
          <w:trHeight w:val="228"/>
        </w:trPr>
        <w:tc>
          <w:tcPr>
            <w:tcW w:w="1740" w:type="dxa"/>
            <w:vAlign w:val="bottom"/>
          </w:tcPr>
          <w:p>
            <w:pPr>
              <w:spacing w:after="0"/>
              <w:rPr>
                <w:sz w:val="19"/>
                <w:szCs w:val="19"/>
                <w:color w:val="auto"/>
              </w:rPr>
            </w:pPr>
          </w:p>
        </w:tc>
        <w:tc>
          <w:tcPr>
            <w:tcW w:w="440" w:type="dxa"/>
            <w:vAlign w:val="bottom"/>
          </w:tcPr>
          <w:p>
            <w:pPr>
              <w:jc w:val="right"/>
              <w:ind w:right="150"/>
              <w:spacing w:after="0"/>
              <w:rPr>
                <w:sz w:val="20"/>
                <w:szCs w:val="20"/>
                <w:color w:val="auto"/>
              </w:rPr>
            </w:pPr>
            <w:r>
              <w:rPr>
                <w:rFonts w:ascii="Arial" w:cs="Arial" w:eastAsia="Arial" w:hAnsi="Arial"/>
                <w:sz w:val="18"/>
                <w:szCs w:val="18"/>
                <w:b w:val="1"/>
                <w:bCs w:val="1"/>
                <w:color w:val="auto"/>
              </w:rPr>
              <w:t>8</w:t>
            </w:r>
          </w:p>
        </w:tc>
        <w:tc>
          <w:tcPr>
            <w:tcW w:w="8680" w:type="dxa"/>
            <w:vAlign w:val="bottom"/>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680" w:hanging="561"/>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w:t>
      </w:r>
    </w:p>
    <w:p>
      <w:pPr>
        <w:spacing w:after="0" w:line="22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7,179,979</w:t>
      </w:r>
    </w:p>
    <w:p>
      <w:pPr>
        <w:spacing w:after="0" w:line="23" w:lineRule="exact"/>
        <w:rPr>
          <w:sz w:val="20"/>
          <w:szCs w:val="20"/>
          <w:color w:val="auto"/>
        </w:rPr>
      </w:pPr>
    </w:p>
    <w:p>
      <w:pPr>
        <w:ind w:left="680" w:right="3880" w:hanging="561"/>
        <w:spacing w:after="0" w:line="383" w:lineRule="auto"/>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the aggregate amount in row (9) excludes certain shares (See Instructions) </w:t>
      </w:r>
      <w:r>
        <w:rPr>
          <w:rFonts w:ascii="Arial" w:cs="Arial" w:eastAsia="Arial" w:hAnsi="Arial"/>
          <w:sz w:val="18"/>
          <w:szCs w:val="18"/>
          <w:color w:val="auto"/>
        </w:rPr>
        <w:t>[ ]</w:t>
      </w:r>
    </w:p>
    <w:p>
      <w:pPr>
        <w:ind w:left="680" w:right="6780" w:hanging="561"/>
        <w:spacing w:after="0" w:line="383" w:lineRule="auto"/>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9.02%</w:t>
      </w:r>
    </w:p>
    <w:p>
      <w:pPr>
        <w:ind w:left="680" w:hanging="561"/>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24"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IA</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207" w:lineRule="exact"/>
        <w:rPr>
          <w:sz w:val="20"/>
          <w:szCs w:val="20"/>
          <w:color w:val="auto"/>
        </w:rPr>
      </w:pPr>
    </w:p>
    <w:p>
      <w:pPr>
        <w:ind w:left="700" w:hanging="692"/>
        <w:spacing w:after="0"/>
        <w:tabs>
          <w:tab w:leader="none" w:pos="70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 ICON PLC</w:t>
      </w:r>
    </w:p>
    <w:p>
      <w:pPr>
        <w:spacing w:after="0" w:line="206" w:lineRule="exact"/>
        <w:rPr>
          <w:rFonts w:ascii="Arial" w:cs="Arial" w:eastAsia="Arial" w:hAnsi="Arial"/>
          <w:sz w:val="22"/>
          <w:szCs w:val="22"/>
          <w:b w:val="1"/>
          <w:bCs w:val="1"/>
          <w:color w:val="auto"/>
        </w:rPr>
      </w:pPr>
    </w:p>
    <w:p>
      <w:pPr>
        <w:ind w:firstLine="8"/>
        <w:spacing w:after="0" w:line="256" w:lineRule="auto"/>
        <w:tabs>
          <w:tab w:leader="none" w:pos="705"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 SOUTH COUNTY BUSINESS PARK, LEOPARDSTOWN DUBLIN 18 IRELAND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720" w:hanging="712"/>
        <w:spacing w:after="0"/>
        <w:tabs>
          <w:tab w:leader="none" w:pos="72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 WCM Investment Management, LLC</w:t>
      </w:r>
    </w:p>
    <w:p>
      <w:pPr>
        <w:spacing w:after="0" w:line="206" w:lineRule="exact"/>
        <w:rPr>
          <w:rFonts w:ascii="Arial" w:cs="Arial" w:eastAsia="Arial" w:hAnsi="Arial"/>
          <w:sz w:val="22"/>
          <w:szCs w:val="22"/>
          <w:b w:val="1"/>
          <w:bCs w:val="1"/>
          <w:color w:val="auto"/>
        </w:rPr>
      </w:pPr>
    </w:p>
    <w:p>
      <w:pPr>
        <w:ind w:left="720" w:hanging="712"/>
        <w:spacing w:after="0"/>
        <w:tabs>
          <w:tab w:leader="none" w:pos="720"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color w:val="auto"/>
        </w:rPr>
        <w:t>Address of Principal Business Office or, if None, Residence: 281 Brooks Street, Laguna Beach, California 92651</w:t>
      </w:r>
    </w:p>
    <w:p>
      <w:pPr>
        <w:spacing w:after="0" w:line="240" w:lineRule="exact"/>
        <w:rPr>
          <w:rFonts w:ascii="Arial" w:cs="Arial" w:eastAsia="Arial" w:hAnsi="Arial"/>
          <w:sz w:val="19"/>
          <w:szCs w:val="19"/>
          <w:b w:val="1"/>
          <w:bCs w:val="1"/>
          <w:color w:val="auto"/>
        </w:rPr>
      </w:pPr>
    </w:p>
    <w:p>
      <w:pPr>
        <w:ind w:left="720" w:hanging="712"/>
        <w:spacing w:after="0"/>
        <w:tabs>
          <w:tab w:leader="none" w:pos="72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Delaware</w:t>
      </w:r>
    </w:p>
    <w:p>
      <w:pPr>
        <w:spacing w:after="0" w:line="206" w:lineRule="exact"/>
        <w:rPr>
          <w:rFonts w:ascii="Arial" w:cs="Arial" w:eastAsia="Arial" w:hAnsi="Arial"/>
          <w:sz w:val="22"/>
          <w:szCs w:val="22"/>
          <w:b w:val="1"/>
          <w:bCs w:val="1"/>
          <w:color w:val="auto"/>
        </w:rPr>
      </w:pPr>
    </w:p>
    <w:p>
      <w:pPr>
        <w:ind w:left="720" w:hanging="712"/>
        <w:spacing w:after="0"/>
        <w:tabs>
          <w:tab w:leader="none" w:pos="72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Title and Class of Securities: Common</w:t>
      </w:r>
    </w:p>
    <w:p>
      <w:pPr>
        <w:spacing w:after="0" w:line="206" w:lineRule="exact"/>
        <w:rPr>
          <w:rFonts w:ascii="Arial" w:cs="Arial" w:eastAsia="Arial" w:hAnsi="Arial"/>
          <w:sz w:val="22"/>
          <w:szCs w:val="22"/>
          <w:b w:val="1"/>
          <w:bCs w:val="1"/>
          <w:color w:val="auto"/>
        </w:rPr>
      </w:pPr>
    </w:p>
    <w:p>
      <w:pPr>
        <w:ind w:left="720" w:hanging="712"/>
        <w:spacing w:after="0"/>
        <w:tabs>
          <w:tab w:leader="none" w:pos="72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CUSIP No.:   G4705A100</w:t>
      </w:r>
    </w:p>
    <w:p>
      <w:pPr>
        <w:spacing w:after="0" w:line="206"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 240.13d-1(b) or 240.13d-2(b) or (c), check whether the person filing is a:</w:t>
      </w:r>
    </w:p>
    <w:p>
      <w:pPr>
        <w:spacing w:after="0" w:line="212" w:lineRule="exact"/>
        <w:rPr>
          <w:sz w:val="20"/>
          <w:szCs w:val="20"/>
          <w:color w:val="auto"/>
        </w:rPr>
      </w:pPr>
    </w:p>
    <w:p>
      <w:pPr>
        <w:ind w:left="1320" w:hanging="664"/>
        <w:spacing w:after="0"/>
        <w:tabs>
          <w:tab w:leader="none" w:pos="1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Broker or dealer registered under Section 15 of the Act;</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Bank as defined in Section 3(a)(6) of the Act;</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Insurance company as defined in Section 3(a)(19) of the Act;</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Investment company registered under Section 8 of the Investment Company Act of 1940;</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[X]    An investment adviser in accordance with Rule 13d-1(b)(1)(ii)(E);</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An employee benefit plan or endowment fund in accordance with Rule 13d-1(b)(1)(ii)(F);</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 parent holding company or control person in accordance with Rule 13d-1(b)(1)(ii)(G);</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 savings associations as defined in Section 3(b) of the Federal Deposit Insurance Act (12 U.S.C. 1813);</w:t>
      </w:r>
    </w:p>
    <w:p>
      <w:pPr>
        <w:spacing w:after="0" w:line="206" w:lineRule="exact"/>
        <w:rPr>
          <w:rFonts w:ascii="Arial" w:cs="Arial" w:eastAsia="Arial" w:hAnsi="Arial"/>
          <w:sz w:val="22"/>
          <w:szCs w:val="22"/>
          <w:color w:val="auto"/>
        </w:rPr>
      </w:pPr>
    </w:p>
    <w:p>
      <w:pPr>
        <w:ind w:left="1960" w:right="20" w:hanging="1304"/>
        <w:spacing w:after="0" w:line="250" w:lineRule="auto"/>
        <w:tabs>
          <w:tab w:leader="none" w:pos="1329" w:val="left"/>
        </w:tabs>
        <w:numPr>
          <w:ilvl w:val="0"/>
          <w:numId w:val="10"/>
        </w:numPr>
        <w:rPr>
          <w:rFonts w:ascii="Arial" w:cs="Arial" w:eastAsia="Arial" w:hAnsi="Arial"/>
          <w:sz w:val="22"/>
          <w:szCs w:val="22"/>
          <w:color w:val="auto"/>
        </w:rPr>
      </w:pPr>
      <w:r>
        <w:rPr>
          <w:rFonts w:ascii="Arial" w:cs="Arial" w:eastAsia="Arial" w:hAnsi="Arial"/>
          <w:sz w:val="22"/>
          <w:szCs w:val="22"/>
          <w:color w:val="auto"/>
        </w:rPr>
        <w:t>[_]A church plan that is excluded from the definition of an investment company under section 3(c)(14) of the Investment Company Act of 1940;</w:t>
      </w:r>
    </w:p>
    <w:p>
      <w:pPr>
        <w:spacing w:after="0" w:line="174" w:lineRule="exact"/>
        <w:rPr>
          <w:rFonts w:ascii="Arial" w:cs="Arial" w:eastAsia="Arial" w:hAnsi="Arial"/>
          <w:sz w:val="22"/>
          <w:szCs w:val="22"/>
          <w:color w:val="auto"/>
        </w:rPr>
      </w:pPr>
    </w:p>
    <w:p>
      <w:pPr>
        <w:ind w:left="1320" w:hanging="664"/>
        <w:spacing w:after="0"/>
        <w:tabs>
          <w:tab w:leader="none" w:pos="1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 non-U.S. institution in accordance with Rule 240.13d-1(b)(1)(ii)(J);</w:t>
      </w:r>
    </w:p>
    <w:p>
      <w:pPr>
        <w:spacing w:after="0" w:line="206" w:lineRule="exact"/>
        <w:rPr>
          <w:rFonts w:ascii="Arial" w:cs="Arial" w:eastAsia="Arial" w:hAnsi="Arial"/>
          <w:sz w:val="22"/>
          <w:szCs w:val="22"/>
          <w:color w:val="auto"/>
        </w:rPr>
      </w:pPr>
    </w:p>
    <w:p>
      <w:pPr>
        <w:ind w:left="1960" w:right="20" w:hanging="1304"/>
        <w:spacing w:after="0" w:line="250" w:lineRule="auto"/>
        <w:tabs>
          <w:tab w:leader="none" w:pos="1333" w:val="left"/>
        </w:tabs>
        <w:numPr>
          <w:ilvl w:val="0"/>
          <w:numId w:val="10"/>
        </w:numPr>
        <w:rPr>
          <w:rFonts w:ascii="Arial" w:cs="Arial" w:eastAsia="Arial" w:hAnsi="Arial"/>
          <w:sz w:val="22"/>
          <w:szCs w:val="22"/>
          <w:color w:val="auto"/>
        </w:rPr>
      </w:pPr>
      <w:r>
        <w:rPr>
          <w:rFonts w:ascii="Arial" w:cs="Arial" w:eastAsia="Arial" w:hAnsi="Arial"/>
          <w:sz w:val="22"/>
          <w:szCs w:val="22"/>
          <w:color w:val="auto"/>
        </w:rPr>
        <w:t>[_]Group, in accordance with Rule 240.13d-1(b)(1)(ii)(K). If filing as a non-U.S. institution in accordance with Rule 240.13d-1(b)(1)(ii)(J), please specify the type of institution: ____</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tabs>
          <w:tab w:leader="none" w:pos="10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7" w:lineRule="exact"/>
        <w:rPr>
          <w:sz w:val="20"/>
          <w:szCs w:val="20"/>
          <w:color w:val="auto"/>
        </w:rPr>
      </w:pPr>
    </w:p>
    <w:p>
      <w:pPr>
        <w:ind w:left="700" w:hanging="692"/>
        <w:spacing w:after="0"/>
        <w:tabs>
          <w:tab w:leader="none" w:pos="70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Amount Beneficially Owned:  </w:t>
      </w:r>
      <w:r>
        <w:rPr>
          <w:rFonts w:ascii="Arial" w:cs="Arial" w:eastAsia="Arial" w:hAnsi="Arial"/>
          <w:sz w:val="22"/>
          <w:szCs w:val="22"/>
          <w:color w:val="auto"/>
        </w:rPr>
        <w:t>7,179,979</w:t>
      </w:r>
    </w:p>
    <w:p>
      <w:pPr>
        <w:spacing w:after="0" w:line="206" w:lineRule="exact"/>
        <w:rPr>
          <w:rFonts w:ascii="Arial" w:cs="Arial" w:eastAsia="Arial" w:hAnsi="Arial"/>
          <w:sz w:val="22"/>
          <w:szCs w:val="22"/>
          <w:b w:val="1"/>
          <w:bCs w:val="1"/>
          <w:color w:val="auto"/>
        </w:rPr>
      </w:pPr>
    </w:p>
    <w:p>
      <w:pPr>
        <w:ind w:left="720" w:hanging="712"/>
        <w:spacing w:after="0"/>
        <w:tabs>
          <w:tab w:leader="none" w:pos="72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Percent of Class: </w:t>
      </w:r>
      <w:r>
        <w:rPr>
          <w:rFonts w:ascii="Arial" w:cs="Arial" w:eastAsia="Arial" w:hAnsi="Arial"/>
          <w:sz w:val="22"/>
          <w:szCs w:val="22"/>
          <w:color w:val="auto"/>
        </w:rPr>
        <w:t>9.02%</w:t>
      </w:r>
    </w:p>
    <w:p>
      <w:pPr>
        <w:spacing w:after="0" w:line="206" w:lineRule="exact"/>
        <w:rPr>
          <w:rFonts w:ascii="Arial" w:cs="Arial" w:eastAsia="Arial" w:hAnsi="Arial"/>
          <w:sz w:val="22"/>
          <w:szCs w:val="22"/>
          <w:b w:val="1"/>
          <w:bCs w:val="1"/>
          <w:color w:val="auto"/>
        </w:rPr>
      </w:pPr>
    </w:p>
    <w:p>
      <w:pPr>
        <w:ind w:left="700" w:hanging="692"/>
        <w:spacing w:after="0"/>
        <w:tabs>
          <w:tab w:leader="none" w:pos="70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Number of shares as to which such person has:</w:t>
      </w:r>
    </w:p>
    <w:p>
      <w:pPr>
        <w:spacing w:after="0" w:line="206" w:lineRule="exact"/>
        <w:rPr>
          <w:rFonts w:ascii="Arial" w:cs="Arial" w:eastAsia="Arial" w:hAnsi="Arial"/>
          <w:sz w:val="22"/>
          <w:szCs w:val="22"/>
          <w:b w:val="1"/>
          <w:bCs w:val="1"/>
          <w:color w:val="auto"/>
        </w:rPr>
      </w:pPr>
    </w:p>
    <w:p>
      <w:pPr>
        <w:ind w:left="1660" w:hanging="1031"/>
        <w:spacing w:after="0"/>
        <w:tabs>
          <w:tab w:leader="none" w:pos="1660" w:val="left"/>
        </w:tabs>
        <w:numPr>
          <w:ilvl w:val="1"/>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Sole power to vote or to direct the vote: </w:t>
      </w:r>
      <w:r>
        <w:rPr>
          <w:rFonts w:ascii="Arial" w:cs="Arial" w:eastAsia="Arial" w:hAnsi="Arial"/>
          <w:sz w:val="22"/>
          <w:szCs w:val="22"/>
          <w:color w:val="auto"/>
        </w:rPr>
        <w:t>7,179,979</w:t>
      </w:r>
    </w:p>
    <w:p>
      <w:pPr>
        <w:spacing w:after="0" w:line="206" w:lineRule="exact"/>
        <w:rPr>
          <w:rFonts w:ascii="Arial" w:cs="Arial" w:eastAsia="Arial" w:hAnsi="Arial"/>
          <w:sz w:val="22"/>
          <w:szCs w:val="22"/>
          <w:b w:val="1"/>
          <w:bCs w:val="1"/>
          <w:color w:val="auto"/>
        </w:rPr>
      </w:pPr>
    </w:p>
    <w:p>
      <w:pPr>
        <w:ind w:left="1680" w:hanging="1051"/>
        <w:spacing w:after="0"/>
        <w:tabs>
          <w:tab w:leader="none" w:pos="1680" w:val="left"/>
        </w:tabs>
        <w:numPr>
          <w:ilvl w:val="1"/>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Shared power to vote or to direct the vote: </w:t>
      </w:r>
      <w:r>
        <w:rPr>
          <w:rFonts w:ascii="Arial" w:cs="Arial" w:eastAsia="Arial" w:hAnsi="Arial"/>
          <w:sz w:val="22"/>
          <w:szCs w:val="22"/>
          <w:color w:val="auto"/>
        </w:rPr>
        <w:t>0</w:t>
      </w:r>
    </w:p>
    <w:p>
      <w:pPr>
        <w:spacing w:after="0" w:line="206" w:lineRule="exact"/>
        <w:rPr>
          <w:rFonts w:ascii="Arial" w:cs="Arial" w:eastAsia="Arial" w:hAnsi="Arial"/>
          <w:sz w:val="22"/>
          <w:szCs w:val="22"/>
          <w:b w:val="1"/>
          <w:bCs w:val="1"/>
          <w:color w:val="auto"/>
        </w:rPr>
      </w:pPr>
    </w:p>
    <w:p>
      <w:pPr>
        <w:ind w:left="1680" w:hanging="1024"/>
        <w:spacing w:after="0"/>
        <w:tabs>
          <w:tab w:leader="none" w:pos="1680" w:val="left"/>
        </w:tabs>
        <w:numPr>
          <w:ilvl w:val="2"/>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Sole power to dispose or to direct the disposition of: </w:t>
      </w:r>
      <w:r>
        <w:rPr>
          <w:rFonts w:ascii="Arial" w:cs="Arial" w:eastAsia="Arial" w:hAnsi="Arial"/>
          <w:sz w:val="22"/>
          <w:szCs w:val="22"/>
          <w:color w:val="auto"/>
        </w:rPr>
        <w:t>7,179,979</w:t>
      </w:r>
    </w:p>
    <w:p>
      <w:pPr>
        <w:spacing w:after="0" w:line="206" w:lineRule="exact"/>
        <w:rPr>
          <w:rFonts w:ascii="Arial" w:cs="Arial" w:eastAsia="Arial" w:hAnsi="Arial"/>
          <w:sz w:val="22"/>
          <w:szCs w:val="22"/>
          <w:b w:val="1"/>
          <w:bCs w:val="1"/>
          <w:color w:val="auto"/>
        </w:rPr>
      </w:pPr>
    </w:p>
    <w:p>
      <w:pPr>
        <w:ind w:left="1680" w:hanging="1024"/>
        <w:spacing w:after="0"/>
        <w:tabs>
          <w:tab w:leader="none" w:pos="1680" w:val="left"/>
        </w:tabs>
        <w:numPr>
          <w:ilvl w:val="2"/>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Shared power to dispose or to direct the disposition of: </w:t>
      </w:r>
      <w:r>
        <w:rPr>
          <w:rFonts w:ascii="Arial" w:cs="Arial" w:eastAsia="Arial" w:hAnsi="Arial"/>
          <w:sz w:val="22"/>
          <w:szCs w:val="22"/>
          <w:color w:val="auto"/>
        </w:rPr>
        <w:t>0</w:t>
      </w:r>
    </w:p>
    <w:p>
      <w:pPr>
        <w:spacing w:after="0" w:line="206"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12" w:lineRule="exact"/>
        <w:rPr>
          <w:sz w:val="20"/>
          <w:szCs w:val="20"/>
          <w:color w:val="auto"/>
        </w:rPr>
      </w:pPr>
    </w:p>
    <w:p>
      <w:pPr>
        <w:ind w:left="900"/>
        <w:spacing w:after="0" w:line="250"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169"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06" w:lineRule="exact"/>
        <w:rPr>
          <w:sz w:val="20"/>
          <w:szCs w:val="20"/>
          <w:color w:val="auto"/>
        </w:rPr>
      </w:pPr>
    </w:p>
    <w:p>
      <w:pPr>
        <w:ind w:left="900" w:hanging="899"/>
        <w:spacing w:after="0" w:line="256" w:lineRule="auto"/>
        <w:tabs>
          <w:tab w:leader="none" w:pos="88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 or control person.</w:t>
      </w:r>
    </w:p>
    <w:p>
      <w:pPr>
        <w:spacing w:after="0" w:line="162"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06"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10, 2022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 Signature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Name/Title David A. Brewer, SVP/Chief Compliance Officer</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lvl w:ilvl="1">
      <w:lvlJc w:val="left"/>
      <w:lvlText w:val="(%2)"/>
      <w:numFmt w:val="lowerLetter"/>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2022-02-11T23:33:52Z</dcterms:created>
  <dcterms:modified xsi:type="dcterms:W3CDTF">2022-02-11T23:33:52Z</dcterms:modified>
</cp:coreProperties>
</file>