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140"/>
        <w:spacing w:after="0"/>
        <w:rPr>
          <w:sz w:val="20"/>
          <w:szCs w:val="20"/>
          <w:color w:val="auto"/>
        </w:rPr>
      </w:pPr>
      <w:r>
        <w:rPr>
          <w:rFonts w:ascii="Arial" w:cs="Arial" w:eastAsia="Arial" w:hAnsi="Arial"/>
          <w:sz w:val="22"/>
          <w:szCs w:val="22"/>
          <w:color w:val="auto"/>
        </w:rPr>
        <w:t>For the month ended March,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5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22"/>
                <w:szCs w:val="22"/>
                <w:b w:val="1"/>
                <w:bCs w:val="1"/>
                <w:color w:val="auto"/>
              </w:rPr>
              <w:t>EXHIBIT LIST</w:t>
            </w:r>
          </w:p>
        </w:tc>
        <w:tc>
          <w:tcPr>
            <w:tcW w:w="4880" w:type="dxa"/>
            <w:vAlign w:val="bottom"/>
            <w:gridSpan w:val="2"/>
          </w:tcPr>
          <w:p>
            <w:pPr>
              <w:spacing w:after="0"/>
              <w:rPr>
                <w:sz w:val="21"/>
                <w:szCs w:val="21"/>
                <w:color w:val="auto"/>
              </w:rPr>
            </w:pPr>
          </w:p>
        </w:tc>
      </w:tr>
      <w:tr>
        <w:trPr>
          <w:trHeight w:val="439"/>
        </w:trPr>
        <w:tc>
          <w:tcPr>
            <w:tcW w:w="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6"/>
              </w:rPr>
              <w:t>Exhibit</w:t>
            </w:r>
          </w:p>
        </w:tc>
        <w:tc>
          <w:tcPr>
            <w:tcW w:w="10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Description</w:t>
            </w:r>
          </w:p>
        </w:tc>
        <w:tc>
          <w:tcPr>
            <w:tcW w:w="8820" w:type="dxa"/>
            <w:vAlign w:val="bottom"/>
            <w:gridSpan w:val="5"/>
          </w:tcPr>
          <w:p>
            <w:pPr>
              <w:spacing w:after="0"/>
              <w:rPr>
                <w:sz w:val="24"/>
                <w:szCs w:val="24"/>
                <w:color w:val="auto"/>
              </w:rPr>
            </w:pPr>
          </w:p>
        </w:tc>
      </w:tr>
      <w:tr>
        <w:trPr>
          <w:trHeight w:val="412"/>
        </w:trPr>
        <w:tc>
          <w:tcPr>
            <w:tcW w:w="5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1040" w:type="dxa"/>
            <w:vAlign w:val="bottom"/>
          </w:tcPr>
          <w:p>
            <w:pPr>
              <w:spacing w:after="0"/>
              <w:rPr>
                <w:sz w:val="24"/>
                <w:szCs w:val="24"/>
                <w:color w:val="auto"/>
              </w:rPr>
            </w:pPr>
          </w:p>
        </w:tc>
        <w:tc>
          <w:tcPr>
            <w:tcW w:w="9660" w:type="dxa"/>
            <w:vAlign w:val="bottom"/>
            <w:gridSpan w:val="6"/>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ICON plc to Present at the Barclays Global Healthcare Conference and the KeyBanc Capital Markets' Life Sciences &amp; MedTech</w:t>
              </w:r>
            </w:hyperlink>
          </w:p>
        </w:tc>
      </w:tr>
      <w:tr>
        <w:trPr>
          <w:trHeight w:val="196"/>
        </w:trPr>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Investor Forum</w:t>
              </w:r>
            </w:hyperlink>
          </w:p>
        </w:tc>
        <w:tc>
          <w:tcPr>
            <w:tcW w:w="420" w:type="dxa"/>
            <w:vAlign w:val="bottom"/>
          </w:tcPr>
          <w:p>
            <w:pPr>
              <w:spacing w:after="0"/>
              <w:rPr>
                <w:sz w:val="17"/>
                <w:szCs w:val="17"/>
                <w:color w:val="auto"/>
              </w:rPr>
            </w:pPr>
          </w:p>
        </w:tc>
      </w:tr>
      <w:tr>
        <w:trPr>
          <w:trHeight w:val="689"/>
        </w:trPr>
        <w:tc>
          <w:tcPr>
            <w:tcW w:w="5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4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0000EE"/>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480" w:type="dxa"/>
            <w:vAlign w:val="bottom"/>
            <w:vMerge w:val="restart"/>
          </w:tcPr>
          <w:p>
            <w:pPr>
              <w:spacing w:after="0"/>
              <w:rPr>
                <w:sz w:val="20"/>
                <w:szCs w:val="20"/>
                <w:color w:val="auto"/>
              </w:rPr>
            </w:pPr>
            <w:r>
              <w:rPr>
                <w:rFonts w:ascii="Arial" w:cs="Arial" w:eastAsia="Arial" w:hAnsi="Arial"/>
                <w:sz w:val="18"/>
                <w:szCs w:val="18"/>
                <w:color w:val="auto"/>
              </w:rPr>
              <w:t>Date: March 9, 2021</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480" w:type="dxa"/>
            <w:vAlign w:val="bottom"/>
            <w:vMerge w:val="continue"/>
          </w:tcPr>
          <w:p>
            <w:pPr>
              <w:spacing w:after="0"/>
              <w:rPr>
                <w:sz w:val="17"/>
                <w:szCs w:val="17"/>
                <w:color w:val="auto"/>
              </w:rPr>
            </w:pPr>
          </w:p>
        </w:tc>
        <w:tc>
          <w:tcPr>
            <w:tcW w:w="376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4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59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23"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ICON plc to Present at the Barclays Global Healthcare Conference and the KeyBanc Capital Markets' Life Sciences &amp; MedTech Investor Forum</w:t>
      </w:r>
    </w:p>
    <w:p>
      <w:pPr>
        <w:spacing w:after="0" w:line="136" w:lineRule="exact"/>
        <w:rPr>
          <w:sz w:val="20"/>
          <w:szCs w:val="20"/>
          <w:color w:val="auto"/>
        </w:rPr>
      </w:pPr>
    </w:p>
    <w:p>
      <w:pPr>
        <w:ind w:right="20"/>
        <w:spacing w:after="0" w:line="257" w:lineRule="auto"/>
        <w:rPr>
          <w:sz w:val="20"/>
          <w:szCs w:val="20"/>
          <w:color w:val="auto"/>
        </w:rPr>
      </w:pPr>
      <w:r>
        <w:rPr>
          <w:rFonts w:ascii="Arial" w:cs="Arial" w:eastAsia="Arial" w:hAnsi="Arial"/>
          <w:sz w:val="21"/>
          <w:szCs w:val="21"/>
          <w:color w:val="auto"/>
        </w:rPr>
        <w:t>DUBLIN--(BUSINESS WIRE)--March 9, 2021--ICON plc, (NASDAQ: ICLR) a global provider of outsourced drug and device development and commercialisation services to pharmaceutical, biotechnology, medical device and government and public health organisations, today announced that Mr. Brendan Brennan, CFO of ICON plc, will present at:</w:t>
      </w:r>
    </w:p>
    <w:p>
      <w:pPr>
        <w:spacing w:after="0" w:line="169" w:lineRule="exact"/>
        <w:rPr>
          <w:sz w:val="20"/>
          <w:szCs w:val="20"/>
          <w:color w:val="auto"/>
        </w:rPr>
      </w:pPr>
    </w:p>
    <w:p>
      <w:pPr>
        <w:ind w:left="540" w:right="280"/>
        <w:spacing w:after="0" w:line="239" w:lineRule="auto"/>
        <w:rPr>
          <w:sz w:val="20"/>
          <w:szCs w:val="20"/>
          <w:color w:val="auto"/>
        </w:rPr>
      </w:pPr>
      <w:r>
        <w:rPr>
          <w:rFonts w:ascii="Arial" w:cs="Arial" w:eastAsia="Arial" w:hAnsi="Arial"/>
          <w:sz w:val="22"/>
          <w:szCs w:val="22"/>
          <w:color w:val="auto"/>
        </w:rPr>
        <w:t>The Barclays Global Healthcare Conference on Wednesday, March 10, 2021. The presentation will be webcast live from 08.00am ET;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-245745</wp:posOffset>
            </wp:positionV>
            <wp:extent cx="4254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9"/>
          <w:szCs w:val="19"/>
          <w:color w:val="auto"/>
        </w:rPr>
        <w:t>the KeyBanc Capital Markets' Life Sciences &amp; MedTech Investor Forum on Wednesday, March 24, 2021 at 11.30am 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-76200</wp:posOffset>
            </wp:positionV>
            <wp:extent cx="4254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545" cy="43180"/>
                    </a:xfrm>
                    <a:prstGeom prst="rect">
                      <a:avLst/>
                    </a:prstGeom>
                    <a:noFill/>
                  </pic:spPr>
                </pic:pic>
              </a:graphicData>
            </a:graphic>
          </wp:anchor>
        </w:drawing>
      </w:r>
    </w:p>
    <w:p>
      <w:pPr>
        <w:spacing w:after="0" w:line="203"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Any changes to these events and links to the live webcasts (where available) will be posted on the Investor section of our website under “Events”.</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ICON plc</w:t>
      </w:r>
    </w:p>
    <w:p>
      <w:pPr>
        <w:spacing w:after="0" w:line="212" w:lineRule="exact"/>
        <w:rPr>
          <w:sz w:val="20"/>
          <w:szCs w:val="20"/>
          <w:color w:val="auto"/>
        </w:rPr>
      </w:pPr>
    </w:p>
    <w:p>
      <w:pPr>
        <w:ind w:right="160"/>
        <w:spacing w:after="0" w:line="282" w:lineRule="auto"/>
        <w:rPr>
          <w:sz w:val="20"/>
          <w:szCs w:val="20"/>
          <w:color w:val="auto"/>
        </w:rPr>
      </w:pPr>
      <w:r>
        <w:rPr>
          <w:rFonts w:ascii="Arial" w:cs="Arial" w:eastAsia="Arial" w:hAnsi="Arial"/>
          <w:sz w:val="19"/>
          <w:szCs w:val="19"/>
          <w:color w:val="auto"/>
        </w:rPr>
        <w:t>ICON plc is a global provider of outsourced drug and device development and commercialisation services to pharmaceutical, biotechnology, medical device and government and public health organisations. The company specialises in the strategic development, management and analysis of programs that support clinical development - from compound selection to Phase I-IV clinical studies. With headquarters in Dublin, Ireland, ICON employed approximately 15,730 employees in 93 locations in 41 countries as at December 31, 2020. For further information about ICON, visit: www.iconplc.com.</w:t>
      </w:r>
    </w:p>
    <w:p>
      <w:pPr>
        <w:spacing w:after="0" w:line="147"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color w:val="auto"/>
        </w:rPr>
        <w:t>This press release and the related presentations in connection with this press release contain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consummation and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160" w:lineRule="exact"/>
        <w:rPr>
          <w:sz w:val="20"/>
          <w:szCs w:val="20"/>
          <w:color w:val="auto"/>
        </w:rPr>
      </w:pPr>
    </w:p>
    <w:p>
      <w:pPr>
        <w:ind w:right="180"/>
        <w:spacing w:after="0" w:line="246" w:lineRule="auto"/>
        <w:rPr>
          <w:sz w:val="20"/>
          <w:szCs w:val="20"/>
          <w:color w:val="auto"/>
        </w:rPr>
      </w:pPr>
      <w:r>
        <w:rPr>
          <w:rFonts w:ascii="Arial" w:cs="Arial" w:eastAsia="Arial" w:hAnsi="Arial"/>
          <w:sz w:val="21"/>
          <w:szCs w:val="21"/>
          <w:color w:val="auto"/>
        </w:rPr>
        <w:t>In addition, as announced, ICON and PRA Health Services (“PRA”) have entered into a definitive merger agreement. This communication does not constitute an offer to sell or buy or the solicitation of any offer to buy or sell any securities, nor shall there be any sale of securities in a jurisdiction in which such offer, solicitation, or sale would be unlawful prior to registration or qualification under the securities law of any such jurisdiction. No offering of securities shall be made except by means of a prospectus meeting regulatory requirements of Section 10 of the Securities Act of 1933. In connection with the proposed transaction, ICON expects to file a registration statement on Form F-4 with the SEC containing a preliminary prospectus of ICON that also constitutes a preliminary proxy statement of each of ICON and PRA. ICON and PRA will file other documents regarding the proposed transaction with the SEC.</w:t>
      </w:r>
    </w:p>
    <w:p>
      <w:pPr>
        <w:spacing w:after="0" w:line="180" w:lineRule="exact"/>
        <w:rPr>
          <w:sz w:val="20"/>
          <w:szCs w:val="20"/>
          <w:color w:val="auto"/>
        </w:rPr>
      </w:pPr>
    </w:p>
    <w:p>
      <w:pPr>
        <w:jc w:val="both"/>
        <w:ind w:right="440"/>
        <w:spacing w:after="0"/>
        <w:rPr>
          <w:sz w:val="20"/>
          <w:szCs w:val="20"/>
          <w:color w:val="auto"/>
        </w:rPr>
      </w:pPr>
      <w:r>
        <w:rPr>
          <w:rFonts w:ascii="Arial" w:cs="Arial" w:eastAsia="Arial" w:hAnsi="Arial"/>
          <w:sz w:val="22"/>
          <w:szCs w:val="22"/>
          <w:color w:val="auto"/>
        </w:rPr>
        <w:t>Before making any voting or investment decisions, investors and security holders of ICON and PRA stock are encouraged to carefully read the entire registration statement and proxy statement prospectus when filed and made available on each of our websites and at 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ICON/ICLR-G</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+1888 381 7923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Corporate Finance and 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+353 1 291 2000</w:t>
      </w:r>
    </w:p>
    <w:sectPr>
      <w:pgSz w:w="11900" w:h="16838" w:orient="portrait"/>
      <w:cols w:equalWidth="0" w:num="1">
        <w:col w:w="10139"/>
      </w:cols>
      <w:pgMar w:left="320" w:top="3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2021-03-09T09:16:48Z</dcterms:created>
  <dcterms:modified xsi:type="dcterms:W3CDTF">2021-03-09T09:16:48Z</dcterms:modified>
</cp:coreProperties>
</file>