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July, 2017</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60"/>
        <w:spacing w:after="0"/>
        <w:tabs>
          <w:tab w:leader="none" w:pos="66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60"/>
        <w:spacing w:after="0"/>
        <w:tabs>
          <w:tab w:leader="none" w:pos="66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60"/>
        <w:spacing w:after="0"/>
        <w:tabs>
          <w:tab w:leader="none" w:pos="66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60"/>
        <w:spacing w:after="0"/>
        <w:tabs>
          <w:tab w:leader="none" w:pos="66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2017 we had approximately 12,327 employees, in 84 locations in 38 countries. During the six months ended June 30, 2017 we derived approximately 47.2%, 41.2% and 11.6%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2017, Mr. Ciaran Murray transitioned from his role as Chief Executive Officer to the role of Executive Chairman of the Board of Directors. On this date, Dr. Steve Cutler was appointed as Chief Executive Officer. As a part of this transition, Mr. Declan McKeon stepped down as Chairman of the Board of Directors and was appointed to the position of lead independent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2017, a subsidiary of the Company acquired Mapi Group ('Mapi'). Mapi is a leading patient-centered health outcomes research and commercialisation company. Initial cash outflows on acquisition were €119.6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2016 a total of 1,429,187 ordinary shares were redeemed by the Company under the buyback program for a total consideration of $110.0 million. At June 30, 2017 a total of 2,797,323 ordinary shares were redeemed by the Company under this buyback program for a total consideration of $218.1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Accounting Standards Update (‘ASU’) 2016-09 ‘Improvements to Employee Share-Based Payment Accounting’ was issued in March 2016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effective date of the new standard for public companies is for fiscal years beginning after December 15, 2016 and interim periods within those fiscal years. The Company has applied the modified retrospective approach, as required by the amendment to the standard, in determining the cumulative increase in retained earnings at January 1, 2017. This resulted in the recognition of previously unrecognized excess tax benefits, as a credit to retained earnings, of $6.7 million. The Company has adopted the cash flow presentation prospectively.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97"/>
              </w:rPr>
              <w:t>ICON plc</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b w:val="1"/>
                <w:bCs w:val="1"/>
                <w:color w:val="auto"/>
                <w:w w:val="95"/>
              </w:rPr>
              <w:t>AS AT JUNE 30, 2017 AND DECEMBER 31, 2016</w:t>
            </w:r>
          </w:p>
        </w:tc>
        <w:tc>
          <w:tcPr>
            <w:tcW w:w="620" w:type="dxa"/>
            <w:vAlign w:val="bottom"/>
          </w:tcPr>
          <w:p>
            <w:pPr>
              <w:spacing w:after="0"/>
              <w:rPr>
                <w:sz w:val="20"/>
                <w:szCs w:val="20"/>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20"/>
                <w:szCs w:val="20"/>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Pr>
          <w:p>
            <w:pPr>
              <w:spacing w:after="0"/>
              <w:rPr>
                <w:sz w:val="20"/>
                <w:szCs w:val="20"/>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228,254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Short term investments - available for sale</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86,664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359,899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Unbilled revenue</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249,234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Other receivables</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39,146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Prepayments and other current assets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39,080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Income taxes receivable</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23,188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1,025,465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149,618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625,518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Non-current other assets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14,617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Non-current income taxes receivable</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13,473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Non-current deferred tax asset</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48,484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1,904,310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1,825,843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7,861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Payments on account</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261,484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197,254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20,393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486,992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Non-current bank credit lines and loan facilities</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348,698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Non-current other liabilities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19,233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Non-current government grants</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Non-current income taxes payable</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14,362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Non-current deferred tax liability</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4,490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Commitments and contingencies</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874,718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54,041,414 shares issued and outstanding at June 30, 2017 and</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54,530,843 shares issued and outstanding at December 31, 2016</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4,662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462,674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Other undenominated capital</w:t>
            </w:r>
          </w:p>
        </w:tc>
        <w:tc>
          <w:tcPr>
            <w:tcW w:w="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896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Retained earnings</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622,558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1,029,592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945,174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1,904,310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ICON plc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13"/>
          </w:tcPr>
          <w:p>
            <w:pPr>
              <w:jc w:val="center"/>
              <w:ind w:left="25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14"/>
          </w:tcPr>
          <w:p>
            <w:pPr>
              <w:jc w:val="center"/>
              <w:ind w:left="2250"/>
              <w:spacing w:after="0"/>
              <w:rPr>
                <w:sz w:val="20"/>
                <w:szCs w:val="20"/>
                <w:color w:val="auto"/>
              </w:rPr>
            </w:pPr>
            <w:r>
              <w:rPr>
                <w:rFonts w:ascii="Arial" w:cs="Arial" w:eastAsia="Arial" w:hAnsi="Arial"/>
                <w:sz w:val="18"/>
                <w:szCs w:val="18"/>
                <w:b w:val="1"/>
                <w:bCs w:val="1"/>
                <w:color w:val="auto"/>
                <w:w w:val="97"/>
              </w:rPr>
              <w:t>FOR THE THREE AND SIX MONTHS ENDED JUNE 30, 2017 AND JUNE 30, 2016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tcPr>
          <w:p>
            <w:pPr>
              <w:jc w:val="center"/>
              <w:ind w:left="330"/>
              <w:spacing w:after="0"/>
              <w:rPr>
                <w:sz w:val="20"/>
                <w:szCs w:val="20"/>
                <w:color w:val="auto"/>
              </w:rPr>
            </w:pPr>
            <w:r>
              <w:rPr>
                <w:rFonts w:ascii="Arial" w:cs="Arial" w:eastAsia="Arial" w:hAnsi="Arial"/>
                <w:sz w:val="18"/>
                <w:szCs w:val="18"/>
                <w:b w:val="1"/>
                <w:bCs w:val="1"/>
                <w:color w:val="auto"/>
              </w:rPr>
              <w:t>(UNAUDITED)</w:t>
            </w:r>
          </w:p>
        </w:tc>
        <w:tc>
          <w:tcPr>
            <w:tcW w:w="140" w:type="dxa"/>
            <w:vAlign w:val="bottom"/>
            <w:vMerge w:val="restart"/>
          </w:tcPr>
          <w:p>
            <w:pPr>
              <w:spacing w:after="0"/>
              <w:rPr>
                <w:sz w:val="20"/>
                <w:szCs w:val="20"/>
                <w:color w:val="auto"/>
              </w:rPr>
            </w:pPr>
          </w:p>
        </w:tc>
        <w:tc>
          <w:tcPr>
            <w:tcW w:w="164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vMerge w:val="restart"/>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640" w:type="dxa"/>
            <w:vAlign w:val="bottom"/>
            <w:tcBorders>
              <w:bottom w:val="single" w:sz="8" w:color="auto"/>
            </w:tcBorders>
            <w:gridSpan w:val="7"/>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Borders>
              <w:bottom w:val="single" w:sz="8" w:color="auto"/>
            </w:tcBorders>
            <w:gridSpan w:val="6"/>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15"/>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591,781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589,647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1,169,847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9"/>
              </w:rPr>
              <w:t>1,132,230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(160,758)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(179,017)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(306,870)</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(321,078)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7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431,023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410,630</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862,977</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811,152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7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250,044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237,984</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500,503</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70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80,833</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80,168</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162,222</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14,395</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14,457</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28,843</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w:t>
            </w:r>
          </w:p>
        </w:tc>
        <w:tc>
          <w:tcPr>
            <w:tcW w:w="1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7,753</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4,094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7,753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costs and expenses</w:t>
            </w:r>
          </w:p>
        </w:tc>
        <w:tc>
          <w:tcPr>
            <w:tcW w:w="1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353,025</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336,703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699,321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661,215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0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77,998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73,927</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163,656</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149,937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1,134</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(3,179)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(3,198)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(6,358)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70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75,398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71,088</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158,432</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144,217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(10,581)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(10,014)</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(22,206)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64,817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61,074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136,226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124,038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53,846,544</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55,318,923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5"/>
              </w:rPr>
              <w:t>54,109,800</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55,164,971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54,530,805</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56,580,799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5"/>
              </w:rPr>
              <w:t>54,923,019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56,427,516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w w:val="97"/>
              </w:rPr>
              <w:t>ICON plc</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gridSpan w:val="2"/>
          </w:tcPr>
          <w:p>
            <w:pPr>
              <w:jc w:val="center"/>
              <w:ind w:left="2110"/>
              <w:spacing w:after="0"/>
              <w:rPr>
                <w:sz w:val="20"/>
                <w:szCs w:val="20"/>
                <w:color w:val="auto"/>
              </w:rPr>
            </w:pPr>
            <w:r>
              <w:rPr>
                <w:rFonts w:ascii="Arial" w:cs="Arial" w:eastAsia="Arial" w:hAnsi="Arial"/>
                <w:sz w:val="18"/>
                <w:szCs w:val="18"/>
                <w:b w:val="1"/>
                <w:bCs w:val="1"/>
                <w:color w:val="auto"/>
                <w:w w:val="98"/>
              </w:rPr>
              <w:t>FOR THE SIX MONTHS ENDED JUNE 30, 2017 AND JUNE 30, 2016 (UNAUDITED)</w:t>
            </w:r>
          </w:p>
        </w:tc>
        <w:tc>
          <w:tcPr>
            <w:tcW w:w="2220" w:type="dxa"/>
            <w:vAlign w:val="bottom"/>
            <w:gridSpan w:val="3"/>
            <w:vMerge w:val="restart"/>
          </w:tcPr>
          <w:p>
            <w:pPr>
              <w:jc w:val="right"/>
              <w:ind w:right="55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136,226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20,387</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Amortization of government grants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short term investments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Realised gain on sale of short term investments</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18,701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financing costs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 in accounts receivable</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59,812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unbilled revenue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other receivables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(6,234)</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other non-current assets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payments on account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Increase/(decrease) in other current liabilities</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4,558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other non-current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(decrease) in income taxes payable</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3,802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Decrease in accounts payable</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168,418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subsidiary undertakings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(24,919)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6,950</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(33,148)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Proceeds from exercise of equity compensation</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5,914</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issue costs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Excess tax benefit on exercise of equity compensation</w:t>
            </w:r>
          </w:p>
        </w:tc>
        <w:tc>
          <w:tcPr>
            <w:tcW w:w="5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Repayment of bank credit lines and loan facilities</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2,731</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35,713</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192,541</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228,254</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168,470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Other</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400" w:type="dxa"/>
            <w:vAlign w:val="bottom"/>
            <w:gridSpan w:val="6"/>
          </w:tcPr>
          <w:p>
            <w:pPr>
              <w:ind w:left="80"/>
              <w:spacing w:after="0" w:line="196" w:lineRule="exact"/>
              <w:rPr>
                <w:sz w:val="20"/>
                <w:szCs w:val="20"/>
                <w:color w:val="auto"/>
              </w:rPr>
            </w:pPr>
            <w:r>
              <w:rPr>
                <w:rFonts w:ascii="Arial" w:cs="Arial" w:eastAsia="Arial" w:hAnsi="Arial"/>
                <w:sz w:val="18"/>
                <w:szCs w:val="18"/>
                <w:b w:val="1"/>
                <w:bCs w:val="1"/>
                <w:color w:val="auto"/>
                <w:w w:val="95"/>
              </w:rPr>
              <w:t>Undenominated</w:t>
            </w:r>
          </w:p>
        </w:tc>
        <w:tc>
          <w:tcPr>
            <w:tcW w:w="1440" w:type="dxa"/>
            <w:vAlign w:val="bottom"/>
            <w:gridSpan w:val="7"/>
          </w:tcPr>
          <w:p>
            <w:pPr>
              <w:ind w:left="120"/>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3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6"/>
              </w:rPr>
              <w:t>Retained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7"/>
                <w:szCs w:val="17"/>
                <w:color w:val="auto"/>
              </w:rPr>
            </w:pPr>
          </w:p>
        </w:tc>
        <w:tc>
          <w:tcPr>
            <w:tcW w:w="7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Earnings</w:t>
            </w:r>
          </w:p>
        </w:tc>
        <w:tc>
          <w:tcPr>
            <w:tcW w:w="22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0"/>
          </w:tcPr>
          <w:p>
            <w:pPr>
              <w:jc w:val="right"/>
              <w:ind w:right="1020"/>
              <w:spacing w:after="0"/>
              <w:rPr>
                <w:sz w:val="20"/>
                <w:szCs w:val="20"/>
                <w:color w:val="auto"/>
              </w:rPr>
            </w:pPr>
            <w:r>
              <w:rPr>
                <w:rFonts w:ascii="Arial" w:cs="Arial" w:eastAsia="Arial" w:hAnsi="Arial"/>
                <w:sz w:val="18"/>
                <w:szCs w:val="18"/>
                <w:b w:val="1"/>
                <w:bCs w:val="1"/>
                <w:color w:val="auto"/>
              </w:rPr>
              <w:t>(dollars in thousands, except share data)</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54,530,843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438,126</w:t>
            </w:r>
          </w:p>
        </w:tc>
        <w:tc>
          <w:tcPr>
            <w:tcW w:w="1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(86,300)</w:t>
            </w:r>
          </w:p>
        </w:tc>
        <w:tc>
          <w:tcPr>
            <w:tcW w:w="30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945,174</w:t>
            </w: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136,226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9,531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left w:val="single" w:sz="8" w:color="CCEEFF"/>
            </w:tcBorders>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9"/>
              </w:rPr>
              <w:t>Unrealized capital gain – investments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39"/>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comprehensive income</w:t>
            </w: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25,102</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136,226</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161,328</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231,074</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647,633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4"/>
              </w:rPr>
              <w:t>Non-cash stock compensation expense</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18,701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(1,368,136)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(108,106)</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from adoption of ASU 2016-09</w:t>
            </w: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20"/>
                <w:szCs w:val="20"/>
                <w:color w:val="auto"/>
              </w:rPr>
            </w:pPr>
          </w:p>
        </w:tc>
        <w:tc>
          <w:tcPr>
            <w:tcW w:w="300" w:type="dxa"/>
            <w:vAlign w:val="bottom"/>
            <w:tcBorders>
              <w:bottom w:val="single" w:sz="8" w:color="auto"/>
              <w:right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6,677</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54,041,414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462,674</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(61,198)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622,558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1,029,592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2016. Operating results for the three and six months ended June 30, 2017 are not necessarily indicative of the results that may be expected for the fiscal period ending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w w:val="86"/>
              </w:rPr>
              <w:t>Six months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2"/>
              </w:rPr>
              <w:t>ended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30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616,088</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9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 (Note 3)</w:t>
            </w:r>
          </w:p>
        </w:tc>
        <w:tc>
          <w:tcPr>
            <w:tcW w:w="49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9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9,430</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4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625,518</w:t>
            </w:r>
          </w:p>
        </w:tc>
        <w:tc>
          <w:tcPr>
            <w:tcW w:w="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616,088</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jc w:val="right"/>
              <w:ind w:right="32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Business Combinations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Clinical Research Management, Inc.</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15, 2016, a subsidiary of the Company, ICON US Holdings Inc. acquired ClinicalRM resulting in an initial net cash outflow of $52.4 million inclusive of certain payments made on behalf of ClinicalRM totaling $9.2 million.</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 The fair value of the contingent consideration on acquisition and at March 31, 2017 was estimated at $6 million. The evaluation of the performance and forecast performance of ClinicalRM against performance milestones was updated as required at June 30, 2017. Arising from that evaluation, the fair value of the contingent consideration liability was determined as $Nil, resulting in a net credit of $6 million being recorded within Selling, general &amp; administrative expenses in the Statement of operations.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ClinicalRM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Intangible assets**</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Unbilled revenue</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Accounts payable</w:t>
            </w:r>
          </w:p>
        </w:tc>
        <w:tc>
          <w:tcPr>
            <w:tcW w:w="3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3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outflows (including other liabilities assumed of $9.2 million)</w:t>
            </w:r>
          </w:p>
        </w:tc>
        <w:tc>
          <w:tcPr>
            <w:tcW w:w="3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Assessment of valuation of contingent consideration at acquisition</w:t>
            </w:r>
          </w:p>
        </w:tc>
        <w:tc>
          <w:tcPr>
            <w:tcW w:w="30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consideration</w:t>
            </w:r>
          </w:p>
        </w:tc>
        <w:tc>
          <w:tcPr>
            <w:tcW w:w="3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of $8.6 million, being customer relationships and order book assets. This assessment is under review and will be finalized within 12 months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Acquisitions - PMG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4, 2015, a subsidiary of the Company, ICON Clinical Research LLC. acquired PMG for total cash outflows of $65.4 million, including certain payments made on behalf of PMG totaling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Customer lists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3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deferred tax liability</w:t>
            </w:r>
          </w:p>
        </w:tc>
        <w:tc>
          <w:tcPr>
            <w:tcW w:w="3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outflows</w:t>
            </w:r>
          </w:p>
        </w:tc>
        <w:tc>
          <w:tcPr>
            <w:tcW w:w="3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65,354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finalizing the goodwill on acquisition of PMG in the twelve month period from acquisition, fair value adjustments of $7.7 million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2015, a subsidary of the Company, ICON Holdings Unlimited Company (formerly ICON Holdings), acquired MediMedia Pharma Solutions for cash consideration of $104.8 million (net of working capital adjustments of $3.9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MediMedia Pharma Solutions has been accounted for as a business combination in accordance with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table following summarizes the fair values of the assets acquired and liabilities assumed on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Unbilled Revenue</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 Goodwill related to the US portion of the business is tax deductible.</w:t>
      </w:r>
    </w:p>
    <w:p>
      <w:pPr>
        <w:spacing w:after="0" w:line="2"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made at acquisition date of $11.3 million were in respect of certain one-time liabilities which have subsequently been discharged.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Restructuring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restructuring charge of $7.8 million was recognized during the three months ended June 30, 2017 under a restructuring plan adopted following a review of operations. The restructuring plan reflected resource rationalization across the business to improve resource utilization.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restructuring charge recognized in the three and six months ended June 30,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4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auto"/>
            </w:tcBorders>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w:t>
            </w: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4,094</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4,094</w:t>
            </w:r>
          </w:p>
        </w:tc>
        <w:tc>
          <w:tcPr>
            <w:tcW w:w="6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c>
          <w:tcPr>
            <w:tcW w:w="7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Details of the movement in the restructuring charge recognized in the three and six months ended June, 30 2017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Workforce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reductions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Initial restructuring charge recorded</w:t>
            </w:r>
          </w:p>
        </w:tc>
        <w:tc>
          <w:tcPr>
            <w:tcW w:w="2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payments</w:t>
            </w:r>
          </w:p>
        </w:tc>
        <w:tc>
          <w:tcPr>
            <w:tcW w:w="2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June 30, 2017</w:t>
            </w:r>
          </w:p>
        </w:tc>
        <w:tc>
          <w:tcPr>
            <w:tcW w:w="2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Restructuring charges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 No additional charge was recorded during the 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Utilized</w:t>
            </w:r>
          </w:p>
        </w:tc>
        <w:tc>
          <w:tcPr>
            <w:tcW w:w="2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7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2016</w:t>
            </w:r>
          </w:p>
        </w:tc>
        <w:tc>
          <w:tcPr>
            <w:tcW w:w="2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1,398</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Utilized</w:t>
            </w:r>
          </w:p>
        </w:tc>
        <w:tc>
          <w:tcPr>
            <w:tcW w:w="27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June 30, 2017</w:t>
            </w:r>
          </w:p>
        </w:tc>
        <w:tc>
          <w:tcPr>
            <w:tcW w:w="2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641</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$7.9 million is included within other liabilities and $0.5 million within non-current other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w w:val="92"/>
              </w:rPr>
              <w:t>Income taxes recognized during the six months ended June 30, 2017 comprise:</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June 30,</w:t>
            </w:r>
          </w:p>
        </w:tc>
        <w:tc>
          <w:tcPr>
            <w:tcW w:w="5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54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 taxes before</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10,526</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23,175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(969)</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(512)</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(969)</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60" w:type="dxa"/>
            <w:vAlign w:val="bottom"/>
          </w:tcPr>
          <w:p>
            <w:pPr>
              <w:spacing w:after="0" w:line="201" w:lineRule="exact"/>
              <w:rPr>
                <w:sz w:val="20"/>
                <w:szCs w:val="20"/>
                <w:color w:val="auto"/>
              </w:rPr>
            </w:pPr>
            <w:r>
              <w:rPr>
                <w:rFonts w:ascii="Arial" w:cs="Arial" w:eastAsia="Arial" w:hAnsi="Arial"/>
                <w:sz w:val="18"/>
                <w:szCs w:val="18"/>
                <w:color w:val="auto"/>
              </w:rPr>
              <w:t>Provision for income taxes after</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10,581</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10,014</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22,206</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at June 30, 2017 the Company maintains a $31.2 million liability (December 31, 2016: $29.9 million) for unrecognized tax benefit, which is comprised of $27.4 million (December 31, 2016: $26.6 million) related to items generating unrecognized tax benefits and $3.8 million (December 31, 2016: $3.3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2012 through 2016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640" w:type="dxa"/>
            <w:vAlign w:val="bottom"/>
            <w:gridSpan w:val="5"/>
          </w:tcPr>
          <w:p>
            <w:pPr>
              <w:ind w:left="740"/>
              <w:spacing w:after="0" w:line="196"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5"/>
          </w:tcPr>
          <w:p>
            <w:pPr>
              <w:ind w:left="4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5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rPr>
              <w:t>2017</w:t>
            </w:r>
          </w:p>
        </w:tc>
        <w:tc>
          <w:tcPr>
            <w:tcW w:w="11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for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ordinary share</w:t>
            </w:r>
          </w:p>
        </w:tc>
        <w:tc>
          <w:tcPr>
            <w:tcW w:w="3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53,846,544</w:t>
            </w:r>
          </w:p>
        </w:tc>
        <w:tc>
          <w:tcPr>
            <w:tcW w:w="1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55,318,923</w:t>
            </w:r>
          </w:p>
        </w:tc>
        <w:tc>
          <w:tcPr>
            <w:tcW w:w="13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54,109,800</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55,164,971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Effect of dilutive share options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w:t>
            </w: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684,261</w:t>
            </w: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1,261,876</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color w:val="auto"/>
              </w:rPr>
              <w:t>813,219</w:t>
            </w: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1,262,545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for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ordinary</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3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54,530,805</w:t>
            </w:r>
          </w:p>
        </w:tc>
        <w:tc>
          <w:tcPr>
            <w:tcW w:w="164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56,580,799</w:t>
            </w:r>
          </w:p>
        </w:tc>
        <w:tc>
          <w:tcPr>
            <w:tcW w:w="136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54,923,019</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56,427,516</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tcPr>
          <w:p>
            <w:pPr>
              <w:jc w:val="right"/>
              <w:ind w:right="6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2017 is eight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1,466,444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13.94</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219,113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25.06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9.61</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14.48</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June 30, 2017</w:t>
            </w:r>
          </w:p>
        </w:tc>
        <w:tc>
          <w:tcPr>
            <w:tcW w:w="3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1,430,997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16.34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June 30, 2017</w:t>
            </w:r>
          </w:p>
        </w:tc>
        <w:tc>
          <w:tcPr>
            <w:tcW w:w="3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704,604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$6.72 to $25.99 per option or a weighted average fair value of $11.40 per option. The Company issues ordinary shares for all options exercised. The total amount of fully vested share options which remained outstanding at June 30, 2017, was 704,604. Fully vested share options at June 30, 2017, have an average remaining contractual term of 3.76 years, an average exercise price of $37.38 and a total intrinsic value of $42.6 million. The total intrinsic value of options exercised during the six months ended June 30, 2017 was $14.0 million (June 30, 2016: $4.1 million).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gridSpan w:val="3"/>
          </w:tcPr>
          <w:p>
            <w:pPr>
              <w:spacing w:after="0"/>
              <w:rPr>
                <w:sz w:val="20"/>
                <w:szCs w:val="20"/>
                <w:color w:val="auto"/>
              </w:rPr>
            </w:pPr>
            <w:r>
              <w:rPr>
                <w:rFonts w:ascii="Arial" w:cs="Arial" w:eastAsia="Arial" w:hAnsi="Arial"/>
                <w:sz w:val="18"/>
                <w:szCs w:val="18"/>
                <w:color w:val="auto"/>
                <w:w w:val="90"/>
              </w:rPr>
              <w:t>The following table summarizes the movement in non-vested share options for the six months ended June 30, 2017:</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10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2016</w:t>
            </w:r>
          </w:p>
        </w:tc>
        <w:tc>
          <w:tcPr>
            <w:tcW w:w="3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814,870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219,113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Vested</w:t>
            </w:r>
          </w:p>
        </w:tc>
        <w:tc>
          <w:tcPr>
            <w:tcW w:w="3100" w:type="dxa"/>
            <w:vAlign w:val="bottom"/>
          </w:tcPr>
          <w:p>
            <w:pPr>
              <w:jc w:val="right"/>
              <w:ind w:right="70"/>
              <w:spacing w:after="0"/>
              <w:rPr>
                <w:sz w:val="20"/>
                <w:szCs w:val="20"/>
                <w:color w:val="auto"/>
              </w:rPr>
            </w:pPr>
            <w:r>
              <w:rPr>
                <w:rFonts w:ascii="Arial" w:cs="Arial" w:eastAsia="Arial" w:hAnsi="Arial"/>
                <w:sz w:val="18"/>
                <w:szCs w:val="18"/>
                <w:color w:val="auto"/>
              </w:rPr>
              <w:t>(287,824)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44.74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(19,766)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June 30, 2017</w:t>
            </w:r>
          </w:p>
        </w:tc>
        <w:tc>
          <w:tcPr>
            <w:tcW w:w="3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726,393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67.85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459"/>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Fair value of Stock Options Assumptions</w:t>
            </w: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six months ended June 30, 2017 and June 30, 2016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92"/>
        </w:trPr>
        <w:tc>
          <w:tcPr>
            <w:tcW w:w="542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9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8"/>
              </w:rPr>
              <w:t>5 years</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(“RSU”) and Performance Share Unit (“PSU”)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830,523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60.73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1,025,484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58.64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87,794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84.10</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172,684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88.54</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spacing w:after="0"/>
              <w:rPr>
                <w:sz w:val="20"/>
                <w:szCs w:val="20"/>
                <w:color w:val="auto"/>
              </w:rPr>
            </w:pPr>
            <w:r>
              <w:rPr>
                <w:rFonts w:ascii="Arial" w:cs="Arial" w:eastAsia="Arial" w:hAnsi="Arial"/>
                <w:sz w:val="18"/>
                <w:szCs w:val="18"/>
                <w:color w:val="auto"/>
              </w:rPr>
              <w:t>(310,082)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46.83</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(343,626)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44.88</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60.12</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59.75</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587,329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70.85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786,713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71.12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2017 totaled $15.4 million (full year 2016: $10.8 million).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PSUs vested for the six months ended June 30, 2017 totaled $14.5 million (the fair value of PSUs vested for the full year 2016 was $10.3 million).</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PSUs vest based on service and specified EPS targets over the period 2014 – 2017, 2015 – 2018, 2016 – 2019 and 2017 – 2020. Since 2013, 304,761 PSUs (net of forfeitures) have been granted. Up to an additional 282,568 PSUs may also be granted, based on the actual EPS from 2014 to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2017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80" w:type="dxa"/>
            <w:vAlign w:val="bottom"/>
            <w:gridSpan w:val="11"/>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auto"/>
            </w:tcBorders>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w:t>
            </w: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r>
      <w:tr>
        <w:trPr>
          <w:trHeight w:val="20"/>
        </w:trPr>
        <w:tc>
          <w:tcPr>
            <w:tcW w:w="4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4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r>
      <w:tr>
        <w:trPr>
          <w:trHeight w:val="20"/>
        </w:trPr>
        <w:tc>
          <w:tcPr>
            <w:tcW w:w="4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5,790</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11,075</w:t>
            </w: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5,309</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8,397</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9,615</w:t>
            </w:r>
          </w:p>
        </w:tc>
      </w:tr>
      <w:tr>
        <w:trPr>
          <w:trHeight w:val="216"/>
        </w:trPr>
        <w:tc>
          <w:tcPr>
            <w:tcW w:w="40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9,892</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11,099</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18,701</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20,690</w:t>
            </w:r>
          </w:p>
        </w:tc>
      </w:tr>
      <w:tr>
        <w:trPr>
          <w:trHeight w:val="878"/>
        </w:trPr>
        <w:tc>
          <w:tcPr>
            <w:tcW w:w="4080" w:type="dxa"/>
            <w:vAlign w:val="bottom"/>
          </w:tcPr>
          <w:p>
            <w:pPr>
              <w:spacing w:after="0"/>
              <w:rPr>
                <w:sz w:val="24"/>
                <w:szCs w:val="24"/>
                <w:color w:val="auto"/>
              </w:rPr>
            </w:pP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June 30, 2017 amounted to $70.5 million. The weighted average period over which this is expected to be recognized is 2.3 years.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has applied the updated standard prospectively in the first half of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Share Capital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six months ended June 30, 2017 1,368,136 ordinary shares were redeemed by the Company under this buyback program for a total consideration of $108.1 million. At June 30, 2017 a total of 2,797,323 ordinary shares were redeemed by the Company under this buyback program for a total consideration of $218.1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is comprised of the Chief Executive Officer and the Chief Financial Officer.</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has determined that we operate in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geographical distribution of the Company’s segment measures as at June 30, 2017 and December 31, 2016 and for the three and six months ended June 30, 2017 and June 30, 2016 is as follows:</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distribution of net revenue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3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r>
      <w:tr>
        <w:trPr>
          <w:trHeight w:val="20"/>
        </w:trPr>
        <w:tc>
          <w:tcPr>
            <w:tcW w:w="3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95,891</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95,653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205,096</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196,488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7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78,458</w:t>
            </w: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79,436</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149,911</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155,078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206,078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193,377</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407,693</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377,467</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50,596</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42,164</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100,277</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82,119</w:t>
            </w:r>
          </w:p>
        </w:tc>
      </w:tr>
      <w:tr>
        <w:trPr>
          <w:trHeight w:val="439"/>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431,023</w:t>
            </w: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410,630</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862,977</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811,152</w:t>
            </w:r>
          </w:p>
        </w:tc>
      </w:tr>
    </w:tbl>
    <w:p>
      <w:pPr>
        <w:ind w:left="660" w:hanging="142"/>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r>
      <w:tr>
        <w:trPr>
          <w:trHeight w:val="196"/>
        </w:trPr>
        <w:tc>
          <w:tcPr>
            <w:tcW w:w="3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3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r>
      <w:tr>
        <w:trPr>
          <w:trHeight w:val="20"/>
        </w:trPr>
        <w:tc>
          <w:tcPr>
            <w:tcW w:w="3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38,640</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54,597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102,608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114,148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9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8,899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4,863</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12,598</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8,307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26,248</w:t>
            </w: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11,826</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36,747</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2,641</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11,703</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4,872</w:t>
            </w:r>
          </w:p>
        </w:tc>
      </w:tr>
      <w:tr>
        <w:trPr>
          <w:trHeight w:val="439"/>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77,998</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73,927</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163,656</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149,937</w:t>
            </w:r>
          </w:p>
        </w:tc>
      </w:tr>
      <w:tr>
        <w:trPr>
          <w:trHeight w:val="878"/>
        </w:trPr>
        <w:tc>
          <w:tcPr>
            <w:tcW w:w="3360" w:type="dxa"/>
            <w:vAlign w:val="bottom"/>
          </w:tcPr>
          <w:p>
            <w:pPr>
              <w:spacing w:after="0"/>
              <w:rPr>
                <w:sz w:val="24"/>
                <w:szCs w:val="24"/>
                <w:color w:val="auto"/>
              </w:rPr>
            </w:pPr>
          </w:p>
        </w:tc>
        <w:tc>
          <w:tcPr>
            <w:tcW w:w="298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8" w:right="239" w:bottom="1440" w:gutter="0" w:footer="0" w:header="0"/>
        </w:sectPr>
      </w:pPr>
    </w:p>
    <w:bookmarkStart w:id="20" w:name="page21"/>
    <w:bookmarkEnd w:id="20"/>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distribution of income from operations, excluding restructuring, by geographical area was as follows:</w:t>
      </w:r>
    </w:p>
    <w:tbl>
      <w:tblPr>
        <w:tblLayout w:type="fixed"/>
        <w:tblInd w:w="0" w:type="dxa"/>
        <w:tblCellMar>
          <w:top w:w="0" w:type="dxa"/>
          <w:left w:w="0" w:type="dxa"/>
          <w:bottom w:w="0" w:type="dxa"/>
          <w:right w:w="0" w:type="dxa"/>
        </w:tblCellMar>
      </w:tblPr>
      <w:tr>
        <w:trPr>
          <w:trHeight w:val="199"/>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line="199" w:lineRule="exact"/>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7"/>
          </w:tcPr>
          <w:p>
            <w:pPr>
              <w:spacing w:after="0" w:line="199" w:lineRule="exact"/>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46,393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58,326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110,361</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117,877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8,899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5,171</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12,598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26,248</w:t>
            </w: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11,826</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36,747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2,698</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439"/>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85,751</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78,021</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171,409</w:t>
            </w: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154,031</w:t>
            </w:r>
          </w:p>
        </w:tc>
        <w:tc>
          <w:tcPr>
            <w:tcW w:w="0" w:type="dxa"/>
            <w:vAlign w:val="bottom"/>
          </w:tcPr>
          <w:p>
            <w:pPr>
              <w:spacing w:after="0"/>
              <w:rPr>
                <w:sz w:val="1"/>
                <w:szCs w:val="1"/>
                <w:color w:val="auto"/>
              </w:rPr>
            </w:pPr>
          </w:p>
        </w:tc>
      </w:tr>
      <w:tr>
        <w:trPr>
          <w:trHeight w:val="702"/>
        </w:trPr>
        <w:tc>
          <w:tcPr>
            <w:tcW w:w="7360" w:type="dxa"/>
            <w:vAlign w:val="bottom"/>
            <w:gridSpan w:val="7"/>
          </w:tcPr>
          <w:p>
            <w:pPr>
              <w:ind w:left="340"/>
              <w:spacing w:after="0"/>
              <w:rPr>
                <w:sz w:val="20"/>
                <w:szCs w:val="20"/>
                <w:color w:val="auto"/>
              </w:rPr>
            </w:pPr>
            <w:r>
              <w:rPr>
                <w:rFonts w:ascii="Arial" w:cs="Arial" w:eastAsia="Arial" w:hAnsi="Arial"/>
                <w:sz w:val="18"/>
                <w:szCs w:val="18"/>
                <w:color w:val="auto"/>
                <w:w w:val="93"/>
              </w:rPr>
              <w:t>d)  The distribution of property, plant and equipment, net, by geographical area was as follows: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6"/>
            <w:vMerge w:val="restart"/>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107,225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105,684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26,730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439"/>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149,618</w:t>
            </w: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148,967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gridSpan w:val="3"/>
          </w:tcPr>
          <w:p>
            <w:pPr>
              <w:spacing w:after="0"/>
              <w:rPr>
                <w:sz w:val="17"/>
                <w:szCs w:val="17"/>
                <w:color w:val="auto"/>
              </w:rPr>
            </w:pPr>
          </w:p>
        </w:tc>
      </w:tr>
      <w:tr>
        <w:trPr>
          <w:trHeight w:val="196"/>
        </w:trPr>
        <w:tc>
          <w:tcPr>
            <w:tcW w:w="5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r>
      <w:tr>
        <w:trPr>
          <w:trHeight w:val="196"/>
        </w:trPr>
        <w:tc>
          <w:tcPr>
            <w:tcW w:w="5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6,654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12,480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12,558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1,820</w:t>
            </w: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3,535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5,137</w:t>
            </w: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846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1,698</w:t>
            </w:r>
          </w:p>
        </w:tc>
      </w:tr>
      <w:tr>
        <w:trPr>
          <w:trHeight w:val="439"/>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14,395</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14,457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28,843</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29,577</w:t>
            </w:r>
          </w:p>
        </w:tc>
      </w:tr>
      <w:tr>
        <w:trPr>
          <w:trHeight w:val="459"/>
        </w:trPr>
        <w:tc>
          <w:tcPr>
            <w:tcW w:w="5340" w:type="dxa"/>
            <w:vAlign w:val="bottom"/>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5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0"/>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888,797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766,120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324,419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337,062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619,721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651,160</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71,373</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71,501</w:t>
            </w:r>
          </w:p>
        </w:tc>
      </w:tr>
      <w:tr>
        <w:trPr>
          <w:trHeight w:val="439"/>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1,904,310</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1,825,843</w:t>
            </w:r>
          </w:p>
        </w:tc>
      </w:tr>
      <w:tr>
        <w:trPr>
          <w:trHeight w:val="878"/>
        </w:trPr>
        <w:tc>
          <w:tcPr>
            <w:tcW w:w="534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5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2016.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2017, we employed approximately 12,327 employees, in 84 locations in 38 countries. During the six months ended June 30, 2017 we derived approximately 47.2%, 41.2% and 11.6% of our net revenue in the United States, Europe and Rest of World respectively.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contracts is recognized on a proportional performance method based on the relationship between time incurred and the total estimated duration of the trial or on a fee-for-service basis depending to the particular circumstances of the contract. As is customary in the CRO industry, we contract with third party investigators in connection with clinical trials. All investigator fees and certain other costs, where reimbursed by clients, are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2017 we had a backlog of approximately $4.4 billion, compared with approximately $4.2 billion at December 31, 2016.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with Three Months Ended June 30, 2016</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3"/>
          </w:tcPr>
          <w:p>
            <w:pPr>
              <w:jc w:val="right"/>
              <w:ind w:right="700"/>
              <w:spacing w:after="0" w:line="196" w:lineRule="exact"/>
              <w:rPr>
                <w:sz w:val="20"/>
                <w:szCs w:val="20"/>
                <w:color w:val="auto"/>
              </w:rPr>
            </w:pPr>
            <w:r>
              <w:rPr>
                <w:rFonts w:ascii="Arial" w:cs="Arial" w:eastAsia="Arial" w:hAnsi="Arial"/>
                <w:sz w:val="18"/>
                <w:szCs w:val="18"/>
                <w:b w:val="1"/>
                <w:bCs w:val="1"/>
                <w:color w:val="auto"/>
                <w:w w:val="85"/>
              </w:rPr>
              <w:t>June 30,</w:t>
            </w:r>
          </w:p>
        </w:tc>
        <w:tc>
          <w:tcPr>
            <w:tcW w:w="1140" w:type="dxa"/>
            <w:vAlign w:val="bottom"/>
            <w:gridSpan w:val="5"/>
          </w:tcPr>
          <w:p>
            <w:pPr>
              <w:jc w:val="right"/>
              <w:ind w:right="500"/>
              <w:spacing w:after="0" w:line="196" w:lineRule="exact"/>
              <w:rPr>
                <w:sz w:val="20"/>
                <w:szCs w:val="20"/>
                <w:color w:val="auto"/>
              </w:rPr>
            </w:pPr>
            <w:r>
              <w:rPr>
                <w:rFonts w:ascii="Arial" w:cs="Arial" w:eastAsia="Arial" w:hAnsi="Arial"/>
                <w:sz w:val="18"/>
                <w:szCs w:val="18"/>
                <w:b w:val="1"/>
                <w:bCs w:val="1"/>
                <w:color w:val="auto"/>
                <w:w w:val="85"/>
              </w:rPr>
              <w:t>June 30,</w:t>
            </w:r>
          </w:p>
        </w:tc>
        <w:tc>
          <w:tcPr>
            <w:tcW w:w="88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5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7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60" w:type="dxa"/>
            <w:vAlign w:val="bottom"/>
            <w:gridSpan w:val="3"/>
          </w:tcPr>
          <w:p>
            <w:pPr>
              <w:jc w:val="right"/>
              <w:ind w:right="500"/>
              <w:spacing w:after="0" w:line="196" w:lineRule="exact"/>
              <w:rPr>
                <w:sz w:val="20"/>
                <w:szCs w:val="20"/>
                <w:color w:val="auto"/>
              </w:rPr>
            </w:pPr>
            <w:r>
              <w:rPr>
                <w:rFonts w:ascii="Arial" w:cs="Arial" w:eastAsia="Arial" w:hAnsi="Arial"/>
                <w:sz w:val="18"/>
                <w:szCs w:val="18"/>
                <w:b w:val="1"/>
                <w:bCs w:val="1"/>
                <w:color w:val="auto"/>
                <w:w w:val="84"/>
              </w:rPr>
              <w:t>2016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bottom w:val="single" w:sz="8" w:color="auto"/>
            </w:tcBorders>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000" w:type="dxa"/>
            <w:vAlign w:val="bottom"/>
            <w:gridSpan w:val="11"/>
          </w:tcPr>
          <w:p>
            <w:pPr>
              <w:jc w:val="center"/>
              <w:ind w:left="153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7"/>
          </w:tcPr>
          <w:p>
            <w:pPr>
              <w:jc w:val="right"/>
              <w:ind w:right="220"/>
              <w:spacing w:after="0" w:line="196" w:lineRule="exact"/>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860" w:type="dxa"/>
            <w:vAlign w:val="bottom"/>
            <w:tcBorders>
              <w:bottom w:val="single" w:sz="8" w:color="auto"/>
            </w:tcBorders>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auto"/>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92"/>
        </w:trPr>
        <w:tc>
          <w:tcPr>
            <w:tcW w:w="47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386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58.0%</w:t>
            </w:r>
          </w:p>
        </w:tc>
        <w:tc>
          <w:tcPr>
            <w:tcW w:w="11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58.0%</w:t>
            </w:r>
          </w:p>
        </w:tc>
        <w:tc>
          <w:tcPr>
            <w:tcW w:w="10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860" w:type="dxa"/>
            <w:vAlign w:val="bottom"/>
            <w:gridSpan w:val="6"/>
          </w:tcPr>
          <w:p>
            <w:pPr>
              <w:jc w:val="right"/>
              <w:ind w:right="540"/>
              <w:spacing w:after="0"/>
              <w:rPr>
                <w:sz w:val="20"/>
                <w:szCs w:val="20"/>
                <w:color w:val="auto"/>
              </w:rPr>
            </w:pPr>
            <w:r>
              <w:rPr>
                <w:rFonts w:ascii="Arial" w:cs="Arial" w:eastAsia="Arial" w:hAnsi="Arial"/>
                <w:sz w:val="18"/>
                <w:szCs w:val="18"/>
                <w:color w:val="auto"/>
              </w:rPr>
              <w:t>18.8%</w:t>
            </w:r>
          </w:p>
        </w:tc>
        <w:tc>
          <w:tcPr>
            <w:tcW w:w="1140" w:type="dxa"/>
            <w:vAlign w:val="bottom"/>
            <w:gridSpan w:val="5"/>
          </w:tcPr>
          <w:p>
            <w:pPr>
              <w:jc w:val="right"/>
              <w:ind w:right="340"/>
              <w:spacing w:after="0"/>
              <w:rPr>
                <w:sz w:val="20"/>
                <w:szCs w:val="20"/>
                <w:color w:val="auto"/>
              </w:rPr>
            </w:pPr>
            <w:r>
              <w:rPr>
                <w:rFonts w:ascii="Arial" w:cs="Arial" w:eastAsia="Arial" w:hAnsi="Arial"/>
                <w:sz w:val="18"/>
                <w:szCs w:val="18"/>
                <w:color w:val="auto"/>
              </w:rPr>
              <w:t>19.5%</w:t>
            </w:r>
          </w:p>
        </w:tc>
        <w:tc>
          <w:tcPr>
            <w:tcW w:w="1080" w:type="dxa"/>
            <w:vAlign w:val="bottom"/>
            <w:gridSpan w:val="7"/>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386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1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Amortization</w:t>
            </w:r>
          </w:p>
        </w:tc>
        <w:tc>
          <w:tcPr>
            <w:tcW w:w="3860" w:type="dxa"/>
            <w:vAlign w:val="bottom"/>
            <w:gridSpan w:val="6"/>
          </w:tcPr>
          <w:p>
            <w:pPr>
              <w:jc w:val="right"/>
              <w:ind w:right="540"/>
              <w:spacing w:after="0" w:line="201" w:lineRule="exact"/>
              <w:rPr>
                <w:sz w:val="20"/>
                <w:szCs w:val="20"/>
                <w:color w:val="auto"/>
              </w:rPr>
            </w:pPr>
            <w:r>
              <w:rPr>
                <w:rFonts w:ascii="Arial" w:cs="Arial" w:eastAsia="Arial" w:hAnsi="Arial"/>
                <w:sz w:val="18"/>
                <w:szCs w:val="18"/>
                <w:color w:val="auto"/>
              </w:rPr>
              <w:t>0.9%</w:t>
            </w:r>
          </w:p>
        </w:tc>
        <w:tc>
          <w:tcPr>
            <w:tcW w:w="1140" w:type="dxa"/>
            <w:vAlign w:val="bottom"/>
            <w:gridSpan w:val="5"/>
          </w:tcPr>
          <w:p>
            <w:pPr>
              <w:jc w:val="right"/>
              <w:ind w:right="340"/>
              <w:spacing w:after="0" w:line="201" w:lineRule="exact"/>
              <w:rPr>
                <w:sz w:val="20"/>
                <w:szCs w:val="20"/>
                <w:color w:val="auto"/>
              </w:rPr>
            </w:pPr>
            <w:r>
              <w:rPr>
                <w:rFonts w:ascii="Arial" w:cs="Arial" w:eastAsia="Arial" w:hAnsi="Arial"/>
                <w:sz w:val="18"/>
                <w:szCs w:val="18"/>
                <w:color w:val="auto"/>
              </w:rPr>
              <w:t>1.0%</w:t>
            </w:r>
          </w:p>
        </w:tc>
        <w:tc>
          <w:tcPr>
            <w:tcW w:w="1080" w:type="dxa"/>
            <w:vAlign w:val="bottom"/>
            <w:gridSpan w:val="7"/>
          </w:tcPr>
          <w:p>
            <w:pPr>
              <w:jc w:val="right"/>
              <w:ind w:right="80"/>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Restructuring</w:t>
            </w:r>
          </w:p>
        </w:tc>
        <w:tc>
          <w:tcPr>
            <w:tcW w:w="38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60" w:type="dxa"/>
            <w:vAlign w:val="bottom"/>
            <w:tcBorders>
              <w:bottom w:val="single" w:sz="8" w:color="auto"/>
            </w:tcBorders>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18.1%</w:t>
            </w:r>
          </w:p>
        </w:tc>
        <w:tc>
          <w:tcPr>
            <w:tcW w:w="1140" w:type="dxa"/>
            <w:vAlign w:val="bottom"/>
            <w:tcBorders>
              <w:bottom w:val="single" w:sz="8" w:color="auto"/>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for the period increased by $20.4 million, or 5.0%, from $410.6 million for the three months ended June 30, 2016 to $431.0 million for the three months ended June 30, 2017. Net revenue increased by 6.0% in constant currency and by 2.6% in constant dollar organic terms. The increase in revenues in the three months ended June 30, 2017 can be explained by both continued organic growth, and the additional net revenues from the acquisition of ClinicalRM on September 15, 2016. During the three months ended June 30, 2017 we derived approximately 47.8%, 40.5% and 11.7% of our net revenue in the United States, Europe and Rest of World respectively. During the three months ended June 30, 2017 $179.1 million or 41.6% of our net revenues were derived from our top 5 customers compared to $190.0 million or 46.3% of net revenues derived from our top 5 customers during the three months ended June 30, 2016. The largest of these customers related to a Strategic Partnership with a large global pharmaceutical company. Net revenue from this customer contributed 20% of net revenue for the quarter, compared to 28% of net revenue in respect of the three months ended June 30, 2016. The addition of new customer accounts, particularly mid-tier pharma customers and biotech customers continues to result in a reduction in concentration of revenues from our top five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Net revenue in Ireland increased from $95.7 million for the three months ended June 30, 2016 to $95.9 million for the three months ended June 30, 2017. Net revenue in Ireland is principally a function of the Company’s global transfer pricing model (</w:t>
      </w:r>
      <w:r>
        <w:rPr>
          <w:rFonts w:ascii="Arial" w:cs="Arial" w:eastAsia="Arial" w:hAnsi="Arial"/>
          <w:sz w:val="17"/>
          <w:szCs w:val="17"/>
          <w:i w:val="1"/>
          <w:iCs w:val="1"/>
          <w:color w:val="auto"/>
        </w:rPr>
        <w:t>see note 9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Net revenue in our Rest of Europe region decreased from $79.4 million for the three months ended June 30, 2016 to $78.5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while net revenue in our Rest of World region increased from $42.2 million for the three months ended June 30, 2016 to $50.6 million for the three months ended June 30, 2017. Net revenue in the U.S. region increased from $193.4 million for the three months ended June 30, 2016 to $206.1 million for the three months ended June 30, 2017. This reflects a non-recurring intercompany pricing adjustment for services historically provided by certain Rest of World Subsidiaries. Net revenues in the U.S. region for the three months ended June 30, 2017 was impacted positively by the acquisition of ClinicalRM which was acquired on September 15, 2016.</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$12.0 million, or 5.1%, from $238.0 million for the three months ended June 30, 2016 to $250.0 million for the three months ended June 30, 2017.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$10.8 million, and increases in other direct project related costs of $1.5 million. These increases were offset by a decrease in travel related costs of $0.1 million and laboratory costs of $0.2 million. As a percentage of net revenue, direct costs for the three months ended June 30, 2017 was 58%, which is in line with the three months ended June 30, 2016.</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Selling, general and administrative expenses for the period increased by $0.6 million, or 0.8%, from $80.2 million for the three months ended June 30, 2016 to $80.8 million for the three months ended June 30,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During the three months ended June 30, 2017 a credit of $6 million was recorded being the reduction in the assessment of the fair value of contingent consideration liability relating to the acquisition of ClinicalRM (see note 3). Once-off professional costs of $3.5 million were also recorded in the period. Lease charges of $3.1 million were recorded principally in respect of premises vacated during the period on review of our facilities. The net increase in selling, general and administration expenses for the period of $0.6 million reflects these items in addition to a continued focus on personnel related expenditure and facilities and related costs. As a percentage of net revenue, selling, general and administrative expenses, decreased from 19.5% for the three months ended June 30, 2016 to 18.8% for the three months ended June 30, 2017.</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decreased by $0.1 million, or 1.6%, from $10.5 million for three months ended June 30, 2016 to $10.4 million for three months ended June 30, 2017. Depreciation expense arises principally from continued investment in facilities, information systems and equipment to support the Company’s growth. As a percentage of net revenue the depreciation expense for the three months ended June 30, 2017 (2.4%) decreased marginally on the percentage of net revenue charge for the three months ended June 30, 2016 (2.5%). Amortization expense for the period increased by $0.1 million, or 2.7%, from $3.9 million for the three months ended June 30, 2016 to $4.0 million for the three months ended June 30, 2017. Amortization expense represents the amortization of intangible assets acquired on business combinations. The main reason for the increase in the amortization expense for the period relates to the additional amortization for the period related to the acquisition of ClinicalRM. As a percentage of net revenue, amortization expense decreased from 1.0% for the three months ended June 30, 2016 to 0.9% for the three months ended June 30, 2017.</w:t>
      </w:r>
    </w:p>
    <w:p>
      <w:pPr>
        <w:spacing w:after="0" w:line="2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June 30, 2017, a restructuring charge of $7.8 million was recognized under a restructuring plan adopted following a review by the company of its operations. The restructuring plan includes resource rationalizations in certain areas of the business to improve resource utilization (</w:t>
      </w:r>
      <w:r>
        <w:rPr>
          <w:rFonts w:ascii="Arial" w:cs="Arial" w:eastAsia="Arial" w:hAnsi="Arial"/>
          <w:sz w:val="16"/>
          <w:szCs w:val="16"/>
          <w:i w:val="1"/>
          <w:iCs w:val="1"/>
          <w:color w:val="auto"/>
        </w:rPr>
        <w:t>see note 4 Restructuring for further information).</w:t>
      </w:r>
      <w:r>
        <w:rPr>
          <w:rFonts w:ascii="Arial" w:cs="Arial" w:eastAsia="Arial" w:hAnsi="Arial"/>
          <w:sz w:val="16"/>
          <w:szCs w:val="16"/>
          <w:color w:val="auto"/>
        </w:rPr>
        <w:t xml:space="preserve"> During the three months ended June 30, 2016, a restructuring charge of $4.1 million was recognized.</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the above, income from operations for the three months increased by $4.1 million, or 5.5%, from $73.9 million for the three months ended June 30, 2016 ($78.0 million excluding restructuring charges) to $78.0 million ($85.8 million excluding restructuring charges) for the three months ended June 30, 2017. As a percentage of net revenue, income from operations increased from 18.0% of net revenues for the three months ended June 30, 2016 (19.0% excluding restructuring charges) to 18.1% of net revenues for the three months ended June 30, 2017 (19.9% excluding restructuring charges).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 xml:space="preserve">Income from operations in Ireland decreased from a profit of $54.6 million for the three months ended June 30, 2016 ($58.3 million excluding restructuring charges) to a profit of $38.6 million for the three months ended June 30, 2017 ($46.4 million excluding restructuring charges). Income from operations in Ireland is impacted by the Group’s global transfer pricing model </w:t>
      </w:r>
      <w:r>
        <w:rPr>
          <w:rFonts w:ascii="Arial" w:cs="Arial" w:eastAsia="Arial" w:hAnsi="Arial"/>
          <w:sz w:val="17"/>
          <w:szCs w:val="17"/>
          <w:i w:val="1"/>
          <w:iCs w:val="1"/>
          <w:color w:val="auto"/>
        </w:rPr>
        <w:t>(see note 9 Business Segmental Information for further details).</w:t>
      </w:r>
      <w:r>
        <w:rPr>
          <w:rFonts w:ascii="Arial" w:cs="Arial" w:eastAsia="Arial" w:hAnsi="Arial"/>
          <w:sz w:val="17"/>
          <w:szCs w:val="17"/>
          <w:color w:val="auto"/>
        </w:rPr>
        <w:t xml:space="preserve"> Income from operations in our Rest of Europe region increased from $4.9 million for the three months ended June 30, 2016 ($5.2 million excluding restructuring charges) to $8.9 million for the three months ended June 30, 2017 ($8.9 million excluding restructuring charges), while income from operations in our Rest of World region increased from $2.6 million for the three months ended June 30, 2016 ($2.7 million excluding restructuring charges) to $4.2 million for the three months ended June 30, 2017 ($4.2 million excluding restructuring charges). This reflects a non-recurring intercompany pricing adjustment for services historically provided by certain Rest of World subsidiaries. Income from operations in the U.S. region increased from $11.8 million for the three months ended June 30, 2016 ($11.8 million excluding restructuring charges) to $26.2 million for the three months ended June 30, 2017 ($26.2 million excluding restructuring charges), principally reflecting the credit of $6 million recorded on revaluation of the contingent consideration related to the acquisition of ClinicalRM, the income contribution since acquisition of ClinicalRM, and the impact of refinements to the consideration earned by US subsidiaries under the Group’s global transfer pricing model, offset in part by increased amortization charges.</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of $3.2 million for the three months ended June 30, 2017 is in line with the charge for the three months ended June 30, 2016. Interest income increased by $0.2 million or 61.4%, from $0.4 million for the three months ended June 30, 2016 to $0.6 million for the three months ended June 30, 2017.</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increased from $10.0 million for the three months ended June 30, 2016 to $10.6 million for the three months ended June 30, 2017. The Company’s effective tax rate for the three months ended June 30, 2017 was 14.0% (13.9% excluding restructuring charges) compared with 14.1% (14.0% excluding restructuring charges) for the three months ended June 30, 2016. The Company’s effective tax rate is principally a function of the distribution of pre-tax profits amongst the territories in which it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right"/>
              <w:ind w:right="700"/>
              <w:spacing w:after="0" w:line="196" w:lineRule="exact"/>
              <w:rPr>
                <w:sz w:val="20"/>
                <w:szCs w:val="20"/>
                <w:color w:val="auto"/>
              </w:rPr>
            </w:pPr>
            <w:r>
              <w:rPr>
                <w:rFonts w:ascii="Arial" w:cs="Arial" w:eastAsia="Arial" w:hAnsi="Arial"/>
                <w:sz w:val="18"/>
                <w:szCs w:val="18"/>
                <w:b w:val="1"/>
                <w:bCs w:val="1"/>
                <w:color w:val="auto"/>
                <w:w w:val="85"/>
              </w:rPr>
              <w:t>June 30,</w:t>
            </w:r>
          </w:p>
        </w:tc>
        <w:tc>
          <w:tcPr>
            <w:tcW w:w="1140" w:type="dxa"/>
            <w:vAlign w:val="bottom"/>
            <w:gridSpan w:val="5"/>
          </w:tcPr>
          <w:p>
            <w:pPr>
              <w:jc w:val="right"/>
              <w:ind w:right="500"/>
              <w:spacing w:after="0" w:line="196" w:lineRule="exact"/>
              <w:rPr>
                <w:sz w:val="20"/>
                <w:szCs w:val="20"/>
                <w:color w:val="auto"/>
              </w:rPr>
            </w:pPr>
            <w:r>
              <w:rPr>
                <w:rFonts w:ascii="Arial" w:cs="Arial" w:eastAsia="Arial" w:hAnsi="Arial"/>
                <w:sz w:val="18"/>
                <w:szCs w:val="18"/>
                <w:b w:val="1"/>
                <w:bCs w:val="1"/>
                <w:color w:val="auto"/>
                <w:w w:val="85"/>
              </w:rPr>
              <w:t>June 30,</w:t>
            </w:r>
          </w:p>
        </w:tc>
        <w:tc>
          <w:tcPr>
            <w:tcW w:w="88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7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60" w:type="dxa"/>
            <w:vAlign w:val="bottom"/>
            <w:gridSpan w:val="3"/>
          </w:tcPr>
          <w:p>
            <w:pPr>
              <w:jc w:val="right"/>
              <w:ind w:right="500"/>
              <w:spacing w:after="0" w:line="196" w:lineRule="exact"/>
              <w:rPr>
                <w:sz w:val="20"/>
                <w:szCs w:val="20"/>
                <w:color w:val="auto"/>
              </w:rPr>
            </w:pPr>
            <w:r>
              <w:rPr>
                <w:rFonts w:ascii="Arial" w:cs="Arial" w:eastAsia="Arial" w:hAnsi="Arial"/>
                <w:sz w:val="18"/>
                <w:szCs w:val="18"/>
                <w:b w:val="1"/>
                <w:bCs w:val="1"/>
                <w:color w:val="auto"/>
                <w:w w:val="84"/>
              </w:rPr>
              <w:t>2016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bottom w:val="single" w:sz="8" w:color="auto"/>
            </w:tcBorders>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840" w:type="dxa"/>
            <w:vAlign w:val="bottom"/>
            <w:gridSpan w:val="11"/>
          </w:tcPr>
          <w:p>
            <w:pPr>
              <w:jc w:val="center"/>
              <w:ind w:left="237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7"/>
          </w:tcPr>
          <w:p>
            <w:pPr>
              <w:jc w:val="right"/>
              <w:ind w:right="220"/>
              <w:spacing w:after="0" w:line="196" w:lineRule="exact"/>
              <w:rPr>
                <w:sz w:val="20"/>
                <w:szCs w:val="20"/>
                <w:color w:val="auto"/>
              </w:rPr>
            </w:pPr>
            <w:r>
              <w:rPr>
                <w:rFonts w:ascii="Arial" w:cs="Arial" w:eastAsia="Arial" w:hAnsi="Arial"/>
                <w:sz w:val="18"/>
                <w:szCs w:val="18"/>
                <w:b w:val="1"/>
                <w:bCs w:val="1"/>
                <w:color w:val="auto"/>
                <w:w w:val="91"/>
              </w:rPr>
              <w:t>(Decrease)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4700" w:type="dxa"/>
            <w:vAlign w:val="bottom"/>
            <w:tcBorders>
              <w:bottom w:val="single" w:sz="8" w:color="auto"/>
            </w:tcBorders>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auto"/>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220" w:type="dxa"/>
            <w:vAlign w:val="bottom"/>
            <w:gridSpan w:val="4"/>
          </w:tcPr>
          <w:p>
            <w:pPr>
              <w:ind w:left="300"/>
              <w:spacing w:after="0"/>
              <w:rPr>
                <w:sz w:val="20"/>
                <w:szCs w:val="20"/>
                <w:color w:val="auto"/>
              </w:rPr>
            </w:pPr>
            <w:r>
              <w:rPr>
                <w:rFonts w:ascii="Arial" w:cs="Arial" w:eastAsia="Arial" w:hAnsi="Arial"/>
                <w:sz w:val="18"/>
                <w:szCs w:val="18"/>
                <w:color w:val="auto"/>
              </w:rPr>
              <w:t>Costs and expenses:</w:t>
            </w: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470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58.0%</w:t>
            </w:r>
          </w:p>
        </w:tc>
        <w:tc>
          <w:tcPr>
            <w:tcW w:w="11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57.5%</w:t>
            </w:r>
          </w:p>
        </w:tc>
        <w:tc>
          <w:tcPr>
            <w:tcW w:w="10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700" w:type="dxa"/>
            <w:vAlign w:val="bottom"/>
            <w:gridSpan w:val="6"/>
          </w:tcPr>
          <w:p>
            <w:pPr>
              <w:jc w:val="right"/>
              <w:ind w:right="540"/>
              <w:spacing w:after="0"/>
              <w:rPr>
                <w:sz w:val="20"/>
                <w:szCs w:val="20"/>
                <w:color w:val="auto"/>
              </w:rPr>
            </w:pPr>
            <w:r>
              <w:rPr>
                <w:rFonts w:ascii="Arial" w:cs="Arial" w:eastAsia="Arial" w:hAnsi="Arial"/>
                <w:sz w:val="18"/>
                <w:szCs w:val="18"/>
                <w:color w:val="auto"/>
              </w:rPr>
              <w:t>18.8%</w:t>
            </w:r>
          </w:p>
        </w:tc>
        <w:tc>
          <w:tcPr>
            <w:tcW w:w="1140" w:type="dxa"/>
            <w:vAlign w:val="bottom"/>
            <w:gridSpan w:val="5"/>
          </w:tcPr>
          <w:p>
            <w:pPr>
              <w:jc w:val="right"/>
              <w:ind w:right="340"/>
              <w:spacing w:after="0"/>
              <w:rPr>
                <w:sz w:val="20"/>
                <w:szCs w:val="20"/>
                <w:color w:val="auto"/>
              </w:rPr>
            </w:pPr>
            <w:r>
              <w:rPr>
                <w:rFonts w:ascii="Arial" w:cs="Arial" w:eastAsia="Arial" w:hAnsi="Arial"/>
                <w:sz w:val="18"/>
                <w:szCs w:val="18"/>
                <w:color w:val="auto"/>
              </w:rPr>
              <w:t>19.8%</w:t>
            </w:r>
          </w:p>
        </w:tc>
        <w:tc>
          <w:tcPr>
            <w:tcW w:w="1080" w:type="dxa"/>
            <w:vAlign w:val="bottom"/>
            <w:gridSpan w:val="7"/>
          </w:tcPr>
          <w:p>
            <w:pPr>
              <w:jc w:val="right"/>
              <w:ind w:right="8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470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1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4700" w:type="dxa"/>
            <w:vAlign w:val="bottom"/>
            <w:gridSpan w:val="6"/>
          </w:tcPr>
          <w:p>
            <w:pPr>
              <w:jc w:val="right"/>
              <w:ind w:right="540"/>
              <w:spacing w:after="0"/>
              <w:rPr>
                <w:sz w:val="20"/>
                <w:szCs w:val="20"/>
                <w:color w:val="auto"/>
              </w:rPr>
            </w:pPr>
            <w:r>
              <w:rPr>
                <w:rFonts w:ascii="Arial" w:cs="Arial" w:eastAsia="Arial" w:hAnsi="Arial"/>
                <w:sz w:val="18"/>
                <w:szCs w:val="18"/>
                <w:color w:val="auto"/>
              </w:rPr>
              <w:t>1.0%</w:t>
            </w:r>
          </w:p>
        </w:tc>
        <w:tc>
          <w:tcPr>
            <w:tcW w:w="1140" w:type="dxa"/>
            <w:vAlign w:val="bottom"/>
            <w:gridSpan w:val="5"/>
          </w:tcPr>
          <w:p>
            <w:pPr>
              <w:jc w:val="right"/>
              <w:ind w:right="340"/>
              <w:spacing w:after="0"/>
              <w:rPr>
                <w:sz w:val="20"/>
                <w:szCs w:val="20"/>
                <w:color w:val="auto"/>
              </w:rPr>
            </w:pPr>
            <w:r>
              <w:rPr>
                <w:rFonts w:ascii="Arial" w:cs="Arial" w:eastAsia="Arial" w:hAnsi="Arial"/>
                <w:sz w:val="18"/>
                <w:szCs w:val="18"/>
                <w:color w:val="auto"/>
              </w:rPr>
              <w:t>1.1%</w:t>
            </w:r>
          </w:p>
        </w:tc>
        <w:tc>
          <w:tcPr>
            <w:tcW w:w="1080" w:type="dxa"/>
            <w:vAlign w:val="bottom"/>
            <w:gridSpan w:val="7"/>
          </w:tcPr>
          <w:p>
            <w:pPr>
              <w:jc w:val="right"/>
              <w:ind w:right="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4700" w:type="dxa"/>
            <w:vAlign w:val="bottom"/>
            <w:tcBorders>
              <w:bottom w:val="single" w:sz="8" w:color="auto"/>
            </w:tcBorders>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auto"/>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20" w:type="dxa"/>
            <w:vAlign w:val="bottom"/>
            <w:gridSpan w:val="4"/>
          </w:tcPr>
          <w:p>
            <w:pPr>
              <w:ind w:left="300"/>
              <w:spacing w:after="0"/>
              <w:rPr>
                <w:sz w:val="20"/>
                <w:szCs w:val="20"/>
                <w:color w:val="auto"/>
              </w:rPr>
            </w:pPr>
            <w:r>
              <w:rPr>
                <w:rFonts w:ascii="Arial" w:cs="Arial" w:eastAsia="Arial" w:hAnsi="Arial"/>
                <w:sz w:val="18"/>
                <w:szCs w:val="18"/>
                <w:color w:val="auto"/>
              </w:rPr>
              <w:t>Income from operations</w:t>
            </w:r>
          </w:p>
        </w:tc>
        <w:tc>
          <w:tcPr>
            <w:tcW w:w="4700" w:type="dxa"/>
            <w:vAlign w:val="bottom"/>
            <w:gridSpan w:val="6"/>
          </w:tcPr>
          <w:p>
            <w:pPr>
              <w:jc w:val="right"/>
              <w:ind w:right="540"/>
              <w:spacing w:after="0"/>
              <w:rPr>
                <w:sz w:val="20"/>
                <w:szCs w:val="20"/>
                <w:color w:val="auto"/>
              </w:rPr>
            </w:pPr>
            <w:r>
              <w:rPr>
                <w:rFonts w:ascii="Arial" w:cs="Arial" w:eastAsia="Arial" w:hAnsi="Arial"/>
                <w:sz w:val="18"/>
                <w:szCs w:val="18"/>
                <w:color w:val="auto"/>
              </w:rPr>
              <w:t>19.0%</w:t>
            </w:r>
          </w:p>
        </w:tc>
        <w:tc>
          <w:tcPr>
            <w:tcW w:w="1140" w:type="dxa"/>
            <w:vAlign w:val="bottom"/>
            <w:gridSpan w:val="5"/>
          </w:tcPr>
          <w:p>
            <w:pPr>
              <w:jc w:val="right"/>
              <w:ind w:right="340"/>
              <w:spacing w:after="0"/>
              <w:rPr>
                <w:sz w:val="20"/>
                <w:szCs w:val="20"/>
                <w:color w:val="auto"/>
              </w:rPr>
            </w:pPr>
            <w:r>
              <w:rPr>
                <w:rFonts w:ascii="Arial" w:cs="Arial" w:eastAsia="Arial" w:hAnsi="Arial"/>
                <w:sz w:val="18"/>
                <w:szCs w:val="18"/>
                <w:color w:val="auto"/>
              </w:rPr>
              <w:t>18.5%</w:t>
            </w:r>
          </w:p>
        </w:tc>
        <w:tc>
          <w:tcPr>
            <w:tcW w:w="1080" w:type="dxa"/>
            <w:vAlign w:val="bottom"/>
            <w:gridSpan w:val="7"/>
          </w:tcPr>
          <w:p>
            <w:pPr>
              <w:jc w:val="right"/>
              <w:ind w:right="8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2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Net revenue for the period increased by $51.8 million, or 6.4%, from $811.2 million for the six months ended June 30, 2016 to $863.0 million for the six months ended June 30, 2017. Net revenue increased by 7.1% in constant currency and by 3.5% in constant dollar organic terms. The increase in revenues in the six months ended June 30, 2017 can be explained by both continued organic growth, and the additional net revenues from the acquisition of ClinicalRM on September 15, 2016. During the six months ended June 30, 2017 we derived approximately 47.2%, 41.2% and 11.6% of our net revenue in the United States, Europe and Rest of World respectively. During the six months ended June 30, 2017 $374.1 million or 43.3% of our net revenues were derived from our top 5 customers compared to $367.7 million or 45.3% of net revenues derived from our top 5 customers during the six months ended June 30, 2016. The largest of these customers related to a Strategic Partnership with a large global pharmaceutical company. Net revenue from this customer contributed 22.1% of net revenue for the six months ended June 30, 2017, compared to 28.6% of net revenue in respect of the six months ended June 30, 2016. The addition of new customer accounts, particularly mid-tier pharma customers and biotech customers continues to result in a reduction in concentration of revenues from our top five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in Ireland increased from $196.5 million for the six months ended June 30, 2016 to $205.1 million for the six months ended June 30, 2017. Net revenue in Ireland is principally a function of the Company’s global transfer pricing model (</w:t>
      </w:r>
      <w:r>
        <w:rPr>
          <w:rFonts w:ascii="Arial" w:cs="Arial" w:eastAsia="Arial" w:hAnsi="Arial"/>
          <w:sz w:val="18"/>
          <w:szCs w:val="18"/>
          <w:i w:val="1"/>
          <w:iCs w:val="1"/>
          <w:color w:val="auto"/>
        </w:rPr>
        <w:t>see note 9 Business Segmental Information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details</w:t>
      </w:r>
      <w:r>
        <w:rPr>
          <w:rFonts w:ascii="Arial" w:cs="Arial" w:eastAsia="Arial" w:hAnsi="Arial"/>
          <w:sz w:val="18"/>
          <w:szCs w:val="18"/>
          <w:color w:val="auto"/>
        </w:rPr>
        <w:t>). Net revenue in our Rest of Europe region decreased from $155.1 million for the six months ended June 30, 2016 to $150.0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while net revenue in our Rest of World region increased from $82.1 million for the six months ended June 30, 2016 to $100.3 million for the six months ended June 30, 2017. This reflects a non-recurring intercompany pricing adjustment for services historically provided by certain Rest of World subsidiaries. Net revenue in the U.S. region increased from $377.5 million for the six months ended June 30, 2016 to $407.7 million for the six months ended June 30, 2017. Net revenues in the U.S. region for the six months ended June 30, 2017 was impacted positively by the acquisition of ClinicalRM which was acquired on September 15, 2016.</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$33.9 million, or 7.3%, from $466.6 million for the six months ended June 30, 2016 to $500.5 million for the six months ended June 30, 2017.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$27.9 million, and increases in other direct project related costs of $6.3 million and laboratory costs of $1.1 million. This increase was offset by a decrease in travel related costs of $1.4 million. As a percentage of net revenue, direct costs increased from 57.5% for the six months ended June 30, 2016 to 58.0% for the six months ended June 30, 2017.</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increased by $1.2 million, or 0.8%, from $161.0 million for the six months ended June 30, 2016 to $162.2 million for the six months ended June 30,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During the six months ended June 30, 2017 a credit of $6 million was recorded being the reduction in the assessment of the fair value of contingent consideration liability relating to the acquisition of ClinicalRM (see note 3). Once-off professional costs of $3.5 million were also recorded in the period. Lease charges of $3.1 million were recorded principally in respect of premises vacated during the period on review of our facilities. The net increase in selling, general and administration expenses of $1.2 million reflects these items and continued focus on personnel related expenditure and facilities and related costs. As a percentage of net revenue, selling, general and administrative expenses, decreased from 19.8% for the six months ended June 30, 2016 to 18.8% for the six months ended June 30, 2017.</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decreased by $0.3 million, or 1.5%, from $20.7 million for six months ended June 30, 2016 to $20.4 million for six months ended June 30, 2017. Depreciation expense arises principally from continued investment in facilities, information systems and equipment to support the Company’s growth. As a percentage of net revenue the depreciation expense for the six months ended June 30, 2017 (2.4%) decreased marginally on the percentage of net revenue charge for the six months ended June 30, 2016 (2.6%). Amortization expense for the period decreased by $0.4 million, or 4.7%, from $8.9 million for the six months ended June 30, 2016 to $8.5 million for the six months ended June 30, 2017. Amortization expense represents the amortization of intangible assets acquired on business combinations. The main reason for the decrease in the amortization expense for the period relates to the cessation of the amortization charge in respect of the MediMedia order backlog asset in line with the amortization period of 2 years, this was offset in part by the additional amortization for the period related to the acquisition of ClinicalRM. As a percentage of net revenue, amortization expense decreased from 1.1% for the six months ended June 30, 2016 to 1.0% for the six months ended June 30, 2017.</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2017 the Company implemented a restructuring plan which contains Company resource rationalizations in order to improve operating efficiencies and reduce expenses. A restructuring charge of $7.8 million was recognized during the six months ended June 30, 2017. (S</w:t>
      </w:r>
      <w:r>
        <w:rPr>
          <w:rFonts w:ascii="Arial" w:cs="Arial" w:eastAsia="Arial" w:hAnsi="Arial"/>
          <w:sz w:val="16"/>
          <w:szCs w:val="16"/>
          <w:i w:val="1"/>
          <w:iCs w:val="1"/>
          <w:color w:val="auto"/>
        </w:rPr>
        <w:t>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note 4 Restructuring for further information). </w:t>
      </w:r>
      <w:r>
        <w:rPr>
          <w:rFonts w:ascii="Arial" w:cs="Arial" w:eastAsia="Arial" w:hAnsi="Arial"/>
          <w:sz w:val="16"/>
          <w:szCs w:val="16"/>
          <w:color w:val="auto"/>
        </w:rPr>
        <w:t>A restructuring charge of $4.1 million was recognized during the six months ended June 30, 2016.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6"/>
          <w:szCs w:val="16"/>
          <w:color w:val="auto"/>
        </w:rPr>
        <w:t>As a result of the above, income from operations for the six months increased by $13.8 million, or 9.1%, from $149.9 million for the six months ended June 30, 2016 ($154.0 million excluding restructuring charges) to $163.7 million for the six months ended June 30, 2017 ($171.4 million excluding restructuring charges). As a percentage of net revenue, income from operations increased from 18.5% (19.0% excluding restructuring charges) of net revenues for the six months ended June 30, 2016 to 19.0% of net revenues for the six months ended June 30, 2017 (19.9% excluding restructuring charges).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Income from operations in Ireland decreased from a profit of $114.2 million for the six months ended June 30, 2016 ($117.9 million excluding restructuring charges) to a profit of $102.6 million for the six months ended June 30, 2017 ($110.4 million excluding restructuring charges). Income from operations in Ireland is impacted by the Group’s global transfer pricing model </w:t>
      </w:r>
      <w:r>
        <w:rPr>
          <w:rFonts w:ascii="Arial" w:cs="Arial" w:eastAsia="Arial" w:hAnsi="Arial"/>
          <w:sz w:val="17"/>
          <w:szCs w:val="17"/>
          <w:i w:val="1"/>
          <w:iCs w:val="1"/>
          <w:color w:val="auto"/>
        </w:rPr>
        <w:t>(see note 9 Business Segmental Information for further details).</w:t>
      </w:r>
      <w:r>
        <w:rPr>
          <w:rFonts w:ascii="Arial" w:cs="Arial" w:eastAsia="Arial" w:hAnsi="Arial"/>
          <w:sz w:val="17"/>
          <w:szCs w:val="17"/>
          <w:color w:val="auto"/>
        </w:rPr>
        <w:t xml:space="preserve"> Income from operations in our Rest of Europe region increased from $8.3 million for the six months ended June 30, 2016 ($8.6 million excluding restructuring charges) to $12.6 million for the six months ended June 30, 2017 ($12.6 million excluding restructuring charges), while income from operations in our Rest of World region increased from $4.9 million for the six months ended June 30, 2016 ($4.9 million excluding restructuring charges) to $11.7 million for the six months ended June 30, 2017 ($11.7 million excluding restructuring charges). This reflects a non-recurring intercompany pricing adjustment for services historically provided by certain Rest of World subsidiaries. Income from operations in the U.S. region increased from $22.6 million for the six months ended June 30, 2016 ($22.6 million excluding restructuring charges) to $36.7 million for the six months ended June 30, 2017 ($36.7 million excluding restructuring charges), principally reflecting a credit of $6 million recorded on revaluation of the contingent consideration related to the acquisition of ClinicalRM, the income contribution since acquisition of ClinicalRM, and the impact of refinements to the consideration earned by US subsidiaries under the Group’s global transfer pricing model, offset in part by increased amortization charges.</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of $6.4 million for the six months ended June 30, 2017 is in line with the charge for the six months ended June 30, 2016. Interest income increased by $0.4 million or 63.7%, from $0.7 million for the six months ended June 30, 2016 to $1.1 million for the six months ended June 30, 2017.</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increased from $20.2 million for the six months ended June 30, 2016 to $22.2 million for the six months ended June 30, 2017. The Company’s effective tax rate for the six months ended June 30, 2017 was 14.0% (13.9% excluding restructuring charges) compared with 14.0% (13.6% excluding restructuring charges) for the six months ended June 30, 2016. The Company’s effective tax rate is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5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Drawn</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cash</w:t>
            </w:r>
          </w:p>
        </w:tc>
        <w:tc>
          <w:tcPr>
            <w:tcW w:w="1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 non-</w:t>
            </w: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Effect of</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down/</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inflow/</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cash</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exchange</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(repaid)</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(outflow)</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rates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41"/>
        </w:trPr>
        <w:tc>
          <w:tcPr>
            <w:tcW w:w="2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in thousands</w:t>
            </w:r>
          </w:p>
        </w:tc>
        <w:tc>
          <w:tcPr>
            <w:tcW w:w="10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192,541</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32,982</w:t>
            </w: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2,731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228,254</w:t>
            </w:r>
          </w:p>
        </w:tc>
      </w:tr>
      <w:tr>
        <w:trPr>
          <w:trHeight w:val="223"/>
        </w:trPr>
        <w:tc>
          <w:tcPr>
            <w:tcW w:w="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borrowings</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Private placement notes</w:t>
            </w:r>
          </w:p>
        </w:tc>
        <w:tc>
          <w:tcPr>
            <w:tcW w:w="2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(348,511)</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(187)</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(348,698)</w:t>
            </w: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(155,970)</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32,982</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(187)</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(120,444)</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June 30, 2017 amounted to $314.9 million compared with cash and short term investment balances of $260.6 million at December 31, 2016. The Company’s cash and short term investment balances at June 30, 2017 comprised of cash and cash equivalents of $228.3 million and short-term investments of $86.7 million. The Company’s cash and short term investment balances at December 31, 2016 comprised of cash and cash equivalents of $192.5 million and short-term investments of $68.0 million.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The facility is guaranteed by ICON plc. The facility bears interest at LIBOR plus a margin. No amounts were drawn at June 30, 2017 or at December 31, 2016 in respect of the Revolving Credit Facility. Amounts available to the Group under the facility at both June 30, 2017 and December 31, 2016 were therefore $100.0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also has an uncommitted short-term revolving credit facility of $30 million. No amounts were drawn under this facility at 31 December 2016 or at June 30,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7"/>
          <w:szCs w:val="17"/>
          <w:color w:val="auto"/>
        </w:rPr>
        <w:t>Net cash provided by operating activities was $168.4 million for the six months ended June 30, 2017 compared with cash provided by operating activities of $77.2 million for the six months ended June 30, 2016. This reflects the positive cash flow impact of the increase in revenues and underlying profitability of the Company.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2017 was 53 days compared to 50 days at December 31, 2016. The number of days revenue outstanding at June 30, 2016 was 46 days compared to 41 days at December 31, 2015.</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$33.1 million for the six months ended June 30, 2017 compared to net cash used in investing activities of $17.0 million for the six months ended June 30, 2016. Net cash used in the six months ended June 30, 2017 relates to capital expenditure of $15.2 million, which was mainly comprised of investment in facilities and IT infrastructure. During the six months ended June 30, 2017 $24.9 million was used for the purchase of short term investments and $6.9 million was generated by the sale of short term investments. Net cash used in investing activities during the six months ended June 30, 2016 relates to capital expenditure of $19.9 million, $1.6 million for a working capital adjustment in relation to the PMG acquisition (</w:t>
      </w:r>
      <w:r>
        <w:rPr>
          <w:rFonts w:ascii="Arial" w:cs="Arial" w:eastAsia="Arial" w:hAnsi="Arial"/>
          <w:sz w:val="18"/>
          <w:szCs w:val="18"/>
          <w:i w:val="1"/>
          <w:iCs w:val="1"/>
          <w:color w:val="auto"/>
        </w:rPr>
        <w:t>see note</w:t>
      </w:r>
      <w:r>
        <w:rPr>
          <w:rFonts w:ascii="Arial" w:cs="Arial" w:eastAsia="Arial" w:hAnsi="Arial"/>
          <w:sz w:val="18"/>
          <w:szCs w:val="18"/>
          <w:color w:val="auto"/>
        </w:rPr>
        <w:t xml:space="preserve"> </w:t>
      </w:r>
      <w:r>
        <w:rPr>
          <w:rFonts w:ascii="Arial" w:cs="Arial" w:eastAsia="Arial" w:hAnsi="Arial"/>
          <w:sz w:val="18"/>
          <w:szCs w:val="18"/>
          <w:i w:val="1"/>
          <w:iCs w:val="1"/>
          <w:color w:val="auto"/>
        </w:rPr>
        <w:t>3 Business Combinations for further details</w:t>
      </w:r>
      <w:r>
        <w:rPr>
          <w:rFonts w:ascii="Arial" w:cs="Arial" w:eastAsia="Arial" w:hAnsi="Arial"/>
          <w:sz w:val="18"/>
          <w:szCs w:val="18"/>
          <w:color w:val="auto"/>
        </w:rPr>
        <w:t>) and $11.0 million for the purchase of short term investments offset by the sale of short term investments of $15.4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financing activities during the six months ended June 30, 2017 amounted to $102.3 million compared to net cash provided by financing activities of $4.5 million for the six months ended June 30, 2016. Cash outflows in respect of financing includes cash payments in respect of the Company’s share repurchase program totaling $108.2 million during the six months ended June 30, 2017. In addition, $5.9 million was received by the Company from the exercise of share options. During the six months ended June 30, 2016, $2.3 million was recognized in relation to the tax benefit from the exercise of share options. In addition, $2.2 million was received by the Company from the exercise of share options.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$35.7 million for the six months ended June 30, 2017 compared to an increase of $64.6 million for the six months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480" w:type="dxa"/>
            <w:vAlign w:val="bottom"/>
            <w:gridSpan w:val="3"/>
          </w:tcPr>
          <w:p>
            <w:pPr>
              <w:ind w:left="3820"/>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80" w:type="dxa"/>
            <w:vAlign w:val="bottom"/>
            <w:gridSpan w:val="3"/>
          </w:tcPr>
          <w:p>
            <w:pPr>
              <w:ind w:left="3820"/>
              <w:spacing w:after="0"/>
              <w:rPr>
                <w:sz w:val="20"/>
                <w:szCs w:val="20"/>
                <w:color w:val="auto"/>
              </w:rPr>
            </w:pPr>
            <w:r>
              <w:rPr>
                <w:rFonts w:ascii="Arial" w:cs="Arial" w:eastAsia="Arial" w:hAnsi="Arial"/>
                <w:sz w:val="18"/>
                <w:szCs w:val="18"/>
                <w:color w:val="auto"/>
              </w:rPr>
              <w:t>/s/Brendan Brennan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5480" w:type="dxa"/>
            <w:vAlign w:val="bottom"/>
            <w:gridSpan w:val="3"/>
            <w:vMerge w:val="restart"/>
          </w:tcPr>
          <w:p>
            <w:pPr>
              <w:ind w:left="3820"/>
              <w:spacing w:after="0"/>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Date: July 27, 2017</w:t>
            </w:r>
          </w:p>
        </w:tc>
        <w:tc>
          <w:tcPr>
            <w:tcW w:w="5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480" w:type="dxa"/>
            <w:vAlign w:val="bottom"/>
            <w:gridSpan w:val="3"/>
          </w:tcPr>
          <w:p>
            <w:pPr>
              <w:ind w:left="3820"/>
              <w:spacing w:after="0"/>
              <w:rPr>
                <w:sz w:val="20"/>
                <w:szCs w:val="20"/>
                <w:color w:val="auto"/>
              </w:rPr>
            </w:pPr>
            <w:r>
              <w:rPr>
                <w:rFonts w:ascii="Arial" w:cs="Arial" w:eastAsia="Arial" w:hAnsi="Arial"/>
                <w:sz w:val="18"/>
                <w:szCs w:val="18"/>
                <w:color w:val="auto"/>
                <w:w w:val="92"/>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2019-12-06T09:16:02Z</dcterms:created>
  <dcterms:modified xsi:type="dcterms:W3CDTF">2019-12-06T09:16:02Z</dcterms:modified>
</cp:coreProperties>
</file>