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19,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ICON Reports Fourth Quarter 2012 Revenue of $300 Million, up 24% year on year, EPS of 34c and Full Year revenue of $1.12 billion, EPS of $1.00.</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Fourth Quarter and Full year ended December 31 2012.</w:t>
      </w:r>
    </w:p>
    <w:p>
      <w:pPr>
        <w:spacing w:after="0" w:line="206" w:lineRule="exact"/>
        <w:rPr>
          <w:sz w:val="20"/>
          <w:szCs w:val="20"/>
          <w:color w:val="auto"/>
        </w:rPr>
      </w:pPr>
    </w:p>
    <w:p>
      <w:pPr>
        <w:ind w:left="540" w:right="20"/>
        <w:spacing w:after="0" w:line="256" w:lineRule="auto"/>
        <w:rPr>
          <w:sz w:val="20"/>
          <w:szCs w:val="20"/>
          <w:color w:val="auto"/>
        </w:rPr>
      </w:pPr>
      <w:r>
        <w:rPr>
          <w:rFonts w:ascii="Arial" w:cs="Arial" w:eastAsia="Arial" w:hAnsi="Arial"/>
          <w:sz w:val="22"/>
          <w:szCs w:val="22"/>
          <w:b w:val="1"/>
          <w:bCs w:val="1"/>
          <w:color w:val="auto"/>
        </w:rPr>
        <w:t>Quarter 4 net revenue increased 24% year on year to $300 million. Full Year 2012 net revenue increased 18% to $1.12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620"/>
        <w:spacing w:after="0" w:line="256" w:lineRule="auto"/>
        <w:rPr>
          <w:sz w:val="20"/>
          <w:szCs w:val="20"/>
          <w:color w:val="auto"/>
        </w:rPr>
      </w:pPr>
      <w:r>
        <w:rPr>
          <w:rFonts w:ascii="Arial" w:cs="Arial" w:eastAsia="Arial" w:hAnsi="Arial"/>
          <w:sz w:val="22"/>
          <w:szCs w:val="22"/>
          <w:b w:val="1"/>
          <w:bCs w:val="1"/>
          <w:color w:val="auto"/>
        </w:rPr>
        <w:t>Quarter 4 operating income was $24.4 million or 8.1% of revenue. Full Year 2012 operating income before non-recurring charges was $73.7 million or 6.6%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Earnings per share for Quarter 4 were $0.34. EPS for the full year 2012 before non-recurring charges was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-73025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left="540" w:right="180"/>
        <w:spacing w:after="0" w:line="256" w:lineRule="auto"/>
        <w:rPr>
          <w:sz w:val="20"/>
          <w:szCs w:val="20"/>
          <w:color w:val="auto"/>
        </w:rPr>
      </w:pPr>
      <w:r>
        <w:rPr>
          <w:rFonts w:ascii="Arial" w:cs="Arial" w:eastAsia="Arial" w:hAnsi="Arial"/>
          <w:sz w:val="22"/>
          <w:szCs w:val="22"/>
          <w:b w:val="1"/>
          <w:bCs w:val="1"/>
          <w:color w:val="auto"/>
        </w:rPr>
        <w:t>Quarter 4 net business awards were $378 million, a book to bill of 1.26. Full Year net new business awards were $1.6 billion, a book to bill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increased 20% year on year to $2.8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60"/>
        <w:spacing w:after="0" w:line="280" w:lineRule="auto"/>
        <w:rPr>
          <w:sz w:val="20"/>
          <w:szCs w:val="20"/>
          <w:color w:val="auto"/>
        </w:rPr>
      </w:pPr>
      <w:r>
        <w:rPr>
          <w:rFonts w:ascii="Arial" w:cs="Arial" w:eastAsia="Arial" w:hAnsi="Arial"/>
          <w:sz w:val="21"/>
          <w:szCs w:val="21"/>
          <w:b w:val="1"/>
          <w:bCs w:val="1"/>
          <w:color w:val="auto"/>
        </w:rPr>
        <w:t>Guidance increased to reflect the acquisition of the clinical trial service division of Cross Country Healthcare, Inc. to revenue in the range of $1,258 – $1,292 million and EPS in the range of $1.44 –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-292100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DUBLIN--(BUSINESS WIRE)--February 19, 2013--</w:t>
      </w:r>
      <w:r>
        <w:rPr>
          <w:rFonts w:ascii="Arial" w:cs="Arial" w:eastAsia="Arial" w:hAnsi="Arial"/>
          <w:sz w:val="22"/>
          <w:szCs w:val="22"/>
          <w:b w:val="1"/>
          <w:bCs w:val="1"/>
          <w:color w:val="auto"/>
        </w:rPr>
        <w:t>ICON plc</w:t>
      </w:r>
      <w:r>
        <w:rPr>
          <w:rFonts w:ascii="Arial" w:cs="Arial" w:eastAsia="Arial" w:hAnsi="Arial"/>
          <w:sz w:val="22"/>
          <w:szCs w:val="22"/>
          <w:color w:val="auto"/>
        </w:rPr>
        <w:t xml:space="preserve">,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full year and fourth quarter ended December 31, 2012.</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For the fourth quarter net revenue grew 24% year on year to $300 million. Operating income was $24.4 million compared to $6.6 million in the same quarter last year. Operating margin was 8.1% of revenue, compared to 2.7% of revenue for the same quarter last year.</w:t>
      </w:r>
    </w:p>
    <w:p>
      <w:pPr>
        <w:spacing w:after="0" w:line="186"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Net income was $20.7 million compared with $4.1 million last year or $0.34 per share compared to $0.07 in the same quarter last year.</w:t>
      </w:r>
    </w:p>
    <w:p>
      <w:pPr>
        <w:spacing w:after="0" w:line="17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For the full year revenue grew 18% to $1.12 billion. Operating income before restructuring and other items was $73.7 million compared to $39.3 million last year. Operating margin for the full year 2012 was 6.6% of revenue compared with 4.2% of revenue in 2011.</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On a US GAAP basis, income from operations was $68.0 million or 6.1% compared with $29.4 million or 3.1% in the prior year.</w:t>
      </w:r>
    </w:p>
    <w:p>
      <w:pPr>
        <w:spacing w:after="0" w:line="241"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For the full year net income before restructuring and other items was $60.4 million, compared to $31.5 million last year and net margin was 5.4% of revenue, compared with 3.3% in 2011.</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EPS before restructuring and other items for 2012 was $1.00 per share compared with $0.52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380"/>
        <w:spacing w:after="0" w:line="329" w:lineRule="auto"/>
        <w:rPr>
          <w:sz w:val="20"/>
          <w:szCs w:val="20"/>
          <w:color w:val="auto"/>
        </w:rPr>
      </w:pPr>
      <w:r>
        <w:rPr>
          <w:rFonts w:ascii="Arial" w:cs="Arial" w:eastAsia="Arial" w:hAnsi="Arial"/>
          <w:sz w:val="19"/>
          <w:szCs w:val="19"/>
          <w:color w:val="auto"/>
        </w:rPr>
        <w:t>On a US GAAP basis net income was $55.4 million, compared to $22.8 million last year. Net margin for the full year 2012 was 5.0% of revenue, up from 2.4% in 2011. EPS on a US GAAP basis for 2012 was $0.92 per share compared with $0.37 in 2011.</w:t>
      </w:r>
    </w:p>
    <w:p>
      <w:pPr>
        <w:spacing w:after="0" w:line="104"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40 days at December 31, 2012 compared with 47 days at December 31, 2011.</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For the quarter ended December 31, 2012, cash provided by operating activities was $12.0 million and capital expenditure was $8.4 million. For the full year 2012 cash flow from operating activities was $113.4 million and capital expenditure was $30.8 million. In addition $69.9 million was invested on acquisitions and $15.8 million was expended on a stock repurchase programme. As a result the company’s net cash amounted to $190 million at December 31, 2012 compared to $174 million of net cash at December 31, 2011.</w:t>
      </w:r>
    </w:p>
    <w:p>
      <w:pPr>
        <w:spacing w:after="0" w:line="195" w:lineRule="exact"/>
        <w:rPr>
          <w:sz w:val="20"/>
          <w:szCs w:val="20"/>
          <w:color w:val="auto"/>
        </w:rPr>
      </w:pPr>
    </w:p>
    <w:p>
      <w:pPr>
        <w:ind w:right="280"/>
        <w:spacing w:after="0" w:line="218" w:lineRule="auto"/>
        <w:rPr>
          <w:sz w:val="20"/>
          <w:szCs w:val="20"/>
          <w:color w:val="auto"/>
        </w:rPr>
      </w:pPr>
      <w:r>
        <w:rPr>
          <w:rFonts w:ascii="Arial" w:cs="Arial" w:eastAsia="Arial" w:hAnsi="Arial"/>
          <w:sz w:val="21"/>
          <w:szCs w:val="21"/>
          <w:color w:val="auto"/>
        </w:rPr>
        <w:t>On the 15</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of February we completed the acquisition of the clinical trial service division of Cross Country Healthcare, Inc. This will be combined with our DOCS group to create a global leader in resourcing. Consequently we have increased our full year guidance to revenue in the range of $1,258- $1,292 and EPS in the range of $1.44 - $1.60.</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CEO Ciaran Murray commented, </w:t>
      </w:r>
      <w:r>
        <w:rPr>
          <w:rFonts w:ascii="Arial" w:cs="Arial" w:eastAsia="Arial" w:hAnsi="Arial"/>
          <w:sz w:val="22"/>
          <w:szCs w:val="22"/>
          <w:i w:val="1"/>
          <w:iCs w:val="1"/>
          <w:color w:val="auto"/>
        </w:rPr>
        <w:t>“In 2012 we saw the validation of our investment strategy as we won a record $1.6 billion of new</w:t>
      </w:r>
      <w:r>
        <w:rPr>
          <w:rFonts w:ascii="Arial" w:cs="Arial" w:eastAsia="Arial" w:hAnsi="Arial"/>
          <w:sz w:val="22"/>
          <w:szCs w:val="22"/>
          <w:color w:val="auto"/>
        </w:rPr>
        <w:t xml:space="preserve"> </w:t>
      </w:r>
      <w:r>
        <w:rPr>
          <w:rFonts w:ascii="Arial" w:cs="Arial" w:eastAsia="Arial" w:hAnsi="Arial"/>
          <w:sz w:val="22"/>
          <w:szCs w:val="22"/>
          <w:i w:val="1"/>
          <w:iCs w:val="1"/>
          <w:color w:val="auto"/>
        </w:rPr>
        <w:t>business and reported milestone revenue of $1.12 billion and EPS of $1.00. Backlog grew 20% to $2.8 billion, which along with continuing investment in capabilities, talent and innovation in drug development, provides a solid foundation for further growth in 2013.”</w:t>
      </w:r>
    </w:p>
    <w:p>
      <w:pPr>
        <w:spacing w:after="0" w:line="185" w:lineRule="exact"/>
        <w:rPr>
          <w:sz w:val="20"/>
          <w:szCs w:val="20"/>
          <w:color w:val="auto"/>
        </w:rPr>
      </w:pPr>
    </w:p>
    <w:p>
      <w:pPr>
        <w:jc w:val="both"/>
        <w:ind w:right="34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 xml:space="preserve">ICON will hold its fourth quarter conference call today, February 19, 2013 at 9:00 EST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reports filed with the US Securities and Exchange Commission by ICON, including its Form 20-F, F-1, S-8 and F-3, may affect the actual results achieved by ICON. ICON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79 locations in 37 countries and has approximately 10,045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860"/>
          </w:cols>
          <w:pgMar w:left="240" w:top="118" w:right="7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restructuring and other items)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Twelve Months ended December 31, 2012 and December 31, 2011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34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31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6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920" w:type="dxa"/>
            <w:vAlign w:val="bottom"/>
          </w:tcPr>
          <w:p>
            <w:pPr>
              <w:spacing w:after="0"/>
              <w:rPr>
                <w:sz w:val="20"/>
                <w:szCs w:val="20"/>
                <w:color w:val="auto"/>
              </w:rPr>
            </w:pPr>
            <w:r>
              <w:rPr>
                <w:rFonts w:ascii="Arial" w:cs="Arial" w:eastAsia="Arial" w:hAnsi="Arial"/>
                <w:sz w:val="18"/>
                <w:szCs w:val="18"/>
                <w:color w:val="auto"/>
              </w:rPr>
              <w:t>Gross Revenue</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406,353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337,934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1,503,993</w:t>
            </w:r>
          </w:p>
        </w:tc>
        <w:tc>
          <w:tcPr>
            <w:tcW w:w="1460" w:type="dxa"/>
            <w:vAlign w:val="bottom"/>
          </w:tcPr>
          <w:p>
            <w:pPr>
              <w:jc w:val="right"/>
              <w:spacing w:after="0"/>
              <w:rPr>
                <w:sz w:val="20"/>
                <w:szCs w:val="20"/>
                <w:color w:val="auto"/>
              </w:rPr>
            </w:pPr>
            <w:r>
              <w:rPr>
                <w:rFonts w:ascii="Arial" w:cs="Arial" w:eastAsia="Arial" w:hAnsi="Arial"/>
                <w:sz w:val="18"/>
                <w:szCs w:val="18"/>
                <w:color w:val="auto"/>
              </w:rPr>
              <w:t>1,296,509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920" w:type="dxa"/>
            <w:vAlign w:val="bottom"/>
          </w:tcPr>
          <w:p>
            <w:pPr>
              <w:spacing w:after="0"/>
              <w:rPr>
                <w:sz w:val="20"/>
                <w:szCs w:val="20"/>
                <w:color w:val="auto"/>
              </w:rPr>
            </w:pPr>
            <w:r>
              <w:rPr>
                <w:rFonts w:ascii="Arial" w:cs="Arial" w:eastAsia="Arial" w:hAnsi="Arial"/>
                <w:sz w:val="18"/>
                <w:szCs w:val="18"/>
                <w:color w:val="auto"/>
              </w:rPr>
              <w:t>Reimbursable expenses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106,189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95,319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388,987</w:t>
            </w:r>
          </w:p>
        </w:tc>
        <w:tc>
          <w:tcPr>
            <w:tcW w:w="1460" w:type="dxa"/>
            <w:vAlign w:val="bottom"/>
          </w:tcPr>
          <w:p>
            <w:pPr>
              <w:jc w:val="right"/>
              <w:spacing w:after="0"/>
              <w:rPr>
                <w:sz w:val="20"/>
                <w:szCs w:val="20"/>
                <w:color w:val="auto"/>
              </w:rPr>
            </w:pPr>
            <w:r>
              <w:rPr>
                <w:rFonts w:ascii="Arial" w:cs="Arial" w:eastAsia="Arial" w:hAnsi="Arial"/>
                <w:sz w:val="18"/>
                <w:szCs w:val="18"/>
                <w:color w:val="auto"/>
              </w:rPr>
              <w:t>350,780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Net Revenue</w:t>
            </w:r>
          </w:p>
        </w:tc>
        <w:tc>
          <w:tcPr>
            <w:tcW w:w="1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300,164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242,615</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1,115,006</w:t>
            </w:r>
          </w:p>
        </w:tc>
        <w:tc>
          <w:tcPr>
            <w:tcW w:w="1460" w:type="dxa"/>
            <w:vAlign w:val="bottom"/>
          </w:tcPr>
          <w:p>
            <w:pPr>
              <w:jc w:val="right"/>
              <w:spacing w:after="0"/>
              <w:rPr>
                <w:sz w:val="20"/>
                <w:szCs w:val="20"/>
                <w:color w:val="auto"/>
              </w:rPr>
            </w:pPr>
            <w:r>
              <w:rPr>
                <w:rFonts w:ascii="Arial" w:cs="Arial" w:eastAsia="Arial" w:hAnsi="Arial"/>
                <w:sz w:val="18"/>
                <w:szCs w:val="18"/>
                <w:color w:val="auto"/>
              </w:rPr>
              <w:t>945,729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Direct costs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192,007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158,244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717,750</w:t>
            </w:r>
          </w:p>
        </w:tc>
        <w:tc>
          <w:tcPr>
            <w:tcW w:w="1460" w:type="dxa"/>
            <w:vAlign w:val="bottom"/>
          </w:tcPr>
          <w:p>
            <w:pPr>
              <w:jc w:val="right"/>
              <w:spacing w:after="0"/>
              <w:rPr>
                <w:sz w:val="20"/>
                <w:szCs w:val="20"/>
                <w:color w:val="auto"/>
              </w:rPr>
            </w:pPr>
            <w:r>
              <w:rPr>
                <w:rFonts w:ascii="Arial" w:cs="Arial" w:eastAsia="Arial" w:hAnsi="Arial"/>
                <w:sz w:val="18"/>
                <w:szCs w:val="18"/>
                <w:color w:val="auto"/>
              </w:rPr>
              <w:t>611,923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73,165</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67,008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280,780</w:t>
            </w:r>
          </w:p>
        </w:tc>
        <w:tc>
          <w:tcPr>
            <w:tcW w:w="1460" w:type="dxa"/>
            <w:vAlign w:val="bottom"/>
          </w:tcPr>
          <w:p>
            <w:pPr>
              <w:jc w:val="right"/>
              <w:spacing w:after="0"/>
              <w:rPr>
                <w:sz w:val="20"/>
                <w:szCs w:val="20"/>
                <w:color w:val="auto"/>
              </w:rPr>
            </w:pPr>
            <w:r>
              <w:rPr>
                <w:rFonts w:ascii="Arial" w:cs="Arial" w:eastAsia="Arial" w:hAnsi="Arial"/>
                <w:sz w:val="18"/>
                <w:szCs w:val="18"/>
                <w:color w:val="auto"/>
              </w:rPr>
              <w:t>255,864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10,590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10,713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42,823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38,682</w:t>
            </w:r>
          </w:p>
        </w:tc>
        <w:tc>
          <w:tcPr>
            <w:tcW w:w="0" w:type="dxa"/>
            <w:vAlign w:val="bottom"/>
          </w:tcPr>
          <w:p>
            <w:pPr>
              <w:spacing w:after="0"/>
              <w:rPr>
                <w:sz w:val="1"/>
                <w:szCs w:val="1"/>
                <w:color w:val="auto"/>
              </w:rPr>
            </w:pPr>
          </w:p>
        </w:tc>
      </w:tr>
      <w:tr>
        <w:trPr>
          <w:trHeight w:val="257"/>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1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275,762</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235,965</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1,041,353</w:t>
            </w:r>
          </w:p>
        </w:tc>
        <w:tc>
          <w:tcPr>
            <w:tcW w:w="1460" w:type="dxa"/>
            <w:vAlign w:val="bottom"/>
          </w:tcPr>
          <w:p>
            <w:pPr>
              <w:jc w:val="right"/>
              <w:spacing w:after="0"/>
              <w:rPr>
                <w:sz w:val="20"/>
                <w:szCs w:val="20"/>
                <w:color w:val="auto"/>
              </w:rPr>
            </w:pPr>
            <w:r>
              <w:rPr>
                <w:rFonts w:ascii="Arial" w:cs="Arial" w:eastAsia="Arial" w:hAnsi="Arial"/>
                <w:sz w:val="18"/>
                <w:szCs w:val="18"/>
                <w:color w:val="auto"/>
              </w:rPr>
              <w:t>906,469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9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24,402</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6,650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73,653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39,260</w:t>
            </w:r>
          </w:p>
        </w:tc>
        <w:tc>
          <w:tcPr>
            <w:tcW w:w="0" w:type="dxa"/>
            <w:vAlign w:val="bottom"/>
          </w:tcPr>
          <w:p>
            <w:pPr>
              <w:spacing w:after="0"/>
              <w:rPr>
                <w:sz w:val="1"/>
                <w:szCs w:val="1"/>
                <w:color w:val="auto"/>
              </w:rPr>
            </w:pPr>
          </w:p>
        </w:tc>
      </w:tr>
      <w:tr>
        <w:trPr>
          <w:trHeight w:val="486"/>
        </w:trPr>
        <w:tc>
          <w:tcPr>
            <w:tcW w:w="4920" w:type="dxa"/>
            <w:vAlign w:val="bottom"/>
          </w:tcPr>
          <w:p>
            <w:pPr>
              <w:spacing w:after="0"/>
              <w:rPr>
                <w:sz w:val="20"/>
                <w:szCs w:val="20"/>
                <w:color w:val="auto"/>
              </w:rPr>
            </w:pPr>
            <w:r>
              <w:rPr>
                <w:rFonts w:ascii="Arial" w:cs="Arial" w:eastAsia="Arial" w:hAnsi="Arial"/>
                <w:sz w:val="18"/>
                <w:szCs w:val="18"/>
                <w:color w:val="auto"/>
              </w:rPr>
              <w:t>Net interest expense</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(278)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(751)</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(796)</w:t>
            </w:r>
          </w:p>
        </w:tc>
        <w:tc>
          <w:tcPr>
            <w:tcW w:w="146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24,124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5,899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72,857</w:t>
            </w:r>
          </w:p>
        </w:tc>
        <w:tc>
          <w:tcPr>
            <w:tcW w:w="1460" w:type="dxa"/>
            <w:vAlign w:val="bottom"/>
          </w:tcPr>
          <w:p>
            <w:pPr>
              <w:jc w:val="right"/>
              <w:spacing w:after="0"/>
              <w:rPr>
                <w:sz w:val="20"/>
                <w:szCs w:val="20"/>
                <w:color w:val="auto"/>
              </w:rPr>
            </w:pPr>
            <w:r>
              <w:rPr>
                <w:rFonts w:ascii="Arial" w:cs="Arial" w:eastAsia="Arial" w:hAnsi="Arial"/>
                <w:sz w:val="18"/>
                <w:szCs w:val="18"/>
                <w:color w:val="auto"/>
              </w:rPr>
              <w:t>38,812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(3,377)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(1,786)</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(12,506)</w:t>
            </w:r>
          </w:p>
        </w:tc>
        <w:tc>
          <w:tcPr>
            <w:tcW w:w="1460" w:type="dxa"/>
            <w:vAlign w:val="bottom"/>
          </w:tcPr>
          <w:p>
            <w:pPr>
              <w:jc w:val="right"/>
              <w:spacing w:after="0"/>
              <w:rPr>
                <w:sz w:val="20"/>
                <w:szCs w:val="20"/>
                <w:color w:val="auto"/>
              </w:rPr>
            </w:pPr>
            <w:r>
              <w:rPr>
                <w:rFonts w:ascii="Arial" w:cs="Arial" w:eastAsia="Arial" w:hAnsi="Arial"/>
                <w:sz w:val="18"/>
                <w:szCs w:val="18"/>
                <w:color w:val="auto"/>
              </w:rPr>
              <w:t>(7,347)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4920" w:type="dxa"/>
            <w:vAlign w:val="bottom"/>
            <w:vMerge w:val="continue"/>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20,747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4,113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60,351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31,465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income per ordinary share</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9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$0.35</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$0.07</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$0.34</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$0.07</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20" w:type="dxa"/>
            <w:vAlign w:val="bottom"/>
          </w:tcPr>
          <w:p>
            <w:pPr>
              <w:spacing w:after="0"/>
              <w:rPr>
                <w:sz w:val="20"/>
                <w:szCs w:val="20"/>
                <w:color w:val="auto"/>
              </w:rPr>
            </w:pPr>
            <w:r>
              <w:rPr>
                <w:rFonts w:ascii="Arial" w:cs="Arial" w:eastAsia="Arial" w:hAnsi="Arial"/>
                <w:sz w:val="18"/>
                <w:szCs w:val="18"/>
                <w:color w:val="auto"/>
              </w:rPr>
              <w:t>Weighted average number of ordinary shares</w:t>
            </w: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Basic</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60,053,987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60,371,190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59,968,174</w:t>
            </w:r>
          </w:p>
        </w:tc>
        <w:tc>
          <w:tcPr>
            <w:tcW w:w="1460" w:type="dxa"/>
            <w:vAlign w:val="bottom"/>
          </w:tcPr>
          <w:p>
            <w:pPr>
              <w:jc w:val="right"/>
              <w:spacing w:after="0"/>
              <w:rPr>
                <w:sz w:val="20"/>
                <w:szCs w:val="20"/>
                <w:color w:val="auto"/>
              </w:rPr>
            </w:pPr>
            <w:r>
              <w:rPr>
                <w:rFonts w:ascii="Arial" w:cs="Arial" w:eastAsia="Arial" w:hAnsi="Arial"/>
                <w:sz w:val="18"/>
                <w:szCs w:val="18"/>
                <w:color w:val="auto"/>
              </w:rPr>
              <w:t>60,379,338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920" w:type="dxa"/>
            <w:vAlign w:val="bottom"/>
          </w:tcPr>
          <w:p>
            <w:pPr>
              <w:spacing w:after="0"/>
              <w:rPr>
                <w:sz w:val="20"/>
                <w:szCs w:val="20"/>
                <w:color w:val="auto"/>
              </w:rPr>
            </w:pPr>
            <w:r>
              <w:rPr>
                <w:rFonts w:ascii="Arial" w:cs="Arial" w:eastAsia="Arial" w:hAnsi="Arial"/>
                <w:sz w:val="18"/>
                <w:szCs w:val="18"/>
                <w:color w:val="auto"/>
              </w:rPr>
              <w:t>Diluted</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60,813,483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60,759,588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60,450,706</w:t>
            </w:r>
          </w:p>
        </w:tc>
        <w:tc>
          <w:tcPr>
            <w:tcW w:w="1460" w:type="dxa"/>
            <w:vAlign w:val="bottom"/>
          </w:tcPr>
          <w:p>
            <w:pPr>
              <w:jc w:val="right"/>
              <w:spacing w:after="0"/>
              <w:rPr>
                <w:sz w:val="20"/>
                <w:szCs w:val="20"/>
                <w:color w:val="auto"/>
              </w:rPr>
            </w:pPr>
            <w:r>
              <w:rPr>
                <w:rFonts w:ascii="Arial" w:cs="Arial" w:eastAsia="Arial" w:hAnsi="Arial"/>
                <w:sz w:val="18"/>
                <w:szCs w:val="18"/>
                <w:color w:val="auto"/>
              </w:rPr>
              <w:t>61,070,686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2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 (Audited)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GAAP)</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Twelve Months ended December 31, 2012 and December 31, 2011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48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2"/>
              </w:rPr>
              <w:t>(Dollars, in thousands, except share and per share data)</w:t>
            </w:r>
          </w:p>
        </w:tc>
        <w:tc>
          <w:tcPr>
            <w:tcW w:w="1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4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318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31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Gross Revenue</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406,353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337,934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1,503,993</w:t>
            </w:r>
          </w:p>
        </w:tc>
        <w:tc>
          <w:tcPr>
            <w:tcW w:w="1460" w:type="dxa"/>
            <w:vAlign w:val="bottom"/>
          </w:tcPr>
          <w:p>
            <w:pPr>
              <w:jc w:val="right"/>
              <w:spacing w:after="0"/>
              <w:rPr>
                <w:sz w:val="20"/>
                <w:szCs w:val="20"/>
                <w:color w:val="auto"/>
              </w:rPr>
            </w:pPr>
            <w:r>
              <w:rPr>
                <w:rFonts w:ascii="Arial" w:cs="Arial" w:eastAsia="Arial" w:hAnsi="Arial"/>
                <w:sz w:val="18"/>
                <w:szCs w:val="18"/>
                <w:color w:val="auto"/>
              </w:rPr>
              <w:t>1,296,509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Reimbursable expenses</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106,189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95,319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388,987</w:t>
            </w:r>
          </w:p>
        </w:tc>
        <w:tc>
          <w:tcPr>
            <w:tcW w:w="1460" w:type="dxa"/>
            <w:vAlign w:val="bottom"/>
          </w:tcPr>
          <w:p>
            <w:pPr>
              <w:jc w:val="right"/>
              <w:spacing w:after="0"/>
              <w:rPr>
                <w:sz w:val="20"/>
                <w:szCs w:val="20"/>
                <w:color w:val="auto"/>
              </w:rPr>
            </w:pPr>
            <w:r>
              <w:rPr>
                <w:rFonts w:ascii="Arial" w:cs="Arial" w:eastAsia="Arial" w:hAnsi="Arial"/>
                <w:sz w:val="18"/>
                <w:szCs w:val="18"/>
                <w:color w:val="auto"/>
              </w:rPr>
              <w:t>350,780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Revenue</w:t>
            </w:r>
          </w:p>
        </w:tc>
        <w:tc>
          <w:tcPr>
            <w:tcW w:w="3160" w:type="dxa"/>
            <w:vAlign w:val="bottom"/>
            <w:gridSpan w:val="2"/>
          </w:tcPr>
          <w:p>
            <w:pPr>
              <w:spacing w:after="0"/>
              <w:rPr>
                <w:sz w:val="22"/>
                <w:szCs w:val="22"/>
                <w:color w:val="auto"/>
              </w:rPr>
            </w:pPr>
          </w:p>
        </w:tc>
        <w:tc>
          <w:tcPr>
            <w:tcW w:w="1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300,164</w:t>
            </w:r>
          </w:p>
        </w:tc>
        <w:tc>
          <w:tcPr>
            <w:tcW w:w="1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242,615</w:t>
            </w:r>
          </w:p>
        </w:tc>
        <w:tc>
          <w:tcPr>
            <w:tcW w:w="1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1,115,006</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Direct costs</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192,007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158,244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717,750</w:t>
            </w:r>
          </w:p>
        </w:tc>
        <w:tc>
          <w:tcPr>
            <w:tcW w:w="1460" w:type="dxa"/>
            <w:vAlign w:val="bottom"/>
          </w:tcPr>
          <w:p>
            <w:pPr>
              <w:jc w:val="right"/>
              <w:spacing w:after="0"/>
              <w:rPr>
                <w:sz w:val="20"/>
                <w:szCs w:val="20"/>
                <w:color w:val="auto"/>
              </w:rPr>
            </w:pPr>
            <w:r>
              <w:rPr>
                <w:rFonts w:ascii="Arial" w:cs="Arial" w:eastAsia="Arial" w:hAnsi="Arial"/>
                <w:sz w:val="18"/>
                <w:szCs w:val="18"/>
                <w:color w:val="auto"/>
              </w:rPr>
              <w:t>611,923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73,165</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67,008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280,780</w:t>
            </w:r>
          </w:p>
        </w:tc>
        <w:tc>
          <w:tcPr>
            <w:tcW w:w="1460" w:type="dxa"/>
            <w:vAlign w:val="bottom"/>
          </w:tcPr>
          <w:p>
            <w:pPr>
              <w:jc w:val="right"/>
              <w:spacing w:after="0"/>
              <w:rPr>
                <w:sz w:val="20"/>
                <w:szCs w:val="20"/>
                <w:color w:val="auto"/>
              </w:rPr>
            </w:pPr>
            <w:r>
              <w:rPr>
                <w:rFonts w:ascii="Arial" w:cs="Arial" w:eastAsia="Arial" w:hAnsi="Arial"/>
                <w:sz w:val="18"/>
                <w:szCs w:val="18"/>
                <w:color w:val="auto"/>
              </w:rPr>
              <w:t>255,864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10,590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10,713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42,823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38,682</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Restructuring and other items</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5,636</w:t>
            </w:r>
          </w:p>
        </w:tc>
        <w:tc>
          <w:tcPr>
            <w:tcW w:w="1460" w:type="dxa"/>
            <w:vAlign w:val="bottom"/>
          </w:tcPr>
          <w:p>
            <w:pPr>
              <w:jc w:val="right"/>
              <w:spacing w:after="0"/>
              <w:rPr>
                <w:sz w:val="20"/>
                <w:szCs w:val="20"/>
                <w:color w:val="auto"/>
              </w:rPr>
            </w:pPr>
            <w:r>
              <w:rPr>
                <w:rFonts w:ascii="Arial" w:cs="Arial" w:eastAsia="Arial" w:hAnsi="Arial"/>
                <w:sz w:val="18"/>
                <w:szCs w:val="18"/>
                <w:color w:val="auto"/>
              </w:rPr>
              <w:t>9,817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3160" w:type="dxa"/>
            <w:vAlign w:val="bottom"/>
            <w:gridSpan w:val="2"/>
          </w:tcPr>
          <w:p>
            <w:pPr>
              <w:spacing w:after="0"/>
              <w:rPr>
                <w:sz w:val="22"/>
                <w:szCs w:val="22"/>
                <w:color w:val="auto"/>
              </w:rPr>
            </w:pPr>
          </w:p>
        </w:tc>
        <w:tc>
          <w:tcPr>
            <w:tcW w:w="1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275,762</w:t>
            </w:r>
          </w:p>
        </w:tc>
        <w:tc>
          <w:tcPr>
            <w:tcW w:w="1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235,965</w:t>
            </w:r>
          </w:p>
        </w:tc>
        <w:tc>
          <w:tcPr>
            <w:tcW w:w="1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1,046,989</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24,402</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6,650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68,017</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Net interest expense</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(278)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(751)</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(796)</w:t>
            </w:r>
          </w:p>
        </w:tc>
        <w:tc>
          <w:tcPr>
            <w:tcW w:w="146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w w:val="94"/>
              </w:rPr>
              <w:t>Income before provision for income taxes</w:t>
            </w:r>
          </w:p>
        </w:tc>
        <w:tc>
          <w:tcPr>
            <w:tcW w:w="3160" w:type="dxa"/>
            <w:vAlign w:val="bottom"/>
            <w:gridSpan w:val="2"/>
          </w:tcPr>
          <w:p>
            <w:pPr>
              <w:spacing w:after="0"/>
              <w:rPr>
                <w:sz w:val="22"/>
                <w:szCs w:val="22"/>
                <w:color w:val="auto"/>
              </w:rPr>
            </w:pPr>
          </w:p>
        </w:tc>
        <w:tc>
          <w:tcPr>
            <w:tcW w:w="1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6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24,124</w:t>
            </w:r>
          </w:p>
        </w:tc>
        <w:tc>
          <w:tcPr>
            <w:tcW w:w="1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5,899</w:t>
            </w:r>
          </w:p>
        </w:tc>
        <w:tc>
          <w:tcPr>
            <w:tcW w:w="1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67,221</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(3,377)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(1,786)</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(11,801)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57"/>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3400" w:type="dxa"/>
            <w:vAlign w:val="bottom"/>
            <w:vMerge w:val="continue"/>
          </w:tcPr>
          <w:p>
            <w:pPr>
              <w:spacing w:after="0"/>
              <w:rPr>
                <w:sz w:val="24"/>
                <w:szCs w:val="24"/>
                <w:color w:val="auto"/>
              </w:rPr>
            </w:pP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20,747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4,113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55,420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Net income per ordinary share</w:t>
            </w:r>
          </w:p>
        </w:tc>
        <w:tc>
          <w:tcPr>
            <w:tcW w:w="15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8"/>
                <w:szCs w:val="18"/>
                <w:color w:val="auto"/>
              </w:rPr>
              <w:t>Basic</w:t>
            </w:r>
          </w:p>
        </w:tc>
        <w:tc>
          <w:tcPr>
            <w:tcW w:w="1520" w:type="dxa"/>
            <w:vAlign w:val="bottom"/>
          </w:tcPr>
          <w:p>
            <w:pPr>
              <w:spacing w:after="0"/>
              <w:rPr>
                <w:sz w:val="21"/>
                <w:szCs w:val="21"/>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$0.35</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$0.07</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$0.92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$0.34</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$0.07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$0.92</w:t>
            </w:r>
          </w:p>
        </w:tc>
        <w:tc>
          <w:tcPr>
            <w:tcW w:w="146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0" w:type="dxa"/>
            <w:vAlign w:val="bottom"/>
          </w:tcPr>
          <w:p>
            <w:pPr>
              <w:spacing w:after="0"/>
              <w:rPr>
                <w:sz w:val="20"/>
                <w:szCs w:val="20"/>
                <w:color w:val="auto"/>
              </w:rPr>
            </w:pPr>
            <w:r>
              <w:rPr>
                <w:rFonts w:ascii="Arial" w:cs="Arial" w:eastAsia="Arial" w:hAnsi="Arial"/>
                <w:sz w:val="18"/>
                <w:szCs w:val="18"/>
                <w:color w:val="auto"/>
                <w:w w:val="93"/>
              </w:rPr>
              <w:t>Weighted average number of ordinary shares</w:t>
            </w:r>
          </w:p>
        </w:tc>
        <w:tc>
          <w:tcPr>
            <w:tcW w:w="15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Basic</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60,053,987</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60,371,190</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59,968,174</w:t>
            </w:r>
          </w:p>
        </w:tc>
        <w:tc>
          <w:tcPr>
            <w:tcW w:w="1460" w:type="dxa"/>
            <w:vAlign w:val="bottom"/>
          </w:tcPr>
          <w:p>
            <w:pPr>
              <w:jc w:val="right"/>
              <w:spacing w:after="0"/>
              <w:rPr>
                <w:sz w:val="20"/>
                <w:szCs w:val="20"/>
                <w:color w:val="auto"/>
              </w:rPr>
            </w:pPr>
            <w:r>
              <w:rPr>
                <w:rFonts w:ascii="Arial" w:cs="Arial" w:eastAsia="Arial" w:hAnsi="Arial"/>
                <w:sz w:val="18"/>
                <w:szCs w:val="18"/>
                <w:color w:val="auto"/>
              </w:rPr>
              <w:t>60,379,338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400" w:type="dxa"/>
            <w:vAlign w:val="bottom"/>
          </w:tcPr>
          <w:p>
            <w:pPr>
              <w:spacing w:after="0"/>
              <w:rPr>
                <w:sz w:val="20"/>
                <w:szCs w:val="20"/>
                <w:color w:val="auto"/>
              </w:rPr>
            </w:pPr>
            <w:r>
              <w:rPr>
                <w:rFonts w:ascii="Arial" w:cs="Arial" w:eastAsia="Arial" w:hAnsi="Arial"/>
                <w:sz w:val="18"/>
                <w:szCs w:val="18"/>
                <w:color w:val="auto"/>
              </w:rPr>
              <w:t>Diluted</w:t>
            </w:r>
          </w:p>
        </w:tc>
        <w:tc>
          <w:tcPr>
            <w:tcW w:w="3160" w:type="dxa"/>
            <w:vAlign w:val="bottom"/>
            <w:gridSpan w:val="2"/>
          </w:tcPr>
          <w:p>
            <w:pPr>
              <w:jc w:val="right"/>
              <w:ind w:right="170"/>
              <w:spacing w:after="0"/>
              <w:rPr>
                <w:sz w:val="20"/>
                <w:szCs w:val="20"/>
                <w:color w:val="auto"/>
              </w:rPr>
            </w:pPr>
            <w:r>
              <w:rPr>
                <w:rFonts w:ascii="Arial" w:cs="Arial" w:eastAsia="Arial" w:hAnsi="Arial"/>
                <w:sz w:val="18"/>
                <w:szCs w:val="18"/>
                <w:color w:val="auto"/>
              </w:rPr>
              <w:t>60,813,483</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60,759,588</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60,450,706</w:t>
            </w:r>
          </w:p>
        </w:tc>
        <w:tc>
          <w:tcPr>
            <w:tcW w:w="1460" w:type="dxa"/>
            <w:vAlign w:val="bottom"/>
          </w:tcPr>
          <w:p>
            <w:pPr>
              <w:jc w:val="right"/>
              <w:spacing w:after="0"/>
              <w:rPr>
                <w:sz w:val="20"/>
                <w:szCs w:val="20"/>
                <w:color w:val="auto"/>
              </w:rPr>
            </w:pPr>
            <w:r>
              <w:rPr>
                <w:rFonts w:ascii="Arial" w:cs="Arial" w:eastAsia="Arial" w:hAnsi="Arial"/>
                <w:sz w:val="18"/>
                <w:szCs w:val="18"/>
                <w:color w:val="auto"/>
              </w:rPr>
              <w:t>61,070,686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EEEEE"/>
            </w:tcBorders>
          </w:tcPr>
          <w:p>
            <w:pPr>
              <w:spacing w:after="0" w:line="20" w:lineRule="exact"/>
              <w:rPr>
                <w:sz w:val="1"/>
                <w:szCs w:val="1"/>
                <w:color w:val="auto"/>
              </w:rPr>
            </w:pPr>
          </w:p>
        </w:tc>
        <w:tc>
          <w:tcPr>
            <w:tcW w:w="152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6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7"/>
              </w:rPr>
              <w:t>ICON plc</w:t>
            </w:r>
          </w:p>
        </w:tc>
        <w:tc>
          <w:tcPr>
            <w:tcW w:w="1700" w:type="dxa"/>
            <w:vAlign w:val="bottom"/>
          </w:tcPr>
          <w:p>
            <w:pPr>
              <w:spacing w:after="0"/>
              <w:rPr>
                <w:sz w:val="20"/>
                <w:szCs w:val="20"/>
                <w:color w:val="auto"/>
              </w:rPr>
            </w:pPr>
          </w:p>
        </w:tc>
      </w:tr>
      <w:tr>
        <w:trPr>
          <w:trHeight w:val="486"/>
        </w:trPr>
        <w:tc>
          <w:tcPr>
            <w:tcW w:w="2520" w:type="dxa"/>
            <w:vAlign w:val="bottom"/>
          </w:tcPr>
          <w:p>
            <w:pPr>
              <w:spacing w:after="0"/>
              <w:rPr>
                <w:sz w:val="24"/>
                <w:szCs w:val="24"/>
                <w:color w:val="auto"/>
              </w:rPr>
            </w:pPr>
          </w:p>
        </w:tc>
        <w:tc>
          <w:tcPr>
            <w:tcW w:w="60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Summary Balance Sheet Data</w:t>
            </w:r>
          </w:p>
        </w:tc>
        <w:tc>
          <w:tcPr>
            <w:tcW w:w="1700" w:type="dxa"/>
            <w:vAlign w:val="bottom"/>
          </w:tcPr>
          <w:p>
            <w:pPr>
              <w:spacing w:after="0"/>
              <w:rPr>
                <w:sz w:val="24"/>
                <w:szCs w:val="24"/>
                <w:color w:val="auto"/>
              </w:rPr>
            </w:pPr>
          </w:p>
        </w:tc>
      </w:tr>
      <w:tr>
        <w:trPr>
          <w:trHeight w:val="486"/>
        </w:trPr>
        <w:tc>
          <w:tcPr>
            <w:tcW w:w="2520" w:type="dxa"/>
            <w:vAlign w:val="bottom"/>
          </w:tcPr>
          <w:p>
            <w:pPr>
              <w:spacing w:after="0"/>
              <w:rPr>
                <w:sz w:val="24"/>
                <w:szCs w:val="24"/>
                <w:color w:val="auto"/>
              </w:rPr>
            </w:pPr>
          </w:p>
        </w:tc>
        <w:tc>
          <w:tcPr>
            <w:tcW w:w="6060" w:type="dxa"/>
            <w:vAlign w:val="bottom"/>
          </w:tcPr>
          <w:p>
            <w:pPr>
              <w:jc w:val="center"/>
              <w:ind w:right="730"/>
              <w:spacing w:after="0"/>
              <w:rPr>
                <w:sz w:val="20"/>
                <w:szCs w:val="20"/>
                <w:color w:val="auto"/>
              </w:rPr>
            </w:pPr>
            <w:r>
              <w:rPr>
                <w:rFonts w:ascii="Arial" w:cs="Arial" w:eastAsia="Arial" w:hAnsi="Arial"/>
                <w:sz w:val="18"/>
                <w:szCs w:val="18"/>
                <w:b w:val="1"/>
                <w:bCs w:val="1"/>
                <w:color w:val="auto"/>
                <w:w w:val="89"/>
              </w:rPr>
              <w:t>December 31, 2012 and December 31, 2011</w:t>
            </w:r>
          </w:p>
        </w:tc>
        <w:tc>
          <w:tcPr>
            <w:tcW w:w="1700" w:type="dxa"/>
            <w:vAlign w:val="bottom"/>
          </w:tcPr>
          <w:p>
            <w:pPr>
              <w:spacing w:after="0"/>
              <w:rPr>
                <w:sz w:val="24"/>
                <w:szCs w:val="24"/>
                <w:color w:val="auto"/>
              </w:rPr>
            </w:pPr>
          </w:p>
        </w:tc>
      </w:tr>
      <w:tr>
        <w:trPr>
          <w:trHeight w:val="486"/>
        </w:trPr>
        <w:tc>
          <w:tcPr>
            <w:tcW w:w="2520" w:type="dxa"/>
            <w:vAlign w:val="bottom"/>
          </w:tcPr>
          <w:p>
            <w:pPr>
              <w:spacing w:after="0"/>
              <w:rPr>
                <w:sz w:val="24"/>
                <w:szCs w:val="24"/>
                <w:color w:val="auto"/>
              </w:rPr>
            </w:pPr>
          </w:p>
        </w:tc>
        <w:tc>
          <w:tcPr>
            <w:tcW w:w="6060" w:type="dxa"/>
            <w:vAlign w:val="bottom"/>
          </w:tcPr>
          <w:p>
            <w:pPr>
              <w:jc w:val="center"/>
              <w:ind w:right="750"/>
              <w:spacing w:after="0"/>
              <w:rPr>
                <w:sz w:val="20"/>
                <w:szCs w:val="20"/>
                <w:color w:val="auto"/>
              </w:rPr>
            </w:pPr>
            <w:r>
              <w:rPr>
                <w:rFonts w:ascii="Arial" w:cs="Arial" w:eastAsia="Arial" w:hAnsi="Arial"/>
                <w:sz w:val="18"/>
                <w:szCs w:val="18"/>
                <w:b w:val="1"/>
                <w:bCs w:val="1"/>
                <w:color w:val="auto"/>
                <w:w w:val="89"/>
              </w:rPr>
              <w:t>(Dollars, in thousands)</w:t>
            </w:r>
          </w:p>
        </w:tc>
        <w:tc>
          <w:tcPr>
            <w:tcW w:w="1700" w:type="dxa"/>
            <w:vAlign w:val="bottom"/>
          </w:tcPr>
          <w:p>
            <w:pPr>
              <w:spacing w:after="0"/>
              <w:rPr>
                <w:sz w:val="24"/>
                <w:szCs w:val="24"/>
                <w:color w:val="auto"/>
              </w:rPr>
            </w:pPr>
          </w:p>
        </w:tc>
      </w:tr>
      <w:tr>
        <w:trPr>
          <w:trHeight w:val="486"/>
        </w:trPr>
        <w:tc>
          <w:tcPr>
            <w:tcW w:w="2520" w:type="dxa"/>
            <w:vAlign w:val="bottom"/>
          </w:tcPr>
          <w:p>
            <w:pPr>
              <w:spacing w:after="0"/>
              <w:rPr>
                <w:sz w:val="24"/>
                <w:szCs w:val="24"/>
                <w:color w:val="auto"/>
              </w:rPr>
            </w:pPr>
          </w:p>
        </w:tc>
        <w:tc>
          <w:tcPr>
            <w:tcW w:w="6060" w:type="dxa"/>
            <w:vAlign w:val="bottom"/>
          </w:tcPr>
          <w:p>
            <w:pPr>
              <w:jc w:val="center"/>
              <w:ind w:left="3610"/>
              <w:spacing w:after="0"/>
              <w:rPr>
                <w:sz w:val="20"/>
                <w:szCs w:val="20"/>
                <w:color w:val="auto"/>
              </w:rPr>
            </w:pPr>
            <w:r>
              <w:rPr>
                <w:rFonts w:ascii="Arial" w:cs="Arial" w:eastAsia="Arial" w:hAnsi="Arial"/>
                <w:sz w:val="18"/>
                <w:szCs w:val="18"/>
                <w:b w:val="1"/>
                <w:bCs w:val="1"/>
                <w:color w:val="auto"/>
                <w:w w:val="88"/>
              </w:rPr>
              <w:t>December 31,</w:t>
            </w:r>
          </w:p>
        </w:tc>
        <w:tc>
          <w:tcPr>
            <w:tcW w:w="170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December 31,</w:t>
            </w:r>
          </w:p>
        </w:tc>
      </w:tr>
      <w:tr>
        <w:trPr>
          <w:trHeight w:val="243"/>
        </w:trPr>
        <w:tc>
          <w:tcPr>
            <w:tcW w:w="2520" w:type="dxa"/>
            <w:vAlign w:val="bottom"/>
          </w:tcPr>
          <w:p>
            <w:pPr>
              <w:spacing w:after="0"/>
              <w:rPr>
                <w:sz w:val="21"/>
                <w:szCs w:val="21"/>
                <w:color w:val="auto"/>
              </w:rPr>
            </w:pPr>
          </w:p>
        </w:tc>
        <w:tc>
          <w:tcPr>
            <w:tcW w:w="6060" w:type="dxa"/>
            <w:vAlign w:val="bottom"/>
          </w:tcPr>
          <w:p>
            <w:pPr>
              <w:jc w:val="center"/>
              <w:ind w:left="3610"/>
              <w:spacing w:after="0"/>
              <w:rPr>
                <w:sz w:val="20"/>
                <w:szCs w:val="20"/>
                <w:color w:val="auto"/>
              </w:rPr>
            </w:pPr>
            <w:r>
              <w:rPr>
                <w:rFonts w:ascii="Arial" w:cs="Arial" w:eastAsia="Arial" w:hAnsi="Arial"/>
                <w:sz w:val="18"/>
                <w:szCs w:val="18"/>
                <w:b w:val="1"/>
                <w:bCs w:val="1"/>
                <w:color w:val="auto"/>
                <w:w w:val="89"/>
              </w:rPr>
              <w:t>2012</w:t>
            </w:r>
          </w:p>
        </w:tc>
        <w:tc>
          <w:tcPr>
            <w:tcW w:w="170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2011</w:t>
            </w:r>
          </w:p>
        </w:tc>
      </w:tr>
      <w:tr>
        <w:trPr>
          <w:trHeight w:val="243"/>
        </w:trPr>
        <w:tc>
          <w:tcPr>
            <w:tcW w:w="2520" w:type="dxa"/>
            <w:vAlign w:val="bottom"/>
          </w:tcPr>
          <w:p>
            <w:pPr>
              <w:spacing w:after="0"/>
              <w:rPr>
                <w:sz w:val="21"/>
                <w:szCs w:val="21"/>
                <w:color w:val="auto"/>
              </w:rPr>
            </w:pPr>
          </w:p>
        </w:tc>
        <w:tc>
          <w:tcPr>
            <w:tcW w:w="6060" w:type="dxa"/>
            <w:vAlign w:val="bottom"/>
          </w:tcPr>
          <w:p>
            <w:pPr>
              <w:jc w:val="center"/>
              <w:ind w:left="3590"/>
              <w:spacing w:after="0"/>
              <w:rPr>
                <w:sz w:val="20"/>
                <w:szCs w:val="20"/>
                <w:color w:val="auto"/>
              </w:rPr>
            </w:pPr>
            <w:r>
              <w:rPr>
                <w:rFonts w:ascii="Arial" w:cs="Arial" w:eastAsia="Arial" w:hAnsi="Arial"/>
                <w:sz w:val="18"/>
                <w:szCs w:val="18"/>
                <w:b w:val="1"/>
                <w:bCs w:val="1"/>
                <w:color w:val="auto"/>
                <w:w w:val="93"/>
              </w:rPr>
              <w:t>(Audited)</w:t>
            </w:r>
          </w:p>
        </w:tc>
        <w:tc>
          <w:tcPr>
            <w:tcW w:w="170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(Audited)</w:t>
            </w:r>
          </w:p>
        </w:tc>
      </w:tr>
      <w:tr>
        <w:trPr>
          <w:trHeight w:val="729"/>
        </w:trPr>
        <w:tc>
          <w:tcPr>
            <w:tcW w:w="2520" w:type="dxa"/>
            <w:vAlign w:val="bottom"/>
          </w:tcPr>
          <w:p>
            <w:pPr>
              <w:spacing w:after="0"/>
              <w:rPr>
                <w:sz w:val="20"/>
                <w:szCs w:val="20"/>
                <w:color w:val="auto"/>
              </w:rPr>
            </w:pPr>
            <w:r>
              <w:rPr>
                <w:rFonts w:ascii="Arial" w:cs="Arial" w:eastAsia="Arial" w:hAnsi="Arial"/>
                <w:sz w:val="18"/>
                <w:szCs w:val="18"/>
                <w:color w:val="auto"/>
              </w:rPr>
              <w:t>Net cash</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190,230</w:t>
            </w:r>
          </w:p>
        </w:tc>
        <w:tc>
          <w:tcPr>
            <w:tcW w:w="1700" w:type="dxa"/>
            <w:vAlign w:val="bottom"/>
          </w:tcPr>
          <w:p>
            <w:pPr>
              <w:jc w:val="right"/>
              <w:spacing w:after="0"/>
              <w:rPr>
                <w:sz w:val="20"/>
                <w:szCs w:val="20"/>
                <w:color w:val="auto"/>
              </w:rPr>
            </w:pPr>
            <w:r>
              <w:rPr>
                <w:rFonts w:ascii="Arial" w:cs="Arial" w:eastAsia="Arial" w:hAnsi="Arial"/>
                <w:sz w:val="18"/>
                <w:szCs w:val="18"/>
                <w:color w:val="auto"/>
              </w:rPr>
              <w:t>174,177</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Accounts receivable</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285,419</w:t>
            </w:r>
          </w:p>
        </w:tc>
        <w:tc>
          <w:tcPr>
            <w:tcW w:w="1700" w:type="dxa"/>
            <w:vAlign w:val="bottom"/>
          </w:tcPr>
          <w:p>
            <w:pPr>
              <w:jc w:val="right"/>
              <w:spacing w:after="0"/>
              <w:rPr>
                <w:sz w:val="20"/>
                <w:szCs w:val="20"/>
                <w:color w:val="auto"/>
              </w:rPr>
            </w:pPr>
            <w:r>
              <w:rPr>
                <w:rFonts w:ascii="Arial" w:cs="Arial" w:eastAsia="Arial" w:hAnsi="Arial"/>
                <w:sz w:val="18"/>
                <w:szCs w:val="18"/>
                <w:color w:val="auto"/>
              </w:rPr>
              <w:t>201,338</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Unbilled revenue</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112,483</w:t>
            </w:r>
          </w:p>
        </w:tc>
        <w:tc>
          <w:tcPr>
            <w:tcW w:w="1700" w:type="dxa"/>
            <w:vAlign w:val="bottom"/>
          </w:tcPr>
          <w:p>
            <w:pPr>
              <w:jc w:val="right"/>
              <w:spacing w:after="0"/>
              <w:rPr>
                <w:sz w:val="20"/>
                <w:szCs w:val="20"/>
                <w:color w:val="auto"/>
              </w:rPr>
            </w:pPr>
            <w:r>
              <w:rPr>
                <w:rFonts w:ascii="Arial" w:cs="Arial" w:eastAsia="Arial" w:hAnsi="Arial"/>
                <w:sz w:val="18"/>
                <w:szCs w:val="18"/>
                <w:color w:val="auto"/>
              </w:rPr>
              <w:t>126,850</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Payments on account</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(219,467)</w:t>
            </w:r>
          </w:p>
        </w:tc>
        <w:tc>
          <w:tcPr>
            <w:tcW w:w="1700" w:type="dxa"/>
            <w:vAlign w:val="bottom"/>
          </w:tcPr>
          <w:p>
            <w:pPr>
              <w:jc w:val="right"/>
              <w:spacing w:after="0"/>
              <w:rPr>
                <w:sz w:val="20"/>
                <w:szCs w:val="20"/>
                <w:color w:val="auto"/>
              </w:rPr>
            </w:pPr>
            <w:r>
              <w:rPr>
                <w:rFonts w:ascii="Arial" w:cs="Arial" w:eastAsia="Arial" w:hAnsi="Arial"/>
                <w:sz w:val="18"/>
                <w:szCs w:val="18"/>
                <w:color w:val="auto"/>
              </w:rPr>
              <w:t>(150,792)</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Total</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178,435</w:t>
            </w:r>
          </w:p>
        </w:tc>
        <w:tc>
          <w:tcPr>
            <w:tcW w:w="1700" w:type="dxa"/>
            <w:vAlign w:val="bottom"/>
          </w:tcPr>
          <w:p>
            <w:pPr>
              <w:jc w:val="right"/>
              <w:spacing w:after="0"/>
              <w:rPr>
                <w:sz w:val="20"/>
                <w:szCs w:val="20"/>
                <w:color w:val="auto"/>
              </w:rPr>
            </w:pPr>
            <w:r>
              <w:rPr>
                <w:rFonts w:ascii="Arial" w:cs="Arial" w:eastAsia="Arial" w:hAnsi="Arial"/>
                <w:sz w:val="18"/>
                <w:szCs w:val="18"/>
                <w:color w:val="auto"/>
              </w:rPr>
              <w:t>177,396</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Working Capital</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239,791</w:t>
            </w:r>
          </w:p>
        </w:tc>
        <w:tc>
          <w:tcPr>
            <w:tcW w:w="1700" w:type="dxa"/>
            <w:vAlign w:val="bottom"/>
          </w:tcPr>
          <w:p>
            <w:pPr>
              <w:jc w:val="right"/>
              <w:spacing w:after="0"/>
              <w:rPr>
                <w:sz w:val="20"/>
                <w:szCs w:val="20"/>
                <w:color w:val="auto"/>
              </w:rPr>
            </w:pPr>
            <w:r>
              <w:rPr>
                <w:rFonts w:ascii="Arial" w:cs="Arial" w:eastAsia="Arial" w:hAnsi="Arial"/>
                <w:sz w:val="18"/>
                <w:szCs w:val="18"/>
                <w:color w:val="auto"/>
              </w:rPr>
              <w:t>253,514</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Total Assets</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1,211,330</w:t>
            </w:r>
          </w:p>
        </w:tc>
        <w:tc>
          <w:tcPr>
            <w:tcW w:w="1700" w:type="dxa"/>
            <w:vAlign w:val="bottom"/>
          </w:tcPr>
          <w:p>
            <w:pPr>
              <w:jc w:val="right"/>
              <w:spacing w:after="0"/>
              <w:rPr>
                <w:sz w:val="20"/>
                <w:szCs w:val="20"/>
                <w:color w:val="auto"/>
              </w:rPr>
            </w:pPr>
            <w:r>
              <w:rPr>
                <w:rFonts w:ascii="Arial" w:cs="Arial" w:eastAsia="Arial" w:hAnsi="Arial"/>
                <w:sz w:val="18"/>
                <w:szCs w:val="18"/>
                <w:color w:val="auto"/>
              </w:rPr>
              <w:t>1,035,467</w:t>
            </w:r>
          </w:p>
        </w:tc>
      </w:tr>
      <w:tr>
        <w:trPr>
          <w:trHeight w:val="486"/>
        </w:trPr>
        <w:tc>
          <w:tcPr>
            <w:tcW w:w="2520" w:type="dxa"/>
            <w:vAlign w:val="bottom"/>
          </w:tcPr>
          <w:p>
            <w:pPr>
              <w:spacing w:after="0"/>
              <w:rPr>
                <w:sz w:val="20"/>
                <w:szCs w:val="20"/>
                <w:color w:val="auto"/>
              </w:rPr>
            </w:pPr>
            <w:r>
              <w:rPr>
                <w:rFonts w:ascii="Arial" w:cs="Arial" w:eastAsia="Arial" w:hAnsi="Arial"/>
                <w:sz w:val="18"/>
                <w:szCs w:val="18"/>
                <w:color w:val="auto"/>
              </w:rPr>
              <w:t>Shareholder's Equity</w:t>
            </w:r>
          </w:p>
        </w:tc>
        <w:tc>
          <w:tcPr>
            <w:tcW w:w="6060" w:type="dxa"/>
            <w:vAlign w:val="bottom"/>
          </w:tcPr>
          <w:p>
            <w:pPr>
              <w:jc w:val="right"/>
              <w:ind w:right="470"/>
              <w:spacing w:after="0"/>
              <w:rPr>
                <w:sz w:val="20"/>
                <w:szCs w:val="20"/>
                <w:color w:val="auto"/>
              </w:rPr>
            </w:pPr>
            <w:r>
              <w:rPr>
                <w:rFonts w:ascii="Arial" w:cs="Arial" w:eastAsia="Arial" w:hAnsi="Arial"/>
                <w:sz w:val="18"/>
                <w:szCs w:val="18"/>
                <w:color w:val="auto"/>
              </w:rPr>
              <w:t>754,575</w:t>
            </w:r>
          </w:p>
        </w:tc>
        <w:tc>
          <w:tcPr>
            <w:tcW w:w="1700" w:type="dxa"/>
            <w:vAlign w:val="bottom"/>
          </w:tcPr>
          <w:p>
            <w:pPr>
              <w:jc w:val="right"/>
              <w:spacing w:after="0"/>
              <w:rPr>
                <w:sz w:val="20"/>
                <w:szCs w:val="20"/>
                <w:color w:val="auto"/>
              </w:rPr>
            </w:pPr>
            <w:r>
              <w:rPr>
                <w:rFonts w:ascii="Arial" w:cs="Arial" w:eastAsia="Arial" w:hAnsi="Arial"/>
                <w:sz w:val="18"/>
                <w:szCs w:val="18"/>
                <w:color w:val="auto"/>
              </w:rPr>
              <w:t>681,544</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 or</w:t>
      </w:r>
    </w:p>
    <w:p>
      <w:pPr>
        <w:spacing w:after="0" w:line="231" w:lineRule="auto"/>
        <w:rPr>
          <w:sz w:val="20"/>
          <w:szCs w:val="20"/>
          <w:color w:val="auto"/>
        </w:rPr>
      </w:pPr>
      <w:r>
        <w:rPr>
          <w:rFonts w:ascii="Arial" w:cs="Arial" w:eastAsia="Arial" w:hAnsi="Arial"/>
          <w:sz w:val="22"/>
          <w:szCs w:val="22"/>
          <w:color w:val="auto"/>
        </w:rPr>
        <w:t>Brendan Brennan Chief Financial Officer +353–1-291-2000</w:t>
      </w:r>
    </w:p>
    <w:p>
      <w:pPr>
        <w:spacing w:after="0" w:line="231" w:lineRule="auto"/>
        <w:rPr>
          <w:sz w:val="20"/>
          <w:szCs w:val="20"/>
          <w:color w:val="auto"/>
        </w:rPr>
      </w:pPr>
      <w:r>
        <w:rPr>
          <w:rFonts w:ascii="Arial" w:cs="Arial" w:eastAsia="Arial" w:hAnsi="Arial"/>
          <w:sz w:val="22"/>
          <w:szCs w:val="22"/>
          <w:color w:val="auto"/>
        </w:rPr>
        <w:t>Sam Farthing VP Investor Relations +353–1-291-2000</w:t>
      </w:r>
    </w:p>
    <w:p>
      <w:pPr>
        <w:spacing w:after="0" w:line="230" w:lineRule="auto"/>
        <w:rPr>
          <w:sz w:val="20"/>
          <w:szCs w:val="20"/>
          <w:color w:val="auto"/>
        </w:rPr>
      </w:pPr>
      <w:r>
        <w:rPr>
          <w:rFonts w:ascii="Arial" w:cs="Arial" w:eastAsia="Arial" w:hAnsi="Arial"/>
          <w:sz w:val="22"/>
          <w:szCs w:val="22"/>
          <w:color w:val="auto"/>
        </w:rPr>
        <w:t>Simon Holmes EVP Investor Relations and Corporate Development +353–1-291-2000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0280"/>
      </w:cols>
      <w:pgMar w:left="240" w:top="13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2019-12-06T20:26:37Z</dcterms:created>
  <dcterms:modified xsi:type="dcterms:W3CDTF">2019-12-06T20:26:37Z</dcterms:modified>
</cp:coreProperties>
</file>