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For the month ended November,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November 3, 2021 - ICON Reports Third Quarter 2021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320" w:right="2260" w:hanging="7302"/>
        <w:spacing w:after="0" w:line="323" w:lineRule="auto"/>
        <w:tabs>
          <w:tab w:leader="none" w:pos="730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Third Quarter 2021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net business wins in the quarter of $2,374 million; a net book to bill of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line="334" w:lineRule="auto"/>
        <w:rPr>
          <w:sz w:val="20"/>
          <w:szCs w:val="20"/>
          <w:color w:val="auto"/>
        </w:rPr>
      </w:pPr>
      <w:r>
        <w:rPr>
          <w:rFonts w:ascii="Arial" w:cs="Arial" w:eastAsia="Arial" w:hAnsi="Arial"/>
          <w:sz w:val="19"/>
          <w:szCs w:val="19"/>
          <w:b w:val="1"/>
          <w:bCs w:val="1"/>
          <w:color w:val="auto"/>
        </w:rPr>
        <w:t>Closing backlog of $18.6 billion, an increase of 3% on our Combined Company Backlog since the closing of the PRA acquisition on 1 July 2021, or an increase of 14% year over year on a Combined Company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-320675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Quarter 3 adjusted revenue of $1,870.4 million representing a year on year increase of 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Adjusted EBITDA of $324.9 million or 17.4% of adjusted revenue, a year on year increase of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Adjusted net income attributable to the Group was $209.8 million or $2.55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GAAP revenue for Quarter 3 was $1,866.4 million. GAAP net loss attributable to the Group of $94.3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Days sales outstanding reduced to 26 days from 64 days at September 30, 2020 on a comparable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540" w:right="760"/>
        <w:spacing w:after="0" w:line="256" w:lineRule="auto"/>
        <w:rPr>
          <w:sz w:val="20"/>
          <w:szCs w:val="20"/>
          <w:color w:val="auto"/>
        </w:rPr>
      </w:pPr>
      <w:r>
        <w:rPr>
          <w:rFonts w:ascii="Arial" w:cs="Arial" w:eastAsia="Arial" w:hAnsi="Arial"/>
          <w:sz w:val="22"/>
          <w:szCs w:val="22"/>
          <w:b w:val="1"/>
          <w:bCs w:val="1"/>
          <w:color w:val="auto"/>
        </w:rPr>
        <w:t>Full year 2021 revenue guidance issued in the range of $5,430 - $5,530 million, representing a year over year increase of 94%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260"/>
        <w:spacing w:after="0" w:line="243" w:lineRule="auto"/>
        <w:rPr>
          <w:sz w:val="20"/>
          <w:szCs w:val="20"/>
          <w:color w:val="auto"/>
        </w:rPr>
      </w:pPr>
      <w:r>
        <w:rPr>
          <w:rFonts w:ascii="Arial" w:cs="Arial" w:eastAsia="Arial" w:hAnsi="Arial"/>
          <w:sz w:val="22"/>
          <w:szCs w:val="22"/>
          <w:b w:val="1"/>
          <w:bCs w:val="1"/>
          <w:color w:val="auto"/>
        </w:rPr>
        <w:t>Full year 2021 adjusted earnings per share guidance issued in the range of $9.55 - $9.75. Adjusted earnings per share to exclude amortization, stock compensation, foreign exchange and transaction-related / integration-related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80" w:lineRule="auto"/>
        <w:rPr>
          <w:sz w:val="20"/>
          <w:szCs w:val="20"/>
          <w:color w:val="auto"/>
        </w:rPr>
      </w:pPr>
      <w:r>
        <w:rPr>
          <w:rFonts w:ascii="Arial" w:cs="Arial" w:eastAsia="Arial" w:hAnsi="Arial"/>
          <w:sz w:val="21"/>
          <w:szCs w:val="21"/>
          <w:color w:val="auto"/>
        </w:rPr>
        <w:t>DUBLIN--(BUSINESS WIRE)--November 3, 2021--</w:t>
      </w:r>
      <w:r>
        <w:rPr>
          <w:rFonts w:ascii="Arial" w:cs="Arial" w:eastAsia="Arial" w:hAnsi="Arial"/>
          <w:sz w:val="21"/>
          <w:szCs w:val="21"/>
          <w:b w:val="1"/>
          <w:bCs w:val="1"/>
          <w:color w:val="auto"/>
        </w:rPr>
        <w:t>ICONplc (NASDAQ: ICLR),</w:t>
      </w:r>
      <w:r>
        <w:rPr>
          <w:rFonts w:ascii="Arial" w:cs="Arial" w:eastAsia="Arial" w:hAnsi="Arial"/>
          <w:sz w:val="21"/>
          <w:szCs w:val="21"/>
          <w:color w:val="auto"/>
        </w:rPr>
        <w:t xml:space="preserve"> a world-leading healthcare intelligence and clinical research organisation, today reported its financial results for the third quarter ended September 30, 2021.</w:t>
      </w:r>
    </w:p>
    <w:p>
      <w:pPr>
        <w:spacing w:after="0" w:line="145"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 xml:space="preserve">CEO Dr. Steve Cutler commented, </w:t>
      </w:r>
      <w:r>
        <w:rPr>
          <w:rFonts w:ascii="Arial" w:cs="Arial" w:eastAsia="Arial" w:hAnsi="Arial"/>
          <w:sz w:val="19"/>
          <w:szCs w:val="19"/>
          <w:i w:val="1"/>
          <w:iCs w:val="1"/>
          <w:color w:val="auto"/>
        </w:rPr>
        <w:t>“I’m delighted with new ICON’s strong start as a combined organisation as shown by record</w:t>
      </w:r>
      <w:r>
        <w:rPr>
          <w:rFonts w:ascii="Arial" w:cs="Arial" w:eastAsia="Arial" w:hAnsi="Arial"/>
          <w:sz w:val="19"/>
          <w:szCs w:val="19"/>
          <w:color w:val="auto"/>
        </w:rPr>
        <w:t xml:space="preserve"> </w:t>
      </w:r>
      <w:r>
        <w:rPr>
          <w:rFonts w:ascii="Arial" w:cs="Arial" w:eastAsia="Arial" w:hAnsi="Arial"/>
          <w:sz w:val="19"/>
          <w:szCs w:val="19"/>
          <w:i w:val="1"/>
          <w:iCs w:val="1"/>
          <w:color w:val="auto"/>
        </w:rPr>
        <w:t>new business wins of $2,374 million resulting in a net book to bill of 1.27 and backlog growth over the initial three month period since closing of 3% to $18.6 billion. The response to the acquisition by our customers has been excellent and we are already engaging in a number of more strategic discussions which we expect will drive further growth over the long term. With the strong performance in the third quarter, we are revising our full year 2021 guidance to revenue of $5,430 - $5,530 million, an increase of 96% at the midpoint of the range, and adjusted earnings per share of $9.55 - $9.75”.</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2021 Results</w:t>
      </w:r>
    </w:p>
    <w:p>
      <w:pPr>
        <w:spacing w:after="0" w:line="212"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Gross business wins in the third quarter were $2,720 million and cancellations were $346 million. This resulted in net business wins of $2,374 million and a book to bill of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100"/>
        <w:spacing w:after="0" w:line="250" w:lineRule="auto"/>
        <w:rPr>
          <w:sz w:val="20"/>
          <w:szCs w:val="20"/>
          <w:color w:val="auto"/>
        </w:rPr>
      </w:pPr>
      <w:r>
        <w:rPr>
          <w:rFonts w:ascii="Arial" w:cs="Arial" w:eastAsia="Arial" w:hAnsi="Arial"/>
          <w:sz w:val="22"/>
          <w:szCs w:val="22"/>
          <w:color w:val="auto"/>
        </w:rPr>
        <w:t>GAAP revenue for Quarter 3 was $1,866.4 million. Adjusted revenue for Quarter 3 was $1,870.4 million. This represents a year on year increase of 167% or 165% on a constant currency basis.</w:t>
      </w:r>
    </w:p>
    <w:p>
      <w:pPr>
        <w:spacing w:after="0" w:line="175"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GAAP net loss attributable to the Group was $94.3 million. Adjusted net income attributable to the Group for the quarter was $209.8 million resulting in an adjusted diluted earnings per share of $2.55 compared to $1.92 per share for Quarter 3 2020.</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Adjusted EBITDA for Quarter 3 was $324.9 million or 17.4% of revenue, a year on year increase of 143%.</w:t>
      </w:r>
    </w:p>
    <w:p>
      <w:pPr>
        <w:spacing w:after="0" w:line="206"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Cash generated from operating activities for the quarter was $299.0 million. During the quarter, $24.4 million was spent on capital expenditure. At September 30, 2021 the Group had cash and cash equivalents of $1,008.5 million, compared to cash and cash equivalents of $1,055.5 million at June 30, 2021 and $708.0 million at the end of September 2020.</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to date 2021 Results</w:t>
      </w:r>
    </w:p>
    <w:p>
      <w:pPr>
        <w:spacing w:after="0" w:line="212"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Gross business wins year to date were $5,330 million and cancellations were $750 million. This resulted in net business wins of $4,580 million and a book to bill of 1.27.</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Year to date GAAP revenue was $3,595.7 million. Year to date adjusted revenue was $3,599.7 million. This represents a year on year increase of 76.7% or 76.1% on a constant currency basis.</w:t>
      </w:r>
    </w:p>
    <w:p>
      <w:pPr>
        <w:spacing w:after="0" w:line="175"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GAAP net income attributable to the Group year to date was $76.7 million. Adjusted net income attributable to the Group was $448.4 million resulting in an adjusted diluted earnings per share of $7.11 compared to $5.26 per share for the equivalent prior year period.</w:t>
      </w:r>
    </w:p>
    <w:p>
      <w:pPr>
        <w:spacing w:after="0" w:line="186" w:lineRule="exact"/>
        <w:rPr>
          <w:sz w:val="20"/>
          <w:szCs w:val="20"/>
          <w:color w:val="auto"/>
        </w:rPr>
      </w:pPr>
    </w:p>
    <w:p>
      <w:pPr>
        <w:ind w:right="1960"/>
        <w:spacing w:after="0" w:line="435" w:lineRule="auto"/>
        <w:rPr>
          <w:sz w:val="20"/>
          <w:szCs w:val="20"/>
          <w:color w:val="auto"/>
        </w:rPr>
      </w:pPr>
      <w:r>
        <w:rPr>
          <w:rFonts w:ascii="Arial" w:cs="Arial" w:eastAsia="Arial" w:hAnsi="Arial"/>
          <w:sz w:val="22"/>
          <w:szCs w:val="22"/>
          <w:color w:val="auto"/>
        </w:rPr>
        <w:t xml:space="preserve">Adjusted EBITDA year to date was $637.4 million or 17.7% of revenue, a year on year increase of 74.8%. </w:t>
      </w:r>
      <w:r>
        <w:rPr>
          <w:rFonts w:ascii="Arial" w:cs="Arial" w:eastAsia="Arial" w:hAnsi="Arial"/>
          <w:sz w:val="22"/>
          <w:szCs w:val="22"/>
          <w:b w:val="1"/>
          <w:bCs w:val="1"/>
          <w:color w:val="auto"/>
        </w:rPr>
        <w:t>Other Information</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In addition to the financial measures prepared in accordance with generally accepted accounting principles (GAAP), this press release contains certain non-GAAP financial measures, including adjusted revenue, adjusted EBITDA, adjusted net income attributable to the Group and adjusted diluted earnings per share attributable to the Group. Adjusted EBITDA, adjusted net income and adjusted diluted earnings per share exclude amortization, stock compensation, foreign exchange gains and losses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91" w:lineRule="exact"/>
        <w:rPr>
          <w:sz w:val="20"/>
          <w:szCs w:val="20"/>
          <w:color w:val="auto"/>
        </w:rPr>
      </w:pPr>
    </w:p>
    <w:p>
      <w:pPr>
        <w:ind w:right="780"/>
        <w:spacing w:after="0"/>
        <w:rPr>
          <w:sz w:val="20"/>
          <w:szCs w:val="20"/>
          <w:color w:val="auto"/>
        </w:rPr>
      </w:pPr>
      <w:r>
        <w:rPr>
          <w:rFonts w:ascii="Arial" w:cs="Arial" w:eastAsia="Arial" w:hAnsi="Arial"/>
          <w:sz w:val="22"/>
          <w:szCs w:val="22"/>
          <w:color w:val="auto"/>
        </w:rPr>
        <w:t>To assist investors and analysts with year-over-year comparability for the merged business, we have included Combined Company Backlog information. This Combined Company information is not intended to represent pro forma financial information prepared in accordance with GAAP or Regulation S-X.</w:t>
      </w:r>
    </w:p>
    <w:p>
      <w:pPr>
        <w:spacing w:after="0" w:line="18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Adjusted earnings per share attributable to the Group (Non-GAAP) has been computed by dividing adjusted net income attributable to the Group by the weighted average number of shares outstanding. For the nine months ended 30 September 2020,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May 23, 2019. ICON exercised its call on the outstanding shares in MeDiNova and derecognised the non-controlling interest effective from March 2020.</w:t>
      </w:r>
    </w:p>
    <w:p>
      <w:pPr>
        <w:spacing w:after="0" w:line="144" w:lineRule="exact"/>
        <w:rPr>
          <w:sz w:val="20"/>
          <w:szCs w:val="20"/>
          <w:color w:val="auto"/>
        </w:rPr>
      </w:pPr>
    </w:p>
    <w:p>
      <w:pPr>
        <w:ind w:right="100"/>
        <w:spacing w:after="0" w:line="217" w:lineRule="auto"/>
        <w:rPr>
          <w:sz w:val="20"/>
          <w:szCs w:val="20"/>
          <w:color w:val="auto"/>
        </w:rPr>
      </w:pPr>
      <w:r>
        <w:rPr>
          <w:rFonts w:ascii="Arial" w:cs="Arial" w:eastAsia="Arial" w:hAnsi="Arial"/>
          <w:sz w:val="21"/>
          <w:szCs w:val="21"/>
          <w:color w:val="auto"/>
        </w:rPr>
        <w:t>ICON will hold a conference call tomorrow, November 4</w:t>
      </w:r>
      <w:r>
        <w:rPr>
          <w:rFonts w:ascii="Arial" w:cs="Arial" w:eastAsia="Arial" w:hAnsi="Arial"/>
          <w:sz w:val="34"/>
          <w:szCs w:val="34"/>
          <w:color w:val="auto"/>
          <w:vertAlign w:val="superscript"/>
        </w:rPr>
        <w:t>th</w:t>
      </w:r>
      <w:r>
        <w:rPr>
          <w:rFonts w:ascii="Arial" w:cs="Arial" w:eastAsia="Arial" w:hAnsi="Arial"/>
          <w:sz w:val="21"/>
          <w:szCs w:val="21"/>
          <w:color w:val="auto"/>
        </w:rPr>
        <w:t>, 2021 at 09:00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ectPr>
          <w:pgSz w:w="11900" w:h="16838" w:orient="portrait"/>
          <w:cols w:equalWidth="0" w:num="1">
            <w:col w:w="11180"/>
          </w:cols>
          <w:pgMar w:left="320" w:top="334" w:right="399" w:bottom="0" w:gutter="0" w:footer="0" w:header="0"/>
        </w:sectPr>
      </w:pPr>
    </w:p>
    <w:bookmarkStart w:id="5" w:name="page6"/>
    <w:bookmarkEnd w:id="5"/>
    <w:p>
      <w:pPr>
        <w:spacing w:after="0" w:line="282" w:lineRule="auto"/>
        <w:rPr>
          <w:sz w:val="20"/>
          <w:szCs w:val="20"/>
          <w:color w:val="auto"/>
        </w:rPr>
      </w:pPr>
      <w:r>
        <w:rPr>
          <w:rFonts w:ascii="Arial" w:cs="Arial" w:eastAsia="Arial" w:hAnsi="Arial"/>
          <w:sz w:val="19"/>
          <w:szCs w:val="19"/>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37,960 employees in 159 locations in 53 countries as at September 30, 2021. For further information about ICON, visit: www.iconplc.com and www.iconplc.com/pra.</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 Investor Relations +1888 381 7923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 +353 1 291 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Kate Haven Vice President Investor Relations +1888 381 7923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THREE AND NINE MONTHS ENDED SEPTEMBER 30, 2021 AND SEPTEMBER 30, 2020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640" w:type="dxa"/>
            <w:vAlign w:val="bottom"/>
          </w:tcPr>
          <w:p>
            <w:pPr>
              <w:spacing w:after="0"/>
              <w:rPr>
                <w:sz w:val="20"/>
                <w:szCs w:val="20"/>
                <w:color w:val="auto"/>
              </w:rPr>
            </w:pPr>
          </w:p>
        </w:tc>
      </w:tr>
      <w:tr>
        <w:trPr>
          <w:trHeight w:val="225"/>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September 30, September 30,</w:t>
            </w: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September 30, September 30,</w:t>
            </w:r>
          </w:p>
        </w:tc>
        <w:tc>
          <w:tcPr>
            <w:tcW w:w="640" w:type="dxa"/>
            <w:vAlign w:val="bottom"/>
          </w:tcPr>
          <w:p>
            <w:pPr>
              <w:spacing w:after="0"/>
              <w:rPr>
                <w:sz w:val="19"/>
                <w:szCs w:val="19"/>
                <w:color w:val="auto"/>
              </w:rPr>
            </w:pPr>
          </w:p>
        </w:tc>
      </w:tr>
      <w:tr>
        <w:trPr>
          <w:trHeight w:val="234"/>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640" w:type="dxa"/>
            <w:vAlign w:val="bottom"/>
          </w:tcPr>
          <w:p>
            <w:pPr>
              <w:spacing w:after="0"/>
              <w:rPr>
                <w:sz w:val="20"/>
                <w:szCs w:val="20"/>
                <w:color w:val="auto"/>
              </w:rPr>
            </w:pPr>
          </w:p>
        </w:tc>
      </w:tr>
      <w:tr>
        <w:trPr>
          <w:trHeight w:val="243"/>
        </w:trPr>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4760" w:type="dxa"/>
            <w:vAlign w:val="bottom"/>
            <w:gridSpan w:val="4"/>
          </w:tcPr>
          <w:p>
            <w:pPr>
              <w:ind w:left="600"/>
              <w:spacing w:after="0"/>
              <w:rPr>
                <w:sz w:val="20"/>
                <w:szCs w:val="20"/>
                <w:color w:val="auto"/>
              </w:rPr>
            </w:pPr>
            <w:r>
              <w:rPr>
                <w:rFonts w:ascii="Arial" w:cs="Arial" w:eastAsia="Arial" w:hAnsi="Arial"/>
                <w:sz w:val="18"/>
                <w:szCs w:val="18"/>
                <w:b w:val="1"/>
                <w:bCs w:val="1"/>
                <w:color w:val="auto"/>
              </w:rPr>
              <w:t>(in thousands except share and per share data)</w:t>
            </w:r>
          </w:p>
        </w:tc>
        <w:tc>
          <w:tcPr>
            <w:tcW w:w="640" w:type="dxa"/>
            <w:vAlign w:val="bottom"/>
          </w:tcPr>
          <w:p>
            <w:pPr>
              <w:spacing w:after="0"/>
              <w:rPr>
                <w:sz w:val="21"/>
                <w:szCs w:val="21"/>
                <w:color w:val="auto"/>
              </w:rPr>
            </w:pPr>
          </w:p>
        </w:tc>
      </w:tr>
      <w:tr>
        <w:trPr>
          <w:trHeight w:val="486"/>
        </w:trPr>
        <w:tc>
          <w:tcPr>
            <w:tcW w:w="6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$ 1,866,352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$ 701,729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$ 3,595,705</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$ 2,037,059</w:t>
            </w:r>
          </w:p>
        </w:tc>
        <w:tc>
          <w:tcPr>
            <w:tcW w:w="64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6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1,357,942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493,410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2,615,309</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1,444,536</w:t>
            </w:r>
          </w:p>
        </w:tc>
        <w:tc>
          <w:tcPr>
            <w:tcW w:w="64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206,713</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82,715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382,614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254,309</w:t>
            </w:r>
          </w:p>
        </w:tc>
        <w:tc>
          <w:tcPr>
            <w:tcW w:w="64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140,636</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16,801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175,317</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48,981</w:t>
            </w:r>
          </w:p>
        </w:tc>
        <w:tc>
          <w:tcPr>
            <w:tcW w:w="64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Transaction and integration-related expenses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149,791</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402</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182,309</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(497)</w:t>
            </w:r>
          </w:p>
        </w:tc>
        <w:tc>
          <w:tcPr>
            <w:tcW w:w="640" w:type="dxa"/>
            <w:vAlign w:val="bottom"/>
          </w:tcPr>
          <w:p>
            <w:pPr>
              <w:spacing w:after="0"/>
              <w:rPr>
                <w:sz w:val="21"/>
                <w:szCs w:val="21"/>
                <w:color w:val="auto"/>
              </w:rPr>
            </w:pPr>
          </w:p>
        </w:tc>
      </w:tr>
      <w:tr>
        <w:trPr>
          <w:trHeight w:val="250"/>
        </w:trPr>
        <w:tc>
          <w:tcPr>
            <w:tcW w:w="620" w:type="dxa"/>
            <w:vAlign w:val="bottom"/>
          </w:tcPr>
          <w:p>
            <w:pPr>
              <w:spacing w:after="0"/>
              <w:rPr>
                <w:sz w:val="21"/>
                <w:szCs w:val="21"/>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Restructuring</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6,162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6,162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18,089</w:t>
            </w:r>
          </w:p>
        </w:tc>
        <w:tc>
          <w:tcPr>
            <w:tcW w:w="640" w:type="dxa"/>
            <w:vAlign w:val="bottom"/>
          </w:tcPr>
          <w:p>
            <w:pPr>
              <w:spacing w:after="0"/>
              <w:rPr>
                <w:sz w:val="21"/>
                <w:szCs w:val="21"/>
                <w:color w:val="auto"/>
              </w:rPr>
            </w:pPr>
          </w:p>
        </w:tc>
      </w:tr>
      <w:tr>
        <w:trPr>
          <w:trHeight w:val="479"/>
        </w:trPr>
        <w:tc>
          <w:tcPr>
            <w:tcW w:w="620" w:type="dxa"/>
            <w:vAlign w:val="bottom"/>
          </w:tcPr>
          <w:p>
            <w:pPr>
              <w:spacing w:after="0"/>
              <w:rPr>
                <w:sz w:val="24"/>
                <w:szCs w:val="24"/>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costs and expenses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1,861,244</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593,328</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3,361,711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1,765,418</w:t>
            </w:r>
          </w:p>
        </w:tc>
        <w:tc>
          <w:tcPr>
            <w:tcW w:w="640" w:type="dxa"/>
            <w:vAlign w:val="bottom"/>
          </w:tcPr>
          <w:p>
            <w:pPr>
              <w:spacing w:after="0"/>
              <w:rPr>
                <w:sz w:val="24"/>
                <w:szCs w:val="24"/>
                <w:color w:val="auto"/>
              </w:rPr>
            </w:pPr>
          </w:p>
        </w:tc>
      </w:tr>
      <w:tr>
        <w:trPr>
          <w:trHeight w:val="473"/>
        </w:trPr>
        <w:tc>
          <w:tcPr>
            <w:tcW w:w="6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5,108</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108,401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233,994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271,641</w:t>
            </w:r>
          </w:p>
        </w:tc>
        <w:tc>
          <w:tcPr>
            <w:tcW w:w="640" w:type="dxa"/>
            <w:vAlign w:val="bottom"/>
          </w:tcPr>
          <w:p>
            <w:pPr>
              <w:spacing w:after="0"/>
              <w:rPr>
                <w:sz w:val="24"/>
                <w:szCs w:val="24"/>
                <w:color w:val="auto"/>
              </w:rPr>
            </w:pPr>
          </w:p>
        </w:tc>
      </w:tr>
      <w:tr>
        <w:trPr>
          <w:trHeight w:val="243"/>
        </w:trPr>
        <w:tc>
          <w:tcPr>
            <w:tcW w:w="6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268</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496</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2,518</w:t>
            </w:r>
          </w:p>
        </w:tc>
        <w:tc>
          <w:tcPr>
            <w:tcW w:w="640" w:type="dxa"/>
            <w:vAlign w:val="bottom"/>
          </w:tcPr>
          <w:p>
            <w:pPr>
              <w:spacing w:after="0"/>
              <w:rPr>
                <w:sz w:val="21"/>
                <w:szCs w:val="21"/>
                <w:color w:val="auto"/>
              </w:rPr>
            </w:pPr>
          </w:p>
        </w:tc>
      </w:tr>
      <w:tr>
        <w:trPr>
          <w:trHeight w:val="250"/>
        </w:trPr>
        <w:tc>
          <w:tcPr>
            <w:tcW w:w="620" w:type="dxa"/>
            <w:vAlign w:val="bottom"/>
          </w:tcPr>
          <w:p>
            <w:pPr>
              <w:spacing w:after="0"/>
              <w:rPr>
                <w:sz w:val="21"/>
                <w:szCs w:val="21"/>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(102,306)</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(3,239)</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(129,584)</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(9,640)</w:t>
            </w:r>
          </w:p>
        </w:tc>
        <w:tc>
          <w:tcPr>
            <w:tcW w:w="640" w:type="dxa"/>
            <w:vAlign w:val="bottom"/>
          </w:tcPr>
          <w:p>
            <w:pPr>
              <w:spacing w:after="0"/>
              <w:rPr>
                <w:sz w:val="21"/>
                <w:szCs w:val="21"/>
                <w:color w:val="auto"/>
              </w:rPr>
            </w:pPr>
          </w:p>
        </w:tc>
      </w:tr>
      <w:tr>
        <w:trPr>
          <w:trHeight w:val="473"/>
        </w:trPr>
        <w:tc>
          <w:tcPr>
            <w:tcW w:w="6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(Loss) income before provision for income taxes</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(97,145)</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105,430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104,906</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264,519</w:t>
            </w:r>
          </w:p>
        </w:tc>
        <w:tc>
          <w:tcPr>
            <w:tcW w:w="640" w:type="dxa"/>
            <w:vAlign w:val="bottom"/>
          </w:tcPr>
          <w:p>
            <w:pPr>
              <w:spacing w:after="0"/>
              <w:rPr>
                <w:sz w:val="24"/>
                <w:szCs w:val="24"/>
                <w:color w:val="auto"/>
              </w:rPr>
            </w:pPr>
          </w:p>
        </w:tc>
      </w:tr>
      <w:tr>
        <w:trPr>
          <w:trHeight w:val="250"/>
        </w:trPr>
        <w:tc>
          <w:tcPr>
            <w:tcW w:w="620" w:type="dxa"/>
            <w:vAlign w:val="bottom"/>
          </w:tcPr>
          <w:p>
            <w:pPr>
              <w:spacing w:after="0"/>
              <w:rPr>
                <w:sz w:val="21"/>
                <w:szCs w:val="21"/>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Benefit arising/(provision) for income taxes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3,563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(13,706)</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(26,718)</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(32,706)</w:t>
            </w:r>
          </w:p>
        </w:tc>
        <w:tc>
          <w:tcPr>
            <w:tcW w:w="640" w:type="dxa"/>
            <w:vAlign w:val="bottom"/>
          </w:tcPr>
          <w:p>
            <w:pPr>
              <w:spacing w:after="0"/>
              <w:rPr>
                <w:sz w:val="21"/>
                <w:szCs w:val="21"/>
                <w:color w:val="auto"/>
              </w:rPr>
            </w:pPr>
          </w:p>
        </w:tc>
      </w:tr>
      <w:tr>
        <w:trPr>
          <w:trHeight w:val="473"/>
        </w:trPr>
        <w:tc>
          <w:tcPr>
            <w:tcW w:w="6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w w:val="90"/>
              </w:rPr>
              <w:t>(Loss) income before share of earnings from equity method investments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(93,582)</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91,724</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78,188</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231,813</w:t>
            </w:r>
          </w:p>
        </w:tc>
        <w:tc>
          <w:tcPr>
            <w:tcW w:w="640" w:type="dxa"/>
            <w:vAlign w:val="bottom"/>
          </w:tcPr>
          <w:p>
            <w:pPr>
              <w:spacing w:after="0"/>
              <w:rPr>
                <w:sz w:val="24"/>
                <w:szCs w:val="24"/>
                <w:color w:val="auto"/>
              </w:rPr>
            </w:pPr>
          </w:p>
        </w:tc>
      </w:tr>
      <w:tr>
        <w:trPr>
          <w:trHeight w:val="250"/>
        </w:trPr>
        <w:tc>
          <w:tcPr>
            <w:tcW w:w="620" w:type="dxa"/>
            <w:vAlign w:val="bottom"/>
          </w:tcPr>
          <w:p>
            <w:pPr>
              <w:spacing w:after="0"/>
              <w:rPr>
                <w:sz w:val="21"/>
                <w:szCs w:val="21"/>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 of equity method investments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(688)</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(83)</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(1,471)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(83)</w:t>
            </w:r>
          </w:p>
        </w:tc>
        <w:tc>
          <w:tcPr>
            <w:tcW w:w="640" w:type="dxa"/>
            <w:vAlign w:val="bottom"/>
          </w:tcPr>
          <w:p>
            <w:pPr>
              <w:spacing w:after="0"/>
              <w:rPr>
                <w:sz w:val="21"/>
                <w:szCs w:val="21"/>
                <w:color w:val="auto"/>
              </w:rPr>
            </w:pPr>
          </w:p>
        </w:tc>
      </w:tr>
      <w:tr>
        <w:trPr>
          <w:trHeight w:val="473"/>
        </w:trPr>
        <w:tc>
          <w:tcPr>
            <w:tcW w:w="6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(94,270)</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91,641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76,717</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231,730</w:t>
            </w:r>
          </w:p>
        </w:tc>
        <w:tc>
          <w:tcPr>
            <w:tcW w:w="640" w:type="dxa"/>
            <w:vAlign w:val="bottom"/>
          </w:tcPr>
          <w:p>
            <w:pPr>
              <w:spacing w:after="0"/>
              <w:rPr>
                <w:sz w:val="24"/>
                <w:szCs w:val="24"/>
                <w:color w:val="auto"/>
              </w:rPr>
            </w:pPr>
          </w:p>
        </w:tc>
      </w:tr>
      <w:tr>
        <w:trPr>
          <w:trHeight w:val="250"/>
        </w:trPr>
        <w:tc>
          <w:tcPr>
            <w:tcW w:w="620" w:type="dxa"/>
            <w:vAlign w:val="bottom"/>
          </w:tcPr>
          <w:p>
            <w:pPr>
              <w:spacing w:after="0"/>
              <w:rPr>
                <w:sz w:val="21"/>
                <w:szCs w:val="21"/>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(633)</w:t>
            </w:r>
          </w:p>
        </w:tc>
        <w:tc>
          <w:tcPr>
            <w:tcW w:w="640" w:type="dxa"/>
            <w:vAlign w:val="bottom"/>
          </w:tcPr>
          <w:p>
            <w:pPr>
              <w:spacing w:after="0"/>
              <w:rPr>
                <w:sz w:val="21"/>
                <w:szCs w:val="21"/>
                <w:color w:val="auto"/>
              </w:rPr>
            </w:pPr>
          </w:p>
        </w:tc>
      </w:tr>
      <w:tr>
        <w:trPr>
          <w:trHeight w:val="237"/>
        </w:trPr>
        <w:tc>
          <w:tcPr>
            <w:tcW w:w="620" w:type="dxa"/>
            <w:vAlign w:val="bottom"/>
          </w:tcPr>
          <w:p>
            <w:pPr>
              <w:spacing w:after="0"/>
              <w:rPr>
                <w:sz w:val="20"/>
                <w:szCs w:val="20"/>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(loss) income attributable to the Group</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(94,270)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$ 91,641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$ 76,717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$ 231,097</w:t>
            </w:r>
          </w:p>
        </w:tc>
        <w:tc>
          <w:tcPr>
            <w:tcW w:w="6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59"/>
        </w:trPr>
        <w:tc>
          <w:tcPr>
            <w:tcW w:w="6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Net (loss) income per Ordinary Share attributable to the Group:</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93"/>
        </w:trPr>
        <w:tc>
          <w:tcPr>
            <w:tcW w:w="620" w:type="dxa"/>
            <w:vAlign w:val="bottom"/>
          </w:tcPr>
          <w:p>
            <w:pPr>
              <w:spacing w:after="0"/>
              <w:rPr>
                <w:sz w:val="24"/>
                <w:szCs w:val="24"/>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 (1.17)</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$ 1.74</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$ 1.23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$ 4.28</w:t>
            </w:r>
          </w:p>
        </w:tc>
        <w:tc>
          <w:tcPr>
            <w:tcW w:w="6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4"/>
        </w:trPr>
        <w:tc>
          <w:tcPr>
            <w:tcW w:w="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(1.17)</w:t>
            </w: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$ 1.72</w:t>
            </w: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$ 1.22</w:t>
            </w: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$ 4.25</w:t>
            </w:r>
          </w:p>
        </w:tc>
        <w:tc>
          <w:tcPr>
            <w:tcW w:w="6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59"/>
        </w:trPr>
        <w:tc>
          <w:tcPr>
            <w:tcW w:w="6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93"/>
        </w:trPr>
        <w:tc>
          <w:tcPr>
            <w:tcW w:w="620" w:type="dxa"/>
            <w:vAlign w:val="bottom"/>
          </w:tcPr>
          <w:p>
            <w:pPr>
              <w:spacing w:after="0"/>
              <w:rPr>
                <w:sz w:val="24"/>
                <w:szCs w:val="24"/>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80,771,397</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52,737,299</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62,264,851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52,885,252</w:t>
            </w:r>
          </w:p>
        </w:tc>
        <w:tc>
          <w:tcPr>
            <w:tcW w:w="6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80,771,397</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53,194,327</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63,095,857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53,283,680</w:t>
            </w:r>
          </w:p>
        </w:tc>
        <w:tc>
          <w:tcPr>
            <w:tcW w:w="6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9"/>
        </w:trPr>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BALANCE SHEETS</w:t>
      </w:r>
    </w:p>
    <w:p>
      <w:pPr>
        <w:jc w:val="center"/>
        <w:ind w:right="40"/>
        <w:spacing w:after="0"/>
        <w:rPr>
          <w:sz w:val="20"/>
          <w:szCs w:val="20"/>
          <w:color w:val="auto"/>
        </w:rPr>
      </w:pPr>
      <w:r>
        <w:rPr>
          <w:rFonts w:ascii="Arial" w:cs="Arial" w:eastAsia="Arial" w:hAnsi="Arial"/>
          <w:sz w:val="22"/>
          <w:szCs w:val="22"/>
          <w:b w:val="1"/>
          <w:bCs w:val="1"/>
          <w:color w:val="auto"/>
        </w:rPr>
        <w:t>AS AT SEPTEMBER 30, 2021 AND DECEMBER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(Unaudited)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(Audited)</w:t>
            </w:r>
          </w:p>
        </w:tc>
        <w:tc>
          <w:tcPr>
            <w:tcW w:w="1140" w:type="dxa"/>
            <w:vAlign w:val="bottom"/>
          </w:tcPr>
          <w:p>
            <w:pPr>
              <w:spacing w:after="0"/>
              <w:rPr>
                <w:sz w:val="20"/>
                <w:szCs w:val="20"/>
                <w:color w:val="auto"/>
              </w:rPr>
            </w:pPr>
          </w:p>
        </w:tc>
      </w:tr>
      <w:tr>
        <w:trPr>
          <w:trHeight w:val="225"/>
        </w:trPr>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20" w:type="dxa"/>
            <w:vAlign w:val="bottom"/>
          </w:tcPr>
          <w:p>
            <w:pPr>
              <w:ind w:left="20"/>
              <w:spacing w:after="0"/>
              <w:rPr>
                <w:sz w:val="20"/>
                <w:szCs w:val="20"/>
                <w:color w:val="auto"/>
              </w:rPr>
            </w:pPr>
            <w:r>
              <w:rPr>
                <w:rFonts w:ascii="Arial" w:cs="Arial" w:eastAsia="Arial" w:hAnsi="Arial"/>
                <w:sz w:val="18"/>
                <w:szCs w:val="18"/>
                <w:b w:val="1"/>
                <w:bCs w:val="1"/>
                <w:color w:val="auto"/>
              </w:rPr>
              <w:t>September 30,</w:t>
            </w:r>
          </w:p>
        </w:tc>
        <w:tc>
          <w:tcPr>
            <w:tcW w:w="1680" w:type="dxa"/>
            <w:vAlign w:val="bottom"/>
          </w:tcPr>
          <w:p>
            <w:pPr>
              <w:ind w:left="32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100" w:type="dxa"/>
            <w:vAlign w:val="bottom"/>
            <w:gridSpan w:val="2"/>
          </w:tcPr>
          <w:p>
            <w:pPr>
              <w:ind w:left="100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0"/>
              </w:rPr>
              <w:t>$ 1,008,524</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$ 840,305</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Available for sale investments</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8"/>
              </w:rPr>
              <w:t>1,712</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1,729</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for credit losses</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9"/>
              </w:rPr>
              <w:t>1,338,326</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715,271</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9"/>
              </w:rPr>
              <w:t>550,692</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428,684</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0"/>
              </w:rPr>
              <w:t>60,376</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35,394</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Prepayments and other current assets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9"/>
              </w:rPr>
              <w:t>131,554</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53,477</w:t>
            </w:r>
          </w:p>
        </w:tc>
        <w:tc>
          <w:tcPr>
            <w:tcW w:w="114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 receivable</w:t>
            </w:r>
          </w:p>
        </w:tc>
        <w:tc>
          <w:tcPr>
            <w:tcW w:w="14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0"/>
              </w:rPr>
              <w:t>38,484</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28,118</w:t>
            </w:r>
          </w:p>
        </w:tc>
        <w:tc>
          <w:tcPr>
            <w:tcW w:w="1140" w:type="dxa"/>
            <w:vAlign w:val="bottom"/>
          </w:tcPr>
          <w:p>
            <w:pPr>
              <w:spacing w:after="0"/>
              <w:rPr>
                <w:sz w:val="21"/>
                <w:szCs w:val="21"/>
                <w:color w:val="auto"/>
              </w:rPr>
            </w:pPr>
          </w:p>
        </w:tc>
      </w:tr>
      <w:tr>
        <w:trPr>
          <w:trHeight w:val="230"/>
        </w:trPr>
        <w:tc>
          <w:tcPr>
            <w:tcW w:w="116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9"/>
              </w:rPr>
              <w:t>3,129,668</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2,102,978</w:t>
            </w:r>
          </w:p>
        </w:tc>
        <w:tc>
          <w:tcPr>
            <w:tcW w:w="1140" w:type="dxa"/>
            <w:vAlign w:val="bottom"/>
          </w:tcPr>
          <w:p>
            <w:pPr>
              <w:spacing w:after="0"/>
              <w:rPr>
                <w:sz w:val="20"/>
                <w:szCs w:val="20"/>
                <w:color w:val="auto"/>
              </w:rPr>
            </w:pPr>
          </w:p>
        </w:tc>
      </w:tr>
      <w:tr>
        <w:trPr>
          <w:trHeight w:val="485"/>
        </w:trPr>
        <w:tc>
          <w:tcPr>
            <w:tcW w:w="116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9"/>
              </w:rPr>
              <w:t>319,457</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174,343</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9"/>
              </w:rPr>
              <w:t>8,935,212</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936,257</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Operating right-of-use assets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9"/>
              </w:rPr>
              <w:t>238,107</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84,561</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0"/>
              </w:rPr>
              <w:t>57,637</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20,773</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Non-current income taxes receivable</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7"/>
              </w:rPr>
              <w:t>16,119</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17,230</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Non-current deferred tax asset</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9"/>
              </w:rPr>
              <w:t>117,313</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12,705</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Equity method investments</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8"/>
              </w:rPr>
              <w:t>3,062</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4,534</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Investments in equity-long term</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0"/>
              </w:rPr>
              <w:t>22,758</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15,765</w:t>
            </w:r>
          </w:p>
        </w:tc>
        <w:tc>
          <w:tcPr>
            <w:tcW w:w="114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Intangible assets, net</w:t>
            </w: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4,815,184</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66,460</w:t>
            </w:r>
          </w:p>
        </w:tc>
        <w:tc>
          <w:tcPr>
            <w:tcW w:w="114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Assets</w:t>
            </w:r>
          </w:p>
        </w:tc>
        <w:tc>
          <w:tcPr>
            <w:tcW w:w="14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$ 17,654,517</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$ 3,435,606</w:t>
            </w:r>
          </w:p>
        </w:tc>
        <w:tc>
          <w:tcPr>
            <w:tcW w:w="11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116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8"/>
              </w:rPr>
              <w:t>$ 62,576</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$ 51,113</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Unearned revenue</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9"/>
              </w:rPr>
              <w:t>1,349,000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660,883</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9"/>
              </w:rPr>
              <w:t>794,879</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399,769</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0"/>
              </w:rPr>
              <w:t>39,614</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12,178</w:t>
            </w:r>
          </w:p>
        </w:tc>
        <w:tc>
          <w:tcPr>
            <w:tcW w:w="114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Current bank credit lines and loan facilities</w:t>
            </w:r>
          </w:p>
        </w:tc>
        <w:tc>
          <w:tcPr>
            <w:tcW w:w="14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0"/>
              </w:rPr>
              <w:t>55,150</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21"/>
                <w:szCs w:val="21"/>
                <w:color w:val="auto"/>
              </w:rPr>
            </w:pPr>
          </w:p>
        </w:tc>
      </w:tr>
      <w:tr>
        <w:trPr>
          <w:trHeight w:val="230"/>
        </w:trPr>
        <w:tc>
          <w:tcPr>
            <w:tcW w:w="116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9"/>
              </w:rPr>
              <w:t>2,301,219</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1,123,943</w:t>
            </w:r>
          </w:p>
        </w:tc>
        <w:tc>
          <w:tcPr>
            <w:tcW w:w="1140" w:type="dxa"/>
            <w:vAlign w:val="bottom"/>
          </w:tcPr>
          <w:p>
            <w:pPr>
              <w:spacing w:after="0"/>
              <w:rPr>
                <w:sz w:val="20"/>
                <w:szCs w:val="20"/>
                <w:color w:val="auto"/>
              </w:rPr>
            </w:pPr>
          </w:p>
        </w:tc>
      </w:tr>
      <w:tr>
        <w:trPr>
          <w:trHeight w:val="242"/>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Non-current bank credit lines and loan facilities</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9"/>
              </w:rPr>
              <w:t>5,872,720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348,477</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Non-current operating lease liabilities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9"/>
              </w:rPr>
              <w:t>190,912</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60,801</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Non-current other liabilities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0"/>
              </w:rPr>
              <w:t>73,917</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26,366</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Non-current government grants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6"/>
              </w:rPr>
              <w:t>760</w:t>
            </w: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838</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Non-current income taxes payable</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0"/>
              </w:rPr>
              <w:t>18,868</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14,539</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Non-current deferred tax liability</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9"/>
              </w:rPr>
              <w:t>1,227,535</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10,406</w:t>
            </w:r>
          </w:p>
        </w:tc>
        <w:tc>
          <w:tcPr>
            <w:tcW w:w="114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Commitments and contingencies</w:t>
            </w:r>
          </w:p>
        </w:tc>
        <w:tc>
          <w:tcPr>
            <w:tcW w:w="14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Liabilities</w:t>
            </w: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9,685,931</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1,585,370</w:t>
            </w:r>
          </w:p>
        </w:tc>
        <w:tc>
          <w:tcPr>
            <w:tcW w:w="1140" w:type="dxa"/>
            <w:vAlign w:val="bottom"/>
          </w:tcPr>
          <w:p>
            <w:pPr>
              <w:spacing w:after="0"/>
              <w:rPr>
                <w:sz w:val="20"/>
                <w:szCs w:val="20"/>
                <w:color w:val="auto"/>
              </w:rPr>
            </w:pPr>
          </w:p>
        </w:tc>
      </w:tr>
      <w:tr>
        <w:trPr>
          <w:trHeight w:val="472"/>
        </w:trPr>
        <w:tc>
          <w:tcPr>
            <w:tcW w:w="116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w w:val="88"/>
              </w:rPr>
              <w:t>Ordinary shares, par value 6 euro cents per share; 100,000,000 shares authorised,</w:t>
            </w:r>
          </w:p>
        </w:tc>
        <w:tc>
          <w:tcPr>
            <w:tcW w:w="1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81,397,821 shares issued and outstanding at September 30, 2021 and</w:t>
            </w:r>
          </w:p>
        </w:tc>
        <w:tc>
          <w:tcPr>
            <w:tcW w:w="1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52,788,093 shares issued and outstanding at December 31, 2020</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8"/>
              </w:rPr>
              <w:t>6,629</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4,580</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9"/>
              </w:rPr>
              <w:t>6,700,407</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617,104</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undenominated capital</w:t>
            </w:r>
          </w:p>
        </w:tc>
        <w:tc>
          <w:tcPr>
            <w:tcW w:w="1420" w:type="dxa"/>
            <w:vAlign w:val="bottom"/>
          </w:tcPr>
          <w:p>
            <w:pPr>
              <w:jc w:val="center"/>
              <w:ind w:right="210"/>
              <w:spacing w:after="0"/>
              <w:rPr>
                <w:sz w:val="20"/>
                <w:szCs w:val="20"/>
                <w:color w:val="auto"/>
              </w:rPr>
            </w:pPr>
            <w:r>
              <w:rPr>
                <w:rFonts w:ascii="Arial" w:cs="Arial" w:eastAsia="Arial" w:hAnsi="Arial"/>
                <w:sz w:val="18"/>
                <w:szCs w:val="18"/>
                <w:color w:val="auto"/>
                <w:w w:val="88"/>
              </w:rPr>
              <w:t>1,134</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1,134</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2"/>
              </w:rPr>
              <w:t>(79,196)</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(35,477)</w:t>
            </w:r>
          </w:p>
        </w:tc>
        <w:tc>
          <w:tcPr>
            <w:tcW w:w="114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Retained earnings</w:t>
            </w: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1,339,612</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1,262,895</w:t>
            </w:r>
          </w:p>
        </w:tc>
        <w:tc>
          <w:tcPr>
            <w:tcW w:w="114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Shareholders' Equity</w:t>
            </w: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7,968,586</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1,850,236</w:t>
            </w:r>
          </w:p>
        </w:tc>
        <w:tc>
          <w:tcPr>
            <w:tcW w:w="114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4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$ 17,654,517</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$ 3,435,606</w:t>
            </w:r>
          </w:p>
        </w:tc>
        <w:tc>
          <w:tcPr>
            <w:tcW w:w="11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8"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right="40"/>
        <w:spacing w:after="0" w:line="230" w:lineRule="auto"/>
        <w:rPr>
          <w:sz w:val="20"/>
          <w:szCs w:val="20"/>
          <w:color w:val="auto"/>
        </w:rPr>
      </w:pPr>
      <w:r>
        <w:rPr>
          <w:rFonts w:ascii="Arial" w:cs="Arial" w:eastAsia="Arial" w:hAnsi="Arial"/>
          <w:sz w:val="22"/>
          <w:szCs w:val="22"/>
          <w:b w:val="1"/>
          <w:bCs w:val="1"/>
          <w:color w:val="auto"/>
        </w:rPr>
        <w:t>FOR THE NINE MONTHS ENDED SEPTEMBER 30, 2021 AND SEPTEMBER 30, 2020</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680" w:type="dxa"/>
            <w:vAlign w:val="bottom"/>
          </w:tcPr>
          <w:p>
            <w:pPr>
              <w:spacing w:after="0"/>
              <w:rPr>
                <w:sz w:val="20"/>
                <w:szCs w:val="20"/>
                <w:color w:val="auto"/>
              </w:rPr>
            </w:pPr>
          </w:p>
        </w:tc>
      </w:tr>
      <w:tr>
        <w:trPr>
          <w:trHeight w:val="225"/>
        </w:trPr>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680" w:type="dxa"/>
            <w:vAlign w:val="bottom"/>
          </w:tcPr>
          <w:p>
            <w:pPr>
              <w:spacing w:after="0"/>
              <w:rPr>
                <w:sz w:val="19"/>
                <w:szCs w:val="19"/>
                <w:color w:val="auto"/>
              </w:rPr>
            </w:pPr>
          </w:p>
        </w:tc>
      </w:tr>
      <w:tr>
        <w:trPr>
          <w:trHeight w:val="234"/>
        </w:trPr>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20"/>
                <w:szCs w:val="20"/>
                <w:color w:val="auto"/>
              </w:rPr>
            </w:pPr>
          </w:p>
        </w:tc>
      </w:tr>
      <w:tr>
        <w:trPr>
          <w:trHeight w:val="243"/>
        </w:trPr>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1"/>
              </w:rPr>
              <w:t>$ 76,717</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$ 231,730</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175,317</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48,981</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Impairment of right-of-use assets</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5,731</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5,411</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Reduction in carrying value of operating right-of-use assets</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30,607</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21,367</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Unrealised foreign currency gains, net</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(7,374)</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(3,982)</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Loss on issuance of debt</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7"/>
              </w:rPr>
              <w:t>59,460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Loss on equity method investments</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1,471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Stock compensation expense</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114,791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20,157</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Loss/(gain) on interest rate hedge</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891</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(725)</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Amortization of financing costs</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4,448</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368</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14,434</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(26,532)</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1,416</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Other non-cash items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(1,592)</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(121)</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acquired assets and assumed liabilities:</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123,413</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24,623</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49,203</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(17,635)</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Unearned revenue</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(60,514)</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82,386</w:t>
            </w:r>
          </w:p>
        </w:tc>
        <w:tc>
          <w:tcPr>
            <w:tcW w:w="680" w:type="dxa"/>
            <w:vAlign w:val="bottom"/>
          </w:tcPr>
          <w:p>
            <w:pPr>
              <w:spacing w:after="0"/>
              <w:rPr>
                <w:sz w:val="21"/>
                <w:szCs w:val="21"/>
                <w:color w:val="auto"/>
              </w:rPr>
            </w:pPr>
          </w:p>
        </w:tc>
      </w:tr>
      <w:tr>
        <w:trPr>
          <w:trHeight w:val="250"/>
        </w:trPr>
        <w:tc>
          <w:tcPr>
            <w:tcW w:w="680" w:type="dxa"/>
            <w:vAlign w:val="bottom"/>
          </w:tcPr>
          <w:p>
            <w:pPr>
              <w:spacing w:after="0"/>
              <w:rPr>
                <w:sz w:val="21"/>
                <w:szCs w:val="21"/>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assets and liabilities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(21,147)</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(41,446)</w:t>
            </w:r>
          </w:p>
        </w:tc>
        <w:tc>
          <w:tcPr>
            <w:tcW w:w="680" w:type="dxa"/>
            <w:vAlign w:val="bottom"/>
          </w:tcPr>
          <w:p>
            <w:pPr>
              <w:spacing w:after="0"/>
              <w:rPr>
                <w:sz w:val="21"/>
                <w:szCs w:val="21"/>
                <w:color w:val="auto"/>
              </w:rPr>
            </w:pPr>
          </w:p>
        </w:tc>
      </w:tr>
      <w:tr>
        <w:trPr>
          <w:trHeight w:val="230"/>
        </w:trPr>
        <w:tc>
          <w:tcPr>
            <w:tcW w:w="68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539,324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372,613</w:t>
            </w:r>
          </w:p>
        </w:tc>
        <w:tc>
          <w:tcPr>
            <w:tcW w:w="680" w:type="dxa"/>
            <w:vAlign w:val="bottom"/>
          </w:tcPr>
          <w:p>
            <w:pPr>
              <w:spacing w:after="0"/>
              <w:rPr>
                <w:sz w:val="20"/>
                <w:szCs w:val="20"/>
                <w:color w:val="auto"/>
              </w:rPr>
            </w:pPr>
          </w:p>
        </w:tc>
      </w:tr>
      <w:tr>
        <w:trPr>
          <w:trHeight w:val="242"/>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Purchase of property, plant and equipment</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(46,067)</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(28,026)</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Purchase of subsidiary undertakings, net of cash acquired</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1"/>
              </w:rPr>
              <w:t>(5,914,475)</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(37,761)</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Purchase of equity method investments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(2,450)</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(2,450)</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Sale of available for sale investments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47,902</w:t>
            </w:r>
          </w:p>
        </w:tc>
        <w:tc>
          <w:tcPr>
            <w:tcW w:w="680" w:type="dxa"/>
            <w:vAlign w:val="bottom"/>
          </w:tcPr>
          <w:p>
            <w:pPr>
              <w:spacing w:after="0"/>
              <w:rPr>
                <w:sz w:val="21"/>
                <w:szCs w:val="21"/>
                <w:color w:val="auto"/>
              </w:rPr>
            </w:pPr>
          </w:p>
        </w:tc>
      </w:tr>
      <w:tr>
        <w:trPr>
          <w:trHeight w:val="250"/>
        </w:trPr>
        <w:tc>
          <w:tcPr>
            <w:tcW w:w="680" w:type="dxa"/>
            <w:vAlign w:val="bottom"/>
          </w:tcPr>
          <w:p>
            <w:pPr>
              <w:spacing w:after="0"/>
              <w:rPr>
                <w:sz w:val="21"/>
                <w:szCs w:val="21"/>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Purchase of investments in equity - long term</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(2,243)</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(2,737)</w:t>
            </w:r>
          </w:p>
        </w:tc>
        <w:tc>
          <w:tcPr>
            <w:tcW w:w="680" w:type="dxa"/>
            <w:vAlign w:val="bottom"/>
          </w:tcPr>
          <w:p>
            <w:pPr>
              <w:spacing w:after="0"/>
              <w:rPr>
                <w:sz w:val="21"/>
                <w:szCs w:val="21"/>
                <w:color w:val="auto"/>
              </w:rPr>
            </w:pPr>
          </w:p>
        </w:tc>
      </w:tr>
      <w:tr>
        <w:trPr>
          <w:trHeight w:val="230"/>
        </w:trPr>
        <w:tc>
          <w:tcPr>
            <w:tcW w:w="68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1"/>
              </w:rPr>
              <w:t>(5,965,218)</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(23,072)</w:t>
            </w:r>
          </w:p>
        </w:tc>
        <w:tc>
          <w:tcPr>
            <w:tcW w:w="680" w:type="dxa"/>
            <w:vAlign w:val="bottom"/>
          </w:tcPr>
          <w:p>
            <w:pPr>
              <w:spacing w:after="0"/>
              <w:rPr>
                <w:sz w:val="20"/>
                <w:szCs w:val="20"/>
                <w:color w:val="auto"/>
              </w:rPr>
            </w:pPr>
          </w:p>
        </w:tc>
      </w:tr>
      <w:tr>
        <w:trPr>
          <w:trHeight w:val="242"/>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Financing related costs</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(30,349)</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Proceeds from exercise of equity compensation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104,070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12,349</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Share issue costs</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(848)</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Repurchase of ordinary shares</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(175,000)</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Share repurchase costs</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(140)</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w w:val="91"/>
              </w:rPr>
              <w:t>Drawdown of bank credit lines and loan facilities, net of debt issuance costs and debt discount withheld</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5,905,100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r>
      <w:tr>
        <w:trPr>
          <w:trHeight w:val="250"/>
        </w:trPr>
        <w:tc>
          <w:tcPr>
            <w:tcW w:w="680" w:type="dxa"/>
            <w:vAlign w:val="bottom"/>
          </w:tcPr>
          <w:p>
            <w:pPr>
              <w:spacing w:after="0"/>
              <w:rPr>
                <w:sz w:val="21"/>
                <w:szCs w:val="21"/>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Repayment of bank credit lines and loan facilities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(377,780)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r>
      <w:tr>
        <w:trPr>
          <w:trHeight w:val="230"/>
        </w:trPr>
        <w:tc>
          <w:tcPr>
            <w:tcW w:w="68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5,600,193</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(162,801)</w:t>
            </w:r>
          </w:p>
        </w:tc>
        <w:tc>
          <w:tcPr>
            <w:tcW w:w="680" w:type="dxa"/>
            <w:vAlign w:val="bottom"/>
          </w:tcPr>
          <w:p>
            <w:pPr>
              <w:spacing w:after="0"/>
              <w:rPr>
                <w:sz w:val="20"/>
                <w:szCs w:val="20"/>
                <w:color w:val="auto"/>
              </w:rPr>
            </w:pPr>
          </w:p>
        </w:tc>
      </w:tr>
      <w:tr>
        <w:trPr>
          <w:trHeight w:val="249"/>
        </w:trPr>
        <w:tc>
          <w:tcPr>
            <w:tcW w:w="680" w:type="dxa"/>
            <w:vAlign w:val="bottom"/>
          </w:tcPr>
          <w:p>
            <w:pPr>
              <w:spacing w:after="0"/>
              <w:rPr>
                <w:sz w:val="21"/>
                <w:szCs w:val="21"/>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movements on cash</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(6,080)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946</w:t>
            </w:r>
          </w:p>
        </w:tc>
        <w:tc>
          <w:tcPr>
            <w:tcW w:w="680" w:type="dxa"/>
            <w:vAlign w:val="bottom"/>
          </w:tcPr>
          <w:p>
            <w:pPr>
              <w:spacing w:after="0"/>
              <w:rPr>
                <w:sz w:val="21"/>
                <w:szCs w:val="21"/>
                <w:color w:val="auto"/>
              </w:rPr>
            </w:pPr>
          </w:p>
        </w:tc>
      </w:tr>
      <w:tr>
        <w:trPr>
          <w:trHeight w:val="234"/>
        </w:trPr>
        <w:tc>
          <w:tcPr>
            <w:tcW w:w="68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168,219</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187,686</w:t>
            </w:r>
          </w:p>
        </w:tc>
        <w:tc>
          <w:tcPr>
            <w:tcW w:w="680" w:type="dxa"/>
            <w:vAlign w:val="bottom"/>
          </w:tcPr>
          <w:p>
            <w:pPr>
              <w:spacing w:after="0"/>
              <w:rPr>
                <w:sz w:val="20"/>
                <w:szCs w:val="20"/>
                <w:color w:val="auto"/>
              </w:rPr>
            </w:pPr>
          </w:p>
        </w:tc>
      </w:tr>
      <w:tr>
        <w:trPr>
          <w:trHeight w:val="245"/>
        </w:trPr>
        <w:tc>
          <w:tcPr>
            <w:tcW w:w="680" w:type="dxa"/>
            <w:vAlign w:val="bottom"/>
          </w:tcPr>
          <w:p>
            <w:pPr>
              <w:spacing w:after="0"/>
              <w:rPr>
                <w:sz w:val="21"/>
                <w:szCs w:val="21"/>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840,305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520,309</w:t>
            </w:r>
          </w:p>
        </w:tc>
        <w:tc>
          <w:tcPr>
            <w:tcW w:w="680" w:type="dxa"/>
            <w:vAlign w:val="bottom"/>
          </w:tcPr>
          <w:p>
            <w:pPr>
              <w:spacing w:after="0"/>
              <w:rPr>
                <w:sz w:val="21"/>
                <w:szCs w:val="21"/>
                <w:color w:val="auto"/>
              </w:rPr>
            </w:pPr>
          </w:p>
        </w:tc>
      </w:tr>
      <w:tr>
        <w:trPr>
          <w:trHeight w:val="239"/>
        </w:trPr>
        <w:tc>
          <w:tcPr>
            <w:tcW w:w="680" w:type="dxa"/>
            <w:vAlign w:val="bottom"/>
          </w:tcPr>
          <w:p>
            <w:pPr>
              <w:spacing w:after="0"/>
              <w:rPr>
                <w:sz w:val="20"/>
                <w:szCs w:val="20"/>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$ 1,008,524</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$ 707,995</w:t>
            </w:r>
          </w:p>
        </w:tc>
        <w:tc>
          <w:tcPr>
            <w:tcW w:w="680" w:type="dxa"/>
            <w:vAlign w:val="bottom"/>
          </w:tcPr>
          <w:p>
            <w:pPr>
              <w:spacing w:after="0"/>
              <w:rPr>
                <w:sz w:val="20"/>
                <w:szCs w:val="20"/>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7"/>
        </w:trPr>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8"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RECONCILIATION OF NON-GAAP MEASURES</w:t>
      </w:r>
    </w:p>
    <w:p>
      <w:pPr>
        <w:jc w:val="center"/>
        <w:ind w:right="40"/>
        <w:spacing w:after="0" w:line="230" w:lineRule="auto"/>
        <w:rPr>
          <w:sz w:val="20"/>
          <w:szCs w:val="20"/>
          <w:color w:val="auto"/>
        </w:rPr>
      </w:pPr>
      <w:r>
        <w:rPr>
          <w:rFonts w:ascii="Arial" w:cs="Arial" w:eastAsia="Arial" w:hAnsi="Arial"/>
          <w:sz w:val="22"/>
          <w:szCs w:val="22"/>
          <w:b w:val="1"/>
          <w:bCs w:val="1"/>
          <w:color w:val="auto"/>
        </w:rPr>
        <w:t>FOR THE THREE AND NINE MONTHS ENDED SEPTEMBER 30, 2021 AND SEPTEMBER 30, 2020</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60" w:type="dxa"/>
            <w:vAlign w:val="bottom"/>
          </w:tcPr>
          <w:p>
            <w:pPr>
              <w:spacing w:after="0"/>
              <w:rPr>
                <w:sz w:val="20"/>
                <w:szCs w:val="20"/>
                <w:color w:val="auto"/>
              </w:rPr>
            </w:pPr>
          </w:p>
        </w:tc>
      </w:tr>
      <w:tr>
        <w:trPr>
          <w:trHeight w:val="225"/>
        </w:trPr>
        <w:tc>
          <w:tcPr>
            <w:tcW w:w="7340" w:type="dxa"/>
            <w:vAlign w:val="bottom"/>
          </w:tcPr>
          <w:p>
            <w:pPr>
              <w:spacing w:after="0"/>
              <w:rPr>
                <w:sz w:val="19"/>
                <w:szCs w:val="19"/>
                <w:color w:val="auto"/>
              </w:rPr>
            </w:pPr>
          </w:p>
        </w:tc>
        <w:tc>
          <w:tcPr>
            <w:tcW w:w="20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September September</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September September</w:t>
            </w:r>
          </w:p>
        </w:tc>
        <w:tc>
          <w:tcPr>
            <w:tcW w:w="60" w:type="dxa"/>
            <w:vAlign w:val="bottom"/>
          </w:tcPr>
          <w:p>
            <w:pPr>
              <w:spacing w:after="0"/>
              <w:rPr>
                <w:sz w:val="19"/>
                <w:szCs w:val="19"/>
                <w:color w:val="auto"/>
              </w:rPr>
            </w:pPr>
          </w:p>
        </w:tc>
      </w:tr>
      <w:tr>
        <w:trPr>
          <w:trHeight w:val="216"/>
        </w:trPr>
        <w:tc>
          <w:tcPr>
            <w:tcW w:w="734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30,</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18"/>
                <w:szCs w:val="18"/>
                <w:color w:val="auto"/>
              </w:rPr>
            </w:pPr>
          </w:p>
        </w:tc>
      </w:tr>
      <w:tr>
        <w:trPr>
          <w:trHeight w:val="234"/>
        </w:trPr>
        <w:tc>
          <w:tcPr>
            <w:tcW w:w="7340" w:type="dxa"/>
            <w:vAlign w:val="bottom"/>
          </w:tcPr>
          <w:p>
            <w:pPr>
              <w:spacing w:after="0"/>
              <w:rPr>
                <w:sz w:val="20"/>
                <w:szCs w:val="20"/>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r>
      <w:tr>
        <w:trPr>
          <w:trHeight w:val="243"/>
        </w:trPr>
        <w:tc>
          <w:tcPr>
            <w:tcW w:w="7340" w:type="dxa"/>
            <w:vAlign w:val="bottom"/>
          </w:tcPr>
          <w:p>
            <w:pPr>
              <w:spacing w:after="0"/>
              <w:rPr>
                <w:sz w:val="21"/>
                <w:szCs w:val="21"/>
                <w:color w:val="auto"/>
              </w:rPr>
            </w:pPr>
          </w:p>
        </w:tc>
        <w:tc>
          <w:tcPr>
            <w:tcW w:w="384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(in thousands except share and per share data)</w:t>
            </w:r>
          </w:p>
        </w:tc>
        <w:tc>
          <w:tcPr>
            <w:tcW w:w="60" w:type="dxa"/>
            <w:vAlign w:val="bottom"/>
          </w:tcPr>
          <w:p>
            <w:pPr>
              <w:spacing w:after="0"/>
              <w:rPr>
                <w:sz w:val="21"/>
                <w:szCs w:val="21"/>
                <w:color w:val="auto"/>
              </w:rPr>
            </w:pPr>
          </w:p>
        </w:tc>
      </w:tr>
      <w:tr>
        <w:trPr>
          <w:trHeight w:val="486"/>
        </w:trPr>
        <w:tc>
          <w:tcPr>
            <w:tcW w:w="7340" w:type="dxa"/>
            <w:vAlign w:val="bottom"/>
          </w:tcPr>
          <w:p>
            <w:pPr>
              <w:spacing w:after="0"/>
              <w:rPr>
                <w:sz w:val="20"/>
                <w:szCs w:val="20"/>
                <w:color w:val="auto"/>
              </w:rPr>
            </w:pPr>
            <w:r>
              <w:rPr>
                <w:rFonts w:ascii="Arial" w:cs="Arial" w:eastAsia="Arial" w:hAnsi="Arial"/>
                <w:sz w:val="18"/>
                <w:szCs w:val="18"/>
                <w:b w:val="1"/>
                <w:bCs w:val="1"/>
                <w:color w:val="auto"/>
              </w:rPr>
              <w:t>Adjusted revenue</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Revenue, as reported</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$ 1,866,352</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$ 701,729</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$ 3,595,705</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$ 2,037,059</w:t>
            </w:r>
          </w:p>
        </w:tc>
        <w:tc>
          <w:tcPr>
            <w:tcW w:w="60" w:type="dxa"/>
            <w:vAlign w:val="bottom"/>
          </w:tcPr>
          <w:p>
            <w:pPr>
              <w:spacing w:after="0"/>
              <w:rPr>
                <w:sz w:val="21"/>
                <w:szCs w:val="21"/>
                <w:color w:val="auto"/>
              </w:rPr>
            </w:pPr>
          </w:p>
        </w:tc>
      </w:tr>
      <w:tr>
        <w:trPr>
          <w:trHeight w:val="257"/>
        </w:trPr>
        <w:tc>
          <w:tcPr>
            <w:tcW w:w="7340" w:type="dxa"/>
            <w:vAlign w:val="bottom"/>
            <w:tcBorders>
              <w:bottom w:val="single" w:sz="8" w:color="auto"/>
            </w:tcBorders>
          </w:tcPr>
          <w:p>
            <w:pPr>
              <w:spacing w:after="0" w:line="256" w:lineRule="exact"/>
              <w:rPr>
                <w:sz w:val="20"/>
                <w:szCs w:val="20"/>
                <w:color w:val="auto"/>
              </w:rPr>
            </w:pPr>
            <w:r>
              <w:rPr>
                <w:rFonts w:ascii="Arial" w:cs="Arial" w:eastAsia="Arial" w:hAnsi="Arial"/>
                <w:sz w:val="18"/>
                <w:szCs w:val="18"/>
                <w:color w:val="auto"/>
              </w:rPr>
              <w:t xml:space="preserve">Acquisition related deferred revenue adjustment </w:t>
            </w:r>
            <w:r>
              <w:rPr>
                <w:rFonts w:ascii="Arial" w:cs="Arial" w:eastAsia="Arial" w:hAnsi="Arial"/>
                <w:sz w:val="29"/>
                <w:szCs w:val="29"/>
                <w:color w:val="auto"/>
                <w:vertAlign w:val="superscript"/>
              </w:rPr>
              <w:t>(a)</w:t>
            </w:r>
          </w:p>
        </w:tc>
        <w:tc>
          <w:tcPr>
            <w:tcW w:w="10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4,000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4,000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2"/>
                <w:szCs w:val="22"/>
                <w:color w:val="auto"/>
              </w:rPr>
            </w:pPr>
          </w:p>
        </w:tc>
      </w:tr>
      <w:tr>
        <w:trPr>
          <w:trHeight w:val="232"/>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revenue</w:t>
            </w:r>
          </w:p>
        </w:tc>
        <w:tc>
          <w:tcPr>
            <w:tcW w:w="1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$ 1,870,352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$ 701,729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$ 3,599,705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$ 2,037,059</w:t>
            </w:r>
          </w:p>
        </w:tc>
        <w:tc>
          <w:tcPr>
            <w:tcW w:w="60" w:type="dxa"/>
            <w:vAlign w:val="bottom"/>
          </w:tcPr>
          <w:p>
            <w:pPr>
              <w:spacing w:after="0"/>
              <w:rPr>
                <w:sz w:val="20"/>
                <w:szCs w:val="20"/>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7"/>
        </w:trPr>
        <w:tc>
          <w:tcPr>
            <w:tcW w:w="73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Net income/(loss) attributable to the Group</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 (94,270)</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$ 91,641</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$ 76,717</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$ 231,097</w:t>
            </w:r>
          </w:p>
        </w:tc>
        <w:tc>
          <w:tcPr>
            <w:tcW w:w="60" w:type="dxa"/>
            <w:vAlign w:val="bottom"/>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Net income/(loss) attributable to non-controlling interest</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633</w:t>
            </w:r>
          </w:p>
        </w:tc>
        <w:tc>
          <w:tcPr>
            <w:tcW w:w="60" w:type="dxa"/>
            <w:vAlign w:val="bottom"/>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86"/>
              </w:rPr>
              <w:t>688</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1,471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60" w:type="dxa"/>
            <w:vAlign w:val="bottom"/>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jc w:val="center"/>
              <w:ind w:left="50"/>
              <w:spacing w:after="0"/>
              <w:rPr>
                <w:sz w:val="20"/>
                <w:szCs w:val="20"/>
                <w:color w:val="auto"/>
              </w:rPr>
            </w:pPr>
            <w:r>
              <w:rPr>
                <w:rFonts w:ascii="Arial" w:cs="Arial" w:eastAsia="Arial" w:hAnsi="Arial"/>
                <w:sz w:val="18"/>
                <w:szCs w:val="18"/>
                <w:color w:val="auto"/>
                <w:w w:val="91"/>
              </w:rPr>
              <w:t>(3,563)</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13,706</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26,718</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32,706</w:t>
            </w:r>
          </w:p>
        </w:tc>
        <w:tc>
          <w:tcPr>
            <w:tcW w:w="60" w:type="dxa"/>
            <w:vAlign w:val="bottom"/>
          </w:tcPr>
          <w:p>
            <w:pPr>
              <w:spacing w:after="0"/>
              <w:rPr>
                <w:sz w:val="21"/>
                <w:szCs w:val="21"/>
                <w:color w:val="auto"/>
              </w:rPr>
            </w:pPr>
          </w:p>
        </w:tc>
      </w:tr>
      <w:tr>
        <w:trPr>
          <w:trHeight w:val="256"/>
        </w:trPr>
        <w:tc>
          <w:tcPr>
            <w:tcW w:w="7340" w:type="dxa"/>
            <w:vAlign w:val="bottom"/>
          </w:tcPr>
          <w:p>
            <w:pPr>
              <w:spacing w:after="0" w:line="255" w:lineRule="exact"/>
              <w:rPr>
                <w:sz w:val="20"/>
                <w:szCs w:val="20"/>
                <w:color w:val="auto"/>
              </w:rPr>
            </w:pPr>
            <w:r>
              <w:rPr>
                <w:rFonts w:ascii="Arial" w:cs="Arial" w:eastAsia="Arial" w:hAnsi="Arial"/>
                <w:sz w:val="18"/>
                <w:szCs w:val="18"/>
                <w:color w:val="auto"/>
              </w:rPr>
              <w:t xml:space="preserve">Net interest expense </w:t>
            </w:r>
            <w:r>
              <w:rPr>
                <w:rFonts w:ascii="Arial" w:cs="Arial" w:eastAsia="Arial" w:hAnsi="Arial"/>
                <w:sz w:val="29"/>
                <w:szCs w:val="29"/>
                <w:color w:val="auto"/>
                <w:vertAlign w:val="superscript"/>
              </w:rPr>
              <w:t>(b)</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89"/>
              </w:rPr>
              <w:t>102,253</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2,971</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129,088</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7,122</w:t>
            </w:r>
          </w:p>
        </w:tc>
        <w:tc>
          <w:tcPr>
            <w:tcW w:w="60" w:type="dxa"/>
            <w:vAlign w:val="bottom"/>
          </w:tcPr>
          <w:p>
            <w:pPr>
              <w:spacing w:after="0"/>
              <w:rPr>
                <w:sz w:val="22"/>
                <w:szCs w:val="22"/>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89"/>
              </w:rPr>
              <w:t>140,636</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16,801</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175,317</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48,981</w:t>
            </w:r>
          </w:p>
        </w:tc>
        <w:tc>
          <w:tcPr>
            <w:tcW w:w="60" w:type="dxa"/>
            <w:vAlign w:val="bottom"/>
          </w:tcPr>
          <w:p>
            <w:pPr>
              <w:spacing w:after="0"/>
              <w:rPr>
                <w:sz w:val="20"/>
                <w:szCs w:val="20"/>
                <w:color w:val="auto"/>
              </w:rPr>
            </w:pPr>
          </w:p>
        </w:tc>
      </w:tr>
      <w:tr>
        <w:trPr>
          <w:trHeight w:val="246"/>
        </w:trPr>
        <w:tc>
          <w:tcPr>
            <w:tcW w:w="734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(c)</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26,355</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7,260</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41,987</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21,431</w:t>
            </w:r>
          </w:p>
        </w:tc>
        <w:tc>
          <w:tcPr>
            <w:tcW w:w="60" w:type="dxa"/>
            <w:vAlign w:val="bottom"/>
          </w:tcPr>
          <w:p>
            <w:pPr>
              <w:spacing w:after="0"/>
              <w:rPr>
                <w:sz w:val="21"/>
                <w:szCs w:val="21"/>
                <w:color w:val="auto"/>
              </w:rPr>
            </w:pPr>
          </w:p>
        </w:tc>
      </w:tr>
      <w:tr>
        <w:trPr>
          <w:trHeight w:val="243"/>
        </w:trPr>
        <w:tc>
          <w:tcPr>
            <w:tcW w:w="734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(d)</w:t>
            </w:r>
          </w:p>
        </w:tc>
        <w:tc>
          <w:tcPr>
            <w:tcW w:w="1060" w:type="dxa"/>
            <w:vAlign w:val="bottom"/>
          </w:tcPr>
          <w:p>
            <w:pPr>
              <w:jc w:val="center"/>
              <w:ind w:left="50"/>
              <w:spacing w:after="0"/>
              <w:rPr>
                <w:sz w:val="20"/>
                <w:szCs w:val="20"/>
                <w:color w:val="auto"/>
              </w:rPr>
            </w:pPr>
            <w:r>
              <w:rPr>
                <w:rFonts w:ascii="Arial" w:cs="Arial" w:eastAsia="Arial" w:hAnsi="Arial"/>
                <w:sz w:val="18"/>
                <w:szCs w:val="18"/>
                <w:color w:val="auto"/>
                <w:w w:val="91"/>
              </w:rPr>
              <w:t>(7,185)</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596</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(6,347)</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4,977</w:t>
            </w:r>
          </w:p>
        </w:tc>
        <w:tc>
          <w:tcPr>
            <w:tcW w:w="60" w:type="dxa"/>
            <w:vAlign w:val="bottom"/>
          </w:tcPr>
          <w:p>
            <w:pPr>
              <w:spacing w:after="0"/>
              <w:rPr>
                <w:sz w:val="21"/>
                <w:szCs w:val="21"/>
                <w:color w:val="auto"/>
              </w:rPr>
            </w:pPr>
          </w:p>
        </w:tc>
      </w:tr>
      <w:tr>
        <w:trPr>
          <w:trHeight w:val="243"/>
        </w:trPr>
        <w:tc>
          <w:tcPr>
            <w:tcW w:w="734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(e)</w:t>
            </w:r>
          </w:p>
        </w:tc>
        <w:tc>
          <w:tcPr>
            <w:tcW w:w="1060" w:type="dxa"/>
            <w:vAlign w:val="bottom"/>
          </w:tcPr>
          <w:p>
            <w:pPr>
              <w:jc w:val="center"/>
              <w:ind w:left="50"/>
              <w:spacing w:after="0"/>
              <w:rPr>
                <w:sz w:val="20"/>
                <w:szCs w:val="20"/>
                <w:color w:val="auto"/>
              </w:rPr>
            </w:pPr>
            <w:r>
              <w:rPr>
                <w:rFonts w:ascii="Arial" w:cs="Arial" w:eastAsia="Arial" w:hAnsi="Arial"/>
                <w:sz w:val="18"/>
                <w:szCs w:val="18"/>
                <w:color w:val="auto"/>
                <w:w w:val="88"/>
              </w:rPr>
              <w:t>6,162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6,162</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18,089</w:t>
            </w:r>
          </w:p>
        </w:tc>
        <w:tc>
          <w:tcPr>
            <w:tcW w:w="60" w:type="dxa"/>
            <w:vAlign w:val="bottom"/>
          </w:tcPr>
          <w:p>
            <w:pPr>
              <w:spacing w:after="0"/>
              <w:rPr>
                <w:sz w:val="21"/>
                <w:szCs w:val="21"/>
                <w:color w:val="auto"/>
              </w:rPr>
            </w:pPr>
          </w:p>
        </w:tc>
      </w:tr>
      <w:tr>
        <w:trPr>
          <w:trHeight w:val="243"/>
        </w:trPr>
        <w:tc>
          <w:tcPr>
            <w:tcW w:w="7340" w:type="dxa"/>
            <w:vAlign w:val="bottom"/>
          </w:tcPr>
          <w:p>
            <w:pPr>
              <w:spacing w:after="0" w:line="243" w:lineRule="exact"/>
              <w:rPr>
                <w:sz w:val="20"/>
                <w:szCs w:val="20"/>
                <w:color w:val="auto"/>
              </w:rPr>
            </w:pPr>
            <w:r>
              <w:rPr>
                <w:rFonts w:ascii="Arial" w:cs="Arial" w:eastAsia="Arial" w:hAnsi="Arial"/>
                <w:sz w:val="17"/>
                <w:szCs w:val="17"/>
                <w:color w:val="auto"/>
              </w:rPr>
              <w:t xml:space="preserve">Acquisition related deferred revenue adjustment </w:t>
            </w:r>
            <w:r>
              <w:rPr>
                <w:rFonts w:ascii="Arial" w:cs="Arial" w:eastAsia="Arial" w:hAnsi="Arial"/>
                <w:sz w:val="28"/>
                <w:szCs w:val="28"/>
                <w:color w:val="auto"/>
                <w:vertAlign w:val="superscript"/>
              </w:rPr>
              <w:t>(a)</w:t>
            </w:r>
          </w:p>
        </w:tc>
        <w:tc>
          <w:tcPr>
            <w:tcW w:w="1060" w:type="dxa"/>
            <w:vAlign w:val="bottom"/>
          </w:tcPr>
          <w:p>
            <w:pPr>
              <w:jc w:val="center"/>
              <w:ind w:left="50"/>
              <w:spacing w:after="0"/>
              <w:rPr>
                <w:sz w:val="20"/>
                <w:szCs w:val="20"/>
                <w:color w:val="auto"/>
              </w:rPr>
            </w:pPr>
            <w:r>
              <w:rPr>
                <w:rFonts w:ascii="Arial" w:cs="Arial" w:eastAsia="Arial" w:hAnsi="Arial"/>
                <w:sz w:val="18"/>
                <w:szCs w:val="18"/>
                <w:color w:val="auto"/>
                <w:w w:val="88"/>
              </w:rPr>
              <w:t>4,000</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r>
      <w:tr>
        <w:trPr>
          <w:trHeight w:val="254"/>
        </w:trPr>
        <w:tc>
          <w:tcPr>
            <w:tcW w:w="734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Transaction-related / integration-related costs </w:t>
            </w:r>
            <w:r>
              <w:rPr>
                <w:rFonts w:ascii="Arial" w:cs="Arial" w:eastAsia="Arial" w:hAnsi="Arial"/>
                <w:sz w:val="29"/>
                <w:szCs w:val="29"/>
                <w:color w:val="auto"/>
                <w:vertAlign w:val="superscript"/>
              </w:rPr>
              <w:t>(f)</w:t>
            </w:r>
          </w:p>
        </w:tc>
        <w:tc>
          <w:tcPr>
            <w:tcW w:w="1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149,791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402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182,309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(497)</w:t>
            </w:r>
          </w:p>
        </w:tc>
        <w:tc>
          <w:tcPr>
            <w:tcW w:w="60" w:type="dxa"/>
            <w:vAlign w:val="bottom"/>
          </w:tcPr>
          <w:p>
            <w:pPr>
              <w:spacing w:after="0"/>
              <w:rPr>
                <w:sz w:val="22"/>
                <w:szCs w:val="22"/>
                <w:color w:val="auto"/>
              </w:rPr>
            </w:pPr>
          </w:p>
        </w:tc>
      </w:tr>
      <w:tr>
        <w:trPr>
          <w:trHeight w:val="232"/>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$ 324,867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$ 133,460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$ 637,422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$ 364,622</w:t>
            </w:r>
          </w:p>
        </w:tc>
        <w:tc>
          <w:tcPr>
            <w:tcW w:w="60" w:type="dxa"/>
            <w:vAlign w:val="bottom"/>
          </w:tcPr>
          <w:p>
            <w:pPr>
              <w:spacing w:after="0"/>
              <w:rPr>
                <w:sz w:val="20"/>
                <w:szCs w:val="20"/>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7340" w:type="dxa"/>
            <w:vAlign w:val="bottom"/>
          </w:tcPr>
          <w:p>
            <w:pPr>
              <w:spacing w:after="0"/>
              <w:rPr>
                <w:sz w:val="20"/>
                <w:szCs w:val="20"/>
                <w:color w:val="auto"/>
              </w:rPr>
            </w:pPr>
            <w:r>
              <w:rPr>
                <w:rFonts w:ascii="Arial" w:cs="Arial" w:eastAsia="Arial" w:hAnsi="Arial"/>
                <w:sz w:val="18"/>
                <w:szCs w:val="18"/>
                <w:b w:val="1"/>
                <w:bCs w:val="1"/>
                <w:color w:val="auto"/>
                <w:w w:val="93"/>
              </w:rPr>
              <w:t>Adjusted net income attributable to the Group and adjusted diluted net income per Ordinary</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7340" w:type="dxa"/>
            <w:vAlign w:val="bottom"/>
          </w:tcPr>
          <w:p>
            <w:pPr>
              <w:spacing w:after="0"/>
              <w:rPr>
                <w:sz w:val="20"/>
                <w:szCs w:val="20"/>
                <w:color w:val="auto"/>
              </w:rPr>
            </w:pPr>
            <w:r>
              <w:rPr>
                <w:rFonts w:ascii="Arial" w:cs="Arial" w:eastAsia="Arial" w:hAnsi="Arial"/>
                <w:sz w:val="18"/>
                <w:szCs w:val="18"/>
                <w:b w:val="1"/>
                <w:bCs w:val="1"/>
                <w:color w:val="auto"/>
              </w:rPr>
              <w:t>Share attributable to the Group</w:t>
            </w: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Net income/(loss) attributable to the Group</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 (94,270)</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$ 91,641</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$ 76,717</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$ 231,097</w:t>
            </w:r>
          </w:p>
        </w:tc>
        <w:tc>
          <w:tcPr>
            <w:tcW w:w="60" w:type="dxa"/>
            <w:vAlign w:val="bottom"/>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jc w:val="center"/>
              <w:ind w:left="50"/>
              <w:spacing w:after="0"/>
              <w:rPr>
                <w:sz w:val="20"/>
                <w:szCs w:val="20"/>
                <w:color w:val="auto"/>
              </w:rPr>
            </w:pPr>
            <w:r>
              <w:rPr>
                <w:rFonts w:ascii="Arial" w:cs="Arial" w:eastAsia="Arial" w:hAnsi="Arial"/>
                <w:sz w:val="18"/>
                <w:szCs w:val="18"/>
                <w:color w:val="auto"/>
                <w:w w:val="91"/>
              </w:rPr>
              <w:t>(3,563)</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13,706</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26,718</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32,706</w:t>
            </w:r>
          </w:p>
        </w:tc>
        <w:tc>
          <w:tcPr>
            <w:tcW w:w="60" w:type="dxa"/>
            <w:vAlign w:val="bottom"/>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Amortisation</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89"/>
              </w:rPr>
              <w:t>115,874</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4,890</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124,615</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14,427</w:t>
            </w:r>
          </w:p>
        </w:tc>
        <w:tc>
          <w:tcPr>
            <w:tcW w:w="60" w:type="dxa"/>
            <w:vAlign w:val="bottom"/>
          </w:tcPr>
          <w:p>
            <w:pPr>
              <w:spacing w:after="0"/>
              <w:rPr>
                <w:sz w:val="21"/>
                <w:szCs w:val="21"/>
                <w:color w:val="auto"/>
              </w:rPr>
            </w:pPr>
          </w:p>
        </w:tc>
      </w:tr>
      <w:tr>
        <w:trPr>
          <w:trHeight w:val="246"/>
        </w:trPr>
        <w:tc>
          <w:tcPr>
            <w:tcW w:w="734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(c)</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26,355</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7,260</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41,987</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21,431</w:t>
            </w:r>
          </w:p>
        </w:tc>
        <w:tc>
          <w:tcPr>
            <w:tcW w:w="60" w:type="dxa"/>
            <w:vAlign w:val="bottom"/>
          </w:tcPr>
          <w:p>
            <w:pPr>
              <w:spacing w:after="0"/>
              <w:rPr>
                <w:sz w:val="21"/>
                <w:szCs w:val="21"/>
                <w:color w:val="auto"/>
              </w:rPr>
            </w:pPr>
          </w:p>
        </w:tc>
      </w:tr>
      <w:tr>
        <w:trPr>
          <w:trHeight w:val="243"/>
        </w:trPr>
        <w:tc>
          <w:tcPr>
            <w:tcW w:w="734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(d)</w:t>
            </w:r>
          </w:p>
        </w:tc>
        <w:tc>
          <w:tcPr>
            <w:tcW w:w="1060" w:type="dxa"/>
            <w:vAlign w:val="bottom"/>
          </w:tcPr>
          <w:p>
            <w:pPr>
              <w:jc w:val="center"/>
              <w:ind w:left="50"/>
              <w:spacing w:after="0"/>
              <w:rPr>
                <w:sz w:val="20"/>
                <w:szCs w:val="20"/>
                <w:color w:val="auto"/>
              </w:rPr>
            </w:pPr>
            <w:r>
              <w:rPr>
                <w:rFonts w:ascii="Arial" w:cs="Arial" w:eastAsia="Arial" w:hAnsi="Arial"/>
                <w:sz w:val="18"/>
                <w:szCs w:val="18"/>
                <w:color w:val="auto"/>
                <w:w w:val="91"/>
              </w:rPr>
              <w:t>(7,185)</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596</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(6,347)</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4,977</w:t>
            </w:r>
          </w:p>
        </w:tc>
        <w:tc>
          <w:tcPr>
            <w:tcW w:w="60" w:type="dxa"/>
            <w:vAlign w:val="bottom"/>
          </w:tcPr>
          <w:p>
            <w:pPr>
              <w:spacing w:after="0"/>
              <w:rPr>
                <w:sz w:val="21"/>
                <w:szCs w:val="21"/>
                <w:color w:val="auto"/>
              </w:rPr>
            </w:pPr>
          </w:p>
        </w:tc>
      </w:tr>
      <w:tr>
        <w:trPr>
          <w:trHeight w:val="243"/>
        </w:trPr>
        <w:tc>
          <w:tcPr>
            <w:tcW w:w="734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(e)</w:t>
            </w:r>
          </w:p>
        </w:tc>
        <w:tc>
          <w:tcPr>
            <w:tcW w:w="1060" w:type="dxa"/>
            <w:vAlign w:val="bottom"/>
          </w:tcPr>
          <w:p>
            <w:pPr>
              <w:jc w:val="center"/>
              <w:ind w:left="50"/>
              <w:spacing w:after="0"/>
              <w:rPr>
                <w:sz w:val="20"/>
                <w:szCs w:val="20"/>
                <w:color w:val="auto"/>
              </w:rPr>
            </w:pPr>
            <w:r>
              <w:rPr>
                <w:rFonts w:ascii="Arial" w:cs="Arial" w:eastAsia="Arial" w:hAnsi="Arial"/>
                <w:sz w:val="18"/>
                <w:szCs w:val="18"/>
                <w:color w:val="auto"/>
                <w:w w:val="88"/>
              </w:rPr>
              <w:t>6,162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6,162</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18,089</w:t>
            </w:r>
          </w:p>
        </w:tc>
        <w:tc>
          <w:tcPr>
            <w:tcW w:w="60" w:type="dxa"/>
            <w:vAlign w:val="bottom"/>
          </w:tcPr>
          <w:p>
            <w:pPr>
              <w:spacing w:after="0"/>
              <w:rPr>
                <w:sz w:val="21"/>
                <w:szCs w:val="21"/>
                <w:color w:val="auto"/>
              </w:rPr>
            </w:pPr>
          </w:p>
        </w:tc>
      </w:tr>
      <w:tr>
        <w:trPr>
          <w:trHeight w:val="243"/>
        </w:trPr>
        <w:tc>
          <w:tcPr>
            <w:tcW w:w="7340" w:type="dxa"/>
            <w:vAlign w:val="bottom"/>
          </w:tcPr>
          <w:p>
            <w:pPr>
              <w:spacing w:after="0" w:line="243" w:lineRule="exact"/>
              <w:rPr>
                <w:sz w:val="20"/>
                <w:szCs w:val="20"/>
                <w:color w:val="auto"/>
              </w:rPr>
            </w:pPr>
            <w:r>
              <w:rPr>
                <w:rFonts w:ascii="Arial" w:cs="Arial" w:eastAsia="Arial" w:hAnsi="Arial"/>
                <w:sz w:val="17"/>
                <w:szCs w:val="17"/>
                <w:color w:val="auto"/>
              </w:rPr>
              <w:t xml:space="preserve">Acquisition related deferred revenue adjustment </w:t>
            </w:r>
            <w:r>
              <w:rPr>
                <w:rFonts w:ascii="Arial" w:cs="Arial" w:eastAsia="Arial" w:hAnsi="Arial"/>
                <w:sz w:val="28"/>
                <w:szCs w:val="28"/>
                <w:color w:val="auto"/>
                <w:vertAlign w:val="superscript"/>
              </w:rPr>
              <w:t>(a)</w:t>
            </w:r>
          </w:p>
        </w:tc>
        <w:tc>
          <w:tcPr>
            <w:tcW w:w="1060" w:type="dxa"/>
            <w:vAlign w:val="bottom"/>
          </w:tcPr>
          <w:p>
            <w:pPr>
              <w:jc w:val="center"/>
              <w:ind w:left="50"/>
              <w:spacing w:after="0"/>
              <w:rPr>
                <w:sz w:val="20"/>
                <w:szCs w:val="20"/>
                <w:color w:val="auto"/>
              </w:rPr>
            </w:pPr>
            <w:r>
              <w:rPr>
                <w:rFonts w:ascii="Arial" w:cs="Arial" w:eastAsia="Arial" w:hAnsi="Arial"/>
                <w:sz w:val="18"/>
                <w:szCs w:val="18"/>
                <w:color w:val="auto"/>
                <w:w w:val="88"/>
              </w:rPr>
              <w:t>4,000</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r>
      <w:tr>
        <w:trPr>
          <w:trHeight w:val="243"/>
        </w:trPr>
        <w:tc>
          <w:tcPr>
            <w:tcW w:w="734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 integration-related costs </w:t>
            </w:r>
            <w:r>
              <w:rPr>
                <w:rFonts w:ascii="Arial" w:cs="Arial" w:eastAsia="Arial" w:hAnsi="Arial"/>
                <w:sz w:val="28"/>
                <w:szCs w:val="28"/>
                <w:color w:val="auto"/>
                <w:vertAlign w:val="superscript"/>
              </w:rPr>
              <w:t>(f)</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89"/>
              </w:rPr>
              <w:t>149,791</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402</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182,309</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(497)</w:t>
            </w:r>
          </w:p>
        </w:tc>
        <w:tc>
          <w:tcPr>
            <w:tcW w:w="60" w:type="dxa"/>
            <w:vAlign w:val="bottom"/>
          </w:tcPr>
          <w:p>
            <w:pPr>
              <w:spacing w:after="0"/>
              <w:rPr>
                <w:sz w:val="21"/>
                <w:szCs w:val="21"/>
                <w:color w:val="auto"/>
              </w:rPr>
            </w:pPr>
          </w:p>
        </w:tc>
      </w:tr>
      <w:tr>
        <w:trPr>
          <w:trHeight w:val="243"/>
        </w:trPr>
        <w:tc>
          <w:tcPr>
            <w:tcW w:w="734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financing costs </w:t>
            </w:r>
            <w:r>
              <w:rPr>
                <w:rFonts w:ascii="Arial" w:cs="Arial" w:eastAsia="Arial" w:hAnsi="Arial"/>
                <w:sz w:val="28"/>
                <w:szCs w:val="28"/>
                <w:color w:val="auto"/>
                <w:vertAlign w:val="superscript"/>
              </w:rPr>
              <w:t>(g)</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55,773</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78,252</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r>
      <w:tr>
        <w:trPr>
          <w:trHeight w:val="254"/>
        </w:trPr>
        <w:tc>
          <w:tcPr>
            <w:tcW w:w="734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Adjusted tax expense </w:t>
            </w:r>
            <w:r>
              <w:rPr>
                <w:rFonts w:ascii="Arial" w:cs="Arial" w:eastAsia="Arial" w:hAnsi="Arial"/>
                <w:sz w:val="29"/>
                <w:szCs w:val="29"/>
                <w:color w:val="auto"/>
                <w:vertAlign w:val="superscript"/>
              </w:rPr>
              <w:t>(h)</w:t>
            </w:r>
          </w:p>
        </w:tc>
        <w:tc>
          <w:tcPr>
            <w:tcW w:w="1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(43,121)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(16,119)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(85,993)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(41,825)</w:t>
            </w:r>
          </w:p>
        </w:tc>
        <w:tc>
          <w:tcPr>
            <w:tcW w:w="60" w:type="dxa"/>
            <w:vAlign w:val="bottom"/>
          </w:tcPr>
          <w:p>
            <w:pPr>
              <w:spacing w:after="0"/>
              <w:rPr>
                <w:sz w:val="22"/>
                <w:szCs w:val="22"/>
                <w:color w:val="auto"/>
              </w:rPr>
            </w:pPr>
          </w:p>
        </w:tc>
      </w:tr>
      <w:tr>
        <w:trPr>
          <w:trHeight w:val="232"/>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net income attributable to the Group</w:t>
            </w:r>
          </w:p>
        </w:tc>
        <w:tc>
          <w:tcPr>
            <w:tcW w:w="1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$ 209,816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$ 102,376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$ 448,420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$ 280,405</w:t>
            </w:r>
          </w:p>
        </w:tc>
        <w:tc>
          <w:tcPr>
            <w:tcW w:w="60" w:type="dxa"/>
            <w:vAlign w:val="bottom"/>
          </w:tcPr>
          <w:p>
            <w:pPr>
              <w:spacing w:after="0"/>
              <w:rPr>
                <w:sz w:val="20"/>
                <w:szCs w:val="20"/>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7"/>
        </w:trPr>
        <w:tc>
          <w:tcPr>
            <w:tcW w:w="7340" w:type="dxa"/>
            <w:vAlign w:val="bottom"/>
          </w:tcPr>
          <w:p>
            <w:pPr>
              <w:spacing w:after="0"/>
              <w:rPr>
                <w:sz w:val="20"/>
                <w:szCs w:val="20"/>
                <w:color w:val="auto"/>
              </w:rPr>
            </w:pPr>
            <w:r>
              <w:rPr>
                <w:rFonts w:ascii="Arial" w:cs="Arial" w:eastAsia="Arial" w:hAnsi="Arial"/>
                <w:sz w:val="18"/>
                <w:szCs w:val="18"/>
                <w:color w:val="auto"/>
              </w:rPr>
              <w:t>Diluted weighted average number of Ordinary Shares outstanding</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82,293,287</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53,194,327</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63,095,857</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53,283,680</w:t>
            </w:r>
          </w:p>
        </w:tc>
        <w:tc>
          <w:tcPr>
            <w:tcW w:w="60" w:type="dxa"/>
            <w:vAlign w:val="bottom"/>
          </w:tcPr>
          <w:p>
            <w:pPr>
              <w:spacing w:after="0"/>
              <w:rPr>
                <w:sz w:val="24"/>
                <w:szCs w:val="24"/>
                <w:color w:val="auto"/>
              </w:rPr>
            </w:pPr>
          </w:p>
        </w:tc>
      </w:tr>
      <w:tr>
        <w:trPr>
          <w:trHeight w:val="256"/>
        </w:trPr>
        <w:tc>
          <w:tcPr>
            <w:tcW w:w="7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32"/>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diluted net income per Ordinary Share attributable to the Group</w:t>
            </w:r>
          </w:p>
        </w:tc>
        <w:tc>
          <w:tcPr>
            <w:tcW w:w="1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$ 2.55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$ 1.92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$ 7.11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$ 5.26</w:t>
            </w:r>
          </w:p>
        </w:tc>
        <w:tc>
          <w:tcPr>
            <w:tcW w:w="60" w:type="dxa"/>
            <w:vAlign w:val="bottom"/>
          </w:tcPr>
          <w:p>
            <w:pPr>
              <w:spacing w:after="0"/>
              <w:rPr>
                <w:sz w:val="20"/>
                <w:szCs w:val="20"/>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3"/>
        </w:trPr>
        <w:tc>
          <w:tcPr>
            <w:tcW w:w="7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10" w:name="page11"/>
    <w:bookmarkEnd w:id="10"/>
    <w:p>
      <w:pPr>
        <w:ind w:left="260" w:hanging="252"/>
        <w:spacing w:after="0" w:line="266"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 related deferred revenue adjustment represents non-cash adjustments resulting from the revaluation of deferred revenue and the subsequent charge to revenue in connection with business combinations.</w:t>
      </w: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Interest expense includes losses on modification or extinguishment of debt.</w:t>
      </w:r>
    </w:p>
    <w:p>
      <w:pPr>
        <w:spacing w:after="0" w:line="36"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Stock-based compensation expense represents the amount of recurring non-cash expense related to the Company’s equity compensation programs</w:t>
      </w:r>
    </w:p>
    <w:p>
      <w:pPr>
        <w:spacing w:after="0" w:line="59" w:lineRule="exact"/>
        <w:rPr>
          <w:rFonts w:ascii="Arial" w:cs="Arial" w:eastAsia="Arial" w:hAnsi="Arial"/>
          <w:sz w:val="16"/>
          <w:szCs w:val="16"/>
          <w:color w:val="auto"/>
        </w:rPr>
      </w:pPr>
    </w:p>
    <w:p>
      <w:pPr>
        <w:ind w:left="260" w:right="320" w:hanging="252"/>
        <w:spacing w:after="0" w:line="260"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Foreign currency losses (gains),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spacing w:after="0" w:line="2" w:lineRule="exact"/>
        <w:rPr>
          <w:rFonts w:ascii="Arial" w:cs="Arial" w:eastAsia="Arial" w:hAnsi="Arial"/>
          <w:sz w:val="18"/>
          <w:szCs w:val="18"/>
          <w:color w:val="auto"/>
        </w:rPr>
      </w:pPr>
    </w:p>
    <w:p>
      <w:pPr>
        <w:ind w:left="260" w:right="320" w:hanging="252"/>
        <w:spacing w:after="0" w:line="266"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Restructuring charges incurred relate to charges incurred in connection with the termination of leases at locations that are no longer being used and amounts incurred in connection with the elimination of redundant positions within the organisation.</w:t>
      </w:r>
    </w:p>
    <w:p>
      <w:pPr>
        <w:ind w:left="260" w:right="160" w:hanging="252"/>
        <w:spacing w:after="0" w:line="260"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Transaction-related / integration-related costs include expenses/credits associated with our acquisitions, share-based compensation expense related to the acceleration of share-based compensation awards and replacement share-based awards, contingent consideration valuation adjustments, and any other costs incurred directly related to the integration of these acquisitions.</w:t>
      </w:r>
    </w:p>
    <w:p>
      <w:pPr>
        <w:spacing w:after="0" w:line="2" w:lineRule="exact"/>
        <w:rPr>
          <w:rFonts w:ascii="Arial" w:cs="Arial" w:eastAsia="Arial" w:hAnsi="Arial"/>
          <w:sz w:val="18"/>
          <w:szCs w:val="18"/>
          <w:color w:val="auto"/>
        </w:rPr>
      </w:pPr>
    </w:p>
    <w:p>
      <w:pPr>
        <w:jc w:val="both"/>
        <w:ind w:left="260" w:right="220" w:hanging="252"/>
        <w:spacing w:after="0" w:line="260"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tax effect of adjusted pre-tax income at our estimated 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Investor Relations +1 888 381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231" w:lineRule="auto"/>
        <w:rPr>
          <w:sz w:val="20"/>
          <w:szCs w:val="20"/>
          <w:color w:val="auto"/>
        </w:rPr>
      </w:pPr>
      <w:r>
        <w:rPr>
          <w:rFonts w:ascii="Arial" w:cs="Arial" w:eastAsia="Arial" w:hAnsi="Arial"/>
          <w:sz w:val="22"/>
          <w:szCs w:val="22"/>
          <w:color w:val="auto"/>
        </w:rPr>
        <w:t>Kate Haven Vice President Investor Relations +1888 381 7923</w:t>
      </w:r>
    </w:p>
    <w:p>
      <w:pPr>
        <w:spacing w:after="0"/>
        <w:rPr>
          <w:sz w:val="20"/>
          <w:szCs w:val="20"/>
          <w:color w:val="auto"/>
        </w:rPr>
      </w:pPr>
      <w:r>
        <w:rPr>
          <w:rFonts w:ascii="Arial" w:cs="Arial" w:eastAsia="Arial" w:hAnsi="Arial"/>
          <w:sz w:val="22"/>
          <w:szCs w:val="22"/>
          <w:color w:val="auto"/>
        </w:rPr>
        <w:t>http://www.iconplc.com</w:t>
      </w:r>
    </w:p>
    <w:sectPr>
      <w:pgSz w:w="11900" w:h="16838" w:orient="portrait"/>
      <w:cols w:equalWidth="0" w:num="1">
        <w:col w:w="11160"/>
      </w:cols>
      <w:pgMar w:left="320" w:top="13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2021-11-03T16:12:43Z</dcterms:created>
  <dcterms:modified xsi:type="dcterms:W3CDTF">2021-11-03T16:12:43Z</dcterms:modified>
</cp:coreProperties>
</file>