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FORM 6-K</w:t>
      </w:r>
    </w:p>
    <w:p>
      <w:pPr>
        <w:spacing w:after="0" w:line="24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Washington, D.C. 20549</w:t>
      </w:r>
    </w:p>
    <w:p>
      <w:pPr>
        <w:spacing w:after="0" w:line="235"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Report of Foreign Private Issuer</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Pursuant to Rule 13a-16 under</w:t>
      </w:r>
    </w:p>
    <w:p>
      <w:pPr>
        <w:jc w:val="center"/>
        <w:ind w:right="-139"/>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 xml:space="preserve">For the month ended </w:t>
      </w:r>
      <w:r>
        <w:rPr>
          <w:rFonts w:ascii="Arial" w:cs="Arial" w:eastAsia="Arial" w:hAnsi="Arial"/>
          <w:sz w:val="17"/>
          <w:szCs w:val="17"/>
          <w:color w:val="auto"/>
        </w:rPr>
        <w:t>January, 2019</w:t>
      </w: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ICON plc</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(R</w:t>
      </w:r>
      <w:r>
        <w:rPr>
          <w:rFonts w:ascii="Arial" w:cs="Arial" w:eastAsia="Arial" w:hAnsi="Arial"/>
          <w:sz w:val="17"/>
          <w:szCs w:val="17"/>
          <w:color w:val="auto"/>
        </w:rPr>
        <w:t>egistrant's name)</w:t>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333-08704</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(Commission file number)</w:t>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South County Business Park, Leopardstown, Dublin 18, Ireland</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(Address of principal executive offices)</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Brendan Brennan, CFO</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South County Business Park, Leopardstown, Dublin 18, Ireland.</w:t>
      </w:r>
    </w:p>
    <w:p>
      <w:pPr>
        <w:jc w:val="center"/>
        <w:ind w:right="-139"/>
        <w:spacing w:after="0"/>
        <w:rPr>
          <w:sz w:val="20"/>
          <w:szCs w:val="20"/>
          <w:color w:val="auto"/>
        </w:rPr>
      </w:pPr>
      <w:r>
        <w:rPr>
          <w:rFonts w:ascii="Arial" w:cs="Arial" w:eastAsia="Arial" w:hAnsi="Arial"/>
          <w:sz w:val="21"/>
          <w:szCs w:val="21"/>
          <w:color w:val="auto"/>
        </w:rPr>
        <w:t>Brendan.Brennan@iconplc.com</w:t>
      </w:r>
    </w:p>
    <w:p>
      <w:pPr>
        <w:jc w:val="center"/>
        <w:ind w:right="-139"/>
        <w:spacing w:after="0"/>
        <w:rPr>
          <w:sz w:val="20"/>
          <w:szCs w:val="20"/>
          <w:color w:val="auto"/>
        </w:rPr>
      </w:pPr>
      <w:r>
        <w:rPr>
          <w:rFonts w:ascii="Arial" w:cs="Arial" w:eastAsia="Arial" w:hAnsi="Arial"/>
          <w:sz w:val="21"/>
          <w:szCs w:val="21"/>
          <w:color w:val="auto"/>
        </w:rPr>
        <w:t>00-353-1-291-2000</w:t>
      </w:r>
    </w:p>
    <w:p>
      <w:pPr>
        <w:jc w:val="center"/>
        <w:ind w:right="-139"/>
        <w:spacing w:after="0"/>
        <w:rPr>
          <w:sz w:val="20"/>
          <w:szCs w:val="20"/>
          <w:color w:val="auto"/>
        </w:rPr>
      </w:pPr>
      <w:r>
        <w:rPr>
          <w:rFonts w:ascii="Arial" w:cs="Arial" w:eastAsia="Arial" w:hAnsi="Arial"/>
          <w:sz w:val="21"/>
          <w:szCs w:val="21"/>
          <w:color w:val="auto"/>
        </w:rPr>
        <w:t>(Name, telephone number, email and/or facsimile number and address of Company contact person)</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09" w:lineRule="exact"/>
        <w:rPr>
          <w:sz w:val="24"/>
          <w:szCs w:val="24"/>
          <w:color w:val="auto"/>
        </w:rPr>
      </w:pPr>
    </w:p>
    <w:p>
      <w:pPr>
        <w:ind w:left="3960"/>
        <w:spacing w:after="0"/>
        <w:tabs>
          <w:tab w:leader="none" w:pos="694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u w:val="single" w:color="auto"/>
          <w:color w:val="auto"/>
        </w:rPr>
        <w:t>X</w:t>
      </w:r>
      <w:r>
        <w:rPr>
          <w:rFonts w:ascii="Arial" w:cs="Arial" w:eastAsia="Arial" w:hAnsi="Arial"/>
          <w:sz w:val="21"/>
          <w:szCs w:val="21"/>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(1):</w:t>
      </w:r>
    </w:p>
    <w:p>
      <w:pPr>
        <w:spacing w:after="0" w:line="191" w:lineRule="exact"/>
        <w:rPr>
          <w:sz w:val="24"/>
          <w:szCs w:val="24"/>
          <w:color w:val="auto"/>
        </w:rPr>
      </w:pPr>
    </w:p>
    <w:p>
      <w:pPr>
        <w:ind w:left="4000"/>
        <w:spacing w:after="0"/>
        <w:tabs>
          <w:tab w:leader="none" w:pos="686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(7):</w:t>
      </w:r>
    </w:p>
    <w:p>
      <w:pPr>
        <w:spacing w:after="0" w:line="191" w:lineRule="exact"/>
        <w:rPr>
          <w:sz w:val="24"/>
          <w:szCs w:val="24"/>
          <w:color w:val="auto"/>
        </w:rPr>
      </w:pPr>
    </w:p>
    <w:p>
      <w:pPr>
        <w:ind w:left="4000"/>
        <w:spacing w:after="0"/>
        <w:tabs>
          <w:tab w:leader="none" w:pos="686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2" w:lineRule="exact"/>
        <w:rPr>
          <w:sz w:val="24"/>
          <w:szCs w:val="24"/>
          <w:color w:val="auto"/>
        </w:rPr>
      </w:pPr>
    </w:p>
    <w:p>
      <w:pPr>
        <w:spacing w:after="0" w:line="27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6" w:lineRule="exact"/>
        <w:rPr>
          <w:sz w:val="24"/>
          <w:szCs w:val="24"/>
          <w:color w:val="auto"/>
        </w:rPr>
      </w:pPr>
    </w:p>
    <w:p>
      <w:pPr>
        <w:ind w:left="3960"/>
        <w:spacing w:after="0"/>
        <w:tabs>
          <w:tab w:leader="none" w:pos="688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color w:val="auto"/>
        </w:rPr>
        <w:t>_</w:t>
      </w:r>
      <w:r>
        <w:rPr>
          <w:rFonts w:ascii="Arial" w:cs="Arial" w:eastAsia="Arial" w:hAnsi="Arial"/>
          <w:sz w:val="21"/>
          <w:szCs w:val="21"/>
          <w:color w:val="auto"/>
        </w:rPr>
        <w:t>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ectPr>
          <w:pgSz w:w="12240" w:h="15840" w:orient="portrait"/>
          <w:cols w:equalWidth="0" w:num="1">
            <w:col w:w="11060"/>
          </w:cols>
          <w:pgMar w:left="520" w:top="218" w:right="660" w:bottom="1440" w:gutter="0" w:footer="0" w:header="0"/>
        </w:sectPr>
      </w:pPr>
    </w:p>
    <w:p>
      <w:pPr>
        <w:spacing w:after="0" w:line="200" w:lineRule="exact"/>
        <w:rPr>
          <w:sz w:val="24"/>
          <w:szCs w:val="24"/>
          <w:color w:val="auto"/>
        </w:rPr>
      </w:pPr>
    </w:p>
    <w:p>
      <w:pPr>
        <w:spacing w:after="0" w:line="256" w:lineRule="exact"/>
        <w:rPr>
          <w:sz w:val="24"/>
          <w:szCs w:val="24"/>
          <w:color w:val="auto"/>
        </w:rPr>
      </w:pPr>
    </w:p>
    <w:p>
      <w:pPr>
        <w:spacing w:after="0"/>
        <w:tabs>
          <w:tab w:leader="none" w:pos="1010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20"/>
          <w:szCs w:val="20"/>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708660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060"/>
          </w:cols>
          <w:pgMar w:left="520" w:top="218" w:right="660" w:bottom="1440" w:gutter="0" w:footer="0" w:header="0"/>
          <w:type w:val="continuous"/>
        </w:sectPr>
      </w:pPr>
    </w:p>
    <w:bookmarkStart w:id="1" w:name="page2"/>
    <w:bookmarkEnd w:id="1"/>
    <w:p>
      <w:pPr>
        <w:jc w:val="right"/>
        <w:ind w:right="408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Issues Financial Guidance for Full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08660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0280"/>
          </w:cols>
          <w:pgMar w:left="520" w:top="2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/s/ Brendan Brennan</w:t>
      </w:r>
    </w:p>
    <w:p>
      <w:pPr>
        <w:spacing w:after="0" w:line="34" w:lineRule="exact"/>
        <w:rPr>
          <w:sz w:val="20"/>
          <w:szCs w:val="20"/>
          <w:color w:val="auto"/>
        </w:rPr>
      </w:pPr>
    </w:p>
    <w:p>
      <w:pPr>
        <w:ind w:left="560" w:right="2780" w:hanging="6720"/>
        <w:spacing w:after="0" w:line="272" w:lineRule="auto"/>
        <w:tabs>
          <w:tab w:leader="none" w:pos="540" w:val="left"/>
        </w:tabs>
        <w:rPr>
          <w:sz w:val="20"/>
          <w:szCs w:val="20"/>
          <w:color w:val="auto"/>
        </w:rPr>
      </w:pPr>
      <w:r>
        <w:rPr>
          <w:rFonts w:ascii="Arial" w:cs="Arial" w:eastAsia="Arial" w:hAnsi="Arial"/>
          <w:sz w:val="18"/>
          <w:szCs w:val="18"/>
          <w:color w:val="auto"/>
        </w:rPr>
        <w:t>Date:</w:t>
        <w:tab/>
        <w:t>January 8, 2019 Brendan Brennan Chief Financial Officer</w:t>
      </w:r>
    </w:p>
    <w:p>
      <w:pPr>
        <w:sectPr>
          <w:pgSz w:w="12240" w:h="15840" w:orient="portrait"/>
          <w:cols w:equalWidth="0" w:num="1">
            <w:col w:w="11160"/>
          </w:cols>
          <w:pgMar w:left="520" w:top="223" w:right="560"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ICON Issues Financial Guidance for Full Year 2019</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Highlights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Full Year 2019 Revenue guidance in the range of $2,735 - $2,835 million, representing growth of 5.2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-81280</wp:posOffset>
            </wp:positionV>
            <wp:extent cx="67945" cy="67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Full Year 2019 Earnings per share guidance in the range of $6.69 - $6.89, representing growth of 10.6 –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-81280</wp:posOffset>
            </wp:positionV>
            <wp:extent cx="67945" cy="6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Announces intention to repurchase up to 1 million shares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-88265</wp:posOffset>
            </wp:positionV>
            <wp:extent cx="67945" cy="6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320"/>
        <w:spacing w:after="0" w:line="277" w:lineRule="auto"/>
        <w:rPr>
          <w:sz w:val="20"/>
          <w:szCs w:val="20"/>
          <w:color w:val="auto"/>
        </w:rPr>
      </w:pPr>
      <w:r>
        <w:rPr>
          <w:rFonts w:ascii="Arial" w:cs="Arial" w:eastAsia="Arial" w:hAnsi="Arial"/>
          <w:sz w:val="21"/>
          <w:szCs w:val="21"/>
          <w:b w:val="1"/>
          <w:bCs w:val="1"/>
          <w:color w:val="auto"/>
        </w:rPr>
        <w:t>Reaffirming 2018 guidance of revenue in the range of $2,560 – $2,640 million and earnings in the range of $5.98 - $6.12.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0"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DUBLIN--(BUSINESS WIRE)--January 8, 2019--</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global provider of drug development solutions and services to the pharmaceutical, biotechnology and medical device industries, today announced its financial guidance for the year ended December 31, 2019. For the full year 2019 revenue is expected to be in the range of $2,735 - $2,835 million, representing growth of 5.2 – 9.0% and earnings per share is expected to be in the range of $6.69 - $6.89, representing growth of 10.6 – 13.9%.</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CEO Steve Cutler commented “</w:t>
      </w:r>
      <w:r>
        <w:rPr>
          <w:rFonts w:ascii="Arial" w:cs="Arial" w:eastAsia="Arial" w:hAnsi="Arial"/>
          <w:sz w:val="20"/>
          <w:szCs w:val="20"/>
          <w:i w:val="1"/>
          <w:iCs w:val="1"/>
          <w:color w:val="auto"/>
        </w:rPr>
        <w:t>We expect 2019 to be another robust year of revenue and earnings progression for ICON.</w:t>
      </w:r>
      <w:r>
        <w:rPr>
          <w:rFonts w:ascii="Arial" w:cs="Arial" w:eastAsia="Arial" w:hAnsi="Arial"/>
          <w:sz w:val="20"/>
          <w:szCs w:val="20"/>
          <w:color w:val="auto"/>
        </w:rPr>
        <w:t xml:space="preserve"> </w:t>
      </w:r>
      <w:r>
        <w:rPr>
          <w:rFonts w:ascii="Arial" w:cs="Arial" w:eastAsia="Arial" w:hAnsi="Arial"/>
          <w:sz w:val="20"/>
          <w:szCs w:val="20"/>
          <w:i w:val="1"/>
          <w:iCs w:val="1"/>
          <w:color w:val="auto"/>
        </w:rPr>
        <w:t>Supported by a positive business win trend of a trailing twelve month book to bill of 1.28x, we expect revenue to grow by 5.2 – 9.0% to a range of $2,735 - $2,835 million. Furthermore, through our continued focus on efficiency and leveraging our global support infrastructure, we expect earnings per share to increase by 10.6 – 13.9% to a range of $6.69 - $6.89. In addition to this organic growth, we feel we have the strongest balance sheet in the industry and will continue to focus on deploying capital to maximise shareholder value through a combination of M&amp;A and share repurchases.”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The full year 2019 financial guidance assumes: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21"/>
          <w:szCs w:val="21"/>
          <w:color w:val="auto"/>
        </w:rPr>
        <w:t>US dollar to Euro exchange rate of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-92075</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21"/>
          <w:szCs w:val="21"/>
          <w:color w:val="auto"/>
        </w:rPr>
        <w:t>An effective tax rate of circa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-92075</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21"/>
          <w:szCs w:val="21"/>
          <w:color w:val="auto"/>
        </w:rPr>
        <w:t>Circa $300 million of free cash flow and capital expenditures of circa $55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-92075</wp:posOffset>
            </wp:positionV>
            <wp:extent cx="67945"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140"/>
        <w:spacing w:after="0" w:line="271" w:lineRule="auto"/>
        <w:rPr>
          <w:sz w:val="20"/>
          <w:szCs w:val="20"/>
          <w:color w:val="auto"/>
        </w:rPr>
      </w:pPr>
      <w:r>
        <w:rPr>
          <w:rFonts w:ascii="Arial" w:cs="Arial" w:eastAsia="Arial" w:hAnsi="Arial"/>
          <w:sz w:val="21"/>
          <w:szCs w:val="21"/>
          <w:color w:val="auto"/>
        </w:rPr>
        <w:t>Share repurchases of up to 1 million shares to be executed opportunistically during 2019 depending on cash commitments to support M&amp;A pipeline, no additional earnings benefit included in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-285115</wp:posOffset>
            </wp:positionV>
            <wp:extent cx="67945" cy="67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32" w:lineRule="exact"/>
        <w:rPr>
          <w:sz w:val="20"/>
          <w:szCs w:val="20"/>
          <w:color w:val="auto"/>
        </w:rPr>
      </w:pPr>
    </w:p>
    <w:p>
      <w:pPr>
        <w:ind w:right="720"/>
        <w:spacing w:after="0" w:line="271" w:lineRule="auto"/>
        <w:rPr>
          <w:sz w:val="20"/>
          <w:szCs w:val="20"/>
          <w:color w:val="auto"/>
        </w:rPr>
      </w:pPr>
      <w:r>
        <w:rPr>
          <w:rFonts w:ascii="Arial" w:cs="Arial" w:eastAsia="Arial" w:hAnsi="Arial"/>
          <w:sz w:val="21"/>
          <w:szCs w:val="21"/>
          <w:color w:val="auto"/>
        </w:rPr>
        <w:t>With respect to 2018, the company reaffirmed its current guidance of revenue in the range of $2,560 – $2,640 million and earnings in the range of $5.98 - $6.12.</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In addition, the company repurchased $72 million worth of shares in Q4 2018.</w:t>
      </w:r>
    </w:p>
    <w:p>
      <w:pPr>
        <w:spacing w:after="0" w:line="218" w:lineRule="exact"/>
        <w:rPr>
          <w:sz w:val="20"/>
          <w:szCs w:val="20"/>
          <w:color w:val="auto"/>
        </w:rPr>
      </w:pPr>
    </w:p>
    <w:p>
      <w:pPr>
        <w:ind w:right="660"/>
        <w:spacing w:after="0" w:line="218" w:lineRule="auto"/>
        <w:rPr>
          <w:sz w:val="20"/>
          <w:szCs w:val="20"/>
          <w:color w:val="auto"/>
        </w:rPr>
      </w:pPr>
      <w:r>
        <w:rPr>
          <w:rFonts w:ascii="Arial" w:cs="Arial" w:eastAsia="Arial" w:hAnsi="Arial"/>
          <w:sz w:val="21"/>
          <w:szCs w:val="21"/>
          <w:color w:val="auto"/>
        </w:rPr>
        <w:t xml:space="preserve">ICON will be presenting at the JP Morgan Healthcare Conference on </w:t>
      </w:r>
      <w:r>
        <w:rPr>
          <w:rFonts w:ascii="Arial" w:cs="Arial" w:eastAsia="Arial" w:hAnsi="Arial"/>
          <w:sz w:val="21"/>
          <w:szCs w:val="21"/>
          <w:b w:val="1"/>
          <w:bCs w:val="1"/>
          <w:color w:val="auto"/>
        </w:rPr>
        <w:t>January 8</w:t>
      </w:r>
      <w:r>
        <w:rPr>
          <w:rFonts w:ascii="Arial" w:cs="Arial" w:eastAsia="Arial" w:hAnsi="Arial"/>
          <w:sz w:val="35"/>
          <w:szCs w:val="35"/>
          <w:b w:val="1"/>
          <w:bCs w:val="1"/>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b w:val="1"/>
          <w:bCs w:val="1"/>
          <w:color w:val="auto"/>
        </w:rPr>
        <w:t>at 7:30am PT (10:30am EST, 3:30pm</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Ireland &amp; UK). </w:t>
      </w:r>
      <w:r>
        <w:rPr>
          <w:rFonts w:ascii="Arial" w:cs="Arial" w:eastAsia="Arial" w:hAnsi="Arial"/>
          <w:sz w:val="21"/>
          <w:szCs w:val="21"/>
          <w:color w:val="auto"/>
        </w:rPr>
        <w:t>This presentation and follow-on Q&amp;A can be accessed live from the ICON website at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08660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58"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93 locations in 37 countries and has approximately 13,680 employees. Further information is available at </w:t>
      </w:r>
      <w:r>
        <w:rPr>
          <w:rFonts w:ascii="Arial" w:cs="Arial" w:eastAsia="Arial" w:hAnsi="Arial"/>
          <w:sz w:val="21"/>
          <w:szCs w:val="21"/>
          <w:u w:val="single" w:color="auto"/>
          <w:color w:val="auto"/>
        </w:rPr>
        <w:t>www.iconplc.com</w:t>
      </w:r>
      <w:r>
        <w:rPr>
          <w:rFonts w:ascii="Arial" w:cs="Arial" w:eastAsia="Arial" w:hAnsi="Arial"/>
          <w:sz w:val="21"/>
          <w:szCs w:val="2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ICON/ICLR-F</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Investor Relations</w:t>
      </w:r>
    </w:p>
    <w:p>
      <w:pPr>
        <w:spacing w:after="0"/>
        <w:rPr>
          <w:sz w:val="20"/>
          <w:szCs w:val="20"/>
          <w:color w:val="auto"/>
        </w:rPr>
      </w:pPr>
      <w:r>
        <w:rPr>
          <w:rFonts w:ascii="Arial" w:cs="Arial" w:eastAsia="Arial" w:hAnsi="Arial"/>
          <w:sz w:val="21"/>
          <w:szCs w:val="21"/>
          <w:color w:val="auto"/>
        </w:rPr>
        <w:t>1-888-381-7923</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Brendan Brennan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Chief Financial Officer</w:t>
      </w:r>
    </w:p>
    <w:p>
      <w:pPr>
        <w:spacing w:after="0"/>
        <w:rPr>
          <w:sz w:val="20"/>
          <w:szCs w:val="20"/>
          <w:color w:val="auto"/>
        </w:rPr>
      </w:pPr>
      <w:r>
        <w:rPr>
          <w:rFonts w:ascii="Arial" w:cs="Arial" w:eastAsia="Arial" w:hAnsi="Arial"/>
          <w:sz w:val="21"/>
          <w:szCs w:val="21"/>
          <w:color w:val="auto"/>
        </w:rPr>
        <w:t>+ 353 –1-291-2000</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Jonathan Curtain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Corporate Finance and Investor Relations</w:t>
      </w:r>
    </w:p>
    <w:p>
      <w:pPr>
        <w:spacing w:after="0"/>
        <w:rPr>
          <w:sz w:val="20"/>
          <w:szCs w:val="20"/>
          <w:color w:val="auto"/>
        </w:rPr>
      </w:pPr>
      <w:r>
        <w:rPr>
          <w:rFonts w:ascii="Arial" w:cs="Arial" w:eastAsia="Arial" w:hAnsi="Arial"/>
          <w:sz w:val="21"/>
          <w:szCs w:val="21"/>
          <w:color w:val="auto"/>
        </w:rPr>
        <w:t>+1 215-616-3000</w:t>
      </w: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2019-12-14T20:50:08Z</dcterms:created>
  <dcterms:modified xsi:type="dcterms:W3CDTF">2019-12-14T20:50:08Z</dcterms:modified>
</cp:coreProperties>
</file>