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564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564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Whitaker Anne Clem</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40" w:type="dxa"/>
            <w:vAlign w:val="bottom"/>
            <w:tcBorders>
              <w:top w:val="single" w:sz="8" w:color="0000EE"/>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ICON PLC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ICLR</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C/O ICON PLC</w:t>
      </w:r>
    </w:p>
    <w:p>
      <w:pPr>
        <w:spacing w:after="0" w:line="70"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SOUTH COUNTY BUSINESS</w:t>
      </w:r>
    </w:p>
    <w:p>
      <w:pPr>
        <w:spacing w:after="0" w:line="24"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PARK, LEOPARDSTOWN</w:t>
      </w:r>
    </w:p>
    <w:p>
      <w:pPr>
        <w:spacing w:after="0" w:line="31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440" w:type="dxa"/>
            <w:vAlign w:val="bottom"/>
          </w:tcPr>
          <w:p>
            <w:pPr>
              <w:spacing w:after="0"/>
              <w:rPr>
                <w:sz w:val="20"/>
                <w:szCs w:val="20"/>
                <w:color w:val="auto"/>
              </w:rPr>
            </w:pPr>
            <w:r>
              <w:rPr>
                <w:rFonts w:ascii="Arial" w:cs="Arial" w:eastAsia="Arial" w:hAnsi="Arial"/>
                <w:sz w:val="15"/>
                <w:szCs w:val="15"/>
                <w:color w:val="auto"/>
              </w:rPr>
              <w:t>(Street)</w:t>
            </w:r>
          </w:p>
        </w:tc>
        <w:tc>
          <w:tcPr>
            <w:tcW w:w="1500" w:type="dxa"/>
            <w:vAlign w:val="bottom"/>
          </w:tcPr>
          <w:p>
            <w:pPr>
              <w:spacing w:after="0"/>
              <w:rPr>
                <w:sz w:val="17"/>
                <w:szCs w:val="17"/>
                <w:color w:val="auto"/>
              </w:rPr>
            </w:pPr>
          </w:p>
        </w:tc>
      </w:tr>
      <w:tr>
        <w:trPr>
          <w:trHeight w:val="265"/>
        </w:trPr>
        <w:tc>
          <w:tcPr>
            <w:tcW w:w="144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DUBLIN</w:t>
            </w:r>
          </w:p>
        </w:tc>
        <w:tc>
          <w:tcPr>
            <w:tcW w:w="1500" w:type="dxa"/>
            <w:vAlign w:val="bottom"/>
          </w:tcPr>
          <w:p>
            <w:pPr>
              <w:ind w:left="660"/>
              <w:spacing w:after="0"/>
              <w:rPr>
                <w:sz w:val="20"/>
                <w:szCs w:val="20"/>
                <w:color w:val="auto"/>
              </w:rPr>
            </w:pPr>
            <w:r>
              <w:rPr>
                <w:rFonts w:ascii="Times New Roman" w:cs="Times New Roman" w:eastAsia="Times New Roman" w:hAnsi="Times New Roman"/>
                <w:sz w:val="20"/>
                <w:szCs w:val="20"/>
                <w:color w:val="0000FF"/>
                <w:w w:val="93"/>
              </w:rPr>
              <w:t>D18 X5R3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080" w:type="dxa"/>
            <w:vAlign w:val="bottom"/>
          </w:tcPr>
          <w:p>
            <w:pPr>
              <w:ind w:left="80"/>
              <w:spacing w:after="0"/>
              <w:rPr>
                <w:sz w:val="20"/>
                <w:szCs w:val="20"/>
                <w:color w:val="auto"/>
              </w:rPr>
            </w:pPr>
            <w:r>
              <w:rPr>
                <w:rFonts w:ascii="Arial" w:cs="Arial" w:eastAsia="Arial" w:hAnsi="Arial"/>
                <w:sz w:val="15"/>
                <w:szCs w:val="15"/>
                <w:b w:val="1"/>
                <w:bCs w:val="1"/>
                <w:color w:val="auto"/>
              </w:rPr>
              <w:t>1. Title of Derivative Security (Instr. 4)</w:t>
            </w: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308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98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308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40" w:type="dxa"/>
            <w:vAlign w:val="bottom"/>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40" w:type="dxa"/>
            <w:vAlign w:val="bottom"/>
            <w:vMerge w:val="continue"/>
          </w:tcPr>
          <w:p>
            <w:pPr>
              <w:spacing w:after="0"/>
              <w:rPr>
                <w:sz w:val="13"/>
                <w:szCs w:val="13"/>
                <w:color w:val="auto"/>
              </w:rPr>
            </w:pPr>
          </w:p>
        </w:tc>
        <w:tc>
          <w:tcPr>
            <w:tcW w:w="980" w:type="dxa"/>
            <w:vAlign w:val="bottom"/>
          </w:tcPr>
          <w:p>
            <w:pPr>
              <w:ind w:left="6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40" w:type="dxa"/>
            <w:vAlign w:val="bottom"/>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840" w:type="dxa"/>
            <w:vAlign w:val="bottom"/>
          </w:tcPr>
          <w:p>
            <w:pPr>
              <w:ind w:left="18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308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308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Restricted Share Units</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880" w:type="dxa"/>
            <w:vAlign w:val="bottom"/>
          </w:tcPr>
          <w:p>
            <w:pPr>
              <w:jc w:val="right"/>
              <w:ind w:right="289"/>
              <w:spacing w:after="0"/>
              <w:rPr>
                <w:sz w:val="20"/>
                <w:szCs w:val="20"/>
                <w:color w:val="auto"/>
              </w:rPr>
            </w:pPr>
            <w:r>
              <w:rPr>
                <w:rFonts w:ascii="Times New Roman" w:cs="Times New Roman" w:eastAsia="Times New Roman" w:hAnsi="Times New Roman"/>
                <w:sz w:val="13"/>
                <w:szCs w:val="13"/>
                <w:color w:val="008000"/>
              </w:rPr>
              <w:t>(1)</w:t>
            </w:r>
          </w:p>
        </w:tc>
        <w:tc>
          <w:tcPr>
            <w:tcW w:w="174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Ordinary Shares</w:t>
            </w:r>
          </w:p>
        </w:tc>
        <w:tc>
          <w:tcPr>
            <w:tcW w:w="840" w:type="dxa"/>
            <w:vAlign w:val="bottom"/>
          </w:tcPr>
          <w:p>
            <w:pPr>
              <w:ind w:left="260"/>
              <w:spacing w:after="0"/>
              <w:rPr>
                <w:sz w:val="20"/>
                <w:szCs w:val="20"/>
                <w:color w:val="auto"/>
              </w:rPr>
            </w:pPr>
            <w:r>
              <w:rPr>
                <w:rFonts w:ascii="Times New Roman" w:cs="Times New Roman" w:eastAsia="Times New Roman" w:hAnsi="Times New Roman"/>
                <w:sz w:val="20"/>
                <w:szCs w:val="20"/>
                <w:color w:val="0000FF"/>
              </w:rPr>
              <w:t>1,732</w:t>
            </w:r>
          </w:p>
        </w:tc>
        <w:tc>
          <w:tcPr>
            <w:tcW w:w="980" w:type="dxa"/>
            <w:vAlign w:val="bottom"/>
          </w:tcPr>
          <w:p>
            <w:pPr>
              <w:ind w:left="420"/>
              <w:spacing w:after="0"/>
              <w:rPr>
                <w:sz w:val="20"/>
                <w:szCs w:val="20"/>
                <w:color w:val="auto"/>
              </w:rPr>
            </w:pPr>
            <w:r>
              <w:rPr>
                <w:rFonts w:ascii="Times New Roman" w:cs="Times New Roman" w:eastAsia="Times New Roman" w:hAnsi="Times New Roman"/>
                <w:sz w:val="13"/>
                <w:szCs w:val="13"/>
                <w:color w:val="008000"/>
              </w:rPr>
              <w:t>(1)</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08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40" w:right="16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restricted share units were granted on May 22, 2025 and vest in full on, where applicable, the later of (i) the first anniversary of the grant date and (ii) the date of payment of withholding taxes. Each restricted share unit represents a contingent right to receive one ordinary share of the Issuer upon vesting, with a nominal conversion price equal to the par value of the ordinary shares (EUR 0.06) per underlying share automatically deducted from the reporting person's pay in connection with vesting.</w:t>
      </w:r>
    </w:p>
    <w:p>
      <w:pPr>
        <w:spacing w:after="0" w:line="27"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360"/>
        <w:spacing w:after="0" w:line="259" w:lineRule="auto"/>
        <w:rPr>
          <w:sz w:val="20"/>
          <w:szCs w:val="20"/>
          <w:color w:val="auto"/>
        </w:rPr>
      </w:pPr>
      <w:r>
        <w:rPr>
          <w:rFonts w:ascii="Times New Roman" w:cs="Times New Roman" w:eastAsia="Times New Roman" w:hAnsi="Times New Roman"/>
          <w:sz w:val="15"/>
          <w:szCs w:val="15"/>
          <w:color w:val="008000"/>
        </w:rPr>
        <w:t>Due to the issuer's status as a foreign private issuer pursuant to Rule 3a12-3(b) under the Securities Exchange Act of 1934 (the "Act"), the reporting person's transactions in the issuer's equity securities are exempt from Sections 16(b) and 16(c) of the Act. Exhibit 24 - Power of Attorney.</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Erina Joan Fox,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66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52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9880"/>
        <w:spacing w:after="0"/>
        <w:rPr>
          <w:sz w:val="20"/>
          <w:szCs w:val="20"/>
          <w:color w:val="auto"/>
        </w:rPr>
      </w:pPr>
      <w:r>
        <w:rPr>
          <w:rFonts w:ascii="Times New Roman" w:cs="Times New Roman" w:eastAsia="Times New Roman" w:hAnsi="Times New Roman"/>
          <w:sz w:val="23"/>
          <w:szCs w:val="23"/>
          <w:b w:val="1"/>
          <w:bCs w:val="1"/>
          <w:color w:val="auto"/>
        </w:rPr>
        <w:t>Exhibit 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77" w:lineRule="exact"/>
        <w:rPr>
          <w:sz w:val="20"/>
          <w:szCs w:val="20"/>
          <w:color w:val="auto"/>
        </w:rPr>
      </w:pPr>
    </w:p>
    <w:p>
      <w:pPr>
        <w:ind w:right="720" w:firstLine="180"/>
        <w:spacing w:after="0" w:line="292" w:lineRule="auto"/>
        <w:rPr>
          <w:sz w:val="20"/>
          <w:szCs w:val="20"/>
          <w:color w:val="auto"/>
        </w:rPr>
      </w:pPr>
      <w:r>
        <w:rPr>
          <w:rFonts w:ascii="Times New Roman" w:cs="Times New Roman" w:eastAsia="Times New Roman" w:hAnsi="Times New Roman"/>
          <w:sz w:val="18"/>
          <w:szCs w:val="18"/>
          <w:color w:val="auto"/>
        </w:rPr>
        <w:t>KNOW ALL BY THESE PRESENTS, that the undersigned does hereby constitute and appoint Diarmaid Kevin Cunningham, Simon Peter Hollywood and Erina Joan Fox as the undersigned’s true and lawful attorney-in-fact to, as applicable:</w:t>
      </w:r>
    </w:p>
    <w:p>
      <w:pPr>
        <w:spacing w:after="0" w:line="202" w:lineRule="exact"/>
        <w:rPr>
          <w:sz w:val="20"/>
          <w:szCs w:val="20"/>
          <w:color w:val="auto"/>
        </w:rPr>
      </w:pPr>
    </w:p>
    <w:p>
      <w:pPr>
        <w:ind w:left="720" w:right="140" w:hanging="360"/>
        <w:spacing w:after="0" w:line="260"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ICON plc (the “Company”), and submit to the U.S. Securities and Exchange Commission (“SEC”) a Form ID, including amendments thereto, and any other documents necessary or appropriate to obtain codes and passwords enabling the undersigned to make electronic filings with the SEC of reports required by Section 16(a) of the Securities Exchange Act of 1934 (the “Exchange Act”) and the rules thereunder, Rule 144 under the Securities Act of 1933 (the “Securities Act”), and any amendments to the foregoing;</w:t>
      </w:r>
    </w:p>
    <w:p>
      <w:pPr>
        <w:spacing w:after="0" w:line="229" w:lineRule="exact"/>
        <w:rPr>
          <w:rFonts w:ascii="Times New Roman" w:cs="Times New Roman" w:eastAsia="Times New Roman" w:hAnsi="Times New Roman"/>
          <w:sz w:val="18"/>
          <w:szCs w:val="18"/>
          <w:color w:val="auto"/>
        </w:rPr>
      </w:pPr>
    </w:p>
    <w:p>
      <w:pPr>
        <w:ind w:left="720" w:right="18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in the undersigned’s capacity as a director of the Company, Forms 3, 4 and 5 in accordance with Section 16(a) of the Exchange Act and the rules thereunder, Forms 144 in accordance with Rule 144 under the Securities Act, and any amendments to the foregoing;</w:t>
      </w:r>
    </w:p>
    <w:p>
      <w:pPr>
        <w:spacing w:after="0" w:line="222" w:lineRule="exact"/>
        <w:rPr>
          <w:rFonts w:ascii="Times New Roman" w:cs="Times New Roman" w:eastAsia="Times New Roman" w:hAnsi="Times New Roman"/>
          <w:sz w:val="18"/>
          <w:szCs w:val="18"/>
          <w:color w:val="auto"/>
        </w:rPr>
      </w:pPr>
    </w:p>
    <w:p>
      <w:pPr>
        <w:ind w:left="720" w:right="40" w:hanging="360"/>
        <w:spacing w:after="0" w:line="268"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Forms 3, 4 or 5 or Forms 144, complete and execute any amendment or amendments thereto, and timely file such form with the SEC and any stock exchange or similar authority; and</w:t>
      </w:r>
    </w:p>
    <w:p>
      <w:pPr>
        <w:spacing w:after="0" w:line="222" w:lineRule="exact"/>
        <w:rPr>
          <w:rFonts w:ascii="Times New Roman" w:cs="Times New Roman" w:eastAsia="Times New Roman" w:hAnsi="Times New Roman"/>
          <w:sz w:val="18"/>
          <w:szCs w:val="18"/>
          <w:color w:val="auto"/>
        </w:rPr>
      </w:pPr>
    </w:p>
    <w:p>
      <w:pPr>
        <w:ind w:left="720" w:hanging="360"/>
        <w:spacing w:after="0" w:line="265"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to such attorney-in-fact’s discretion.</w:t>
      </w:r>
    </w:p>
    <w:p>
      <w:pPr>
        <w:spacing w:after="0" w:line="22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or Rule 144 under the Securities Act.</w:t>
      </w:r>
    </w:p>
    <w:p>
      <w:pPr>
        <w:spacing w:after="0" w:line="252"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undersigned acknowledges that each such attorney-in-fact shall not be liable to the undersigned or to any other person for any act or omission taken in good faith and in a manner reasonably believed to be within the scope of authority granted under this Power of Attorney. Each such attorney-in-fact shall not be liable for any loss, damage, or expense incurred by reason of any act or omission in connection with the exercise or purported exercise of authority under this Power of Attorney, except to the extent resulting from such attorney-in-fact’s willful misconduct, or fraud. The undersigned undertakes and agrees to indemnify the attorneys-in-fact against all actions, claims, demands, proceedings, costs, charges, expenses and other losses, damages, or expenses that may be made against the attorneys-in-fact by reason of acting pursuant to this Power of Attorney.</w:t>
      </w:r>
    </w:p>
    <w:p>
      <w:pPr>
        <w:spacing w:after="0" w:line="236" w:lineRule="exact"/>
        <w:rPr>
          <w:sz w:val="20"/>
          <w:szCs w:val="20"/>
          <w:color w:val="auto"/>
        </w:rPr>
      </w:pPr>
    </w:p>
    <w:p>
      <w:pPr>
        <w:ind w:right="560"/>
        <w:spacing w:after="0" w:line="268"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Forms 3, 4 and 5 or Forms 144, as applicable, with respect to the undersigned’s holdings of and transactions in securities issued by the Company, unless earlier revoked by the undersigned in a signed writing delivered to the foregoing attorneys-in-fact.</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the 17</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8"/>
          <w:szCs w:val="18"/>
          <w:color w:val="auto"/>
        </w:rPr>
        <w:t xml:space="preserve"> day of March, 2026.</w:t>
      </w:r>
    </w:p>
    <w:p>
      <w:pPr>
        <w:spacing w:after="0" w:line="231"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Anne Clem Whitaker</w:t>
      </w:r>
    </w:p>
    <w:p>
      <w:pPr>
        <w:spacing w:after="0" w:line="23" w:lineRule="exact"/>
        <w:rPr>
          <w:sz w:val="20"/>
          <w:szCs w:val="20"/>
          <w:color w:val="auto"/>
        </w:rPr>
      </w:pPr>
    </w:p>
    <w:p>
      <w:pPr>
        <w:ind w:left="6120"/>
        <w:spacing w:after="0"/>
        <w:rPr>
          <w:sz w:val="20"/>
          <w:szCs w:val="20"/>
          <w:color w:val="auto"/>
        </w:rPr>
      </w:pPr>
      <w:r>
        <w:rPr>
          <w:rFonts w:ascii="Times New Roman" w:cs="Times New Roman" w:eastAsia="Times New Roman" w:hAnsi="Times New Roman"/>
          <w:sz w:val="18"/>
          <w:szCs w:val="18"/>
          <w:color w:val="auto"/>
        </w:rPr>
        <w:t>Anne Clem Whitaker</w:t>
      </w:r>
    </w:p>
    <w:sectPr>
      <w:pgSz w:w="11900" w:h="16838" w:orient="portrait"/>
      <w:cols w:equalWidth="0" w:num="1">
        <w:col w:w="10940"/>
      </w:cols>
      <w:pgMar w:left="480" w:top="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593283" TargetMode="External"/><Relationship Id="rId11" Type="http://schemas.openxmlformats.org/officeDocument/2006/relationships/hyperlink" Target="http://www.sec.gov/cgi-bin/browse-edgar?action=getcompany&amp;CIK=00010609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2026-03-18T14:41:19Z</dcterms:created>
  <dcterms:modified xsi:type="dcterms:W3CDTF">2026-03-18T14:41:19Z</dcterms:modified>
</cp:coreProperties>
</file>