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FORM 6-K</w:t>
      </w:r>
    </w:p>
    <w:p>
      <w:pPr>
        <w:spacing w:after="0" w:line="200" w:lineRule="exact"/>
        <w:rPr>
          <w:sz w:val="24"/>
          <w:szCs w:val="24"/>
          <w:color w:val="auto"/>
        </w:rPr>
      </w:pPr>
    </w:p>
    <w:p>
      <w:pPr>
        <w:spacing w:after="0" w:line="296"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00" w:lineRule="exact"/>
        <w:rPr>
          <w:sz w:val="24"/>
          <w:szCs w:val="24"/>
          <w:color w:val="auto"/>
        </w:rPr>
      </w:pPr>
    </w:p>
    <w:p>
      <w:pPr>
        <w:spacing w:after="0" w:line="297"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200" w:lineRule="exact"/>
        <w:rPr>
          <w:sz w:val="24"/>
          <w:szCs w:val="24"/>
          <w:color w:val="auto"/>
        </w:rPr>
      </w:pPr>
    </w:p>
    <w:p>
      <w:pPr>
        <w:spacing w:after="0" w:line="27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Rule 13a-16 under</w:t>
      </w: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 xml:space="preserve">For the month ended </w:t>
      </w:r>
      <w:r>
        <w:rPr>
          <w:rFonts w:ascii="Arial" w:cs="Arial" w:eastAsia="Arial" w:hAnsi="Arial"/>
          <w:sz w:val="18"/>
          <w:szCs w:val="18"/>
          <w:color w:val="auto"/>
        </w:rPr>
        <w:t>March, 2015</w:t>
      </w:r>
    </w:p>
    <w:p>
      <w:pPr>
        <w:spacing w:after="0" w:line="200" w:lineRule="exact"/>
        <w:rPr>
          <w:sz w:val="24"/>
          <w:szCs w:val="24"/>
          <w:color w:val="auto"/>
        </w:rPr>
      </w:pPr>
    </w:p>
    <w:p>
      <w:pPr>
        <w:spacing w:after="0" w:line="25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ICON plc</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(R</w:t>
      </w:r>
      <w:r>
        <w:rPr>
          <w:rFonts w:ascii="Arial" w:cs="Arial" w:eastAsia="Arial" w:hAnsi="Arial"/>
          <w:sz w:val="18"/>
          <w:szCs w:val="18"/>
          <w:color w:val="auto"/>
        </w:rPr>
        <w:t>egistrant's name)</w:t>
      </w:r>
    </w:p>
    <w:p>
      <w:pPr>
        <w:spacing w:after="0" w:line="200" w:lineRule="exact"/>
        <w:rPr>
          <w:sz w:val="24"/>
          <w:szCs w:val="24"/>
          <w:color w:val="auto"/>
        </w:rPr>
      </w:pPr>
    </w:p>
    <w:p>
      <w:pPr>
        <w:spacing w:after="0" w:line="25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333-08704</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(Address of principal executive offices)</w:t>
      </w: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Brendan Brennan, Chief Financial Officer</w:t>
      </w:r>
    </w:p>
    <w:p>
      <w:pPr>
        <w:jc w:val="center"/>
        <w:ind w:right="-1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119"/>
        <w:spacing w:after="0" w:line="230" w:lineRule="auto"/>
        <w:rPr>
          <w:sz w:val="20"/>
          <w:szCs w:val="20"/>
          <w:color w:val="auto"/>
        </w:rPr>
      </w:pPr>
      <w:r>
        <w:rPr>
          <w:rFonts w:ascii="Arial" w:cs="Arial" w:eastAsia="Arial" w:hAnsi="Arial"/>
          <w:sz w:val="22"/>
          <w:szCs w:val="22"/>
          <w:color w:val="auto"/>
        </w:rPr>
        <w:t>Brendan.Brennan@iconplc.com</w:t>
      </w:r>
    </w:p>
    <w:p>
      <w:pPr>
        <w:jc w:val="center"/>
        <w:ind w:right="-119"/>
        <w:spacing w:after="0" w:line="231" w:lineRule="auto"/>
        <w:rPr>
          <w:sz w:val="20"/>
          <w:szCs w:val="20"/>
          <w:color w:val="auto"/>
        </w:rPr>
      </w:pPr>
      <w:r>
        <w:rPr>
          <w:rFonts w:ascii="Arial" w:cs="Arial" w:eastAsia="Arial" w:hAnsi="Arial"/>
          <w:sz w:val="22"/>
          <w:szCs w:val="22"/>
          <w:color w:val="auto"/>
        </w:rPr>
        <w:t>00-353-1-291-2000</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(Name, telephone number, email and/or facsmile number and address of Company contact person)</w:t>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0" w:lineRule="exact"/>
        <w:rPr>
          <w:sz w:val="24"/>
          <w:szCs w:val="24"/>
          <w:color w:val="auto"/>
        </w:rPr>
      </w:pPr>
    </w:p>
    <w:p>
      <w:pPr>
        <w:ind w:left="4080"/>
        <w:spacing w:after="0"/>
        <w:tabs>
          <w:tab w:leader="none" w:pos="706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u w:val="single" w:color="auto"/>
          <w:color w:val="auto"/>
        </w:rPr>
        <w:t>X</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color w:val="auto"/>
        </w:rPr>
        <w:t>_</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101(b)(1):</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101(b)(7):</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ind w:right="160"/>
        <w:spacing w:after="0" w:line="274"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5" w:lineRule="exact"/>
        <w:rPr>
          <w:sz w:val="24"/>
          <w:szCs w:val="24"/>
          <w:color w:val="auto"/>
        </w:rPr>
      </w:pPr>
    </w:p>
    <w:p>
      <w:pPr>
        <w:ind w:left="4080"/>
        <w:spacing w:after="0"/>
        <w:tabs>
          <w:tab w:leader="none" w:pos="702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color w:val="auto"/>
        </w:rPr>
        <w:t>_</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ectPr>
          <w:pgSz w:w="11900" w:h="16838" w:orient="portrait"/>
          <w:cols w:equalWidth="0" w:num="1">
            <w:col w:w="11300"/>
          </w:cols>
          <w:pgMar w:left="240" w:top="468" w:right="359" w:bottom="1440" w:gutter="0" w:footer="0" w:header="0"/>
        </w:sectPr>
      </w:pPr>
    </w:p>
    <w:p>
      <w:pPr>
        <w:spacing w:after="0" w:line="200" w:lineRule="exact"/>
        <w:rPr>
          <w:sz w:val="24"/>
          <w:szCs w:val="24"/>
          <w:color w:val="auto"/>
        </w:rPr>
      </w:pPr>
    </w:p>
    <w:p>
      <w:pPr>
        <w:spacing w:after="0" w:line="249" w:lineRule="exact"/>
        <w:rPr>
          <w:sz w:val="24"/>
          <w:szCs w:val="24"/>
          <w:color w:val="auto"/>
        </w:rPr>
      </w:pPr>
    </w:p>
    <w:p>
      <w:pPr>
        <w:spacing w:after="0"/>
        <w:tabs>
          <w:tab w:leader="none" w:pos="10180" w:val="left"/>
        </w:tabs>
        <w:rPr>
          <w:sz w:val="20"/>
          <w:szCs w:val="20"/>
          <w:color w:val="auto"/>
        </w:rPr>
      </w:pPr>
      <w:r>
        <w:rPr>
          <w:rFonts w:ascii="Arial" w:cs="Arial" w:eastAsia="Arial" w:hAnsi="Arial"/>
          <w:sz w:val="21"/>
          <w:szCs w:val="21"/>
          <w:color w:val="auto"/>
        </w:rPr>
        <w:t>If "Yes" is marked, indicate below the file number assigned to the registrant in connection with Rule 12g3-2(b):82</w:t>
      </w:r>
      <w:r>
        <w:rPr>
          <w:sz w:val="20"/>
          <w:szCs w:val="20"/>
          <w:color w:val="auto"/>
        </w:rPr>
        <w:tab/>
      </w:r>
      <w:r>
        <w:rPr>
          <w:rFonts w:ascii="Arial" w:cs="Arial" w:eastAsia="Arial" w:hAnsi="Arial"/>
          <w:sz w:val="19"/>
          <w:szCs w:val="19"/>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468" w:right="359" w:bottom="1440" w:gutter="0" w:footer="0" w:header="0"/>
          <w:type w:val="continuous"/>
        </w:sectPr>
      </w:pPr>
    </w:p>
    <w:bookmarkStart w:id="1" w:name="page2"/>
    <w:bookmarkEnd w:id="1"/>
    <w:p>
      <w:pPr>
        <w:ind w:left="5100"/>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4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7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ICON plc Press Release issued March 2, 2015 - ICON Completes Acquisition of MediMedia Pharma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27202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219"/>
          </w:cols>
          <w:pgMar w:left="240" w:top="364" w:right="1440"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22"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60" w:type="dxa"/>
            <w:vAlign w:val="bottom"/>
          </w:tcPr>
          <w:p>
            <w:pPr>
              <w:spacing w:after="0"/>
              <w:rPr>
                <w:sz w:val="20"/>
                <w:szCs w:val="20"/>
                <w:color w:val="auto"/>
              </w:rPr>
            </w:pPr>
            <w:r>
              <w:rPr>
                <w:rFonts w:ascii="Arial" w:cs="Arial" w:eastAsia="Arial" w:hAnsi="Arial"/>
                <w:sz w:val="18"/>
                <w:szCs w:val="18"/>
                <w:color w:val="auto"/>
              </w:rPr>
              <w:t>Date:  March 2, 2015</w:t>
            </w:r>
          </w:p>
        </w:tc>
        <w:tc>
          <w:tcPr>
            <w:tcW w:w="1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/s/ Brendan Brennan</w:t>
            </w:r>
          </w:p>
        </w:tc>
        <w:tc>
          <w:tcPr>
            <w:tcW w:w="200" w:type="dxa"/>
            <w:vAlign w:val="bottom"/>
          </w:tcPr>
          <w:p>
            <w:pPr>
              <w:spacing w:after="0"/>
              <w:rPr>
                <w:sz w:val="17"/>
                <w:szCs w:val="17"/>
                <w:color w:val="auto"/>
              </w:rPr>
            </w:pPr>
          </w:p>
        </w:tc>
      </w:tr>
      <w:tr>
        <w:trPr>
          <w:trHeight w:val="264"/>
        </w:trPr>
        <w:tc>
          <w:tcPr>
            <w:tcW w:w="6860" w:type="dxa"/>
            <w:vAlign w:val="bottom"/>
          </w:tcPr>
          <w:p>
            <w:pPr>
              <w:spacing w:after="0"/>
              <w:rPr>
                <w:sz w:val="22"/>
                <w:szCs w:val="22"/>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Brendan Brennan</w:t>
            </w:r>
          </w:p>
        </w:tc>
      </w:tr>
      <w:tr>
        <w:trPr>
          <w:trHeight w:val="243"/>
        </w:trPr>
        <w:tc>
          <w:tcPr>
            <w:tcW w:w="6860" w:type="dxa"/>
            <w:vAlign w:val="bottom"/>
          </w:tcPr>
          <w:p>
            <w:pPr>
              <w:spacing w:after="0"/>
              <w:rPr>
                <w:sz w:val="21"/>
                <w:szCs w:val="21"/>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w w:val="93"/>
              </w:rPr>
              <w:t>Chief Financial Officer</w:t>
            </w:r>
          </w:p>
        </w:tc>
      </w:tr>
    </w:tbl>
    <w:p>
      <w:pPr>
        <w:sectPr>
          <w:pgSz w:w="11900" w:h="16838" w:orient="portrait"/>
          <w:cols w:equalWidth="0" w:num="1">
            <w:col w:w="11240"/>
          </w:cols>
          <w:pgMar w:left="240" w:top="364"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ind w:left="2840"/>
        <w:spacing w:after="0"/>
        <w:rPr>
          <w:sz w:val="20"/>
          <w:szCs w:val="20"/>
          <w:color w:val="auto"/>
        </w:rPr>
      </w:pPr>
      <w:r>
        <w:rPr>
          <w:rFonts w:ascii="Arial" w:cs="Arial" w:eastAsia="Arial" w:hAnsi="Arial"/>
          <w:sz w:val="22"/>
          <w:szCs w:val="22"/>
          <w:b w:val="1"/>
          <w:bCs w:val="1"/>
          <w:color w:val="auto"/>
        </w:rPr>
        <w:t>ICON Completes Acquisition of MediMedia Pharma Solutions</w:t>
      </w:r>
    </w:p>
    <w:p>
      <w:pPr>
        <w:spacing w:after="0" w:line="212" w:lineRule="exact"/>
        <w:rPr>
          <w:sz w:val="20"/>
          <w:szCs w:val="20"/>
          <w:color w:val="auto"/>
        </w:rPr>
      </w:pPr>
    </w:p>
    <w:p>
      <w:pPr>
        <w:ind w:left="400"/>
        <w:spacing w:after="0"/>
        <w:rPr>
          <w:sz w:val="20"/>
          <w:szCs w:val="20"/>
          <w:color w:val="auto"/>
        </w:rPr>
      </w:pPr>
      <w:r>
        <w:rPr>
          <w:rFonts w:ascii="Arial" w:cs="Arial" w:eastAsia="Arial" w:hAnsi="Arial"/>
          <w:sz w:val="19"/>
          <w:szCs w:val="19"/>
          <w:b w:val="1"/>
          <w:bCs w:val="1"/>
          <w:i w:val="1"/>
          <w:iCs w:val="1"/>
          <w:color w:val="auto"/>
        </w:rPr>
        <w:t>Extends ICON’s leadership in commercialisation and market access services and brings new scientific communications</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capabilities</w:t>
      </w:r>
    </w:p>
    <w:p>
      <w:pPr>
        <w:spacing w:after="0" w:line="182" w:lineRule="exact"/>
        <w:rPr>
          <w:sz w:val="20"/>
          <w:szCs w:val="20"/>
          <w:color w:val="auto"/>
        </w:rPr>
      </w:pPr>
    </w:p>
    <w:p>
      <w:pPr>
        <w:ind w:right="180"/>
        <w:spacing w:after="0" w:line="237" w:lineRule="auto"/>
        <w:rPr>
          <w:sz w:val="20"/>
          <w:szCs w:val="20"/>
          <w:color w:val="auto"/>
        </w:rPr>
      </w:pPr>
      <w:r>
        <w:rPr>
          <w:rFonts w:ascii="Arial" w:cs="Arial" w:eastAsia="Arial" w:hAnsi="Arial"/>
          <w:sz w:val="22"/>
          <w:szCs w:val="22"/>
          <w:color w:val="auto"/>
        </w:rPr>
        <w:t>DUBLIN--(BUSINESS WIRE)--March 2, 2015--</w:t>
      </w:r>
      <w:r>
        <w:rPr>
          <w:rFonts w:ascii="Arial" w:cs="Arial" w:eastAsia="Arial" w:hAnsi="Arial"/>
          <w:sz w:val="22"/>
          <w:szCs w:val="22"/>
          <w:b w:val="1"/>
          <w:bCs w:val="1"/>
          <w:color w:val="auto"/>
        </w:rPr>
        <w:t>ICON plc (NASDAQ:ICLR),</w:t>
      </w:r>
      <w:r>
        <w:rPr>
          <w:rFonts w:ascii="Arial" w:cs="Arial" w:eastAsia="Arial" w:hAnsi="Arial"/>
          <w:sz w:val="22"/>
          <w:szCs w:val="22"/>
          <w:color w:val="auto"/>
        </w:rPr>
        <w:t xml:space="preserve"> a global provider of drug development solutions and services to the pharmaceutical, biotechnology and medical device industries, today announced that it has completed the acquisition of MediMedia Pharma Solutions. The acquisition brings ICON new scientific communications capabilities which together with ICON’s existing Commercialisation and Outcomes practices, creates the industry’s leading integrated market access solution.</w:t>
      </w:r>
    </w:p>
    <w:p>
      <w:pPr>
        <w:spacing w:after="0" w:line="189"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Commenting on the completion of the acquisition, ICON Chief Executive Officer, Ciaran Murray, said: “</w:t>
      </w:r>
      <w:r>
        <w:rPr>
          <w:rFonts w:ascii="Arial" w:cs="Arial" w:eastAsia="Arial" w:hAnsi="Arial"/>
          <w:sz w:val="22"/>
          <w:szCs w:val="22"/>
          <w:i w:val="1"/>
          <w:iCs w:val="1"/>
          <w:color w:val="auto"/>
        </w:rPr>
        <w:t>Helping customers</w:t>
      </w:r>
      <w:r>
        <w:rPr>
          <w:rFonts w:ascii="Arial" w:cs="Arial" w:eastAsia="Arial" w:hAnsi="Arial"/>
          <w:sz w:val="22"/>
          <w:szCs w:val="22"/>
          <w:color w:val="auto"/>
        </w:rPr>
        <w:t xml:space="preserve"> </w:t>
      </w:r>
      <w:r>
        <w:rPr>
          <w:rFonts w:ascii="Arial" w:cs="Arial" w:eastAsia="Arial" w:hAnsi="Arial"/>
          <w:sz w:val="22"/>
          <w:szCs w:val="22"/>
          <w:i w:val="1"/>
          <w:iCs w:val="1"/>
          <w:color w:val="auto"/>
        </w:rPr>
        <w:t>establish and communicate the value of their products has become increasingly important as payers look for evidence linking efficacy, value and price. MediMedia deepens the expertise and capabilities of our market-leading commercialisation and outcomes group and brings outstanding scientific and medical communications capabilities. We are delighted to welcome them to the ICON team.”</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ICON plc</w:t>
      </w:r>
    </w:p>
    <w:p>
      <w:pPr>
        <w:spacing w:after="0" w:line="212" w:lineRule="exact"/>
        <w:rPr>
          <w:sz w:val="20"/>
          <w:szCs w:val="20"/>
          <w:color w:val="auto"/>
        </w:rPr>
      </w:pPr>
    </w:p>
    <w:p>
      <w:pPr>
        <w:ind w:right="60"/>
        <w:spacing w:after="0" w:line="252" w:lineRule="auto"/>
        <w:rPr>
          <w:sz w:val="20"/>
          <w:szCs w:val="20"/>
          <w:color w:val="auto"/>
        </w:rPr>
      </w:pPr>
      <w:r>
        <w:rPr>
          <w:rFonts w:ascii="Arial" w:cs="Arial" w:eastAsia="Arial" w:hAnsi="Arial"/>
          <w:sz w:val="21"/>
          <w:szCs w:val="21"/>
          <w:color w:val="auto"/>
        </w:rPr>
        <w:t>ICON plc is a global provider of drug development solutions and services to the pharmaceutical, biotechnology and medical device industries. The company specialises in the strategic development, management and analysis of programs that support clinical development - from compound selection to Phase I-IV clinical studies. With headquarters in Dublin, Ireland, ICON currently, operates from 83 locations in 38 countries and has approximately 10,600 employees.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Further information is available at </w:t>
      </w:r>
      <w:r>
        <w:rPr>
          <w:rFonts w:ascii="Arial" w:cs="Arial" w:eastAsia="Arial" w:hAnsi="Arial"/>
          <w:sz w:val="22"/>
          <w:szCs w:val="22"/>
          <w:u w:val="single" w:color="auto"/>
          <w:color w:val="auto"/>
        </w:rPr>
        <w:t>www.iconplc.com</w:t>
      </w:r>
      <w:r>
        <w:rPr>
          <w:rFonts w:ascii="Arial" w:cs="Arial" w:eastAsia="Arial" w:hAnsi="Arial"/>
          <w:sz w:val="22"/>
          <w:szCs w:val="22"/>
          <w:color w:val="auto"/>
        </w:rPr>
        <w:t>.</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MediMedia Pharma Solutions</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auto"/>
        </w:rPr>
        <w:t>MediaMedia Pharma Solutions is a combination of MediMedia Managed Markets and Complete HealthCare Communications.</w:t>
      </w:r>
    </w:p>
    <w:p>
      <w:pPr>
        <w:spacing w:after="0" w:line="241" w:lineRule="exact"/>
        <w:rPr>
          <w:sz w:val="20"/>
          <w:szCs w:val="20"/>
          <w:color w:val="auto"/>
        </w:rPr>
      </w:pPr>
    </w:p>
    <w:p>
      <w:pPr>
        <w:ind w:right="180"/>
        <w:spacing w:after="0" w:line="282" w:lineRule="auto"/>
        <w:rPr>
          <w:sz w:val="20"/>
          <w:szCs w:val="20"/>
          <w:color w:val="auto"/>
        </w:rPr>
      </w:pPr>
      <w:r>
        <w:rPr>
          <w:rFonts w:ascii="Arial" w:cs="Arial" w:eastAsia="Arial" w:hAnsi="Arial"/>
          <w:sz w:val="19"/>
          <w:szCs w:val="19"/>
          <w:color w:val="auto"/>
        </w:rPr>
        <w:t>MediMedia Managed Markets is a leading provider of strategic payer-validated market access solutions for the biopharmaceutical and medical device industries. Their comprehensive approach includes scientific analysis and assessment, research and insights, strategic development, tactical development, and program execution. Complete HealthCare Communications is one of the largest medical communication agencies and is a pioneer in publication services, providing strategic consulting, software solutions, and scientific communications to medical affairs teams for life sciences firms globally.</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Further information is available at </w:t>
      </w:r>
      <w:r>
        <w:rPr>
          <w:rFonts w:ascii="Arial" w:cs="Arial" w:eastAsia="Arial" w:hAnsi="Arial"/>
          <w:sz w:val="22"/>
          <w:szCs w:val="22"/>
          <w:u w:val="single" w:color="auto"/>
          <w:color w:val="auto"/>
        </w:rPr>
        <w:t>http://www.medimediamanagedmarkets.com</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www.thechcgroup.com</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line="271" w:lineRule="auto"/>
        <w:rPr>
          <w:sz w:val="20"/>
          <w:szCs w:val="20"/>
          <w:color w:val="auto"/>
        </w:rPr>
      </w:pPr>
      <w:r>
        <w:rPr>
          <w:rFonts w:ascii="Arial" w:cs="Arial" w:eastAsia="Arial" w:hAnsi="Arial"/>
          <w:sz w:val="19"/>
          <w:szCs w:val="19"/>
          <w:i w:val="1"/>
          <w:iCs w:val="1"/>
          <w:color w:val="auto"/>
        </w:rPr>
        <w:t xml:space="preserve">This press release contains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as well as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S-8 and F-3, which are available on the SEC's website at </w:t>
      </w:r>
      <w:r>
        <w:rPr>
          <w:rFonts w:ascii="Arial" w:cs="Arial" w:eastAsia="Arial" w:hAnsi="Arial"/>
          <w:sz w:val="19"/>
          <w:szCs w:val="19"/>
          <w:i w:val="1"/>
          <w:iCs w:val="1"/>
          <w:u w:val="single" w:color="auto"/>
          <w:color w:val="auto"/>
        </w:rPr>
        <w:t>http://www.sec.gov</w:t>
      </w:r>
      <w:r>
        <w:rPr>
          <w:rFonts w:ascii="Arial" w:cs="Arial" w:eastAsia="Arial" w:hAnsi="Arial"/>
          <w:sz w:val="19"/>
          <w:szCs w:val="19"/>
          <w:i w:val="1"/>
          <w:iCs w:val="1"/>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ICON/ICLR-F</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b w:val="1"/>
          <w:bCs w:val="1"/>
          <w:color w:val="auto"/>
        </w:rPr>
        <w:t>ICON Media Contact</w:t>
      </w:r>
    </w:p>
    <w:p>
      <w:pPr>
        <w:spacing w:after="0" w:line="230" w:lineRule="auto"/>
        <w:rPr>
          <w:sz w:val="20"/>
          <w:szCs w:val="20"/>
          <w:color w:val="auto"/>
        </w:rPr>
      </w:pPr>
      <w:r>
        <w:rPr>
          <w:rFonts w:ascii="Arial" w:cs="Arial" w:eastAsia="Arial" w:hAnsi="Arial"/>
          <w:sz w:val="22"/>
          <w:szCs w:val="22"/>
          <w:color w:val="auto"/>
        </w:rPr>
        <w:t>Weber Shandwick</w:t>
      </w:r>
    </w:p>
    <w:p>
      <w:pPr>
        <w:spacing w:after="0" w:line="231" w:lineRule="auto"/>
        <w:rPr>
          <w:sz w:val="20"/>
          <w:szCs w:val="20"/>
          <w:color w:val="auto"/>
        </w:rPr>
      </w:pPr>
      <w:r>
        <w:rPr>
          <w:rFonts w:ascii="Arial" w:cs="Arial" w:eastAsia="Arial" w:hAnsi="Arial"/>
          <w:sz w:val="22"/>
          <w:szCs w:val="22"/>
          <w:color w:val="auto"/>
        </w:rPr>
        <w:t>Rebecca Power, +44 (0) 207 067 0866</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RPower@webershandwick.com</w:t>
      </w:r>
    </w:p>
    <w:sectPr>
      <w:pgSz w:w="11900" w:h="16838" w:orient="portrait"/>
      <w:cols w:equalWidth="0" w:num="1">
        <w:col w:w="11340"/>
      </w:cols>
      <w:pgMar w:left="240" w:top="11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2019-12-07T04:31:06Z</dcterms:created>
  <dcterms:modified xsi:type="dcterms:W3CDTF">2019-12-07T04:31:06Z</dcterms:modified>
</cp:coreProperties>
</file>