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Leopardstown, Dublin 18, Ireland</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October 1,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 ICON plc – Form 20-F for the Fiscal Year Ended December 31, 2011</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ICON plc (the “Company”) acknowledges your letter dated August 16, 2012 (the “Comment Letter”) setting forth the comments of the staff (the “Staff”) of the Securities and Exchange Commission (the “Commission”) relating to the Form 20-F for the fiscal year ended December 31, 2011 (File no. 333-08704) filed by the Company with the Commission (the “Annual Statement”) on March 2, 2012. On August 24, 2012, the Company submitted a response to the Comment Letter. The Company subsequently received a telephone call from Sasha Parikh on September 18, 2012 which outlined a follow up question to the response submitted by the Company on August 24, 2012. This question was confirmed on a subsequent telephone call with Gus Rodriguez on September 20, 2012.</w:t>
      </w:r>
    </w:p>
    <w:p>
      <w:pPr>
        <w:spacing w:after="0" w:line="220"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The Company acknowledges that it is responsible for the adequacy and accuracy of the disclosures in the Form 20-F and in its other filings under the Securities Exchange Act of 1934, as amended. The Company acknowledges that comments of the Staff regarding the Form 20-F or changes to disclosures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laws of the United States</w:t>
      </w:r>
    </w:p>
    <w:p>
      <w:pPr>
        <w:spacing w:after="0" w:line="215"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For your convenience, we have reproduced the question put forward on the telephone call of September 18, 2012 (in bold) immediately before the Company’s response. Unless otherwise indicated, all references to page numbers in the Company’s responses below refer to page numbers in the Annual Statement, a copy of which was previously filed with the Commission.</w:t>
      </w:r>
    </w:p>
    <w:p>
      <w:pPr>
        <w:spacing w:after="0" w:line="200" w:lineRule="exact"/>
        <w:rPr>
          <w:sz w:val="24"/>
          <w:szCs w:val="24"/>
          <w:color w:val="auto"/>
        </w:rPr>
      </w:pPr>
    </w:p>
    <w:p>
      <w:pPr>
        <w:spacing w:after="0" w:line="247" w:lineRule="exact"/>
        <w:rPr>
          <w:sz w:val="24"/>
          <w:szCs w:val="24"/>
          <w:color w:val="auto"/>
        </w:rPr>
      </w:pPr>
    </w:p>
    <w:p>
      <w:pPr>
        <w:ind w:firstLine="8"/>
        <w:spacing w:after="0" w:line="298" w:lineRule="auto"/>
        <w:tabs>
          <w:tab w:leader="none" w:pos="1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This comment refers to your response 5 and 6 in which you indicate that you recorded a liability of $40.6 million and $12.4 million related to the fair value of the contingent consideration for your Firecrest Clinical and Oxford Outcomes acquisitions respectively. However in the revised tables provided in the response you do not separately show the contingent liability as a component of your net asset acquired. It appears that this amount is included in the goodwill balance which would not be appropriate under ASC805-30-30-7D. Please revise your proposed disclosure to separately present contingent liabilities from goodwill. In addition please revise your table reconciling the opening and closing balance of goodwill accordingly.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RESPONSE:</w:t>
            </w:r>
          </w:p>
        </w:tc>
        <w:tc>
          <w:tcPr>
            <w:tcW w:w="7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8700" w:type="dxa"/>
            <w:vAlign w:val="bottom"/>
            <w:gridSpan w:val="3"/>
          </w:tcPr>
          <w:p>
            <w:pPr>
              <w:spacing w:after="0"/>
              <w:rPr>
                <w:sz w:val="20"/>
                <w:szCs w:val="20"/>
                <w:color w:val="auto"/>
              </w:rPr>
            </w:pPr>
            <w:r>
              <w:rPr>
                <w:rFonts w:ascii="Arial" w:cs="Arial" w:eastAsia="Arial" w:hAnsi="Arial"/>
                <w:sz w:val="18"/>
                <w:szCs w:val="18"/>
                <w:color w:val="auto"/>
                <w:w w:val="95"/>
              </w:rPr>
              <w:t>The Company proposes to include the following revised disclosure in future filings for the goodwill rollforward table: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b w:val="1"/>
                <w:bCs w:val="1"/>
                <w:color w:val="auto"/>
                <w:w w:val="95"/>
              </w:rPr>
              <w:t>December 31,</w:t>
            </w:r>
          </w:p>
        </w:tc>
        <w:tc>
          <w:tcPr>
            <w:tcW w:w="12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175,860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period acquisitions</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27,154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related contingent consideration (a)</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56,502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Prior period acquisitions</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Closing goodwill</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253,393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175,860</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2011 represents contingent consideration from the Firecrest Clinical and Oxford Outcomes acquisitions, while 2010 represents contingent consideration from the Timaq Medical Imaging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proposes to include the following revised tables in future filings relating to the acquisitions of Firecrest Clinical and Oxford Outcomes:</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acquisition of Firecrest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July 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technology asset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Intangible asset - trade name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Net assets acquired</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0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0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9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Liabilities included in preliminary purchase price allocation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firstLine="8"/>
        <w:spacing w:after="0" w:line="323" w:lineRule="auto"/>
        <w:tabs>
          <w:tab w:leader="none" w:pos="159"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January 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39,861</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0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04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0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Put and call option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Liabilities included in preliminary purchase price allocation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firstLine="8"/>
        <w:spacing w:after="0" w:line="261" w:lineRule="auto"/>
        <w:tabs>
          <w:tab w:leader="none" w:pos="1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represents the cost of an established workforce with experience in specialist services in the areas of patient reported outcomes (PRO), health economics, epidemiology and translation and linguistic validation and is not tax deductible.</w:t>
      </w:r>
    </w:p>
    <w:p>
      <w:pPr>
        <w:spacing w:after="0" w:line="200" w:lineRule="exact"/>
        <w:rPr>
          <w:sz w:val="20"/>
          <w:szCs w:val="20"/>
          <w:color w:val="auto"/>
        </w:rPr>
      </w:pPr>
    </w:p>
    <w:p>
      <w:pPr>
        <w:spacing w:after="0" w:line="25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believe that we have fully responded to your comment. However, if you have any questions about our response to your comment or require further explanation, please do not hesitate to call me at (011)- 353-1-291-2000 or Brian Kelleher of Cahill Gordon at (212) 701-3447.</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ICON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Brendan Brennan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William M. Hartnett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Kelleher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2019-12-09T12:42:07Z</dcterms:created>
  <dcterms:modified xsi:type="dcterms:W3CDTF">2019-12-09T12:42:07Z</dcterms:modified>
</cp:coreProperties>
</file>