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8"/>
          <w:szCs w:val="28"/>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WASHINGTON, D.C.20549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3183255</wp:posOffset>
            </wp:positionH>
            <wp:positionV relativeFrom="paragraph">
              <wp:posOffset>71755</wp:posOffset>
            </wp:positionV>
            <wp:extent cx="89027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0270" cy="20955"/>
                    </a:xfrm>
                    <a:prstGeom prst="rect">
                      <a:avLst/>
                    </a:prstGeom>
                    <a:noFill/>
                  </pic:spPr>
                </pic:pic>
              </a:graphicData>
            </a:graphic>
          </wp:anchor>
        </w:drawing>
      </w:r>
    </w:p>
    <w:p>
      <w:pPr>
        <w:spacing w:after="0" w:line="197"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FORM 20-F</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One)</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___</w:t>
      </w:r>
      <w:r>
        <w:rPr>
          <w:rFonts w:ascii="Arial" w:cs="Arial" w:eastAsia="Arial" w:hAnsi="Arial"/>
          <w:sz w:val="18"/>
          <w:szCs w:val="18"/>
          <w:b w:val="1"/>
          <w:bCs w:val="1"/>
          <w:color w:val="auto"/>
        </w:rPr>
        <w:t xml:space="preserve"> Registration statement pursuant to Section 12(b) or (g) of the Securities Exchange Act of 1934</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_X_</w:t>
      </w:r>
      <w:r>
        <w:rPr>
          <w:rFonts w:ascii="Arial" w:cs="Arial" w:eastAsia="Arial" w:hAnsi="Arial"/>
          <w:sz w:val="18"/>
          <w:szCs w:val="18"/>
          <w:b w:val="1"/>
          <w:bCs w:val="1"/>
          <w:color w:val="auto"/>
        </w:rPr>
        <w:t xml:space="preserve"> Annual report pursuant to Section 13 or 15 (d) of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___</w:t>
      </w:r>
      <w:r>
        <w:rPr>
          <w:rFonts w:ascii="Arial" w:cs="Arial" w:eastAsia="Arial" w:hAnsi="Arial"/>
          <w:sz w:val="18"/>
          <w:szCs w:val="18"/>
          <w:b w:val="1"/>
          <w:bCs w:val="1"/>
          <w:color w:val="auto"/>
        </w:rPr>
        <w:t xml:space="preserve"> Transition report pursuant to Section 13 or 15(d) of the Securities Exchange Act of 1934</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___</w:t>
      </w:r>
      <w:r>
        <w:rPr>
          <w:rFonts w:ascii="Arial" w:cs="Arial" w:eastAsia="Arial" w:hAnsi="Arial"/>
          <w:sz w:val="18"/>
          <w:szCs w:val="18"/>
          <w:b w:val="1"/>
          <w:bCs w:val="1"/>
          <w:color w:val="auto"/>
        </w:rPr>
        <w:t xml:space="preserve"> 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3183255</wp:posOffset>
            </wp:positionH>
            <wp:positionV relativeFrom="paragraph">
              <wp:posOffset>69850</wp:posOffset>
            </wp:positionV>
            <wp:extent cx="89027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0270" cy="20955"/>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333-08704</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ICON PUBLIC LIMITED</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2181225</wp:posOffset>
            </wp:positionH>
            <wp:positionV relativeFrom="paragraph">
              <wp:posOffset>6350</wp:posOffset>
            </wp:positionV>
            <wp:extent cx="29025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2585" cy="17145"/>
                    </a:xfrm>
                    <a:prstGeom prst="rect">
                      <a:avLst/>
                    </a:prstGeom>
                    <a:noFill/>
                  </pic:spPr>
                </pic:pic>
              </a:graphicData>
            </a:graphic>
          </wp:anchor>
        </w:drawing>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ICON PUBLIC LIMITED</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2181225</wp:posOffset>
            </wp:positionH>
            <wp:positionV relativeFrom="paragraph">
              <wp:posOffset>6350</wp:posOffset>
            </wp:positionV>
            <wp:extent cx="29025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2585" cy="17145"/>
                    </a:xfrm>
                    <a:prstGeom prst="rect">
                      <a:avLst/>
                    </a:prstGeom>
                    <a:noFill/>
                  </pic:spPr>
                </pic:pic>
              </a:graphicData>
            </a:graphic>
          </wp:anchor>
        </w:drawing>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2181225</wp:posOffset>
            </wp:positionH>
            <wp:positionV relativeFrom="paragraph">
              <wp:posOffset>4445</wp:posOffset>
            </wp:positionV>
            <wp:extent cx="29025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2585" cy="17145"/>
                    </a:xfrm>
                    <a:prstGeom prst="rect">
                      <a:avLst/>
                    </a:prstGeom>
                    <a:noFill/>
                  </pic:spPr>
                </pic:pic>
              </a:graphicData>
            </a:graphic>
          </wp:anchor>
        </w:drawing>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(Jurisdiction of Incorporation or Organization)</w:t>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SOUTH COUNTY BUSINESS PARK,</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LEOPARDSTOWN,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4445</wp:posOffset>
            </wp:positionV>
            <wp:extent cx="24638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3800" cy="17145"/>
                    </a:xfrm>
                    <a:prstGeom prst="rect">
                      <a:avLst/>
                    </a:prstGeom>
                    <a:noFill/>
                  </pic:spPr>
                </pic:pic>
              </a:graphicData>
            </a:graphic>
          </wp:anchor>
        </w:drawing>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Brendan Brennan, Chief Financial Officer</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County Business Park Leopardstown, Dublin 18, Ireland.</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Brendan.Brennan@iconplc.com</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011-353-1-291-2000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2417445</wp:posOffset>
            </wp:positionH>
            <wp:positionV relativeFrom="paragraph">
              <wp:posOffset>139065</wp:posOffset>
            </wp:positionV>
            <wp:extent cx="24136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13635" cy="17145"/>
                    </a:xfrm>
                    <a:prstGeom prst="rect">
                      <a:avLst/>
                    </a:prstGeom>
                    <a:noFill/>
                  </pic:spPr>
                </pic:pic>
              </a:graphicData>
            </a:graphic>
          </wp:anchor>
        </w:drawing>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34" w:lineRule="exact"/>
        <w:rPr>
          <w:sz w:val="24"/>
          <w:szCs w:val="24"/>
          <w:color w:val="auto"/>
        </w:rPr>
      </w:pPr>
    </w:p>
    <w:p>
      <w:pPr>
        <w:ind w:left="1280"/>
        <w:spacing w:after="0"/>
        <w:tabs>
          <w:tab w:leader="none" w:pos="8180" w:val="left"/>
        </w:tabs>
        <w:rPr>
          <w:sz w:val="20"/>
          <w:szCs w:val="20"/>
          <w:color w:val="auto"/>
        </w:rPr>
      </w:pPr>
      <w:r>
        <w:rPr>
          <w:rFonts w:ascii="Arial" w:cs="Arial" w:eastAsia="Arial" w:hAnsi="Arial"/>
          <w:sz w:val="18"/>
          <w:szCs w:val="18"/>
          <w:i w:val="1"/>
          <w:iCs w:val="1"/>
          <w:color w:val="auto"/>
        </w:rPr>
        <w:t>Title of each class</w:t>
      </w:r>
      <w:r>
        <w:rPr>
          <w:sz w:val="20"/>
          <w:szCs w:val="20"/>
          <w:color w:val="auto"/>
        </w:rPr>
        <w:tab/>
      </w:r>
      <w:r>
        <w:rPr>
          <w:rFonts w:ascii="Arial" w:cs="Arial" w:eastAsia="Arial" w:hAnsi="Arial"/>
          <w:sz w:val="14"/>
          <w:szCs w:val="14"/>
          <w:i w:val="1"/>
          <w:iCs w:val="1"/>
          <w:color w:val="auto"/>
        </w:rPr>
        <w:t>Name of exchange on which registered</w:t>
      </w:r>
    </w:p>
    <w:p>
      <w:pPr>
        <w:spacing w:after="0" w:line="5"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4060" w:type="dxa"/>
            <w:vAlign w:val="bottom"/>
            <w:gridSpan w:val="2"/>
          </w:tcPr>
          <w:p>
            <w:pPr>
              <w:jc w:val="center"/>
              <w:ind w:right="731"/>
              <w:spacing w:after="0"/>
              <w:rPr>
                <w:sz w:val="20"/>
                <w:szCs w:val="20"/>
                <w:color w:val="auto"/>
              </w:rPr>
            </w:pPr>
            <w:r>
              <w:rPr>
                <w:rFonts w:ascii="Arial" w:cs="Arial" w:eastAsia="Arial" w:hAnsi="Arial"/>
                <w:sz w:val="18"/>
                <w:szCs w:val="18"/>
                <w:b w:val="1"/>
                <w:bCs w:val="1"/>
                <w:color w:val="auto"/>
                <w:w w:val="95"/>
              </w:rPr>
              <w:t>ORDINARY SHARES, PAR VALUE €0.06</w:t>
            </w:r>
          </w:p>
        </w:tc>
        <w:tc>
          <w:tcPr>
            <w:tcW w:w="6780" w:type="dxa"/>
            <w:vAlign w:val="bottom"/>
            <w:vMerge w:val="restart"/>
          </w:tcPr>
          <w:p>
            <w:pPr>
              <w:ind w:left="3640"/>
              <w:spacing w:after="0"/>
              <w:rPr>
                <w:sz w:val="20"/>
                <w:szCs w:val="20"/>
                <w:color w:val="auto"/>
              </w:rPr>
            </w:pPr>
            <w:r>
              <w:rPr>
                <w:rFonts w:ascii="Arial" w:cs="Arial" w:eastAsia="Arial" w:hAnsi="Arial"/>
                <w:sz w:val="18"/>
                <w:szCs w:val="18"/>
                <w:b w:val="1"/>
                <w:bCs w:val="1"/>
                <w:color w:val="auto"/>
                <w:w w:val="98"/>
              </w:rPr>
              <w:t>NASDAQ GLOBAL SELECT MARKET</w:t>
            </w:r>
          </w:p>
        </w:tc>
        <w:tc>
          <w:tcPr>
            <w:tcW w:w="0" w:type="dxa"/>
            <w:vAlign w:val="bottom"/>
          </w:tcPr>
          <w:p>
            <w:pPr>
              <w:spacing w:after="0"/>
              <w:rPr>
                <w:sz w:val="1"/>
                <w:szCs w:val="1"/>
                <w:color w:val="auto"/>
              </w:rPr>
            </w:pPr>
          </w:p>
        </w:tc>
      </w:tr>
      <w:tr>
        <w:trPr>
          <w:trHeight w:val="124"/>
        </w:trPr>
        <w:tc>
          <w:tcPr>
            <w:tcW w:w="2080" w:type="dxa"/>
            <w:vAlign w:val="bottom"/>
            <w:vMerge w:val="restart"/>
          </w:tcPr>
          <w:p>
            <w:pPr>
              <w:jc w:val="center"/>
              <w:ind w:left="1011"/>
              <w:spacing w:after="0"/>
              <w:rPr>
                <w:sz w:val="20"/>
                <w:szCs w:val="20"/>
                <w:color w:val="auto"/>
              </w:rPr>
            </w:pPr>
            <w:r>
              <w:rPr>
                <w:rFonts w:ascii="Arial" w:cs="Arial" w:eastAsia="Arial" w:hAnsi="Arial"/>
                <w:sz w:val="18"/>
                <w:szCs w:val="18"/>
                <w:b w:val="1"/>
                <w:bCs w:val="1"/>
                <w:color w:val="auto"/>
                <w:w w:val="97"/>
              </w:rPr>
              <w:t>EACH</w:t>
            </w:r>
          </w:p>
        </w:tc>
        <w:tc>
          <w:tcPr>
            <w:tcW w:w="1980" w:type="dxa"/>
            <w:vAlign w:val="bottom"/>
          </w:tcPr>
          <w:p>
            <w:pPr>
              <w:spacing w:after="0"/>
              <w:rPr>
                <w:sz w:val="10"/>
                <w:szCs w:val="10"/>
                <w:color w:val="auto"/>
              </w:rPr>
            </w:pPr>
          </w:p>
        </w:tc>
        <w:tc>
          <w:tcPr>
            <w:tcW w:w="6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8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6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2080" w:type="dxa"/>
            <w:vAlign w:val="bottom"/>
          </w:tcPr>
          <w:p>
            <w:pPr>
              <w:spacing w:after="0"/>
              <w:rPr>
                <w:sz w:val="24"/>
                <w:szCs w:val="24"/>
                <w:color w:val="auto"/>
              </w:rPr>
            </w:pPr>
          </w:p>
        </w:tc>
        <w:tc>
          <w:tcPr>
            <w:tcW w:w="8760" w:type="dxa"/>
            <w:vAlign w:val="bottom"/>
            <w:gridSpan w:val="2"/>
          </w:tcPr>
          <w:p>
            <w:pPr>
              <w:jc w:val="center"/>
              <w:ind w:right="2011"/>
              <w:spacing w:after="0"/>
              <w:rPr>
                <w:sz w:val="20"/>
                <w:szCs w:val="20"/>
                <w:color w:val="auto"/>
              </w:rPr>
            </w:pPr>
            <w:r>
              <w:rPr>
                <w:rFonts w:ascii="Arial" w:cs="Arial" w:eastAsia="Arial" w:hAnsi="Arial"/>
                <w:sz w:val="18"/>
                <w:szCs w:val="18"/>
                <w:color w:val="auto"/>
                <w:w w:val="88"/>
              </w:rPr>
              <w:t>Securities registered or to be registered pursuant to section 12(g) of the Act:</w:t>
            </w:r>
          </w:p>
        </w:tc>
        <w:tc>
          <w:tcPr>
            <w:tcW w:w="0" w:type="dxa"/>
            <w:vAlign w:val="bottom"/>
          </w:tcPr>
          <w:p>
            <w:pPr>
              <w:spacing w:after="0"/>
              <w:rPr>
                <w:sz w:val="1"/>
                <w:szCs w:val="1"/>
                <w:color w:val="auto"/>
              </w:rPr>
            </w:pPr>
          </w:p>
        </w:tc>
      </w:tr>
      <w:tr>
        <w:trPr>
          <w:trHeight w:val="213"/>
        </w:trPr>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80" w:type="dxa"/>
            <w:vAlign w:val="bottom"/>
          </w:tcPr>
          <w:p>
            <w:pPr>
              <w:ind w:left="820"/>
              <w:spacing w:after="0"/>
              <w:rPr>
                <w:sz w:val="20"/>
                <w:szCs w:val="20"/>
                <w:color w:val="auto"/>
              </w:rPr>
            </w:pPr>
            <w:r>
              <w:rPr>
                <w:rFonts w:ascii="Arial" w:cs="Arial" w:eastAsia="Arial" w:hAnsi="Arial"/>
                <w:sz w:val="18"/>
                <w:szCs w:val="18"/>
                <w:i w:val="1"/>
                <w:iCs w:val="1"/>
                <w:color w:val="auto"/>
              </w:rPr>
              <w:t>Title of each class</w:t>
            </w:r>
          </w:p>
        </w:tc>
        <w:tc>
          <w:tcPr>
            <w:tcW w:w="0" w:type="dxa"/>
            <w:vAlign w:val="bottom"/>
          </w:tcPr>
          <w:p>
            <w:pPr>
              <w:spacing w:after="0"/>
              <w:rPr>
                <w:sz w:val="1"/>
                <w:szCs w:val="1"/>
                <w:color w:val="auto"/>
              </w:rPr>
            </w:pPr>
          </w:p>
        </w:tc>
      </w:tr>
      <w:tr>
        <w:trPr>
          <w:trHeight w:val="213"/>
        </w:trPr>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80" w:type="dxa"/>
            <w:vAlign w:val="bottom"/>
          </w:tcPr>
          <w:p>
            <w:pPr>
              <w:jc w:val="center"/>
              <w:ind w:right="3991"/>
              <w:spacing w:after="0"/>
              <w:rPr>
                <w:sz w:val="20"/>
                <w:szCs w:val="20"/>
                <w:color w:val="auto"/>
              </w:rPr>
            </w:pPr>
            <w:r>
              <w:rPr>
                <w:rFonts w:ascii="Arial" w:cs="Arial" w:eastAsia="Arial" w:hAnsi="Arial"/>
                <w:sz w:val="18"/>
                <w:szCs w:val="18"/>
                <w:color w:val="auto"/>
                <w:w w:val="96"/>
              </w:rPr>
              <w:t>NONE</w:t>
            </w:r>
          </w:p>
        </w:tc>
        <w:tc>
          <w:tcPr>
            <w:tcW w:w="0" w:type="dxa"/>
            <w:vAlign w:val="bottom"/>
          </w:tcPr>
          <w:p>
            <w:pPr>
              <w:spacing w:after="0"/>
              <w:rPr>
                <w:sz w:val="1"/>
                <w:szCs w:val="1"/>
                <w:color w:val="auto"/>
              </w:rPr>
            </w:pPr>
          </w:p>
        </w:tc>
      </w:tr>
      <w:tr>
        <w:trPr>
          <w:trHeight w:val="213"/>
        </w:trPr>
        <w:tc>
          <w:tcPr>
            <w:tcW w:w="2080" w:type="dxa"/>
            <w:vAlign w:val="bottom"/>
          </w:tcPr>
          <w:p>
            <w:pPr>
              <w:spacing w:after="0"/>
              <w:rPr>
                <w:sz w:val="18"/>
                <w:szCs w:val="18"/>
                <w:color w:val="auto"/>
              </w:rPr>
            </w:pPr>
          </w:p>
        </w:tc>
        <w:tc>
          <w:tcPr>
            <w:tcW w:w="8760" w:type="dxa"/>
            <w:vAlign w:val="bottom"/>
            <w:gridSpan w:val="2"/>
          </w:tcPr>
          <w:p>
            <w:pPr>
              <w:jc w:val="center"/>
              <w:ind w:right="1991"/>
              <w:spacing w:after="0"/>
              <w:rPr>
                <w:sz w:val="20"/>
                <w:szCs w:val="20"/>
                <w:color w:val="auto"/>
              </w:rPr>
            </w:pPr>
            <w:r>
              <w:rPr>
                <w:rFonts w:ascii="Arial" w:cs="Arial" w:eastAsia="Arial" w:hAnsi="Arial"/>
                <w:sz w:val="18"/>
                <w:szCs w:val="18"/>
                <w:color w:val="auto"/>
                <w:w w:val="90"/>
              </w:rPr>
              <w:t>Securities for which there is a reporting obligation pursuant to Section 15(d) of the Act:</w:t>
            </w:r>
          </w:p>
        </w:tc>
        <w:tc>
          <w:tcPr>
            <w:tcW w:w="0" w:type="dxa"/>
            <w:vAlign w:val="bottom"/>
          </w:tcPr>
          <w:p>
            <w:pPr>
              <w:spacing w:after="0"/>
              <w:rPr>
                <w:sz w:val="1"/>
                <w:szCs w:val="1"/>
                <w:color w:val="auto"/>
              </w:rPr>
            </w:pPr>
          </w:p>
        </w:tc>
      </w:tr>
      <w:tr>
        <w:trPr>
          <w:trHeight w:val="213"/>
        </w:trPr>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80" w:type="dxa"/>
            <w:vAlign w:val="bottom"/>
          </w:tcPr>
          <w:p>
            <w:pPr>
              <w:jc w:val="center"/>
              <w:ind w:right="3991"/>
              <w:spacing w:after="0"/>
              <w:rPr>
                <w:sz w:val="20"/>
                <w:szCs w:val="20"/>
                <w:color w:val="auto"/>
              </w:rPr>
            </w:pPr>
            <w:r>
              <w:rPr>
                <w:rFonts w:ascii="Arial" w:cs="Arial" w:eastAsia="Arial" w:hAnsi="Arial"/>
                <w:sz w:val="18"/>
                <w:szCs w:val="18"/>
                <w:color w:val="auto"/>
                <w:w w:val="96"/>
              </w:rPr>
              <w:t>NONE</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780" w:type="dxa"/>
            <w:vAlign w:val="bottom"/>
          </w:tcPr>
          <w:p>
            <w:pPr>
              <w:jc w:val="center"/>
              <w:ind w:right="3991"/>
              <w:spacing w:after="0"/>
              <w:rPr>
                <w:sz w:val="20"/>
                <w:szCs w:val="20"/>
                <w:color w:val="auto"/>
              </w:rPr>
            </w:pPr>
            <w:r>
              <w:rPr>
                <w:rFonts w:ascii="Arial" w:cs="Arial" w:eastAsia="Arial" w:hAnsi="Arial"/>
                <w:sz w:val="18"/>
                <w:szCs w:val="18"/>
                <w:i w:val="1"/>
                <w:iCs w:val="1"/>
                <w:color w:val="auto"/>
                <w:w w:val="91"/>
              </w:rPr>
              <w:t>(Title of class)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color w:val="auto"/>
        </w:rPr>
        <w:t>54,958,912 Ordinary Shares.</w:t>
      </w:r>
    </w:p>
    <w:p>
      <w:pPr>
        <w:spacing w:after="0" w:line="6" w:lineRule="exact"/>
        <w:rPr>
          <w:sz w:val="24"/>
          <w:szCs w:val="24"/>
          <w:color w:val="auto"/>
        </w:rPr>
      </w:pPr>
    </w:p>
    <w:p>
      <w:pPr>
        <w:spacing w:after="0"/>
        <w:tabs>
          <w:tab w:leader="none" w:pos="9260" w:val="left"/>
        </w:tabs>
        <w:rPr>
          <w:sz w:val="20"/>
          <w:szCs w:val="20"/>
          <w:color w:val="auto"/>
        </w:rPr>
      </w:pPr>
      <w:r>
        <w:rPr>
          <w:rFonts w:ascii="Arial" w:cs="Arial" w:eastAsia="Arial" w:hAnsi="Arial"/>
          <w:sz w:val="17"/>
          <w:szCs w:val="17"/>
          <w:color w:val="auto"/>
        </w:rPr>
        <w:t xml:space="preserve">Indicate by check mark if the registrant is a well-known seasoned issuer, as determined in Rule 405 of the Securities Act. Yes </w:t>
      </w:r>
      <w:r>
        <w:rPr>
          <w:rFonts w:ascii="Arial" w:cs="Arial" w:eastAsia="Arial" w:hAnsi="Arial"/>
          <w:sz w:val="17"/>
          <w:szCs w:val="17"/>
          <w:u w:val="single" w:color="auto"/>
          <w:color w:val="auto"/>
        </w:rPr>
        <w:t>X</w:t>
      </w:r>
      <w:r>
        <w:rPr>
          <w:sz w:val="20"/>
          <w:szCs w:val="20"/>
          <w:color w:val="auto"/>
        </w:rPr>
        <w:tab/>
      </w:r>
      <w:r>
        <w:rPr>
          <w:rFonts w:ascii="Arial" w:cs="Arial" w:eastAsia="Arial" w:hAnsi="Arial"/>
          <w:sz w:val="16"/>
          <w:szCs w:val="16"/>
          <w:color w:val="auto"/>
        </w:rPr>
        <w:t>No__</w:t>
      </w:r>
    </w:p>
    <w:p>
      <w:pPr>
        <w:spacing w:after="0" w:line="17" w:lineRule="exact"/>
        <w:rPr>
          <w:sz w:val="24"/>
          <w:szCs w:val="24"/>
          <w:color w:val="auto"/>
        </w:rPr>
      </w:pPr>
    </w:p>
    <w:p>
      <w:pPr>
        <w:ind w:right="620"/>
        <w:spacing w:after="0" w:line="246" w:lineRule="auto"/>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__ No </w:t>
      </w:r>
      <w:r>
        <w:rPr>
          <w:rFonts w:ascii="Arial" w:cs="Arial" w:eastAsia="Arial" w:hAnsi="Arial"/>
          <w:sz w:val="18"/>
          <w:szCs w:val="18"/>
          <w:u w:val="single" w:color="auto"/>
          <w:color w:val="auto"/>
        </w:rPr>
        <w:t>X</w:t>
      </w:r>
    </w:p>
    <w:p>
      <w:pPr>
        <w:spacing w:after="0" w:line="1" w:lineRule="exact"/>
        <w:rPr>
          <w:sz w:val="24"/>
          <w:szCs w:val="24"/>
          <w:color w:val="auto"/>
        </w:rPr>
      </w:pPr>
    </w:p>
    <w:p>
      <w:pPr>
        <w:jc w:val="both"/>
        <w:ind w:right="40"/>
        <w:spacing w:after="0" w:line="246"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No__</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w:t>
      </w:r>
    </w:p>
    <w:tbl>
      <w:tblPr>
        <w:tblLayout w:type="fixed"/>
        <w:tblInd w:w="0" w:type="dxa"/>
        <w:tblCellMar>
          <w:top w:w="0" w:type="dxa"/>
          <w:left w:w="0" w:type="dxa"/>
          <w:bottom w:w="0" w:type="dxa"/>
          <w:right w:w="0" w:type="dxa"/>
        </w:tblCellMar>
      </w:tblPr>
      <w:tr>
        <w:trPr>
          <w:trHeight w:val="203"/>
        </w:trPr>
        <w:tc>
          <w:tcPr>
            <w:tcW w:w="7340" w:type="dxa"/>
            <w:vAlign w:val="bottom"/>
            <w:gridSpan w:val="7"/>
          </w:tcPr>
          <w:p>
            <w:pPr>
              <w:spacing w:after="0" w:line="202" w:lineRule="exact"/>
              <w:rPr>
                <w:sz w:val="20"/>
                <w:szCs w:val="20"/>
                <w:color w:val="auto"/>
              </w:rPr>
            </w:pPr>
            <w:r>
              <w:rPr>
                <w:rFonts w:ascii="Arial" w:cs="Arial" w:eastAsia="Arial" w:hAnsi="Arial"/>
                <w:sz w:val="18"/>
                <w:szCs w:val="18"/>
                <w:color w:val="auto"/>
                <w:w w:val="90"/>
              </w:rPr>
              <w:t>submitted and posted pursuant to Rule 405 of Regulation S-T during the preceding 12 months: Yes X</w:t>
            </w:r>
          </w:p>
        </w:tc>
        <w:tc>
          <w:tcPr>
            <w:tcW w:w="3300" w:type="dxa"/>
            <w:vAlign w:val="bottom"/>
          </w:tcPr>
          <w:p>
            <w:pPr>
              <w:ind w:left="60"/>
              <w:spacing w:after="0" w:line="202" w:lineRule="exact"/>
              <w:rPr>
                <w:sz w:val="20"/>
                <w:szCs w:val="20"/>
                <w:color w:val="auto"/>
              </w:rPr>
            </w:pPr>
            <w:r>
              <w:rPr>
                <w:rFonts w:ascii="Arial" w:cs="Arial" w:eastAsia="Arial" w:hAnsi="Arial"/>
                <w:sz w:val="18"/>
                <w:szCs w:val="18"/>
                <w:color w:val="auto"/>
              </w:rPr>
              <w:t>No__</w:t>
            </w: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r>
      <w:tr>
        <w:trPr>
          <w:trHeight w:val="220"/>
        </w:trPr>
        <w:tc>
          <w:tcPr>
            <w:tcW w:w="10640" w:type="dxa"/>
            <w:vAlign w:val="bottom"/>
            <w:gridSpan w:val="8"/>
          </w:tcPr>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or a non- accelerated filer.</w:t>
            </w:r>
          </w:p>
        </w:tc>
      </w:tr>
      <w:tr>
        <w:trPr>
          <w:trHeight w:val="185"/>
        </w:trPr>
        <w:tc>
          <w:tcPr>
            <w:tcW w:w="1820" w:type="dxa"/>
            <w:vAlign w:val="bottom"/>
            <w:gridSpan w:val="4"/>
          </w:tcPr>
          <w:p>
            <w:pPr>
              <w:spacing w:after="0" w:line="185" w:lineRule="exact"/>
              <w:rPr>
                <w:sz w:val="20"/>
                <w:szCs w:val="20"/>
                <w:color w:val="auto"/>
              </w:rPr>
            </w:pPr>
            <w:r>
              <w:rPr>
                <w:rFonts w:ascii="Arial" w:cs="Arial" w:eastAsia="Arial" w:hAnsi="Arial"/>
                <w:sz w:val="18"/>
                <w:szCs w:val="18"/>
                <w:color w:val="auto"/>
                <w:w w:val="92"/>
              </w:rPr>
              <w:t>Large accelerated filer X</w:t>
            </w:r>
          </w:p>
        </w:tc>
        <w:tc>
          <w:tcPr>
            <w:tcW w:w="5520" w:type="dxa"/>
            <w:vAlign w:val="bottom"/>
            <w:gridSpan w:val="3"/>
          </w:tcPr>
          <w:p>
            <w:pPr>
              <w:ind w:left="3300"/>
              <w:spacing w:after="0" w:line="185" w:lineRule="exact"/>
              <w:rPr>
                <w:sz w:val="20"/>
                <w:szCs w:val="20"/>
                <w:color w:val="auto"/>
              </w:rPr>
            </w:pPr>
            <w:r>
              <w:rPr>
                <w:rFonts w:ascii="Arial" w:cs="Arial" w:eastAsia="Arial" w:hAnsi="Arial"/>
                <w:sz w:val="18"/>
                <w:szCs w:val="18"/>
                <w:color w:val="auto"/>
              </w:rPr>
              <w:t>Accelerated filer __</w:t>
            </w:r>
          </w:p>
        </w:tc>
        <w:tc>
          <w:tcPr>
            <w:tcW w:w="3300" w:type="dxa"/>
            <w:vAlign w:val="bottom"/>
          </w:tcPr>
          <w:p>
            <w:pPr>
              <w:ind w:left="1580"/>
              <w:spacing w:after="0" w:line="185" w:lineRule="exact"/>
              <w:rPr>
                <w:sz w:val="20"/>
                <w:szCs w:val="20"/>
                <w:color w:val="auto"/>
              </w:rPr>
            </w:pPr>
            <w:r>
              <w:rPr>
                <w:rFonts w:ascii="Arial" w:cs="Arial" w:eastAsia="Arial" w:hAnsi="Arial"/>
                <w:sz w:val="18"/>
                <w:szCs w:val="18"/>
                <w:color w:val="auto"/>
                <w:w w:val="88"/>
              </w:rPr>
              <w:t>Non-accelerated filer __</w:t>
            </w: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20" w:type="dxa"/>
            <w:vAlign w:val="bottom"/>
            <w:gridSpan w:val="4"/>
          </w:tcPr>
          <w:p>
            <w:pPr>
              <w:spacing w:after="0" w:line="20" w:lineRule="exact"/>
              <w:rPr>
                <w:sz w:val="1"/>
                <w:szCs w:val="1"/>
                <w:color w:val="auto"/>
              </w:rPr>
            </w:pPr>
          </w:p>
        </w:tc>
      </w:tr>
      <w:tr>
        <w:trPr>
          <w:trHeight w:val="220"/>
        </w:trPr>
        <w:tc>
          <w:tcPr>
            <w:tcW w:w="10640" w:type="dxa"/>
            <w:vAlign w:val="bottom"/>
            <w:gridSpan w:val="8"/>
          </w:tcPr>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tc>
      </w:tr>
      <w:tr>
        <w:trPr>
          <w:trHeight w:val="185"/>
        </w:trPr>
        <w:tc>
          <w:tcPr>
            <w:tcW w:w="1820" w:type="dxa"/>
            <w:vAlign w:val="bottom"/>
            <w:gridSpan w:val="4"/>
          </w:tcPr>
          <w:p>
            <w:pPr>
              <w:spacing w:after="0" w:line="185" w:lineRule="exact"/>
              <w:rPr>
                <w:sz w:val="20"/>
                <w:szCs w:val="20"/>
                <w:color w:val="auto"/>
              </w:rPr>
            </w:pPr>
            <w:r>
              <w:rPr>
                <w:rFonts w:ascii="Arial" w:cs="Arial" w:eastAsia="Arial" w:hAnsi="Arial"/>
                <w:sz w:val="18"/>
                <w:szCs w:val="18"/>
                <w:color w:val="auto"/>
              </w:rPr>
              <w:t>U.S. GAAP X</w:t>
            </w:r>
          </w:p>
        </w:tc>
        <w:tc>
          <w:tcPr>
            <w:tcW w:w="5520" w:type="dxa"/>
            <w:vAlign w:val="bottom"/>
            <w:gridSpan w:val="3"/>
          </w:tcPr>
          <w:p>
            <w:pPr>
              <w:ind w:left="1680"/>
              <w:spacing w:after="0" w:line="185" w:lineRule="exact"/>
              <w:rPr>
                <w:sz w:val="20"/>
                <w:szCs w:val="20"/>
                <w:color w:val="auto"/>
              </w:rPr>
            </w:pPr>
            <w:r>
              <w:rPr>
                <w:rFonts w:ascii="Arial" w:cs="Arial" w:eastAsia="Arial" w:hAnsi="Arial"/>
                <w:sz w:val="18"/>
                <w:szCs w:val="18"/>
                <w:color w:val="auto"/>
                <w:w w:val="89"/>
              </w:rPr>
              <w:t>International Financial Reporting Standards as issued</w:t>
            </w:r>
          </w:p>
        </w:tc>
        <w:tc>
          <w:tcPr>
            <w:tcW w:w="3300" w:type="dxa"/>
            <w:vAlign w:val="bottom"/>
          </w:tcPr>
          <w:p>
            <w:pPr>
              <w:spacing w:after="0"/>
              <w:rPr>
                <w:sz w:val="16"/>
                <w:szCs w:val="16"/>
                <w:color w:val="auto"/>
              </w:rPr>
            </w:pPr>
          </w:p>
        </w:tc>
      </w:tr>
      <w:tr>
        <w:trPr>
          <w:trHeight w:val="220"/>
        </w:trPr>
        <w:tc>
          <w:tcPr>
            <w:tcW w:w="900" w:type="dxa"/>
            <w:vAlign w:val="bottom"/>
          </w:tcPr>
          <w:p>
            <w:pPr>
              <w:spacing w:after="0"/>
              <w:rPr>
                <w:sz w:val="20"/>
                <w:szCs w:val="20"/>
                <w:color w:val="auto"/>
              </w:rPr>
            </w:pPr>
            <w:r>
              <w:rPr>
                <w:rFonts w:ascii="Arial" w:cs="Arial" w:eastAsia="Arial" w:hAnsi="Arial"/>
                <w:sz w:val="18"/>
                <w:szCs w:val="18"/>
                <w:color w:val="auto"/>
              </w:rPr>
              <w:t>__</w:t>
            </w:r>
          </w:p>
        </w:tc>
        <w:tc>
          <w:tcPr>
            <w:tcW w:w="1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3"/>
          </w:tcPr>
          <w:p>
            <w:pPr>
              <w:ind w:left="2620"/>
              <w:spacing w:after="0"/>
              <w:rPr>
                <w:sz w:val="20"/>
                <w:szCs w:val="20"/>
                <w:color w:val="auto"/>
              </w:rPr>
            </w:pPr>
            <w:r>
              <w:rPr>
                <w:rFonts w:ascii="Arial" w:cs="Arial" w:eastAsia="Arial" w:hAnsi="Arial"/>
                <w:sz w:val="18"/>
                <w:szCs w:val="18"/>
                <w:color w:val="auto"/>
              </w:rPr>
              <w:t>Other __</w:t>
            </w:r>
          </w:p>
        </w:tc>
        <w:tc>
          <w:tcPr>
            <w:tcW w:w="3300" w:type="dxa"/>
            <w:vAlign w:val="bottom"/>
          </w:tcPr>
          <w:p>
            <w:pPr>
              <w:spacing w:after="0"/>
              <w:rPr>
                <w:sz w:val="19"/>
                <w:szCs w:val="19"/>
                <w:color w:val="auto"/>
              </w:rPr>
            </w:pPr>
          </w:p>
        </w:tc>
      </w:tr>
      <w:tr>
        <w:trPr>
          <w:trHeight w:val="224"/>
        </w:trPr>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gridSpan w:val="3"/>
          </w:tcPr>
          <w:p>
            <w:pPr>
              <w:ind w:left="1580"/>
              <w:spacing w:after="0"/>
              <w:rPr>
                <w:sz w:val="20"/>
                <w:szCs w:val="20"/>
                <w:color w:val="auto"/>
              </w:rPr>
            </w:pPr>
            <w:r>
              <w:rPr>
                <w:rFonts w:ascii="Arial" w:cs="Arial" w:eastAsia="Arial" w:hAnsi="Arial"/>
                <w:sz w:val="18"/>
                <w:szCs w:val="18"/>
                <w:color w:val="auto"/>
              </w:rPr>
              <w:t>by the International Accounting Standards Board</w:t>
            </w:r>
          </w:p>
        </w:tc>
        <w:tc>
          <w:tcPr>
            <w:tcW w:w="3300" w:type="dxa"/>
            <w:vAlign w:val="bottom"/>
          </w:tcPr>
          <w:p>
            <w:pPr>
              <w:spacing w:after="0"/>
              <w:rPr>
                <w:sz w:val="19"/>
                <w:szCs w:val="19"/>
                <w:color w:val="auto"/>
              </w:rPr>
            </w:pPr>
          </w:p>
        </w:tc>
      </w:tr>
    </w:tbl>
    <w:p>
      <w:pPr>
        <w:ind w:right="300"/>
        <w:spacing w:after="0" w:line="246"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 Item 17 __ Item 18__</w:t>
      </w:r>
    </w:p>
    <w:p>
      <w:pPr>
        <w:spacing w:after="0" w:line="1" w:lineRule="exact"/>
        <w:rPr>
          <w:sz w:val="24"/>
          <w:szCs w:val="24"/>
          <w:color w:val="auto"/>
        </w:rPr>
      </w:pPr>
    </w:p>
    <w:p>
      <w:pPr>
        <w:spacing w:after="0"/>
        <w:tabs>
          <w:tab w:leader="none" w:pos="10540" w:val="left"/>
        </w:tabs>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 Yes __</w:t>
      </w:r>
      <w:r>
        <w:rPr>
          <w:sz w:val="20"/>
          <w:szCs w:val="20"/>
          <w:color w:val="auto"/>
        </w:rPr>
        <w:tab/>
      </w:r>
      <w:r>
        <w:rPr>
          <w:rFonts w:ascii="Arial" w:cs="Arial" w:eastAsia="Arial" w:hAnsi="Arial"/>
          <w:sz w:val="17"/>
          <w:szCs w:val="17"/>
          <w:color w:val="auto"/>
        </w:rPr>
        <w:t xml:space="preserve">No </w:t>
      </w:r>
      <w:r>
        <w:rPr>
          <w:rFonts w:ascii="Arial" w:cs="Arial" w:eastAsia="Arial" w:hAnsi="Arial"/>
          <w:sz w:val="17"/>
          <w:szCs w:val="17"/>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440055</wp:posOffset>
            </wp:positionV>
            <wp:extent cx="725297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214" w:right="279" w:bottom="33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5"/>
            <w:shd w:val="clear" w:color="auto" w:fill="FFFF00"/>
          </w:tcPr>
          <w:p>
            <w:pPr>
              <w:jc w:val="center"/>
              <w:spacing w:after="0"/>
              <w:rPr>
                <w:sz w:val="20"/>
                <w:szCs w:val="20"/>
                <w:color w:val="auto"/>
              </w:rPr>
            </w:pPr>
            <w:r>
              <w:rPr>
                <w:rFonts w:ascii="Arial" w:cs="Arial" w:eastAsia="Arial" w:hAnsi="Arial"/>
                <w:sz w:val="18"/>
                <w:szCs w:val="18"/>
                <w:b w:val="1"/>
                <w:bCs w:val="1"/>
                <w:color w:val="auto"/>
                <w:highlight w:val="white"/>
                <w:w w:val="97"/>
              </w:rPr>
              <w:t>TABLE OF CONTENTS</w:t>
            </w:r>
          </w:p>
        </w:tc>
        <w:tc>
          <w:tcPr>
            <w:tcW w:w="4760" w:type="dxa"/>
            <w:vAlign w:val="bottom"/>
            <w:gridSpan w:val="5"/>
            <w:vMerge w:val="restart"/>
          </w:tcPr>
          <w:p>
            <w:pPr>
              <w:ind w:left="44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6660" w:type="dxa"/>
            <w:vAlign w:val="bottom"/>
            <w:gridSpan w:val="29"/>
          </w:tcPr>
          <w:p>
            <w:pPr>
              <w:spacing w:after="0"/>
              <w:rPr>
                <w:sz w:val="20"/>
                <w:szCs w:val="20"/>
                <w:color w:val="auto"/>
              </w:rPr>
            </w:pPr>
            <w:r>
              <w:rPr>
                <w:rFonts w:ascii="Arial" w:cs="Arial" w:eastAsia="Arial" w:hAnsi="Arial"/>
                <w:sz w:val="18"/>
                <w:szCs w:val="18"/>
                <w:b w:val="1"/>
                <w:bCs w:val="1"/>
                <w:color w:val="auto"/>
              </w:rPr>
              <w:t>General</w:t>
            </w:r>
          </w:p>
        </w:tc>
        <w:tc>
          <w:tcPr>
            <w:tcW w:w="4400" w:type="dxa"/>
            <w:vAlign w:val="bottom"/>
          </w:tcPr>
          <w:p>
            <w:pPr>
              <w:spacing w:after="0"/>
              <w:rPr>
                <w:sz w:val="24"/>
                <w:szCs w:val="24"/>
                <w:color w:val="auto"/>
              </w:rPr>
            </w:pPr>
          </w:p>
        </w:tc>
        <w:tc>
          <w:tcPr>
            <w:tcW w:w="36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25"/>
        </w:trPr>
        <w:tc>
          <w:tcPr>
            <w:tcW w:w="6660" w:type="dxa"/>
            <w:vAlign w:val="bottom"/>
            <w:gridSpan w:val="29"/>
          </w:tcPr>
          <w:p>
            <w:pPr>
              <w:spacing w:after="0"/>
              <w:rPr>
                <w:sz w:val="20"/>
                <w:szCs w:val="20"/>
                <w:color w:val="auto"/>
              </w:rPr>
            </w:pPr>
            <w:r>
              <w:rPr>
                <w:rFonts w:ascii="Arial" w:cs="Arial" w:eastAsia="Arial" w:hAnsi="Arial"/>
                <w:sz w:val="18"/>
                <w:szCs w:val="18"/>
                <w:b w:val="1"/>
                <w:bCs w:val="1"/>
                <w:color w:val="auto"/>
              </w:rPr>
              <w:t>Cautionary Statement</w:t>
            </w:r>
          </w:p>
        </w:tc>
        <w:tc>
          <w:tcPr>
            <w:tcW w:w="47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25"/>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8"/>
              </w:rPr>
              <w:t>PART I</w:t>
            </w: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660" w:type="dxa"/>
            <w:vAlign w:val="bottom"/>
            <w:gridSpan w:val="2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Identity of Directors, Senior Management and Advisors</w:t>
              </w:r>
            </w:hyperlink>
          </w:p>
        </w:tc>
        <w:tc>
          <w:tcPr>
            <w:tcW w:w="4760" w:type="dxa"/>
            <w:vAlign w:val="bottom"/>
            <w:gridSpan w:val="5"/>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193"/>
        </w:trPr>
        <w:tc>
          <w:tcPr>
            <w:tcW w:w="3380" w:type="dxa"/>
            <w:vAlign w:val="bottom"/>
            <w:tcBorders>
              <w:top w:val="single" w:sz="8" w:color="0000EE"/>
              <w:bottom w:val="single" w:sz="8" w:color="0000EE"/>
            </w:tcBorders>
            <w:gridSpan w:val="15"/>
          </w:tcPr>
          <w:p>
            <w:pPr>
              <w:spacing w:after="0" w:line="193"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2. Offer Statistics and Expected Timetable</w:t>
              </w:r>
            </w:hyperlink>
          </w:p>
        </w:tc>
        <w:tc>
          <w:tcPr>
            <w:tcW w:w="1120" w:type="dxa"/>
            <w:vAlign w:val="bottom"/>
            <w:tcBorders>
              <w:top w:val="single" w:sz="8" w:color="0000EE"/>
            </w:tcBorders>
            <w:gridSpan w:val="8"/>
          </w:tcPr>
          <w:p>
            <w:pPr>
              <w:spacing w:after="0"/>
              <w:rPr>
                <w:sz w:val="16"/>
                <w:szCs w:val="16"/>
                <w:color w:val="auto"/>
              </w:rPr>
            </w:pPr>
          </w:p>
        </w:tc>
        <w:tc>
          <w:tcPr>
            <w:tcW w:w="2160" w:type="dxa"/>
            <w:vAlign w:val="bottom"/>
            <w:gridSpan w:val="6"/>
          </w:tcPr>
          <w:p>
            <w:pPr>
              <w:spacing w:after="0"/>
              <w:rPr>
                <w:sz w:val="16"/>
                <w:szCs w:val="16"/>
                <w:color w:val="auto"/>
              </w:rPr>
            </w:pPr>
          </w:p>
        </w:tc>
        <w:tc>
          <w:tcPr>
            <w:tcW w:w="4620" w:type="dxa"/>
            <w:vAlign w:val="bottom"/>
            <w:gridSpan w:val="3"/>
          </w:tcPr>
          <w:p>
            <w:pPr>
              <w:spacing w:after="0"/>
              <w:rPr>
                <w:sz w:val="16"/>
                <w:szCs w:val="16"/>
                <w:color w:val="auto"/>
              </w:rPr>
            </w:pPr>
          </w:p>
        </w:tc>
        <w:tc>
          <w:tcPr>
            <w:tcW w:w="100" w:type="dxa"/>
            <w:vAlign w:val="bottom"/>
            <w:tcBorders>
              <w:top w:val="single" w:sz="8" w:color="0000EE"/>
              <w:bottom w:val="single" w:sz="8" w:color="0000EE"/>
            </w:tcBorders>
          </w:tcPr>
          <w:p>
            <w:pPr>
              <w:jc w:val="right"/>
              <w:spacing w:after="0" w:line="193"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40" w:type="dxa"/>
            <w:vAlign w:val="bottom"/>
            <w:tcBorders>
              <w:bottom w:val="single" w:sz="8" w:color="0000EE"/>
            </w:tcBorders>
            <w:gridSpan w:val="3"/>
          </w:tcPr>
          <w:p>
            <w:pPr>
              <w:spacing w:after="0" w:line="193"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Item 3. Key Information</w:t>
              </w:r>
            </w:hyperlink>
          </w:p>
        </w:tc>
        <w:tc>
          <w:tcPr>
            <w:tcW w:w="4920" w:type="dxa"/>
            <w:vAlign w:val="bottom"/>
            <w:gridSpan w:val="26"/>
          </w:tcPr>
          <w:p>
            <w:pPr>
              <w:spacing w:after="0"/>
              <w:rPr>
                <w:sz w:val="16"/>
                <w:szCs w:val="16"/>
                <w:color w:val="auto"/>
              </w:rPr>
            </w:pPr>
          </w:p>
        </w:tc>
        <w:tc>
          <w:tcPr>
            <w:tcW w:w="4620" w:type="dxa"/>
            <w:vAlign w:val="bottom"/>
            <w:gridSpan w:val="3"/>
          </w:tcPr>
          <w:p>
            <w:pPr>
              <w:spacing w:after="0"/>
              <w:rPr>
                <w:sz w:val="16"/>
                <w:szCs w:val="16"/>
                <w:color w:val="auto"/>
              </w:rPr>
            </w:pPr>
          </w:p>
        </w:tc>
        <w:tc>
          <w:tcPr>
            <w:tcW w:w="100" w:type="dxa"/>
            <w:vAlign w:val="bottom"/>
            <w:tcBorders>
              <w:bottom w:val="single" w:sz="8" w:color="0000EE"/>
            </w:tcBorders>
          </w:tcPr>
          <w:p>
            <w:pPr>
              <w:jc w:val="right"/>
              <w:spacing w:after="0" w:line="193"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20" w:type="dxa"/>
            <w:vAlign w:val="bottom"/>
            <w:tcBorders>
              <w:bottom w:val="single" w:sz="8" w:color="0000EE"/>
            </w:tcBorders>
            <w:gridSpan w:val="12"/>
          </w:tcPr>
          <w:p>
            <w:pPr>
              <w:spacing w:after="0" w:line="193"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4. Information on the Company</w:t>
              </w:r>
            </w:hyperlink>
          </w:p>
        </w:tc>
        <w:tc>
          <w:tcPr>
            <w:tcW w:w="4040" w:type="dxa"/>
            <w:vAlign w:val="bottom"/>
            <w:gridSpan w:val="17"/>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c>
          <w:tcPr>
            <w:tcW w:w="40" w:type="dxa"/>
            <w:vAlign w:val="bottom"/>
            <w:tcBorders>
              <w:bottom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40" w:type="dxa"/>
            <w:vAlign w:val="bottom"/>
            <w:tcBorders>
              <w:bottom w:val="single" w:sz="8" w:color="0000EE"/>
            </w:tcBorders>
            <w:gridSpan w:val="13"/>
          </w:tcPr>
          <w:p>
            <w:pPr>
              <w:spacing w:after="0" w:line="193"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4A. Unresolved Staff Comments</w:t>
              </w:r>
            </w:hyperlink>
          </w:p>
        </w:tc>
        <w:tc>
          <w:tcPr>
            <w:tcW w:w="3920" w:type="dxa"/>
            <w:vAlign w:val="bottom"/>
            <w:gridSpan w:val="16"/>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80" w:type="dxa"/>
            <w:vAlign w:val="bottom"/>
            <w:tcBorders>
              <w:bottom w:val="single" w:sz="8" w:color="0000EE"/>
            </w:tcBorders>
            <w:gridSpan w:val="18"/>
          </w:tcPr>
          <w:p>
            <w:pPr>
              <w:spacing w:after="0" w:line="193"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Item 5. Operating and Financial Review and Prospects</w:t>
              </w:r>
            </w:hyperlink>
          </w:p>
        </w:tc>
        <w:tc>
          <w:tcPr>
            <w:tcW w:w="2780" w:type="dxa"/>
            <w:vAlign w:val="bottom"/>
            <w:gridSpan w:val="11"/>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60" w:type="dxa"/>
            <w:vAlign w:val="bottom"/>
            <w:gridSpan w:val="29"/>
          </w:tcPr>
          <w:p>
            <w:pPr>
              <w:spacing w:after="0" w:line="193" w:lineRule="exact"/>
              <w:rPr>
                <w:rFonts w:ascii="Arial" w:cs="Arial" w:eastAsia="Arial" w:hAnsi="Arial"/>
                <w:sz w:val="18"/>
                <w:szCs w:val="18"/>
                <w:color w:val="0000EE"/>
              </w:rPr>
            </w:pPr>
            <w:hyperlink w:anchor="page50">
              <w:r>
                <w:rPr>
                  <w:rFonts w:ascii="Arial" w:cs="Arial" w:eastAsia="Arial" w:hAnsi="Arial"/>
                  <w:sz w:val="18"/>
                  <w:szCs w:val="18"/>
                  <w:color w:val="0000EE"/>
                </w:rPr>
                <w:t>Item 6. Directors, Senior Management and Employees</w:t>
              </w:r>
            </w:hyperlink>
          </w:p>
        </w:tc>
        <w:tc>
          <w:tcPr>
            <w:tcW w:w="4720" w:type="dxa"/>
            <w:vAlign w:val="bottom"/>
            <w:gridSpan w:val="4"/>
          </w:tcPr>
          <w:p>
            <w:pPr>
              <w:jc w:val="right"/>
              <w:spacing w:after="0" w:line="193" w:lineRule="exact"/>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60" w:type="dxa"/>
            <w:vAlign w:val="bottom"/>
            <w:gridSpan w:val="29"/>
          </w:tcPr>
          <w:p>
            <w:pPr>
              <w:spacing w:after="0" w:line="193" w:lineRule="exact"/>
              <w:rPr>
                <w:rFonts w:ascii="Arial" w:cs="Arial" w:eastAsia="Arial" w:hAnsi="Arial"/>
                <w:sz w:val="18"/>
                <w:szCs w:val="18"/>
                <w:color w:val="0000EE"/>
              </w:rPr>
            </w:pPr>
            <w:hyperlink w:anchor="page66">
              <w:r>
                <w:rPr>
                  <w:rFonts w:ascii="Arial" w:cs="Arial" w:eastAsia="Arial" w:hAnsi="Arial"/>
                  <w:sz w:val="18"/>
                  <w:szCs w:val="18"/>
                  <w:color w:val="0000EE"/>
                </w:rPr>
                <w:t>Item 7. Major Shareholders and Related Party Transactions</w:t>
              </w:r>
            </w:hyperlink>
          </w:p>
        </w:tc>
        <w:tc>
          <w:tcPr>
            <w:tcW w:w="4720" w:type="dxa"/>
            <w:vAlign w:val="bottom"/>
            <w:gridSpan w:val="4"/>
          </w:tcPr>
          <w:p>
            <w:pPr>
              <w:jc w:val="right"/>
              <w:spacing w:after="0" w:line="193" w:lineRule="exact"/>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20" w:type="dxa"/>
            <w:vAlign w:val="bottom"/>
            <w:tcBorders>
              <w:top w:val="single" w:sz="8" w:color="0000EE"/>
              <w:bottom w:val="single" w:sz="8" w:color="0000EE"/>
            </w:tcBorders>
            <w:gridSpan w:val="6"/>
          </w:tcPr>
          <w:p>
            <w:pPr>
              <w:spacing w:after="0" w:line="193"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Item 8. Financial Information</w:t>
              </w:r>
            </w:hyperlink>
          </w:p>
        </w:tc>
        <w:tc>
          <w:tcPr>
            <w:tcW w:w="2080" w:type="dxa"/>
            <w:vAlign w:val="bottom"/>
            <w:tcBorders>
              <w:top w:val="single" w:sz="8" w:color="0000EE"/>
            </w:tcBorders>
            <w:gridSpan w:val="15"/>
          </w:tcPr>
          <w:p>
            <w:pPr>
              <w:spacing w:after="0"/>
              <w:rPr>
                <w:sz w:val="16"/>
                <w:szCs w:val="16"/>
                <w:color w:val="auto"/>
              </w:rPr>
            </w:pPr>
          </w:p>
        </w:tc>
        <w:tc>
          <w:tcPr>
            <w:tcW w:w="2460" w:type="dxa"/>
            <w:vAlign w:val="bottom"/>
            <w:gridSpan w:val="8"/>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3"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64</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00" w:type="dxa"/>
            <w:vAlign w:val="bottom"/>
            <w:tcBorders>
              <w:bottom w:val="single" w:sz="8" w:color="0000EE"/>
            </w:tcBorders>
            <w:gridSpan w:val="5"/>
          </w:tcPr>
          <w:p>
            <w:pPr>
              <w:spacing w:after="0" w:line="193"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Item 9. The Offer and Listing</w:t>
              </w:r>
            </w:hyperlink>
          </w:p>
        </w:tc>
        <w:tc>
          <w:tcPr>
            <w:tcW w:w="4560" w:type="dxa"/>
            <w:vAlign w:val="bottom"/>
            <w:gridSpan w:val="24"/>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65</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60" w:type="dxa"/>
            <w:vAlign w:val="bottom"/>
            <w:gridSpan w:val="29"/>
          </w:tcPr>
          <w:p>
            <w:pPr>
              <w:spacing w:after="0" w:line="193" w:lineRule="exact"/>
              <w:rPr>
                <w:rFonts w:ascii="Arial" w:cs="Arial" w:eastAsia="Arial" w:hAnsi="Arial"/>
                <w:sz w:val="18"/>
                <w:szCs w:val="18"/>
                <w:color w:val="0000EE"/>
              </w:rPr>
            </w:pPr>
            <w:hyperlink w:anchor="page68">
              <w:r>
                <w:rPr>
                  <w:rFonts w:ascii="Arial" w:cs="Arial" w:eastAsia="Arial" w:hAnsi="Arial"/>
                  <w:sz w:val="18"/>
                  <w:szCs w:val="18"/>
                  <w:color w:val="0000EE"/>
                </w:rPr>
                <w:t>Item 10. Additional Information</w:t>
              </w:r>
            </w:hyperlink>
          </w:p>
        </w:tc>
        <w:tc>
          <w:tcPr>
            <w:tcW w:w="4720" w:type="dxa"/>
            <w:vAlign w:val="bottom"/>
            <w:gridSpan w:val="4"/>
          </w:tcPr>
          <w:p>
            <w:pPr>
              <w:jc w:val="right"/>
              <w:spacing w:after="0" w:line="193" w:lineRule="exact"/>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80" w:type="dxa"/>
            <w:vAlign w:val="bottom"/>
            <w:tcBorders>
              <w:bottom w:val="single" w:sz="8" w:color="0000EE"/>
            </w:tcBorders>
            <w:gridSpan w:val="25"/>
          </w:tcPr>
          <w:p>
            <w:pPr>
              <w:spacing w:after="0" w:line="193"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Item 11. Quantitative and Qualitative Disclosures about Market Risk</w:t>
              </w:r>
            </w:hyperlink>
          </w:p>
        </w:tc>
        <w:tc>
          <w:tcPr>
            <w:tcW w:w="1780" w:type="dxa"/>
            <w:vAlign w:val="bottom"/>
            <w:gridSpan w:val="4"/>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73</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60" w:type="dxa"/>
            <w:vAlign w:val="bottom"/>
            <w:gridSpan w:val="29"/>
          </w:tcPr>
          <w:p>
            <w:pPr>
              <w:spacing w:after="0" w:line="193" w:lineRule="exact"/>
              <w:rPr>
                <w:rFonts w:ascii="Arial" w:cs="Arial" w:eastAsia="Arial" w:hAnsi="Arial"/>
                <w:sz w:val="18"/>
                <w:szCs w:val="18"/>
                <w:color w:val="0000EE"/>
              </w:rPr>
            </w:pPr>
            <w:hyperlink w:anchor="page77">
              <w:r>
                <w:rPr>
                  <w:rFonts w:ascii="Arial" w:cs="Arial" w:eastAsia="Arial" w:hAnsi="Arial"/>
                  <w:sz w:val="18"/>
                  <w:szCs w:val="18"/>
                  <w:color w:val="0000EE"/>
                </w:rPr>
                <w:t>Item 12. Description of Securities Other than Equity Securities</w:t>
              </w:r>
            </w:hyperlink>
          </w:p>
        </w:tc>
        <w:tc>
          <w:tcPr>
            <w:tcW w:w="4720" w:type="dxa"/>
            <w:vAlign w:val="bottom"/>
            <w:gridSpan w:val="4"/>
          </w:tcPr>
          <w:p>
            <w:pPr>
              <w:jc w:val="right"/>
              <w:spacing w:after="0" w:line="193" w:lineRule="exact"/>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PART II</w:t>
            </w: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660" w:type="dxa"/>
            <w:vAlign w:val="bottom"/>
            <w:gridSpan w:val="2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13. Defaults, Dividend Arrearages and Delinquencies</w:t>
              </w:r>
            </w:hyperlink>
          </w:p>
        </w:tc>
        <w:tc>
          <w:tcPr>
            <w:tcW w:w="472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160" w:type="dxa"/>
            <w:vAlign w:val="bottom"/>
            <w:tcBorders>
              <w:bottom w:val="single" w:sz="8" w:color="0000EE"/>
            </w:tcBorders>
            <w:gridSpan w:val="28"/>
          </w:tcPr>
          <w:p>
            <w:pPr>
              <w:spacing w:after="0" w:line="193"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Item 14. Material Modifications to the Rights of Security Holders and Use of Proceeds</w:t>
              </w:r>
            </w:hyperlink>
          </w:p>
        </w:tc>
        <w:tc>
          <w:tcPr>
            <w:tcW w:w="500" w:type="dxa"/>
            <w:vAlign w:val="bottom"/>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75</w:t>
              </w:r>
            </w:hyperlink>
          </w:p>
        </w:tc>
        <w:tc>
          <w:tcPr>
            <w:tcW w:w="40" w:type="dxa"/>
            <w:vAlign w:val="bottom"/>
            <w:tcBorders>
              <w:bottom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0" w:type="dxa"/>
            <w:vAlign w:val="bottom"/>
            <w:tcBorders>
              <w:bottom w:val="single" w:sz="8" w:color="0000EE"/>
            </w:tcBorders>
            <w:gridSpan w:val="10"/>
          </w:tcPr>
          <w:p>
            <w:pPr>
              <w:spacing w:after="0" w:line="193"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Item 15. Controls and Procedures</w:t>
              </w:r>
            </w:hyperlink>
          </w:p>
        </w:tc>
        <w:tc>
          <w:tcPr>
            <w:tcW w:w="4260" w:type="dxa"/>
            <w:vAlign w:val="bottom"/>
            <w:gridSpan w:val="19"/>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75</w:t>
              </w:r>
            </w:hyperlink>
          </w:p>
        </w:tc>
        <w:tc>
          <w:tcPr>
            <w:tcW w:w="40" w:type="dxa"/>
            <w:vAlign w:val="bottom"/>
            <w:tcBorders>
              <w:bottom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300" w:type="dxa"/>
            <w:vAlign w:val="bottom"/>
            <w:tcBorders>
              <w:bottom w:val="single" w:sz="8" w:color="0000EE"/>
            </w:tcBorders>
            <w:gridSpan w:val="2"/>
          </w:tcPr>
          <w:p>
            <w:pPr>
              <w:spacing w:after="0" w:line="193"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Item 16. Reserved</w:t>
              </w:r>
            </w:hyperlink>
          </w:p>
        </w:tc>
        <w:tc>
          <w:tcPr>
            <w:tcW w:w="5360" w:type="dxa"/>
            <w:vAlign w:val="bottom"/>
            <w:gridSpan w:val="27"/>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75</w:t>
              </w:r>
            </w:hyperlink>
          </w:p>
        </w:tc>
        <w:tc>
          <w:tcPr>
            <w:tcW w:w="40" w:type="dxa"/>
            <w:vAlign w:val="bottom"/>
            <w:tcBorders>
              <w:bottom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60" w:type="dxa"/>
            <w:vAlign w:val="bottom"/>
            <w:gridSpan w:val="29"/>
          </w:tcPr>
          <w:p>
            <w:pPr>
              <w:spacing w:after="0" w:line="193" w:lineRule="exact"/>
              <w:rPr>
                <w:rFonts w:ascii="Arial" w:cs="Arial" w:eastAsia="Arial" w:hAnsi="Arial"/>
                <w:sz w:val="18"/>
                <w:szCs w:val="18"/>
                <w:color w:val="0000EE"/>
              </w:rPr>
            </w:pPr>
            <w:hyperlink w:anchor="page77">
              <w:r>
                <w:rPr>
                  <w:rFonts w:ascii="Arial" w:cs="Arial" w:eastAsia="Arial" w:hAnsi="Arial"/>
                  <w:sz w:val="18"/>
                  <w:szCs w:val="18"/>
                  <w:color w:val="0000EE"/>
                </w:rPr>
                <w:t>Item 16A. Audit Committee Financial Expert</w:t>
              </w:r>
            </w:hyperlink>
          </w:p>
        </w:tc>
        <w:tc>
          <w:tcPr>
            <w:tcW w:w="4720" w:type="dxa"/>
            <w:vAlign w:val="bottom"/>
            <w:gridSpan w:val="4"/>
          </w:tcPr>
          <w:p>
            <w:pPr>
              <w:jc w:val="right"/>
              <w:spacing w:after="0" w:line="193" w:lineRule="exact"/>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20" w:type="dxa"/>
            <w:vAlign w:val="bottom"/>
            <w:tcBorders>
              <w:top w:val="single" w:sz="8" w:color="0000EE"/>
              <w:bottom w:val="single" w:sz="8" w:color="0000EE"/>
            </w:tcBorders>
            <w:gridSpan w:val="4"/>
          </w:tcPr>
          <w:p>
            <w:pPr>
              <w:spacing w:after="0" w:line="193"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Item 16B. Code of Ethics</w:t>
              </w:r>
            </w:hyperlink>
          </w:p>
        </w:tc>
        <w:tc>
          <w:tcPr>
            <w:tcW w:w="1400" w:type="dxa"/>
            <w:vAlign w:val="bottom"/>
            <w:tcBorders>
              <w:top w:val="single" w:sz="8" w:color="0000EE"/>
            </w:tcBorders>
            <w:gridSpan w:val="10"/>
          </w:tcPr>
          <w:p>
            <w:pPr>
              <w:spacing w:after="0"/>
              <w:rPr>
                <w:sz w:val="16"/>
                <w:szCs w:val="16"/>
                <w:color w:val="auto"/>
              </w:rPr>
            </w:pPr>
          </w:p>
        </w:tc>
        <w:tc>
          <w:tcPr>
            <w:tcW w:w="3440" w:type="dxa"/>
            <w:vAlign w:val="bottom"/>
            <w:gridSpan w:val="15"/>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3"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75</w:t>
              </w:r>
            </w:hyperlink>
          </w:p>
        </w:tc>
        <w:tc>
          <w:tcPr>
            <w:tcW w:w="40" w:type="dxa"/>
            <w:vAlign w:val="bottom"/>
            <w:tcBorders>
              <w:top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tcBorders>
              <w:bottom w:val="single" w:sz="8" w:color="0000EE"/>
            </w:tcBorders>
            <w:gridSpan w:val="16"/>
          </w:tcPr>
          <w:p>
            <w:pPr>
              <w:spacing w:after="0" w:line="193"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Item 16C. Principal Accountant Fees and Services</w:t>
              </w:r>
            </w:hyperlink>
          </w:p>
        </w:tc>
        <w:tc>
          <w:tcPr>
            <w:tcW w:w="3080" w:type="dxa"/>
            <w:vAlign w:val="bottom"/>
            <w:gridSpan w:val="13"/>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76</w:t>
              </w:r>
            </w:hyperlink>
          </w:p>
        </w:tc>
        <w:tc>
          <w:tcPr>
            <w:tcW w:w="40" w:type="dxa"/>
            <w:vAlign w:val="bottom"/>
            <w:tcBorders>
              <w:bottom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tcBorders>
              <w:bottom w:val="single" w:sz="8" w:color="0000EE"/>
            </w:tcBorders>
            <w:gridSpan w:val="26"/>
          </w:tcPr>
          <w:p>
            <w:pPr>
              <w:spacing w:after="0" w:line="193"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Item 16D. Exemptions from the Listing Standards for Audit Committees</w:t>
              </w:r>
            </w:hyperlink>
          </w:p>
        </w:tc>
        <w:tc>
          <w:tcPr>
            <w:tcW w:w="1500" w:type="dxa"/>
            <w:vAlign w:val="bottom"/>
            <w:gridSpan w:val="3"/>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76</w:t>
              </w:r>
            </w:hyperlink>
          </w:p>
        </w:tc>
        <w:tc>
          <w:tcPr>
            <w:tcW w:w="40" w:type="dxa"/>
            <w:vAlign w:val="bottom"/>
            <w:tcBorders>
              <w:bottom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700" w:type="dxa"/>
            <w:vAlign w:val="bottom"/>
            <w:tcBorders>
              <w:bottom w:val="single" w:sz="8" w:color="0000EE"/>
            </w:tcBorders>
            <w:gridSpan w:val="27"/>
          </w:tcPr>
          <w:p>
            <w:pPr>
              <w:spacing w:after="0" w:line="193"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Item 16E. Purchases of Equity Securities by the Issuer and Affiliated Purchasers</w:t>
              </w:r>
            </w:hyperlink>
          </w:p>
        </w:tc>
        <w:tc>
          <w:tcPr>
            <w:tcW w:w="960" w:type="dxa"/>
            <w:vAlign w:val="bottom"/>
            <w:gridSpan w:val="2"/>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3"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77</w:t>
              </w:r>
            </w:hyperlink>
          </w:p>
        </w:tc>
        <w:tc>
          <w:tcPr>
            <w:tcW w:w="40" w:type="dxa"/>
            <w:vAlign w:val="bottom"/>
            <w:tcBorders>
              <w:bottom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60" w:type="dxa"/>
            <w:vAlign w:val="bottom"/>
            <w:gridSpan w:val="29"/>
          </w:tcPr>
          <w:p>
            <w:pPr>
              <w:spacing w:after="0" w:line="193" w:lineRule="exact"/>
              <w:rPr>
                <w:rFonts w:ascii="Arial" w:cs="Arial" w:eastAsia="Arial" w:hAnsi="Arial"/>
                <w:sz w:val="18"/>
                <w:szCs w:val="18"/>
                <w:color w:val="0000EE"/>
              </w:rPr>
            </w:pPr>
            <w:hyperlink w:anchor="page80">
              <w:r>
                <w:rPr>
                  <w:rFonts w:ascii="Arial" w:cs="Arial" w:eastAsia="Arial" w:hAnsi="Arial"/>
                  <w:sz w:val="18"/>
                  <w:szCs w:val="18"/>
                  <w:color w:val="0000EE"/>
                </w:rPr>
                <w:t>Item 16F. Changes in Registrant’s Certifying Accountant</w:t>
              </w:r>
            </w:hyperlink>
          </w:p>
        </w:tc>
        <w:tc>
          <w:tcPr>
            <w:tcW w:w="4720" w:type="dxa"/>
            <w:vAlign w:val="bottom"/>
            <w:gridSpan w:val="4"/>
          </w:tcPr>
          <w:p>
            <w:pPr>
              <w:jc w:val="right"/>
              <w:spacing w:after="0" w:line="193" w:lineRule="exact"/>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380" w:type="dxa"/>
            <w:vAlign w:val="bottom"/>
            <w:tcBorders>
              <w:top w:val="single" w:sz="8" w:color="0000EE"/>
              <w:bottom w:val="single" w:sz="8" w:color="0000EE"/>
            </w:tcBorders>
            <w:gridSpan w:val="9"/>
          </w:tcPr>
          <w:p>
            <w:pPr>
              <w:spacing w:after="0" w:line="193"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Item 16G. Corporate Governance</w:t>
              </w:r>
            </w:hyperlink>
          </w:p>
        </w:tc>
        <w:tc>
          <w:tcPr>
            <w:tcW w:w="1660" w:type="dxa"/>
            <w:vAlign w:val="bottom"/>
            <w:tcBorders>
              <w:top w:val="single" w:sz="8" w:color="0000EE"/>
            </w:tcBorders>
            <w:gridSpan w:val="10"/>
          </w:tcPr>
          <w:p>
            <w:pPr>
              <w:spacing w:after="0"/>
              <w:rPr>
                <w:sz w:val="16"/>
                <w:szCs w:val="16"/>
                <w:color w:val="auto"/>
              </w:rPr>
            </w:pPr>
          </w:p>
        </w:tc>
        <w:tc>
          <w:tcPr>
            <w:tcW w:w="2620" w:type="dxa"/>
            <w:vAlign w:val="bottom"/>
            <w:gridSpan w:val="10"/>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3"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78</w:t>
              </w:r>
            </w:hyperlink>
          </w:p>
        </w:tc>
        <w:tc>
          <w:tcPr>
            <w:tcW w:w="40" w:type="dxa"/>
            <w:vAlign w:val="bottom"/>
            <w:tcBorders>
              <w:bottom w:val="single" w:sz="8" w:color="0000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60" w:type="dxa"/>
            <w:vAlign w:val="bottom"/>
            <w:gridSpan w:val="29"/>
          </w:tcPr>
          <w:p>
            <w:pPr>
              <w:spacing w:after="0" w:line="193" w:lineRule="exact"/>
              <w:rPr>
                <w:rFonts w:ascii="Arial" w:cs="Arial" w:eastAsia="Arial" w:hAnsi="Arial"/>
                <w:sz w:val="18"/>
                <w:szCs w:val="18"/>
                <w:color w:val="0000EE"/>
              </w:rPr>
            </w:pPr>
            <w:hyperlink w:anchor="page80">
              <w:r>
                <w:rPr>
                  <w:rFonts w:ascii="Arial" w:cs="Arial" w:eastAsia="Arial" w:hAnsi="Arial"/>
                  <w:sz w:val="18"/>
                  <w:szCs w:val="18"/>
                  <w:color w:val="0000EE"/>
                </w:rPr>
                <w:t>Item 16H. Mine Safety Disclosure</w:t>
              </w:r>
            </w:hyperlink>
          </w:p>
        </w:tc>
        <w:tc>
          <w:tcPr>
            <w:tcW w:w="4720" w:type="dxa"/>
            <w:vAlign w:val="bottom"/>
            <w:gridSpan w:val="4"/>
          </w:tcPr>
          <w:p>
            <w:pPr>
              <w:jc w:val="right"/>
              <w:spacing w:after="0" w:line="193" w:lineRule="exact"/>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7"/>
        </w:trPr>
        <w:tc>
          <w:tcPr>
            <w:tcW w:w="1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PART III</w:t>
            </w: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1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Item 17. Financial Statements</w:t>
              </w:r>
            </w:hyperlink>
          </w:p>
        </w:tc>
        <w:tc>
          <w:tcPr>
            <w:tcW w:w="4520" w:type="dxa"/>
            <w:vAlign w:val="bottom"/>
            <w:gridSpan w:val="22"/>
          </w:tcPr>
          <w:p>
            <w:pPr>
              <w:spacing w:after="0"/>
              <w:rPr>
                <w:sz w:val="24"/>
                <w:szCs w:val="24"/>
                <w:color w:val="auto"/>
              </w:rPr>
            </w:pPr>
          </w:p>
        </w:tc>
        <w:tc>
          <w:tcPr>
            <w:tcW w:w="454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660" w:type="dxa"/>
            <w:vAlign w:val="bottom"/>
            <w:gridSpan w:val="29"/>
          </w:tcPr>
          <w:p>
            <w:pPr>
              <w:spacing w:after="0" w:line="193" w:lineRule="exact"/>
              <w:rPr>
                <w:rFonts w:ascii="Arial" w:cs="Arial" w:eastAsia="Arial" w:hAnsi="Arial"/>
                <w:sz w:val="18"/>
                <w:szCs w:val="18"/>
                <w:color w:val="0000EE"/>
              </w:rPr>
            </w:pPr>
            <w:hyperlink w:anchor="page80">
              <w:r>
                <w:rPr>
                  <w:rFonts w:ascii="Arial" w:cs="Arial" w:eastAsia="Arial" w:hAnsi="Arial"/>
                  <w:sz w:val="18"/>
                  <w:szCs w:val="18"/>
                  <w:color w:val="0000EE"/>
                </w:rPr>
                <w:t>Item 18. Financial Statements</w:t>
              </w:r>
            </w:hyperlink>
          </w:p>
        </w:tc>
        <w:tc>
          <w:tcPr>
            <w:tcW w:w="4720" w:type="dxa"/>
            <w:vAlign w:val="bottom"/>
            <w:gridSpan w:val="4"/>
          </w:tcPr>
          <w:p>
            <w:pPr>
              <w:jc w:val="right"/>
              <w:spacing w:after="0" w:line="193" w:lineRule="exact"/>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20" w:type="dxa"/>
            <w:vAlign w:val="bottom"/>
            <w:tcBorders>
              <w:top w:val="single" w:sz="8" w:color="0000EE"/>
            </w:tcBorders>
            <w:gridSpan w:val="6"/>
          </w:tcPr>
          <w:p>
            <w:pPr>
              <w:spacing w:after="0" w:line="193" w:lineRule="exact"/>
              <w:rPr>
                <w:rFonts w:ascii="Arial" w:cs="Arial" w:eastAsia="Arial" w:hAnsi="Arial"/>
                <w:sz w:val="18"/>
                <w:szCs w:val="18"/>
                <w:color w:val="0000EE"/>
              </w:rPr>
            </w:pPr>
            <w:hyperlink w:anchor="page81">
              <w:r>
                <w:rPr>
                  <w:rFonts w:ascii="Arial" w:cs="Arial" w:eastAsia="Arial" w:hAnsi="Arial"/>
                  <w:sz w:val="18"/>
                  <w:szCs w:val="18"/>
                  <w:color w:val="0000EE"/>
                </w:rPr>
                <w:t>Item 19. Exhibits</w:t>
              </w:r>
            </w:hyperlink>
          </w:p>
        </w:tc>
        <w:tc>
          <w:tcPr>
            <w:tcW w:w="4540" w:type="dxa"/>
            <w:vAlign w:val="bottom"/>
            <w:gridSpan w:val="23"/>
          </w:tcPr>
          <w:p>
            <w:pPr>
              <w:spacing w:after="0"/>
              <w:rPr>
                <w:sz w:val="16"/>
                <w:szCs w:val="16"/>
                <w:color w:val="auto"/>
              </w:rPr>
            </w:pPr>
          </w:p>
        </w:tc>
        <w:tc>
          <w:tcPr>
            <w:tcW w:w="454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3"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79</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4"/>
        </w:trPr>
        <w:tc>
          <w:tcPr>
            <w:tcW w:w="1240" w:type="dxa"/>
            <w:vAlign w:val="bottom"/>
            <w:tcBorders>
              <w:top w:val="single" w:sz="8" w:color="0000EE"/>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used herein, “ICON plc”, “ICON”, the “Company” and “we” or “us” refer to ICON public limited company and its consolidated subsidiaries, unless the context requires otherwise.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nineteen members of the European Union (including the Republic of Ireland, France, Germany, Spain, Italy, Finland, Belgium, Latvia, and the Netherlands). ICON publishes its consolidated financial statements in U.S. dollars.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and other factors identified in the Company’s United States Securities and Exchange Commission filings and in the “Risk Factors” included on </w:t>
      </w:r>
      <w:r>
        <w:rPr>
          <w:rFonts w:ascii="Arial" w:cs="Arial" w:eastAsia="Arial" w:hAnsi="Arial"/>
          <w:sz w:val="16"/>
          <w:szCs w:val="16"/>
          <w:color w:val="auto"/>
          <w:highlight w:val="white"/>
        </w:rPr>
        <w:t>pages 4 through 16.</w:t>
      </w:r>
      <w:r>
        <w:rPr>
          <w:rFonts w:ascii="Arial" w:cs="Arial" w:eastAsia="Arial" w:hAnsi="Arial"/>
          <w:sz w:val="16"/>
          <w:szCs w:val="16"/>
          <w:color w:val="auto"/>
        </w:rPr>
        <w:t xml:space="preserve"> The Company has no obligation under the PSLRA to update any forward looking statements and does not intend to do so.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 Key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for ICON plc</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selected financial data set forth below are derived from the Company’s consolidated financial statements and should be read in conjunction with, and are qualified by reference to, Item 5 “Operating and Financial Review and Prospects” and the Company’s consolidated financial statements and related notes thereto included elsewhere in this Form 20-F.</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38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219"/>
        </w:trPr>
        <w:tc>
          <w:tcPr>
            <w:tcW w:w="38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8"/>
                <w:szCs w:val="18"/>
                <w:b w:val="1"/>
                <w:bCs w:val="1"/>
                <w:color w:val="auto"/>
                <w:w w:val="87"/>
              </w:rPr>
              <w:t>(in thousands, except share and per share data)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425"/>
        </w:trPr>
        <w:tc>
          <w:tcPr>
            <w:tcW w:w="3840" w:type="dxa"/>
            <w:vAlign w:val="bottom"/>
          </w:tcPr>
          <w:p>
            <w:pPr>
              <w:spacing w:after="0"/>
              <w:rPr>
                <w:sz w:val="20"/>
                <w:szCs w:val="20"/>
                <w:color w:val="auto"/>
              </w:rPr>
            </w:pPr>
            <w:r>
              <w:rPr>
                <w:rFonts w:ascii="Arial" w:cs="Arial" w:eastAsia="Arial" w:hAnsi="Arial"/>
                <w:sz w:val="18"/>
                <w:szCs w:val="18"/>
                <w:b w:val="1"/>
                <w:bCs w:val="1"/>
                <w:color w:val="auto"/>
              </w:rPr>
              <w:t>Statement of Operations Data:</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2,161,618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2,030,286</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1,784,345</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1,503,993</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1,296,509</w:t>
            </w:r>
          </w:p>
        </w:tc>
      </w:tr>
      <w:tr>
        <w:trPr>
          <w:trHeight w:val="219"/>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Reimbursable expenses (1)</w:t>
            </w:r>
          </w:p>
        </w:tc>
        <w:tc>
          <w:tcPr>
            <w:tcW w:w="10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(586,640)</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(526,970)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(448,287)</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(388,987)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(350,780)</w:t>
            </w:r>
          </w:p>
        </w:tc>
      </w:tr>
      <w:tr>
        <w:trPr>
          <w:trHeight w:val="21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1,574,978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1,503,316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1,336,058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1,115,006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945,729</w:t>
            </w:r>
          </w:p>
        </w:tc>
      </w:tr>
      <w:tr>
        <w:trPr>
          <w:trHeight w:val="200"/>
        </w:trPr>
        <w:tc>
          <w:tcPr>
            <w:tcW w:w="3840" w:type="dxa"/>
            <w:vAlign w:val="bottom"/>
          </w:tcPr>
          <w:p>
            <w:pPr>
              <w:spacing w:after="0" w:line="201" w:lineRule="exact"/>
              <w:rPr>
                <w:sz w:val="20"/>
                <w:szCs w:val="20"/>
                <w:color w:val="auto"/>
              </w:rPr>
            </w:pPr>
            <w:r>
              <w:rPr>
                <w:rFonts w:ascii="Arial" w:cs="Arial" w:eastAsia="Arial" w:hAnsi="Arial"/>
                <w:sz w:val="18"/>
                <w:szCs w:val="18"/>
                <w:color w:val="auto"/>
              </w:rPr>
              <w:t>Costs and expenses:</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Direct costs</w:t>
            </w:r>
          </w:p>
        </w:tc>
        <w:tc>
          <w:tcPr>
            <w:tcW w:w="108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908,979</w:t>
            </w:r>
          </w:p>
        </w:tc>
        <w:tc>
          <w:tcPr>
            <w:tcW w:w="20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903,167</w:t>
            </w:r>
          </w:p>
        </w:tc>
        <w:tc>
          <w:tcPr>
            <w:tcW w:w="3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845,413</w:t>
            </w:r>
          </w:p>
        </w:tc>
        <w:tc>
          <w:tcPr>
            <w:tcW w:w="3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717,750</w:t>
            </w:r>
          </w:p>
        </w:tc>
        <w:tc>
          <w:tcPr>
            <w:tcW w:w="3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611,923</w:t>
            </w:r>
          </w:p>
        </w:tc>
      </w:tr>
      <w:tr>
        <w:trPr>
          <w:trHeight w:val="213"/>
        </w:trPr>
        <w:tc>
          <w:tcPr>
            <w:tcW w:w="3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326,786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336,461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313,931</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280,780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255,864</w:t>
            </w:r>
          </w:p>
        </w:tc>
      </w:tr>
      <w:tr>
        <w:trPr>
          <w:trHeight w:val="213"/>
        </w:trPr>
        <w:tc>
          <w:tcPr>
            <w:tcW w:w="38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57,677</w:t>
            </w:r>
          </w:p>
        </w:tc>
        <w:tc>
          <w:tcPr>
            <w:tcW w:w="20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52,542</w:t>
            </w: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46,514</w:t>
            </w:r>
          </w:p>
        </w:tc>
        <w:tc>
          <w:tcPr>
            <w:tcW w:w="3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42,823</w:t>
            </w:r>
          </w:p>
        </w:tc>
        <w:tc>
          <w:tcPr>
            <w:tcW w:w="3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38,682</w:t>
            </w:r>
          </w:p>
        </w:tc>
      </w:tr>
      <w:tr>
        <w:trPr>
          <w:trHeight w:val="200"/>
        </w:trPr>
        <w:tc>
          <w:tcPr>
            <w:tcW w:w="38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Restructuring and other items</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2"/>
        </w:trPr>
        <w:tc>
          <w:tcPr>
            <w:tcW w:w="38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(1),(2),(3),(4),(5)</w:t>
            </w:r>
          </w:p>
        </w:tc>
        <w:tc>
          <w:tcPr>
            <w:tcW w:w="10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8,796</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9,033</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5,636</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9,817</w:t>
            </w:r>
          </w:p>
        </w:tc>
      </w:tr>
      <w:tr>
        <w:trPr>
          <w:trHeight w:val="213"/>
        </w:trPr>
        <w:tc>
          <w:tcPr>
            <w:tcW w:w="38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8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1,293,442</w:t>
            </w:r>
          </w:p>
        </w:tc>
        <w:tc>
          <w:tcPr>
            <w:tcW w:w="20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1,300,966</w:t>
            </w:r>
          </w:p>
        </w:tc>
        <w:tc>
          <w:tcPr>
            <w:tcW w:w="3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1,214,891</w:t>
            </w:r>
          </w:p>
        </w:tc>
        <w:tc>
          <w:tcPr>
            <w:tcW w:w="3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1,046,989</w:t>
            </w:r>
          </w:p>
        </w:tc>
        <w:tc>
          <w:tcPr>
            <w:tcW w:w="3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916,286</w:t>
            </w:r>
          </w:p>
        </w:tc>
      </w:tr>
      <w:tr>
        <w:trPr>
          <w:trHeight w:val="21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281,536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202,350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121,167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68,017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29,443</w:t>
            </w:r>
          </w:p>
        </w:tc>
      </w:tr>
      <w:tr>
        <w:trPr>
          <w:trHeight w:val="219"/>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income/(expense)</w:t>
            </w:r>
          </w:p>
        </w:tc>
        <w:tc>
          <w:tcPr>
            <w:tcW w:w="10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366</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1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278,850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202,716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120,865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67,221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28,995</w:t>
            </w:r>
          </w:p>
        </w:tc>
      </w:tr>
      <w:tr>
        <w:trPr>
          <w:trHeight w:val="219"/>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(39,311)</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(30,248)</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r>
      <w:tr>
        <w:trPr>
          <w:trHeight w:val="253"/>
        </w:trPr>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239,539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172,468</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102,812</w:t>
            </w:r>
          </w:p>
        </w:tc>
        <w:tc>
          <w:tcPr>
            <w:tcW w:w="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55,420</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22,880</w:t>
            </w:r>
          </w:p>
        </w:tc>
      </w:tr>
      <w:tr>
        <w:trPr>
          <w:trHeight w:val="406"/>
        </w:trPr>
        <w:tc>
          <w:tcPr>
            <w:tcW w:w="3840" w:type="dxa"/>
            <w:vAlign w:val="bottom"/>
          </w:tcPr>
          <w:p>
            <w:pPr>
              <w:spacing w:after="0"/>
              <w:rPr>
                <w:sz w:val="20"/>
                <w:szCs w:val="20"/>
                <w:color w:val="auto"/>
              </w:rPr>
            </w:pPr>
            <w:r>
              <w:rPr>
                <w:rFonts w:ascii="Arial" w:cs="Arial" w:eastAsia="Arial" w:hAnsi="Arial"/>
                <w:sz w:val="18"/>
                <w:szCs w:val="18"/>
                <w:color w:val="auto"/>
              </w:rPr>
              <w:t>Net income per</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8"/>
                <w:szCs w:val="18"/>
                <w:color w:val="auto"/>
              </w:rPr>
              <w:t>ordinary share (6):</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3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Basic</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2.80</w:t>
            </w:r>
          </w:p>
        </w:tc>
        <w:tc>
          <w:tcPr>
            <w:tcW w:w="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0.92</w:t>
            </w:r>
          </w:p>
        </w:tc>
        <w:tc>
          <w:tcPr>
            <w:tcW w:w="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0.38</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6"/>
        </w:trPr>
        <w:tc>
          <w:tcPr>
            <w:tcW w:w="3840" w:type="dxa"/>
            <w:vAlign w:val="bottom"/>
            <w:tcBorders>
              <w:bottom w:val="single" w:sz="8" w:color="auto"/>
            </w:tcBorders>
            <w:shd w:val="clear" w:color="auto" w:fill="CCEEFF"/>
          </w:tcPr>
          <w:p>
            <w:pPr>
              <w:ind w:left="140"/>
              <w:spacing w:after="0" w:line="206" w:lineRule="exact"/>
              <w:rPr>
                <w:sz w:val="20"/>
                <w:szCs w:val="20"/>
                <w:color w:val="auto"/>
              </w:rPr>
            </w:pPr>
            <w:r>
              <w:rPr>
                <w:rFonts w:ascii="Arial" w:cs="Arial" w:eastAsia="Arial" w:hAnsi="Arial"/>
                <w:sz w:val="18"/>
                <w:szCs w:val="18"/>
                <w:color w:val="auto"/>
              </w:rPr>
              <w:t>Diluted</w:t>
            </w:r>
          </w:p>
        </w:tc>
        <w:tc>
          <w:tcPr>
            <w:tcW w:w="108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3.97</w:t>
            </w:r>
          </w:p>
        </w:tc>
        <w:tc>
          <w:tcPr>
            <w:tcW w:w="2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2.73</w:t>
            </w:r>
          </w:p>
        </w:tc>
        <w:tc>
          <w:tcPr>
            <w:tcW w:w="30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1.65</w:t>
            </w:r>
          </w:p>
        </w:tc>
        <w:tc>
          <w:tcPr>
            <w:tcW w:w="32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0.92</w:t>
            </w:r>
          </w:p>
        </w:tc>
        <w:tc>
          <w:tcPr>
            <w:tcW w:w="30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0.37</w:t>
            </w:r>
          </w:p>
        </w:tc>
      </w:tr>
      <w:tr>
        <w:trPr>
          <w:trHeight w:val="193"/>
        </w:trPr>
        <w:tc>
          <w:tcPr>
            <w:tcW w:w="3840" w:type="dxa"/>
            <w:vAlign w:val="bottom"/>
          </w:tcPr>
          <w:p>
            <w:pPr>
              <w:spacing w:after="0" w:line="194" w:lineRule="exact"/>
              <w:rPr>
                <w:sz w:val="20"/>
                <w:szCs w:val="20"/>
                <w:color w:val="auto"/>
              </w:rPr>
            </w:pPr>
            <w:r>
              <w:rPr>
                <w:rFonts w:ascii="Arial" w:cs="Arial" w:eastAsia="Arial" w:hAnsi="Arial"/>
                <w:sz w:val="18"/>
                <w:szCs w:val="18"/>
                <w:color w:val="auto"/>
              </w:rPr>
              <w:t>Weighted average number</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of ordinary shares outstanding:</w:t>
            </w: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3"/>
        </w:trPr>
        <w:tc>
          <w:tcPr>
            <w:tcW w:w="3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0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58,746,935</w:t>
            </w: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61,496,115</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60,907,274</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59,968,174</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60,379,338</w:t>
            </w:r>
          </w:p>
        </w:tc>
      </w:tr>
      <w:tr>
        <w:trPr>
          <w:trHeight w:val="206"/>
        </w:trPr>
        <w:tc>
          <w:tcPr>
            <w:tcW w:w="3840" w:type="dxa"/>
            <w:vAlign w:val="bottom"/>
            <w:tcBorders>
              <w:bottom w:val="single" w:sz="8" w:color="auto"/>
            </w:tcBorders>
          </w:tcPr>
          <w:p>
            <w:pPr>
              <w:ind w:left="140"/>
              <w:spacing w:after="0" w:line="206" w:lineRule="exact"/>
              <w:rPr>
                <w:sz w:val="20"/>
                <w:szCs w:val="20"/>
                <w:color w:val="auto"/>
              </w:rPr>
            </w:pPr>
            <w:r>
              <w:rPr>
                <w:rFonts w:ascii="Arial" w:cs="Arial" w:eastAsia="Arial" w:hAnsi="Arial"/>
                <w:sz w:val="18"/>
                <w:szCs w:val="18"/>
                <w:color w:val="auto"/>
              </w:rPr>
              <w:t>Diluted</w:t>
            </w:r>
          </w:p>
        </w:tc>
        <w:tc>
          <w:tcPr>
            <w:tcW w:w="10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
              <w:spacing w:after="0" w:line="206" w:lineRule="exact"/>
              <w:rPr>
                <w:sz w:val="20"/>
                <w:szCs w:val="20"/>
                <w:color w:val="auto"/>
              </w:rPr>
            </w:pPr>
            <w:r>
              <w:rPr>
                <w:rFonts w:ascii="Arial" w:cs="Arial" w:eastAsia="Arial" w:hAnsi="Arial"/>
                <w:sz w:val="18"/>
                <w:szCs w:val="18"/>
                <w:color w:val="auto"/>
              </w:rPr>
              <w:t>60,290,033</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1"/>
              <w:spacing w:after="0" w:line="206" w:lineRule="exact"/>
              <w:rPr>
                <w:sz w:val="20"/>
                <w:szCs w:val="20"/>
                <w:color w:val="auto"/>
              </w:rPr>
            </w:pPr>
            <w:r>
              <w:rPr>
                <w:rFonts w:ascii="Arial" w:cs="Arial" w:eastAsia="Arial" w:hAnsi="Arial"/>
                <w:sz w:val="18"/>
                <w:szCs w:val="18"/>
                <w:color w:val="auto"/>
              </w:rPr>
              <w:t>63,131,417</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rPr>
              <w:t>62,253,251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206" w:lineRule="exact"/>
              <w:rPr>
                <w:sz w:val="20"/>
                <w:szCs w:val="20"/>
                <w:color w:val="auto"/>
              </w:rPr>
            </w:pPr>
            <w:r>
              <w:rPr>
                <w:rFonts w:ascii="Arial" w:cs="Arial" w:eastAsia="Arial" w:hAnsi="Arial"/>
                <w:sz w:val="18"/>
                <w:szCs w:val="18"/>
                <w:color w:val="auto"/>
                <w:w w:val="97"/>
              </w:rPr>
              <w:t>60,450,706</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
              <w:spacing w:after="0" w:line="206" w:lineRule="exact"/>
              <w:rPr>
                <w:sz w:val="20"/>
                <w:szCs w:val="20"/>
                <w:color w:val="auto"/>
              </w:rPr>
            </w:pPr>
            <w:r>
              <w:rPr>
                <w:rFonts w:ascii="Arial" w:cs="Arial" w:eastAsia="Arial" w:hAnsi="Arial"/>
                <w:sz w:val="18"/>
                <w:szCs w:val="18"/>
                <w:color w:val="auto"/>
                <w:w w:val="99"/>
              </w:rPr>
              <w:t>61,070,686</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90"/>
        </w:trPr>
        <w:tc>
          <w:tcPr>
            <w:tcW w:w="3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7"/>
        </w:trPr>
        <w:tc>
          <w:tcPr>
            <w:tcW w:w="38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0" w:type="dxa"/>
            <w:vAlign w:val="bottom"/>
            <w:gridSpan w:val="4"/>
          </w:tcPr>
          <w:p>
            <w:pPr>
              <w:jc w:val="right"/>
              <w:ind w:right="11"/>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25"/>
        </w:trPr>
        <w:tc>
          <w:tcPr>
            <w:tcW w:w="3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2011</w:t>
            </w:r>
          </w:p>
        </w:tc>
      </w:tr>
      <w:tr>
        <w:trPr>
          <w:trHeight w:val="408"/>
        </w:trPr>
        <w:tc>
          <w:tcPr>
            <w:tcW w:w="34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103,911</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118,900</w:t>
            </w:r>
          </w:p>
        </w:tc>
        <w:tc>
          <w:tcPr>
            <w:tcW w:w="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182,519</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114,047</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119,237</w:t>
            </w: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85,990</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97,100</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138,317</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76,183</w:t>
            </w:r>
          </w:p>
        </w:tc>
        <w:tc>
          <w:tcPr>
            <w:tcW w:w="3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54,940</w:t>
            </w: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292,633</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281,148</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352,259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250,326</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253,514</w:t>
            </w: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1,718,903</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1,528,850</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1,442,460</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1,202,108</w:t>
            </w:r>
          </w:p>
        </w:tc>
        <w:tc>
          <w:tcPr>
            <w:tcW w:w="3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1,027,517</w:t>
            </w: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Long term government grants</w:t>
            </w: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959</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1,351</w:t>
            </w: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Non-current other liabilities</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12,224</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13,179</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11,198</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14,312</w:t>
            </w:r>
          </w:p>
        </w:tc>
        <w:tc>
          <w:tcPr>
            <w:tcW w:w="3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20,038</w:t>
            </w:r>
          </w:p>
        </w:tc>
      </w:tr>
      <w:tr>
        <w:trPr>
          <w:trHeight w:val="21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 capital</w:t>
            </w: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4,679</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5,037</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5,168</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5,067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5,055</w:t>
            </w:r>
          </w:p>
        </w:tc>
      </w:tr>
      <w:tr>
        <w:trPr>
          <w:trHeight w:val="213"/>
        </w:trPr>
        <w:tc>
          <w:tcPr>
            <w:tcW w:w="34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5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383,395</w:t>
            </w:r>
          </w:p>
        </w:tc>
        <w:tc>
          <w:tcPr>
            <w:tcW w:w="3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327,234</w:t>
            </w:r>
          </w:p>
        </w:tc>
        <w:tc>
          <w:tcPr>
            <w:tcW w:w="3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279,572</w:t>
            </w:r>
          </w:p>
        </w:tc>
        <w:tc>
          <w:tcPr>
            <w:tcW w:w="4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237,217</w:t>
            </w:r>
          </w:p>
        </w:tc>
        <w:tc>
          <w:tcPr>
            <w:tcW w:w="3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211,549</w:t>
            </w:r>
          </w:p>
        </w:tc>
      </w:tr>
      <w:tr>
        <w:trPr>
          <w:trHeight w:val="253"/>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5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763,096</w:t>
            </w: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950,206</w:t>
            </w: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910,579</w:t>
            </w: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754,575</w:t>
            </w: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681,544</w:t>
            </w:r>
          </w:p>
        </w:tc>
      </w:tr>
    </w:tbl>
    <w:p>
      <w:pPr>
        <w:spacing w:after="0" w:line="227" w:lineRule="exact"/>
        <w:rPr>
          <w:sz w:val="20"/>
          <w:szCs w:val="20"/>
          <w:color w:val="auto"/>
        </w:rPr>
      </w:pPr>
    </w:p>
    <w:p>
      <w:pPr>
        <w:ind w:left="540" w:hanging="534"/>
        <w:spacing w:after="0" w:line="266"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Reimbursable expenses are comprised of payments to investigators and certain other costs reimbursed by clients under terms specific to each of the Company’s contracts. </w:t>
      </w:r>
      <w:r>
        <w:rPr>
          <w:rFonts w:ascii="Arial" w:cs="Arial" w:eastAsia="Arial" w:hAnsi="Arial"/>
          <w:sz w:val="18"/>
          <w:szCs w:val="18"/>
          <w:i w:val="1"/>
          <w:iCs w:val="1"/>
          <w:color w:val="auto"/>
        </w:rPr>
        <w:t>See Note 2 (d) to the Audited Consolidated Financial Statements.</w:t>
      </w:r>
    </w:p>
    <w:p>
      <w:pPr>
        <w:spacing w:after="0" w:line="205" w:lineRule="exact"/>
        <w:rPr>
          <w:rFonts w:ascii="Arial" w:cs="Arial" w:eastAsia="Arial" w:hAnsi="Arial"/>
          <w:sz w:val="18"/>
          <w:szCs w:val="18"/>
          <w:color w:val="auto"/>
        </w:rPr>
      </w:pPr>
    </w:p>
    <w:p>
      <w:pPr>
        <w:ind w:left="540" w:right="60" w:hanging="534"/>
        <w:spacing w:after="0" w:line="253"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See </w:t>
      </w:r>
      <w:r>
        <w:rPr>
          <w:rFonts w:ascii="Arial" w:cs="Arial" w:eastAsia="Arial" w:hAnsi="Arial"/>
          <w:sz w:val="18"/>
          <w:szCs w:val="18"/>
          <w:i w:val="1"/>
          <w:iCs w:val="1"/>
          <w:color w:val="auto"/>
        </w:rPr>
        <w:t>Note 14 to the Audited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p>
    <w:p>
      <w:pPr>
        <w:spacing w:after="0" w:line="216" w:lineRule="exact"/>
        <w:rPr>
          <w:rFonts w:ascii="Arial" w:cs="Arial" w:eastAsia="Arial" w:hAnsi="Arial"/>
          <w:sz w:val="18"/>
          <w:szCs w:val="18"/>
          <w:color w:val="auto"/>
        </w:rPr>
      </w:pPr>
    </w:p>
    <w:p>
      <w:pPr>
        <w:jc w:val="both"/>
        <w:ind w:left="540" w:hanging="534"/>
        <w:spacing w:after="0" w:line="268"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During the year ended December 31, 2013 the Company conducted a review of its operations. A restructuring charge of $9.0 million was recognized as part of this review. The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into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 </w:t>
      </w:r>
      <w:r>
        <w:rPr>
          <w:rFonts w:ascii="Arial" w:cs="Arial" w:eastAsia="Arial" w:hAnsi="Arial"/>
          <w:sz w:val="17"/>
          <w:szCs w:val="17"/>
          <w:i w:val="1"/>
          <w:iCs w:val="1"/>
          <w:color w:val="auto"/>
          <w:highlight w:val="white"/>
        </w:rPr>
        <w:t>See Note 14</w:t>
      </w:r>
      <w:r>
        <w:rPr>
          <w:rFonts w:ascii="Arial" w:cs="Arial" w:eastAsia="Arial" w:hAnsi="Arial"/>
          <w:sz w:val="17"/>
          <w:szCs w:val="17"/>
          <w:color w:val="auto"/>
        </w:rPr>
        <w:t xml:space="preserve"> </w:t>
      </w:r>
      <w:r>
        <w:rPr>
          <w:rFonts w:ascii="Arial" w:cs="Arial" w:eastAsia="Arial" w:hAnsi="Arial"/>
          <w:sz w:val="17"/>
          <w:szCs w:val="17"/>
          <w:i w:val="1"/>
          <w:iCs w:val="1"/>
          <w:color w:val="auto"/>
        </w:rPr>
        <w:t>to the Audited Consolidated Financial Statements.</w:t>
      </w:r>
    </w:p>
    <w:p>
      <w:pPr>
        <w:spacing w:after="0" w:line="205" w:lineRule="exact"/>
        <w:rPr>
          <w:rFonts w:ascii="Arial" w:cs="Arial" w:eastAsia="Arial" w:hAnsi="Arial"/>
          <w:sz w:val="17"/>
          <w:szCs w:val="17"/>
          <w:color w:val="auto"/>
        </w:rPr>
      </w:pPr>
    </w:p>
    <w:p>
      <w:pPr>
        <w:jc w:val="both"/>
        <w:ind w:left="540" w:hanging="534"/>
        <w:spacing w:after="0" w:line="266"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Restructuring and other items of $5.6 million were recorded during the year ended December 31, 2012 (inclusive of the release of $0.1 million relating to the 2011 Restructuring Plans). During the year ended December 31, 2012 the Company completed a review of its operations to improve resource utilization throughout the business. This review resulted in the adoption of a restructuring plan, to include resource rationalizations in certain areas of the business and a re-organization of available office space at the Company’s Philadelphia facility. A restructuring charge of $4.6 million was recognized during the year ended December 31, 2012; $3.4 million in respect of resource rationalizations and $1.2 million in respect of lease termination and exit costs. The Company also incurred certain other charges of $1.1 million in relation to the retirement of Mr. Peter Gray, former Vice Chairman of the Board and former CEO of the Company in 2012.</w:t>
      </w:r>
    </w:p>
    <w:p>
      <w:pPr>
        <w:spacing w:after="0" w:line="211" w:lineRule="exact"/>
        <w:rPr>
          <w:rFonts w:ascii="Arial" w:cs="Arial" w:eastAsia="Arial" w:hAnsi="Arial"/>
          <w:sz w:val="17"/>
          <w:szCs w:val="17"/>
          <w:color w:val="auto"/>
        </w:rPr>
      </w:pPr>
    </w:p>
    <w:p>
      <w:pPr>
        <w:jc w:val="both"/>
        <w:ind w:left="540" w:hanging="534"/>
        <w:spacing w:after="0" w:line="269"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Restructuring charges of $9.8 million were recorded during the year ended December 31, 2011. During 2011 the Company conducted a review of its operations to improve resource utilization within the business and better align resources to current and future growth opportunities. This review resulted in the adoption of an initial restructuring plan, which included the closure of the Company’s facility in Edinburgh, United Kingdom and resource rationalizations in certain of the more mature markets in which it operates. A further restructuring plan was also adopted during 2011 which resulted in the relocation of the Company’s facility in Maryland, USA and further resource rationalizations.</w:t>
      </w:r>
    </w:p>
    <w:p>
      <w:pPr>
        <w:spacing w:after="0" w:line="206" w:lineRule="exact"/>
        <w:rPr>
          <w:rFonts w:ascii="Arial" w:cs="Arial" w:eastAsia="Arial" w:hAnsi="Arial"/>
          <w:sz w:val="17"/>
          <w:szCs w:val="17"/>
          <w:color w:val="auto"/>
        </w:rPr>
      </w:pPr>
    </w:p>
    <w:p>
      <w:pPr>
        <w:ind w:left="540" w:hanging="534"/>
        <w:spacing w:after="0" w:line="266"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per ordinary share is based on the weighted average number of outstanding ordinary shares. Diluted net income per share includes potential ordinary shares from the exercise of options.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Risk Factors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Various risk factors that are relevant to our business and the services we provide are outlined below. If any of these events were to occur, our business operations and financial results could be materially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Business and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limited number of customers and a loss of or significant decrease in business from one or more of them could affect our business.</w:t>
      </w:r>
    </w:p>
    <w:p>
      <w:pPr>
        <w:spacing w:after="0" w:line="2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increased use of strategic partnership arrangements in recent years has resulted in a greater proportion of our net revenues being derived from a relatively limited number of customers. During the year ended December 31, 2015 49% of our net revenues were derived from our top five customers, with one customer contributing more than 10% of our net revenues during the period (31%). No other customer contributed more than 10% of our net revenues during this period. During the year ended December 31, 2014 53% of our net revenues were derived from our top five customers, with one customer contributing more than 10% of our net revenues during the period (31%). During the year ended December 31, 2013 53% of our net revenues were derived from our top five customers, with two customers individually contributing more than 10% of our net revenues during the period (26% and 10% respectively). No other customer contributed more than 10% of our net revenues during this period. The loss of, or a significant decrease in business from one or more of these key customers could have a material adverse impact on our results of operations and financial results.</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r>
        <w:rPr>
          <w:rFonts w:ascii="Arial" w:cs="Arial" w:eastAsia="Arial" w:hAnsi="Arial"/>
          <w:sz w:val="17"/>
          <w:szCs w:val="17"/>
          <w:color w:val="auto"/>
        </w:rPr>
        <w:t>.</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Many of our contracts are long-term fixed fee contracts. Revenues on these contracts are agreed in the contract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endeavours to ensure that changes in scope are appropriately monitored and change orders for additional revenue are promptly negotiated for additional work as necessary. If we were to fail to recognize and negotiate change orders for changes in the resources required or the scope of the work to be performed and the costs of performance of these contracts exceeded their fixed fees it could materialy adversely affect our operations and financial results.</w:t>
      </w:r>
    </w:p>
    <w:p>
      <w:pPr>
        <w:spacing w:after="0" w:line="22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If our customers discontinue using our services, or cancel or discontinue projects, our revenue will be adversely affected and/or we may not receive their business in the future or may not be able to attract new clients.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215" w:lineRule="exact"/>
        <w:rPr>
          <w:sz w:val="20"/>
          <w:szCs w:val="20"/>
          <w:color w:val="auto"/>
        </w:rPr>
      </w:pPr>
    </w:p>
    <w:p>
      <w:pPr>
        <w:ind w:left="920" w:hanging="509"/>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18" w:lineRule="exact"/>
        <w:rPr>
          <w:rFonts w:ascii="Arial" w:cs="Arial" w:eastAsia="Arial" w:hAnsi="Arial"/>
          <w:sz w:val="18"/>
          <w:szCs w:val="18"/>
          <w:color w:val="auto"/>
        </w:rPr>
      </w:pPr>
    </w:p>
    <w:p>
      <w:pPr>
        <w:ind w:left="920" w:hanging="509"/>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18" w:lineRule="exact"/>
        <w:rPr>
          <w:rFonts w:ascii="Arial" w:cs="Arial" w:eastAsia="Arial" w:hAnsi="Arial"/>
          <w:sz w:val="18"/>
          <w:szCs w:val="18"/>
          <w:color w:val="auto"/>
        </w:rPr>
      </w:pPr>
    </w:p>
    <w:p>
      <w:pPr>
        <w:ind w:left="920" w:hanging="509"/>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 or viable;</w:t>
      </w:r>
    </w:p>
    <w:p>
      <w:pPr>
        <w:spacing w:after="0" w:line="218" w:lineRule="exact"/>
        <w:rPr>
          <w:rFonts w:ascii="Arial" w:cs="Arial" w:eastAsia="Arial" w:hAnsi="Arial"/>
          <w:sz w:val="18"/>
          <w:szCs w:val="18"/>
          <w:color w:val="auto"/>
        </w:rPr>
      </w:pPr>
    </w:p>
    <w:p>
      <w:pPr>
        <w:ind w:left="920" w:hanging="509"/>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enrollment or investigator recruitment; and</w:t>
      </w:r>
    </w:p>
    <w:p>
      <w:pPr>
        <w:spacing w:after="0" w:line="218" w:lineRule="exact"/>
        <w:rPr>
          <w:rFonts w:ascii="Arial" w:cs="Arial" w:eastAsia="Arial" w:hAnsi="Arial"/>
          <w:sz w:val="18"/>
          <w:szCs w:val="18"/>
          <w:color w:val="auto"/>
        </w:rPr>
      </w:pPr>
    </w:p>
    <w:p>
      <w:pPr>
        <w:ind w:left="920" w:hanging="509"/>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Organizations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the ability to recruit suitable willing patients.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or inappropriate patient enrollment may result in the termination or delay of a study which could have a material adverse impact on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dependent upon our ability to recruit suitable willing investigators.</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products and services.</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depend on certain third parties to provide us with products and services critical to our business. Such services include, amongst others, suppliers of drugs for patients participating in trials, suppliers of kits for use in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the global nature of our business and our reliance on information systems to provide our services, we use web-enabled and other integrated information systems in delivering our services. We intend to further increase the use of these systems and such systems will be either developed internally or provided by or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207" w:lineRule="exact"/>
        <w:rPr>
          <w:sz w:val="20"/>
          <w:szCs w:val="20"/>
          <w:color w:val="auto"/>
        </w:rPr>
      </w:pPr>
    </w:p>
    <w:p>
      <w:pPr>
        <w:ind w:left="240" w:hanging="234"/>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impairment or failure of data centers, telecommunications facilities or other key infrastructure platforms;</w:t>
      </w:r>
    </w:p>
    <w:p>
      <w:pPr>
        <w:spacing w:after="0" w:line="16" w:lineRule="exact"/>
        <w:rPr>
          <w:rFonts w:ascii="Arial" w:cs="Arial" w:eastAsia="Arial" w:hAnsi="Arial"/>
          <w:sz w:val="18"/>
          <w:szCs w:val="18"/>
          <w:color w:val="auto"/>
        </w:rPr>
      </w:pPr>
    </w:p>
    <w:p>
      <w:pPr>
        <w:ind w:left="240" w:hanging="234"/>
        <w:spacing w:after="0" w:line="246"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breaches, cyber-attacks or other failures or malfunctions in our application or information systems or their associated hardware or other systems that we have access to or that we rely upon; and</w:t>
      </w:r>
    </w:p>
    <w:p>
      <w:pPr>
        <w:ind w:left="240" w:hanging="234"/>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excessive costs, excessive delays or other deficiencies in or problems with systems development and deployment.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7"/>
          <w:szCs w:val="17"/>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While we have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 attack and similar events at or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a contract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 natural disasters, the outbreak of war, the escalation of hostilities and acts of terrorism, particularly involving cities in which we have offices, could adversely affect our business.</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Unauthorized disclosure of sensitive or confidential data, whether through system failure or employee negligence, fraud or misappropriation, could damage our reputation and cause us to lose clients. Similarly, unauthorized access to or through our information systems or those we develop for our clients, whether by our employees or third parties, including a cyber-attack by computer programmers and hackers who may develop and deploy viruses, worms or other malicious software programs could result in negative publicity, significant remediation costs, legal liability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Upgrading the information systems that support our operating processes and evolving the technology platform for our services pose risks to our business.</w:t>
      </w: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Continued efficient operation of our business requires that we implement standardized global business processes and evolve our information systems to enable this implementation. We have continued to undertake significant programs to optimize business processes with respect to our services. Our inability to effectively manage the implementation and adapt to new processes designed into these new or upgraded systems in a timely and cost-effective manner may result in disruption to our business and negatively affect our operations.</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enjoin us from using preferred technology or seek license payments from us.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Firecrest and ADDPLAN services. Also, increased IT-related expenditures may negatively impact our financial condition, including profitability.</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 other things any of which could have a material effect on our financial conditions and operations.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Our operations might be impacted by a disruption to travel systems.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our operations rely on the availability of air or other transportation for the distribution of clinical trial materials, study samples and personnel. While we have developed contingency plans to minimize the impact of such events, a disruption to the availability of air transportation or other travel systems could have a material adverse impact on our ability to provide services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or be unable to make, acquisitions in the future, which may lead to disruptions to our ongoing business.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made a number of acquisitions and will continue to review new acquisition opportunities. If we are unable to identify suitable acquisition targets, consummate an acquisition or successfully integrate an acquired company or business, our business may be disrupted. The success of an acquisition will depend upon, among other things, our ability to:</w:t>
      </w:r>
    </w:p>
    <w:p>
      <w:pPr>
        <w:spacing w:after="0" w:line="215" w:lineRule="exact"/>
        <w:rPr>
          <w:sz w:val="20"/>
          <w:szCs w:val="20"/>
          <w:color w:val="auto"/>
        </w:rPr>
      </w:pPr>
    </w:p>
    <w:p>
      <w:pPr>
        <w:ind w:left="700" w:hanging="255"/>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effectively and quickly assimilate the operations and services or products of the acquired company or business;</w:t>
      </w:r>
    </w:p>
    <w:p>
      <w:pPr>
        <w:spacing w:after="0" w:line="244" w:lineRule="exact"/>
        <w:rPr>
          <w:rFonts w:ascii="Arial" w:cs="Arial" w:eastAsia="Arial" w:hAnsi="Arial"/>
          <w:sz w:val="18"/>
          <w:szCs w:val="18"/>
          <w:color w:val="auto"/>
        </w:rPr>
      </w:pPr>
    </w:p>
    <w:p>
      <w:pPr>
        <w:ind w:left="700" w:hanging="255"/>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44" w:lineRule="exact"/>
        <w:rPr>
          <w:rFonts w:ascii="Arial" w:cs="Arial" w:eastAsia="Arial" w:hAnsi="Arial"/>
          <w:sz w:val="18"/>
          <w:szCs w:val="18"/>
          <w:color w:val="auto"/>
        </w:rPr>
      </w:pPr>
    </w:p>
    <w:p>
      <w:pPr>
        <w:ind w:left="700" w:hanging="255"/>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44" w:lineRule="exact"/>
        <w:rPr>
          <w:rFonts w:ascii="Arial" w:cs="Arial" w:eastAsia="Arial" w:hAnsi="Arial"/>
          <w:sz w:val="18"/>
          <w:szCs w:val="18"/>
          <w:color w:val="auto"/>
        </w:rPr>
      </w:pPr>
    </w:p>
    <w:p>
      <w:pPr>
        <w:ind w:left="700" w:hanging="255"/>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44" w:lineRule="exact"/>
        <w:rPr>
          <w:rFonts w:ascii="Arial" w:cs="Arial" w:eastAsia="Arial" w:hAnsi="Arial"/>
          <w:sz w:val="18"/>
          <w:szCs w:val="18"/>
          <w:color w:val="auto"/>
        </w:rPr>
      </w:pPr>
    </w:p>
    <w:p>
      <w:pPr>
        <w:ind w:left="700" w:hanging="268"/>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Serious adverse events can occur in the conduct of clinical study trials.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conduct all phases of clinical trials. Although we have policies and procedures in place, due to the experimental nature of these studies, serious adverse events may arise and are appropriately documented and reported.</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jc w:val="both"/>
        <w:spacing w:after="0" w:line="281" w:lineRule="auto"/>
        <w:rPr>
          <w:sz w:val="20"/>
          <w:szCs w:val="20"/>
          <w:color w:val="auto"/>
        </w:rPr>
      </w:pPr>
      <w:r>
        <w:rPr>
          <w:rFonts w:ascii="Arial" w:cs="Arial" w:eastAsia="Arial" w:hAnsi="Arial"/>
          <w:sz w:val="16"/>
          <w:szCs w:val="16"/>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firms.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and these rights are important to our success.</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may, in certain circumstances, grant a customer greater rights in intellectual property developed in connection with a contract than we would normally grant. In such situations, we may forego the use of all intellectual property rights we create or develop, which would limit our ability to reuse or deploy that intellectual property for other customers. Any limitation on our ability to provide a service or solution may result in us losing revenue-generating opportunities and may also result in us incurring additional expenses to develop or license new or modified solutions for other projects or customers.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biopharmaceutical industry has a history of patent and other intellectual property litigation, and we might be involved in costly intellectual property lawsuits.</w:t>
      </w:r>
    </w:p>
    <w:p>
      <w:pPr>
        <w:jc w:val="both"/>
        <w:spacing w:after="0" w:line="265" w:lineRule="auto"/>
        <w:rPr>
          <w:sz w:val="20"/>
          <w:szCs w:val="20"/>
          <w:color w:val="auto"/>
        </w:rPr>
      </w:pPr>
      <w:r>
        <w:rPr>
          <w:rFonts w:ascii="Arial" w:cs="Arial" w:eastAsia="Arial" w:hAnsi="Arial"/>
          <w:sz w:val="17"/>
          <w:szCs w:val="17"/>
          <w:color w:val="auto"/>
        </w:rPr>
        <w:t>The biopharmaceutical industry has a history of intellectual property litigation, and these lawsuits will likely continue in the future. Accordingly, we may face patent infringement suits by companies that have patents for similar business processes or other suits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act as legal representative for some clients.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act as the legal representative for certain clients in certain jurisdictions. As we believe that acting as legal representative of clients exposes us to a higher risk of liability this service is provided subject to our policy and requires certain preconditions to be met. The preconditions relate to obtaining specific insurance commitments and indemnities from the client to cover the nature of the exposure. However, there is no guarantee that the specific insurance will respond and provide cover or that a client will fulfil its obligations in relation to their indemnity.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Industry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and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220" w:lineRule="exact"/>
        <w:rPr>
          <w:sz w:val="20"/>
          <w:szCs w:val="20"/>
          <w:color w:val="auto"/>
        </w:rPr>
      </w:pPr>
    </w:p>
    <w:p>
      <w:pPr>
        <w:ind w:left="580" w:hanging="308"/>
        <w:spacing w:after="0" w:line="266"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pharmaceutical, biotechnology or medical device companies expanded upon their in-house clinical or development capabilities, they would be less likely to utilize our services;</w:t>
      </w:r>
    </w:p>
    <w:p>
      <w:pPr>
        <w:spacing w:after="0" w:line="205" w:lineRule="exact"/>
        <w:rPr>
          <w:rFonts w:ascii="Arial" w:cs="Arial" w:eastAsia="Arial" w:hAnsi="Arial"/>
          <w:sz w:val="18"/>
          <w:szCs w:val="18"/>
          <w:color w:val="auto"/>
        </w:rPr>
      </w:pPr>
    </w:p>
    <w:p>
      <w:pPr>
        <w:ind w:left="580" w:hanging="308"/>
        <w:spacing w:after="0" w:line="266"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205" w:lineRule="exact"/>
        <w:rPr>
          <w:rFonts w:ascii="Arial" w:cs="Arial" w:eastAsia="Arial" w:hAnsi="Arial"/>
          <w:sz w:val="18"/>
          <w:szCs w:val="18"/>
          <w:color w:val="auto"/>
        </w:rPr>
      </w:pPr>
    </w:p>
    <w:p>
      <w:pPr>
        <w:ind w:left="580" w:hanging="30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unfavorable economic conditions or disruptions in the credit and capital markets negatively impacted our clients.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both"/>
        <w:spacing w:after="0" w:line="266" w:lineRule="auto"/>
        <w:rPr>
          <w:sz w:val="20"/>
          <w:szCs w:val="20"/>
          <w:color w:val="auto"/>
        </w:rPr>
      </w:pPr>
      <w:r>
        <w:rPr>
          <w:rFonts w:ascii="Arial" w:cs="Arial" w:eastAsia="Arial" w:hAnsi="Arial"/>
          <w:sz w:val="18"/>
          <w:szCs w:val="18"/>
          <w:b w:val="1"/>
          <w:bCs w:val="1"/>
          <w:i w:val="1"/>
          <w:iCs w:val="1"/>
          <w:color w:val="auto"/>
        </w:rPr>
        <w:t>Large pharmaceutical companies are increasingly consolidating their vendor base and entering strategic partnership arrangements with a limited number of outsource providers.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6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dynamic market.</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of operations. Similarly, we compete with other CROs for work which comes outside of these strategic relationships and being unable to win work outside of these strategic relationships would have a material adverse impact on our results of operations.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type and depth of services provided by CROs have changed in recent years. Failure to develop and market new services or expand existing service offerings could adversely affect our business and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Financial Results and Financial Position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Also, if in future quarters, we are unable to achieve efficiencies and our expenses grow faster than our net revenues, our operating margins, profitability and overall financial condition will be materially adversely impacted.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4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from quarter-to-quarter, which may adversely affect our results of operations.</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of operations.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may not convert to net revenue and the rate of conversion may slow.</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backlog consists of potential net revenue yet to be earned from projects awarded by clients. Our backlog at any date is not necessarily a meaningful predictor of future results, due to the potential for the cancellation or delay of projects included in the backlog. No assurances can be given that we will be able to realize this backlog as net revenue. A failure to realize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various risks in relation to our cash and cash equivalents and short term investments.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Company’s treasury function actively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Given the global nature of our business, we are exposed to various risks in relation to these balances including liquidity risk, credit risk associated with the counterparties with which we invest, interest rate risk on floating rate securities, sovereign risk (our principle sovereign risk relates to investments in U.S. Treasury funds), and other factors.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Although we have not recognized any significant losses to date on our cash and cash equivalents or short term investments, any significant declines in their market values could have a material adverse effect on our financial position and operating results.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Risk Related to Political, Legal or Regulatory Environment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healthcare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We must comply with the applicable regulatory requirements governing the conduct of clinical trials in all countries in which we operate. If we fail to comply with any of these requirements we could suffer some or all of:</w:t>
      </w:r>
    </w:p>
    <w:p>
      <w:pPr>
        <w:spacing w:after="0" w:line="180" w:lineRule="exact"/>
        <w:rPr>
          <w:sz w:val="20"/>
          <w:szCs w:val="20"/>
          <w:color w:val="auto"/>
        </w:rPr>
      </w:pPr>
    </w:p>
    <w:p>
      <w:pPr>
        <w:ind w:left="700" w:hanging="34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termination of or delay in any research;</w:t>
      </w:r>
    </w:p>
    <w:p>
      <w:pPr>
        <w:spacing w:after="0" w:line="218" w:lineRule="exact"/>
        <w:rPr>
          <w:rFonts w:ascii="Arial" w:cs="Arial" w:eastAsia="Arial" w:hAnsi="Arial"/>
          <w:sz w:val="18"/>
          <w:szCs w:val="18"/>
          <w:color w:val="auto"/>
        </w:rPr>
      </w:pPr>
    </w:p>
    <w:p>
      <w:pPr>
        <w:ind w:left="700" w:hanging="34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disqualification of data;</w:t>
      </w:r>
    </w:p>
    <w:p>
      <w:pPr>
        <w:spacing w:after="0" w:line="218" w:lineRule="exact"/>
        <w:rPr>
          <w:rFonts w:ascii="Arial" w:cs="Arial" w:eastAsia="Arial" w:hAnsi="Arial"/>
          <w:sz w:val="18"/>
          <w:szCs w:val="18"/>
          <w:color w:val="auto"/>
        </w:rPr>
      </w:pPr>
    </w:p>
    <w:p>
      <w:pPr>
        <w:ind w:left="700" w:hanging="34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denial of the right to conduct business;</w:t>
      </w:r>
    </w:p>
    <w:p>
      <w:pPr>
        <w:spacing w:after="0" w:line="218" w:lineRule="exact"/>
        <w:rPr>
          <w:rFonts w:ascii="Arial" w:cs="Arial" w:eastAsia="Arial" w:hAnsi="Arial"/>
          <w:sz w:val="18"/>
          <w:szCs w:val="18"/>
          <w:color w:val="auto"/>
        </w:rPr>
      </w:pPr>
    </w:p>
    <w:p>
      <w:pPr>
        <w:ind w:left="700" w:hanging="34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criminal penalties;</w:t>
      </w:r>
    </w:p>
    <w:p>
      <w:pPr>
        <w:spacing w:after="0" w:line="218" w:lineRule="exact"/>
        <w:rPr>
          <w:rFonts w:ascii="Arial" w:cs="Arial" w:eastAsia="Arial" w:hAnsi="Arial"/>
          <w:sz w:val="18"/>
          <w:szCs w:val="18"/>
          <w:color w:val="auto"/>
        </w:rPr>
      </w:pPr>
    </w:p>
    <w:p>
      <w:pPr>
        <w:ind w:left="700" w:hanging="34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218" w:lineRule="exact"/>
        <w:rPr>
          <w:rFonts w:ascii="Arial" w:cs="Arial" w:eastAsia="Arial" w:hAnsi="Arial"/>
          <w:sz w:val="18"/>
          <w:szCs w:val="18"/>
          <w:color w:val="auto"/>
        </w:rPr>
      </w:pPr>
    </w:p>
    <w:p>
      <w:pPr>
        <w:ind w:left="700" w:hanging="34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clients and/or business; and</w:t>
      </w:r>
    </w:p>
    <w:p>
      <w:pPr>
        <w:spacing w:after="0" w:line="218" w:lineRule="exact"/>
        <w:rPr>
          <w:rFonts w:ascii="Arial" w:cs="Arial" w:eastAsia="Arial" w:hAnsi="Arial"/>
          <w:sz w:val="18"/>
          <w:szCs w:val="18"/>
          <w:color w:val="auto"/>
        </w:rPr>
      </w:pPr>
    </w:p>
    <w:p>
      <w:pPr>
        <w:ind w:left="700" w:hanging="34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from clients and resulting material penalties, damages and costs.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operational and legal risks associated with our international operations.</w:t>
      </w: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3" w:name="page14"/>
    <w:bookmarkEnd w:id="13"/>
    <w:p>
      <w:pPr>
        <w:jc w:val="both"/>
        <w:spacing w:after="0" w:line="250" w:lineRule="auto"/>
        <w:rPr>
          <w:sz w:val="20"/>
          <w:szCs w:val="20"/>
          <w:color w:val="auto"/>
        </w:rPr>
      </w:pPr>
      <w:r>
        <w:rPr>
          <w:rFonts w:ascii="Arial" w:cs="Arial" w:eastAsia="Arial" w:hAnsi="Arial"/>
          <w:sz w:val="18"/>
          <w:szCs w:val="18"/>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22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materialize, our results of operations and financial condition could be materially adversely affected.</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operate in many different jurisdictions and we could be adversely affected by violations of the Foreign Corrupt Practices Act of 1977 (FCPA), UK Bribery Act of 2010 and similar worldwide anti-corruption laws.</w:t>
      </w:r>
    </w:p>
    <w:p>
      <w:pPr>
        <w:spacing w:after="0" w:line="20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FCPA, UK Bribery Act of 2010 and similar worldwide anti-corruption laws prohibit companies and their intermediaries from making improper payments for the purpose of obtaining or retaining business. In addition, the FCPA imposes certain books, records, and accounting control obligations on public companies and other issuers. Our internal policies mandate compliance with these anti-corruption laws. We operate in many jurisdictions that have experienced corruption to some degree and, in certain circumstances, anti-corruption laws have appeared to conflict with local customs and practices. Despite our training and compliance programs, we cannot assure that our internal control policies and procedures will protect us from acts in violation of anticorruption laws committed by persons associated with us, and our continued expansion, including in developing countries, could increase such risk in the future. Violations of the FCPA, the U.K. Anti-Bribery Act of 2010 or other similar worldwide anti-corruption laws, or even allegations of such violations, could disrupt our business and result in a material adverse effect on our financial condition, results of operations, cash flows and reputation. For example, violations of anti-corruption laws can result in restatements of, or irregularities in, our financial statements as well as severe criminal or civil sanctions. In some cases, companies that violate the FCPA might be debarred by the U.S. government and/or lose their U.S. export privileges. In addition, U.S. or other governments may seek to hold us liable for successor liability FCPA violations or violations of other anticorruption laws committed by companies that we acquire or in which we invest. Changes in anti-corruption laws or enforcement priorities could also result in increased compliance requirements and related costs which could materially adversely affect our business, financial condition, results of operations and cash flows.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Current and proposed laws and regulations regarding the protection of personal data could result in increased risks of liability or increased cost to us or could limit our service offerings.</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confidentiality, collection, use and disclosure of personal data, including clinical trial patient-specific information, are subject to governmental regulation generally in the country that the personal data were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authorization,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authorizations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both"/>
        <w:spacing w:after="0" w:line="281" w:lineRule="auto"/>
        <w:rPr>
          <w:sz w:val="20"/>
          <w:szCs w:val="20"/>
          <w:color w:val="auto"/>
        </w:rPr>
      </w:pPr>
      <w:r>
        <w:rPr>
          <w:rFonts w:ascii="Arial" w:cs="Arial" w:eastAsia="Arial" w:hAnsi="Arial"/>
          <w:sz w:val="16"/>
          <w:szCs w:val="16"/>
          <w:color w:val="auto"/>
        </w:rPr>
        <w:t>In the European Union, or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and suffer reputational harm. The European data protection framework is being revised as a generally applicable regulation which contains new provisions specifically directed at the processing of health information, sanctions of up to 4% of worldwide gross revenue and extra-territoriality measures intended to bring non-EU companies under the proposed regulation. The new regulation comes into force in 2018.</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Liability claims brought against us could result in payment of substantial damages, costs and liabilities and decrease our profitability.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Claims</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we breach the terms of an agreement with a client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should one or more employees or contractors fail to comply with all applicable regulations and Good Clinical Practice and thereby expose us to the risk of claims by clients.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relating to Investigators</w:t>
      </w:r>
    </w:p>
    <w:p>
      <w:pPr>
        <w:spacing w:after="0" w:line="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against the investigators with whom we contract.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from Clients</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Indemnifications provided by our clients against the risk of liability for personal injury to or death of the patients arising from the study drug vary from client to client and from trial to trial and may not be sufficient in scope or amount or the client may not have the financial ability to fulfill their indemnification obligations. Furthermore, we would be liable for our own negligence and negligence of our employees and such negligence could lead to litigation from clients or action or enforcement by regulatory authorities.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Insurance</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maintain what we believe is an appropriate level of worldwide Professional Liability/Error and Omissions Insurance. We may in the future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to Date</w:t>
      </w:r>
    </w:p>
    <w:p>
      <w:pPr>
        <w:spacing w:after="0" w:line="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debt, which could impair our flexibility and access to capital and adversely affect our financial position.</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2015, we had an outstanding principal amount of indebtedness of $350 million under our $350 million Note Purchase and Guarantee Agreement or ‘Senior Notes’ that we entered into on December 15, 2015. We also have up to $100 million of additional borrowing capacity available under the Revolving Credit Facility. No amounts were drawn under the Revolving Credit Facility facility as of December 31, 2015.</w:t>
      </w:r>
    </w:p>
    <w:p>
      <w:pPr>
        <w:spacing w:after="0" w:line="198" w:lineRule="exact"/>
        <w:rPr>
          <w:sz w:val="20"/>
          <w:szCs w:val="20"/>
          <w:color w:val="auto"/>
        </w:rPr>
      </w:pPr>
    </w:p>
    <w:p>
      <w:pPr>
        <w:jc w:val="both"/>
        <w:ind w:firstLine="48"/>
        <w:spacing w:after="0" w:line="266" w:lineRule="auto"/>
        <w:rPr>
          <w:sz w:val="20"/>
          <w:szCs w:val="20"/>
          <w:color w:val="auto"/>
        </w:rPr>
      </w:pPr>
      <w:r>
        <w:rPr>
          <w:rFonts w:ascii="Arial" w:cs="Arial" w:eastAsia="Arial" w:hAnsi="Arial"/>
          <w:sz w:val="18"/>
          <w:szCs w:val="18"/>
          <w:color w:val="auto"/>
        </w:rPr>
        <w:t>The cost and availability of credit are subject to changes in the global or regional economic environment. If conditions in the major credit markets deteriorate our ability to obtain debt financing on favorable terms may be negatively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may incur additional debt in the future. Our debt could have significant adverse consequences, including to;</w:t>
      </w:r>
    </w:p>
    <w:p>
      <w:pPr>
        <w:spacing w:after="0" w:line="17" w:lineRule="exact"/>
        <w:rPr>
          <w:sz w:val="20"/>
          <w:szCs w:val="20"/>
          <w:color w:val="auto"/>
        </w:rPr>
      </w:pPr>
    </w:p>
    <w:p>
      <w:pPr>
        <w:ind w:left="700" w:hanging="4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5" w:lineRule="exact"/>
        <w:rPr>
          <w:rFonts w:ascii="Arial" w:cs="Arial" w:eastAsia="Arial" w:hAnsi="Arial"/>
          <w:sz w:val="18"/>
          <w:szCs w:val="18"/>
          <w:color w:val="auto"/>
        </w:rPr>
      </w:pPr>
    </w:p>
    <w:p>
      <w:pPr>
        <w:ind w:left="700" w:hanging="402"/>
        <w:spacing w:after="0" w:line="246"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ind w:left="700" w:hanging="4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use all or a portion of our cash flow from operations to make debt service payments;</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sell certain assets;</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us from making strategic investments, including acquisitions or cause us to make non-strategic divestitures;</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cause us to incur substantial fees from time to time in connection with debt amendments or refinancing;</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and</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be assured that we would be able to do in a timely manner, or at all.</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 failure to comply with the covenants under our indebtedness could result in an event of default under such indebtedness. In the event of an acceleration of amounts due under our existing indebtedness as a result of an event of default, we may not have sufficient funds or may be unable to arrange for additional financing to repay our indebtedness or to make any required accelerated payments.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are required, under the terms of the Senior Notes, to offer to purchase all of the outstanding Senior Notes if we experience a change of control. Similar requirements exist in the Revolving Credit Facility. These provisions may delay or prevent a change in control that our stockholders may consider desirable.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line="266" w:lineRule="auto"/>
        <w:rPr>
          <w:sz w:val="20"/>
          <w:szCs w:val="20"/>
          <w:color w:val="auto"/>
        </w:rPr>
      </w:pPr>
      <w:r>
        <w:rPr>
          <w:rFonts w:ascii="Arial" w:cs="Arial" w:eastAsia="Arial" w:hAnsi="Arial"/>
          <w:sz w:val="18"/>
          <w:szCs w:val="18"/>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Senior Notes and the Revolving Credit Facility credit agreements include certain customary covenants that limit our ability other things, subject to certain exceptions;</w:t>
      </w:r>
    </w:p>
    <w:p>
      <w:pPr>
        <w:ind w:left="680" w:hanging="35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or assume liens or additional debt,</w:t>
      </w:r>
    </w:p>
    <w:p>
      <w:pPr>
        <w:spacing w:after="0" w:line="5" w:lineRule="exact"/>
        <w:rPr>
          <w:rFonts w:ascii="Arial" w:cs="Arial" w:eastAsia="Arial" w:hAnsi="Arial"/>
          <w:sz w:val="18"/>
          <w:szCs w:val="18"/>
          <w:color w:val="auto"/>
        </w:rPr>
      </w:pPr>
    </w:p>
    <w:p>
      <w:pPr>
        <w:ind w:left="680" w:hanging="35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5" w:lineRule="exact"/>
        <w:rPr>
          <w:rFonts w:ascii="Arial" w:cs="Arial" w:eastAsia="Arial" w:hAnsi="Arial"/>
          <w:sz w:val="18"/>
          <w:szCs w:val="18"/>
          <w:color w:val="auto"/>
        </w:rPr>
      </w:pPr>
    </w:p>
    <w:p>
      <w:pPr>
        <w:ind w:left="680" w:hanging="35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mergers or reorganizations or</w:t>
      </w:r>
    </w:p>
    <w:p>
      <w:pPr>
        <w:spacing w:after="0" w:line="5" w:lineRule="exact"/>
        <w:rPr>
          <w:rFonts w:ascii="Arial" w:cs="Arial" w:eastAsia="Arial" w:hAnsi="Arial"/>
          <w:sz w:val="18"/>
          <w:szCs w:val="18"/>
          <w:color w:val="auto"/>
        </w:rPr>
      </w:pPr>
    </w:p>
    <w:p>
      <w:pPr>
        <w:ind w:left="680" w:hanging="35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Senior Notes agreement also includes certain financial covenants that require us to comply with a consolidated leverage ratio, a minimum EBIT to consolidated net interest charge ratio and a maximum amount of priority debt, each of which are defined in the Note Purchase Agreement. Our ability to comply with these financial covenants may be affected by events beyond our control.</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These covenants may limit our operating and financial flexibility and limit our ability to respond to changes in our business or competitive activities.</w:t>
      </w:r>
    </w:p>
    <w:p>
      <w:pPr>
        <w:spacing w:after="0" w:line="25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the event that we fail to pay principal or interest when due on the Senior Notes, or as a result of a material breach of any representation, warranty or covenant or any other event of default then all outstanding amounts could become immediately due and payable. If, in such a circumstance, any of the holders of the Senior Notes, accelerate the repayment of such indebtedness, there can be no assurance that we will have sufficient assets to repay our indebtedness.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Interest rate fluctuations may materially adversely affect our results of operations and financial condition in the event that the Company draws down on the Revolving Credit Facility or in respect of any future issuances of debt.</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interest rate in respect of the Senior Notes is fixed at 3.64% for the five year term of the agreement. The Revolving Credit Facility bears interest at LIBOR plus a margin. There were no amounts drawn on the Revolving Credit Facility at December 31, 2015. The Company is therefore subject to interest rate volatility in respect of any future draw down on the Revolving Credit Facility or in respect of any future issuances of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market price of our common stock could lead to losses by investors.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has experienced volatility in the past and may experience volatility in the future which could lead to losses for investors.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Factors impacting volatility in the market price of our common stock include, amongst others:</w:t>
      </w:r>
    </w:p>
    <w:p>
      <w:pPr>
        <w:spacing w:after="0" w:line="6" w:lineRule="exact"/>
        <w:rPr>
          <w:sz w:val="20"/>
          <w:szCs w:val="20"/>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results of operations;</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impacting the industry or our competitors and general market and economic conditions;</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failure to meet this guidance;</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credit ratings of our debt;</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changing economic conditions; and</w:t>
      </w:r>
    </w:p>
    <w:p>
      <w:pPr>
        <w:spacing w:after="0" w:line="5" w:lineRule="exact"/>
        <w:rPr>
          <w:rFonts w:ascii="Arial" w:cs="Arial" w:eastAsia="Arial" w:hAnsi="Arial"/>
          <w:sz w:val="18"/>
          <w:szCs w:val="18"/>
          <w:color w:val="auto"/>
        </w:rPr>
      </w:pPr>
    </w:p>
    <w:p>
      <w:pPr>
        <w:ind w:left="700" w:hanging="40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line="329" w:lineRule="auto"/>
        <w:rPr>
          <w:sz w:val="20"/>
          <w:szCs w:val="20"/>
          <w:color w:val="auto"/>
        </w:rPr>
      </w:pPr>
      <w:r>
        <w:rPr>
          <w:rFonts w:ascii="Arial" w:cs="Arial" w:eastAsia="Arial" w:hAnsi="Arial"/>
          <w:sz w:val="16"/>
          <w:szCs w:val="16"/>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080"/>
          </w:cols>
          <w:pgMar w:left="240" w:top="513" w:right="5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ICON public limited company (“ICON plc”)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The Company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organic growth, together with a number of strategic acquisitions to enhance its expertise and capabilities in certain areas of the clinical development process. The Company’s mission is to accelerate the development of drugs and devices that save lives and improve the quality of life. Our vision is to be the Global CRO partner of choice in drug development by delivering best in class information, solutions and performance in clinical and outcomes research.</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2015, we employed approximately 11,900 employees in 90 locations in 37 countries. During the year ended December 31, 2015, we derived approximately 41.3%, 48.3% and 10.4% of our net revenue in the United States, Europe and Rest of World, respectively.</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began operations and incorporated in 1990 and have expanded our business predominately through internal growth, together with a number of strategic acquisitions, to enhance our capabilities and expertise in certain areas of the clinical development process.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4, 2015, Inclinix-PMG Holdings, Inc (‘PMG’) was acquired by ICON Clinical Research LLC a subsidiary of the Company, resulting in net cash outflows of $63.5 million (see Note 4 of the Financial Statements at Item 19). PMG is an integrated network of clinical research sites operating from 14 metropolitan areas throughout the US. PMG conducts clinical trials in all major therapeutic areas with particular experience in cardiology, dermatology, endocrinology, gastroenterology, men's health, neurology, pulmonology, rheumatology, vaccine, and women's health trials. In addition to a proprietary research database of clinical trial participants, PMG also has access to over 2 million active patient lives via electronic health records through their unique partnerships with healthcare systems and community physician practices.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27, 2015, a subsidiary of the Company; ICON Holdings acquired 100% of the securities of MMMM/CHC Holding, LLC (‘MediMedia Pharma Solutions’) from MediMedia USA, Inc which resulted in net cash outflows of $116.0 million. Headquartered in Yardley, Pennsylvania, MediMedia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May 7, 2014 the Company acquired Aptiv Solutions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9" w:name="page20"/>
    <w:bookmarkEnd w:id="19"/>
    <w:p>
      <w:pPr>
        <w:jc w:val="both"/>
        <w:spacing w:after="0" w:line="266" w:lineRule="auto"/>
        <w:rPr>
          <w:sz w:val="20"/>
          <w:szCs w:val="20"/>
          <w:color w:val="auto"/>
        </w:rPr>
      </w:pPr>
      <w:r>
        <w:rPr>
          <w:rFonts w:ascii="Arial" w:cs="Arial" w:eastAsia="Arial" w:hAnsi="Arial"/>
          <w:sz w:val="17"/>
          <w:szCs w:val="17"/>
          <w:color w:val="auto"/>
        </w:rPr>
        <w:t>On May 1, 2015 the Company commenced a buyback program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 for a total consideration of $57.9 million. On July 31, 2015 the Company commenced a further buyback program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 for a total consideration of $400 million. The second share buyback program was completed in December 2015. During the year ended December 31, 2015, the Company redeemed a total of 6,198,481 ordinary shares under these programs for total consideration of $457.9 million.</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19, 2014 the Company announced that it had completed a $40 million redemption of the Company’s ordinary shares and that it had entered into a further program under which the Company can acquire up to an additional $100 million of its outstanding ordinary shares (by way of redemption), in accordance with United States securities laws through open market share acquisitions. During the year ended December 31, 2014, 2,640,610 ordinary shares were redeemed by the Company under these programs for a total consideration of $140.0 million.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27, 2015 the Company entered into a 364 day bridge facility for $350 million with two financial institutions. The facility bore interest at LIBOR plus a margin and included certain guarantees and indemnities in favor of the financial institutions. As of December 31, 2015, the full amount of this facility had been repaid.</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December 15, 2015 the Company issued through its subsidiary ICON Investment Five Unlimited Company (the "Issuer") of $350 million aggregate principal amount of its 3.64% Senior Notes. The Senior Notes will mature on December 15, 2020. Interest is payable semi-annually on the Senior Notes on each June 15 and December 15, commencing June 15,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Agreement, dated as of December 15, 2015, by and among the Issuer, ICON plc and the purchasers named therein (“Note Purchase Agreement”). The Issuer used the proceeds from the sale of the Senior Notes to repay the existing $350 million bridge facility. The Notes have not been, and will not be, registered under the Securities Act of 1933, as amended, and may not be offered or sold in the United States absent registration or an applicable exemption from registration requirements.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incorporated in Ireland and our principal executive office is located at: South County Business Park, Leopardstown, Dublin 18, Republic of Ireland. The contact telephone number of this office is 353 (1) 291 2000.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CRO industry provides independent product development solutions and services for the pharmaceutical, biotechnology and medical device industries. Companies in these industries outsource product development services to CROs in order to manage the drug development process more efficiently and to bring both patent-protected and generic products to market faster to maximize their profit potential.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 statistical analyses, post marketing surveillance, regulatory affairs services central laboratory and market access services. CROs are required to provide services in accordance with good clinical and laboratory practices, as governed by the applicable regulatory authorities.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CRO industry is highly fragmented, consisting of several hundred small, limited-service providers, medium sized CROs and a small number of large CROs with global operations. Although there are few barriers to entry for small, limited-service providers, we believe there are significant barriers to becoming a CRO with global capabilities and expertise. Some of these barriers include the infrastructure and experience necessary to serve the global demands of clients (sponsors),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manage the development programmes of pharmaceutical, biotechnology and medical device companies. We believe that large (and more recently medium sized) pharmaceutical companies, rather than utilizing many CRO service providers, are selecting a limited number of CROs with which they deal, with many forming strategic partnerships with global CROs in an effort to drive incremental development efficiencies and leverage the scientific and medical expertise that resides within the CRO. We believe that this trend will further concentrate the market share among the larger CROs with a track record of quality, speed, flexibility, responsiveness, global capabilities and access to patients and overall development experience and expertise.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New Drug Development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Ethical Pharmaceuticals and Biologics - An Overview</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Before a new drug or biologic may be marketed, it must undergo extensive testing and regulatory review in order to determine that it is safe and effective. The following discussion primarily relates to the FDA approval process for such products. Similar procedures must be followed for product development with other global regulatory agencies. The stages of this development process are as follows: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Preclinical Research (approximately 1 to 3.5 years). </w:t>
      </w:r>
      <w:r>
        <w:rPr>
          <w:rFonts w:ascii="Arial" w:cs="Arial" w:eastAsia="Arial" w:hAnsi="Arial"/>
          <w:sz w:val="18"/>
          <w:szCs w:val="18"/>
          <w:color w:val="auto"/>
        </w:rPr>
        <w:t>“In vitro” (test tube) and animal studies must be conducted in accordance with applicable regulations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the relative toxicity of the drug over a wide range of doses and to detect any potential to cause birth defects or cancer. If results warrant continuing development of the drug or biologic, the manufacturer will file for an Investigational New Drug Application, or IND, which must be approved by the FDA before starting the proposed clinical trials.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(approximately 3.5 to 6 years).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u w:val="single" w:color="auto"/>
          <w:color w:val="auto"/>
        </w:rPr>
        <w:t>Phase 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 months to 1 year)</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basic safety and pharmacology testing in 20 to 80 human subjects, usually healthy volunteers, and includes studies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how the drug works, if it is safe, how it is affected by other drugs, where it goes in the body, how long it remains active and how it is broken down by and eliminated from the body.</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u w:val="single" w:color="auto"/>
          <w:color w:val="auto"/>
        </w:rPr>
        <w:t>Phase II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 to 2 years</w:t>
      </w:r>
      <w:r>
        <w:rPr>
          <w:rFonts w:ascii="Arial" w:cs="Arial" w:eastAsia="Arial" w:hAnsi="Arial"/>
          <w:sz w:val="18"/>
          <w:szCs w:val="18"/>
          <w:color w:val="auto"/>
        </w:rPr>
        <w:t>) includes basic efficacy (effectiveness) and dose-range testing in a limited patient population (usually) 100 to 200 patients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best effective dose, confirm that the drug works as expected, and provide additional safety data. If the Phase II results are satisfactory and no clinical hold is enforced by the FDA, the sponsor may proceed to Phase III studies.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u w:val="single" w:color="auto"/>
          <w:color w:val="auto"/>
        </w:rPr>
        <w:t>Phase III (2 to 3 years).</w:t>
      </w:r>
      <w:r>
        <w:rPr>
          <w:rFonts w:ascii="Arial" w:cs="Arial" w:eastAsia="Arial" w:hAnsi="Arial"/>
          <w:sz w:val="18"/>
          <w:szCs w:val="18"/>
          <w:b w:val="1"/>
          <w:bCs w:val="1"/>
          <w:color w:val="auto"/>
        </w:rPr>
        <w:t xml:space="preserve"> </w:t>
      </w:r>
      <w:r>
        <w:rPr>
          <w:rFonts w:ascii="Arial" w:cs="Arial" w:eastAsia="Arial" w:hAnsi="Arial"/>
          <w:sz w:val="18"/>
          <w:szCs w:val="18"/>
          <w:color w:val="auto"/>
        </w:rPr>
        <w:t>Efficacy and safety studies in hundreds or thousands of patients at many investigational sites (hospitals and clinics). These studies can</w:t>
      </w:r>
      <w:r>
        <w:rPr>
          <w:rFonts w:ascii="Arial" w:cs="Arial" w:eastAsia="Arial" w:hAnsi="Arial"/>
          <w:sz w:val="18"/>
          <w:szCs w:val="18"/>
          <w:b w:val="1"/>
          <w:bCs w:val="1"/>
          <w:color w:val="auto"/>
        </w:rPr>
        <w:t xml:space="preserve"> </w:t>
      </w:r>
      <w:r>
        <w:rPr>
          <w:rFonts w:ascii="Arial" w:cs="Arial" w:eastAsia="Arial" w:hAnsi="Arial"/>
          <w:sz w:val="18"/>
          <w:szCs w:val="18"/>
          <w:color w:val="auto"/>
        </w:rPr>
        <w:t>be placebo-controlled trials, in which the new drug is compared with a “sugar pill”, or studies comparing the new drug with one or more drugs with established safety and efficacy profiles in the same therapeutic category.</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TIND (may span late Phase II, Phase III, and FDA review). </w:t>
      </w:r>
      <w:r>
        <w:rPr>
          <w:rFonts w:ascii="Arial" w:cs="Arial" w:eastAsia="Arial" w:hAnsi="Arial"/>
          <w:sz w:val="18"/>
          <w:szCs w:val="18"/>
          <w:color w:val="auto"/>
        </w:rPr>
        <w:t>When results from Phase II or Phase III show special promise in the treatment of a serious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for which existing therapeutic options are limited or of minimal value, the FDA may allow the sponsor to make the new drug or biologic available to a larger number of patients through the regulated provision of a Treatment Investigational New Drug, or TIND. Because data related to safety and side effects are collected, TINDs also serve to expand the body of knowledge about the drug or biologic.</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NDA or BLA Preparation and Submission. </w:t>
      </w:r>
      <w:r>
        <w:rPr>
          <w:rFonts w:ascii="Arial" w:cs="Arial" w:eastAsia="Arial" w:hAnsi="Arial"/>
          <w:sz w:val="18"/>
          <w:szCs w:val="18"/>
          <w:color w:val="auto"/>
        </w:rPr>
        <w:t>Upon completion of Phase III trials, the sponsor assembles the statistically analyzed data from all phases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into a single large submission along with the Chemistry, Manufacturing and Controls (CMC) and preclinical data and the proposed labeling into the New Drug Application (NDA), or Biologics License Application (BLA).</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1" w:name="page22"/>
    <w:bookmarkEnd w:id="21"/>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FDA Review and Approval of NDA or BLA (1 to 1.5 years). </w:t>
      </w:r>
      <w:r>
        <w:rPr>
          <w:rFonts w:ascii="Arial" w:cs="Arial" w:eastAsia="Arial" w:hAnsi="Arial"/>
          <w:sz w:val="16"/>
          <w:szCs w:val="16"/>
          <w:color w:val="auto"/>
        </w:rPr>
        <w:t>Data from all phases of development (including a TIND, if applicable) is scrutinized to confirm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the applicant company has complied with all applicable regulations and that the drug or biologic is safe and effective for the specific use (or “indication”) under study. The FDA may refuse to accept the NDA or BLA if the applicant’s application has certain administrative or content criteria which do not meet FDA standards. The FDA may also deny approval of the drug or biologic product if applicable regulatory requirements are not satisfied.</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Post-Marketing Surveillance and Phase IV Studies. </w:t>
      </w:r>
      <w:r>
        <w:rPr>
          <w:rFonts w:ascii="Arial" w:cs="Arial" w:eastAsia="Arial" w:hAnsi="Arial"/>
          <w:sz w:val="16"/>
          <w:szCs w:val="16"/>
          <w:color w:val="auto"/>
        </w:rPr>
        <w:t>Once approved by the FDA federal regulation requires the drug or biologic licence holder to collect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periodically report to the FDA additional safety and efficacy data on the drug or biologic for as long as the licence holdermarkets it (post-marketing surveillance). If the product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 Additionally, FDA and other regulatory agencies are requiring licence holders of drugs or biologics to prepare risk management plans which are aimed at assessing areas of product risk and actively managing such risks should they occur.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the CRO Industry</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CROs derive substantially all of their revenue from the research and development expenditures of pharmaceutical, biotechnology and medical device companies. Based on investment analyst research and our internal estimates, we estimate that development expenditures outsourced by pharmaceutical and biotechnology companies worldwide in 2015 was approximately $30 billion. We believe that the following trends create further growth opportunities for global CROs, although there is no assurance that growth will materialize.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Driving New Drug Development Activity.</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New technologies together with improved understanding of disease pathology (driven by scientific advances such as the mapping of the human genome) have increased the number of new drug candidates being investigated in early development and greatly broadened the number of biological mechanisms being targeted by such candidates. This should lead to increased activity in both Preclinical and Phase I development and in turn lead to more treatments in Phase II-III clinical trials. As the number of trials that need to be performed increases, we believe that drug developers will increasingly rely on CROs to manage these trials in order to continue to focus on drug discovery.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focus on Productivity Within Research and Development Programs.</w:t>
      </w:r>
    </w:p>
    <w:p>
      <w:pPr>
        <w:spacing w:after="0" w:line="24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Pharmaceutical and biotechnology companies continue to seek ways to improve the productivity of their development efforts and increasingly see the use of CROs as a strategic component of these efforts. They are leveraging the expertise with CROs to help identify the most promising drug candidates in early development and discontinue developing those that have safety issues, limited efficacy or that will have significant reimbursement challenges. These companies are also initiating programmes to drive more efficiency in their development programmes. One example of this has been the efforts to achieve a more seamless transition across development phases, particularly Phase I-III. In parallel, regulatory initiatives such as the 21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Century Cures Act and the emergence of clinical trial techniques such as adaptive trial design and risk based clinical trial monitoring are enhancing development, allowing effective treatments to get to patients quicker at reduced development costs. We believe there are signs that the industry efforts to enhance development productivity are successful with the FDA approving 45 new drugs in 2015, an increase from the 41 approved in 2014 and the highest number of approvals since the mid 1990’s.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Pressure to Accelerate Time to Markets; Globalization of the Marketplace.</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and innovation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considerable knowledge and experience in a broad range of therapeutic areas are key resources to support a global regulatory approval strategy. Alongside this, the increasing need to access pools of new patients is leading to the conduct of clinical trials in new “emerging regions” such as Eastern Europe, Latin America, Asia-Pacific and South America. We believe that having access to both traditional and emerging clinical research markets gives global CROs a competitive advantage.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Growth within the Biotechnology Sector.</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nature of the drugs being developed is changing. Biotechnology is enabling the development of targeted drugs with diagnostic tests to determine whether a drug will be effective given a patient’s genomic profile. An increasing proportion of research and development (“R&amp;D”) expenditure is being spent on the development of highly technical drugs to treat very specific therapeutic areas. Much of this discovery expertise is found in biotechnology firms. We believe that it is to these organizations that the large pharmaceutical companies will look for an increasing proportion of their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Containment Pressures.</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(and more recently medium sized companies) are actively entering strategic partnerships with a limited number of CROs in an effort to drive increased efficiencies. The CRO industry and in particular large CROs with global capabilities,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Number of Large Long-Term Studies.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believe that to establish competitive claims and demonstrate product value,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Focus on Long–term Product Safety</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the wake of a number of high profile recalls of previously approved drugs, regulatory authorities, such as the FDA and the European Medicines Agency, are increasingly demanding that sponsors make arrangements to track the long-term safety of their products. The clinical trial approval process can only detect major and common adverse side effects of drugs; less common but no less serious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Increasing Regulatory Demands.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Increasing Requirement to Show the Economic Value of New Treatments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rising costs of healthcare in most developed countries means there is an increasing pressure to show that new medical treatments are more cost effective and deliver better patient outcomes than existing treatments regimes. In many countries there are formal assessment processes to determine the economic value of new treatments and product reimbursement is often dependent on the outcome of such assessments. This means that sponsors need to increasingly generate outcomes data both as part of the product approval submissions and as part of post-approval research programmes. This is creating opportunities for CROs who can offer support in developing and interpreting this outcomes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use of new patient data sources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Pharmaceutical companies are looking to access a variety of new healthcare data sources containing medical and prescribing records to help improve development programmes and to get better evidence of the value their treatments are bringing to patients once they are launched in the market. The larger global CROs have significant data management experience which can be leveraged to support these efforts and have invested in analytics capabilities to help deliver better insights for customers during the product lifecycle. Global CROs are also forging collaborations to access specific data sets that can provide further patient insights to support better matching of patients to the clinical trial process.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Technology Enables More Efficient Development</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Technology innovation is playing an increasing important role in helping to support more efficient drug development. The larger CRO’s have been at the forefront of this innovation developing technology solutions that support the integration of trial data across multiple systems; data repositories that enable sponsors to get real time clinical insights on their drugs performance and tools that support better trial designs including adaptive trial software, such as ICON’s AddPlan software ,which is been used by the FDA and other global regulatory bodies to assess adaptive trial submissions.</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emergence of M-health technologies that build on the global prevalrence of mobile and digital technologies are also beginning have an influence on drug development. It is now possible to capture health data using mobile devices and wearables. This will enable sponsors to gather new clinical and “real-world “ patient insights and will also be used to enhance patient engagement and adherence throughout the development process. As these devices mature it may also be possible to do more remote monitoring of patients in their home environment which may drive further efficiencies in the trial process.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Social media is also becoming an important platform for life sciences companies to strengthen patient engagement programs and collaborate with other stakeholders in the health care system. Many sufferers of specific diseases are forming patient groups and actively collaborating using social media , these groups represent an important potential source of patients for new clinical studies but can also provide valuable insights into effectiveness and safety of new treatments.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 the influence of technology on drug development grows, it broadens the potential number of partners than CRO’s will work with in the future.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The ICON Strategy</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ICON’s mission is to accelerate the development of drugs and devices that save lives and improve the quality of life. Our vision is to be the global CRO partner of choice in drug development by delivering best in class information, solutions and performance.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achieved strong growth since our foundation in 1990. The impact of the International Conference on Harmonization Good Clinical Practice, the resulting globalization of clinical research and the acceleration in the understanding of human and molecular biology which has led to many new treatment paths being explored were key catalysts of our early growth.</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our market has developed,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One consequence of the drive to accelerate time to market will be increased emphasis on making existing drug development phases more seamless, through the use of techniques such as adaptive trials to filter the most promising compounds and test these in parallel in several therapeutic indications. Regulatory and reimbursement pressures too will increase the emphasis on late stage (post marketing) surveillance, while increasing requirements to demonstrate the economic value of new compounds, through outcomes and comparative effectiveness research, will most likely be required in order to secure on-going reimbursement. Furthermore, we believe advances in molecular biology will drive further growth in innovation in the long term which in turn should create further growth opportunities for both development companies and their outsource providers.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expect the increased adoption of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will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core strategies to achieve these objectives will be as follows: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 Scale</w:t>
      </w:r>
    </w:p>
    <w:p>
      <w:pPr>
        <w:spacing w:after="0" w:line="24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To meet the evolving needs of our clients we continue to enhance our capabilities through both organic service development and targeted acquisitions. During 2015 we established a dedicated global group focused on development services in the growing medical device market. We also continued to enhance our scientific and therapeutic expertise to support our customers in the overall formation of their development strategies for new products. Some examples of the enhancements made during 2015 include the development of CNS Rating Scale Analytics leveraging our ICONIK platform. This is enabling a data-driven approach to rating surveillance that increases the consistency of both Clinicial and Patient Reported Outcomes in CNS studies. We have also grown our global network of investigative sites that have the capabilities and expertise to conduct biosimilar trials and we further strengthened our relationships with specialized Oncology sites whilst also extending our internal oncology expertise within our consulting and project management groups.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5" w:name="page26"/>
    <w:bookmarkEnd w:id="25"/>
    <w:p>
      <w:pPr>
        <w:jc w:val="both"/>
        <w:spacing w:after="0" w:line="272" w:lineRule="auto"/>
        <w:rPr>
          <w:sz w:val="20"/>
          <w:szCs w:val="20"/>
          <w:color w:val="auto"/>
        </w:rPr>
      </w:pPr>
      <w:r>
        <w:rPr>
          <w:rFonts w:ascii="Arial" w:cs="Arial" w:eastAsia="Arial" w:hAnsi="Arial"/>
          <w:sz w:val="17"/>
          <w:szCs w:val="17"/>
          <w:color w:val="auto"/>
        </w:rPr>
        <w:t>Strategic client relationships will manifest themselves in many different forms. Many of these relationships will require new forms of collaboration across ICON service areas and departments and will therefore require increased flexibility to offer services on both a standalone functional basis and as part of a fully integrated service model. To support this objective we continue to enhance our capabilities and expertise, evolve our collaboration models, and invest in technology that will enable closer data integration across our service areas and enhance our project and programme management capabilities.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also continue to build our positions in emerging markets and have expanded our presence in regions such as Asia-Pacific, in particular in China and Japan, as is evident from our acquisition of Niphix, the Japanese subsidiary of Aptiv Solutions, in 2014 and BeijingWits Medical Limited, a leading Chinese CRO, in 2012. In 2015, we also added scale and capabilities to our commercialization and outcomes service offering in the US through the acquisition of Medimedia on February 27, 2015 and PMG on December 4, 2015.</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Excellence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enhance our operating processes and delivery models to gain competitive advantage.</w:t>
      </w:r>
    </w:p>
    <w:p>
      <w:pPr>
        <w:spacing w:after="0" w:line="24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Our proprietary ICONIK platform, which integrates clinical data across multiple systems, is helping us drive better project execution and identify significant operational efficiencies. Our ADDPLAN software offers industry leading statistical design, simulation and analysis software for adaptive clinical trials and helps our customers identify the most promising drug candidates earlier and in parallel test these across several therapeutic indications.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Finding and engaging suitable patients to conduct clinical trials is one of the biggest issues facing drug development today. Less than 1% of the US population participates in clinical trials and the performance of investigative sites that do take part in research is uneven, hard to predict and many trials do not meet the initial recruitment goals. The current market challenge in patient enrolment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 In 2015 we also acquired PMG a firm that provides site management operations to bio-pharma and medical device companies from 12 geographic locations in the United States. We believe PMG will further enhance our ability to enroll patients onto the clinical studies we perform.</w:t>
      </w:r>
    </w:p>
    <w:p>
      <w:pPr>
        <w:spacing w:after="0" w:line="21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Quality project execution underpins all we do and we have an ongoing focus on developing our people and processes to continue to enhance our service delivery. We are also deploying supporting technologies which we believe will enable faster and deeper insights into the quality of trial data.</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focused on operational excellence across our support functions and have created a global business support infrastructure across functions such as Finance, Information Technology, Facilities and Human Resources. This is enabling us to enhance the service levels across these support areas whilst driving down the costs of this service provision.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Leadership and Talent</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Core to all our strategy is our people. Within ICON we have highly qualified and experienced teams around 75% of whom have third level educational qualifications The need to develop and retain this expertise and talent within the organisation is fundamental in enabling us to be the global CRO partner of choice for our customers. We have invested in creating an innovative learning environment delivered through the ICON University which is an industry leading collaboration with University College Dublin . The ICON University provides customised management and development programs for global employees. These programmes are focused on advanced leadership development for those employees involved in people management roles and specific technical training in competencies that are core to our business such as project and programme management and clinical research associate development. We continue to invest to refine and develop these programmes.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both"/>
        <w:spacing w:after="0" w:line="329" w:lineRule="auto"/>
        <w:rPr>
          <w:sz w:val="20"/>
          <w:szCs w:val="20"/>
          <w:color w:val="auto"/>
        </w:rPr>
      </w:pPr>
      <w:r>
        <w:rPr>
          <w:rFonts w:ascii="Arial" w:cs="Arial" w:eastAsia="Arial" w:hAnsi="Arial"/>
          <w:sz w:val="16"/>
          <w:szCs w:val="16"/>
          <w:color w:val="auto"/>
        </w:rPr>
        <w:t>Within the ICON University we have also created a unique new Graduate Certificate in Clinical Trial Management which is enhancing the quality of graduate training in clinical research and increasing the pool of talent available to ICON that can support our customers’ drug development programmes.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learning and development programmes are complemented by advanced people development practices which incorporate rigorous, analytics based screening in the hiring process, global career frameworks, performance management processes aligned to our strategy, and talent review and succession planning processes.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leadership and talent programmes contribute to the enhanced retention of our employees, better project deliverables for our customers and the enhanced financial performance of the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w:t>
      </w:r>
    </w:p>
    <w:p>
      <w:pPr>
        <w:spacing w:after="0" w:line="24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Developing innovative trial solutions, to help clients improve the costs and efficiencies associated with drug development will be another key strategy in achieving our objectives.</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These solutions are enabled by differentiated ICON technologies. Our ICONIK platform is a web-based information platform that enables the management, reporting, analysis and visualization of all data relating to drug development, and supports our risk based monitoring solution. This solution allows monitoring resources to be directed at specific sites based on real-time data analysis which can significantly reduce monitoring costs for clients.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Firecrest; ICON’s proprietary comprehensive site performance management system,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ADDPLAN software offers an industry leading statistical design, simulation and analysis software for adaptive clinical trials and helps our customers identify the most promising drug candidates earlier. ADDPLAN is used by FDA, EMA and Japan’s PMDA, as well as over fifty top pharmaceutical and medical device companies and academic researchers. </w:t>
      </w:r>
      <w:r>
        <w:rPr>
          <w:rFonts w:ascii="Arial" w:cs="Arial" w:eastAsia="Arial" w:hAnsi="Arial"/>
          <w:sz w:val="18"/>
          <w:szCs w:val="18"/>
          <w:i w:val="1"/>
          <w:iCs w:val="1"/>
          <w:color w:val="auto"/>
        </w:rPr>
        <w:t>(see Information Systems on page 28 for further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 Capabilities</w:t>
      </w: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To meet the evolving needs of our clients we continue to enhance our capabilities through both organic service development and targeted acquisitions. During 2015 we established a dedicated global group focused on development services in the growing medical device market. We also continued to enhance our scientific and therapeutic expertise to support our customers in the overall formation of their development strategies for new products.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continued our strategy of making targeted acquisitions in 2015 and acquired PMG to enhance our patient enrollment capabilities. We also acquired Medimedia to enhance the capabilities of our Commercialization and Outcomes group. This segment of our market is one of the fastest growing. Through organic development and targeted acquisition strategy we believe we have a created a differentiated service offering that can help support our clients to be able to generate the evidence of results that regulators and payers increasingly require.</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enhanced our capabilities though collaborations with industry and academic leaders in the area of data analytics. We have established a Chair of Business Analytics with University College Dublin and are learning from their expertise in management of large datasets. Additionally though a pilot with IBM’s Watson we are leveraging Watson’s cognitive computing power to help automate the process of identifying patients who meet the criteria for a clinical trial, and to analyze protocols to assess trial feasibility and identify optimal trial sites.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Services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ICON is a global provider of drug development solutions and services to the pharmaceutical, biotechnology and medical device industries. These solutions span the Clinical Development lifecycle from compound selection to Phase I-III clinical studies and also include post approval outcomes research and market access consulting solutions.</w:t>
      </w:r>
    </w:p>
    <w:p>
      <w:pPr>
        <w:spacing w:after="0" w:line="21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Our Clinical Research business specializes in the planning, management, execution and analysis of Phase I – IV clinical trials and post approval studies, ranging from small studies to complex, multinational projects. We also conduct various laboratory tests on the patient's blood, urine and other bodily fluids at appropriate intervals during the trial. Specific clinical development services offered to biopharmaceutical and medical device companies include:</w:t>
      </w:r>
    </w:p>
    <w:p>
      <w:pPr>
        <w:spacing w:after="0" w:line="180" w:lineRule="exact"/>
        <w:rPr>
          <w:sz w:val="20"/>
          <w:szCs w:val="20"/>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Development Planning</w:t>
      </w:r>
    </w:p>
    <w:p>
      <w:pPr>
        <w:spacing w:after="0" w:line="16"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Consulting</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Study Protocol Preparation</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Pharmacology</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Pharmacokinetic and Pharmacodynamic analysis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Research Centers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Investigator Recruitment</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Study Monitoring and Data Collection</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Case Report Form ("CRF") Preparation</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Statistical Analysis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Safety Monitoring</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Risk-based Monitoring</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Data Management</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Analysis and Data Operations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Consulting</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Medical Reporting and Pharmacovigilance</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Interactive Response Technologies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Electronic Endpoint Adjudication</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Medical Imaging</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Adaptive trial design and execution</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Medical Device Trials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Functional and Strategic Resourcing</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Sample analyses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Safety testing</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Microbiology</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 flow cytometry</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Electronic transmission of test results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Biomarker development</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Bioanalysis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Immunoassay development</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Electronic Patient Reported Outcomes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Registries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Outcomes Research</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Economics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Access and commercialization services</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Consulting</w:t>
      </w:r>
    </w:p>
    <w:p>
      <w:pPr>
        <w:spacing w:after="0" w:line="5" w:lineRule="exact"/>
        <w:rPr>
          <w:rFonts w:ascii="Arial" w:cs="Arial" w:eastAsia="Arial" w:hAnsi="Arial"/>
          <w:sz w:val="18"/>
          <w:szCs w:val="18"/>
          <w:color w:val="auto"/>
        </w:rPr>
      </w:pPr>
    </w:p>
    <w:p>
      <w:pPr>
        <w:ind w:left="580" w:hanging="33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Healthcare and scientific communications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Sales and Marketing</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marketing strategy is focused on building a differentiated brand position for ICON and supporting our business development efforts to develop and build relationships with pharmaceutical, biotechnology and medical device companies. Our marketing activities are coordinated centrally to ensure a consistent and differentiated market positioning for ICON and to ensure all marketing efforts align to the overall strategic objectives of the business. Our business development teams are located throughout the Americas, Europe and Asia Pacific regions. Business development activities are carried out by account executives with assigned territories and global account directors supporting our large accounts. Specialized business development teams focus on growing the various business segments of ICON. Collectively, our business development team, senior executives and project team leaders share responsibility for the maintenance of key client relationships. Our aim is to develop deeper relationships within our client base in order to gain repeat business and give us opportunities to penetrate into other therapeutic indications and adjacent service lines where applicable.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CRO industry is fragmented, consisting of many small, niche service providers, some medium-sized providers and a smaller number of large CROs, including ICON, that are differentiated by the scale of their global operations and breadth of service portfolios. The need to conduct research and access patients on a global basis is driving market share to these global CROs and when competing for large development opportunities, ICON competes primarily with Quintiles Transnational Corporation, PAREXEL International Corporation, LabCorp and Pharmaceutical Product Development Inc. In some other market segments, for example biotech and mid-tier pharma, ICON may also compete against mid-tier CROs including PRA and INC Research.</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CROs generally compete on the basis of previous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payers and regulators require. This requires access to new data sources which includes information on the impact of new products after marketing approval.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compete favorably in all these areas.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year ended December 31, 2015 revenue was earned from over 700 clients. The increased use of strategic partnership arrangements in recent years has resulted in a greater proportion of our net revenues being derived from a relatively limited number of customers. During the year ended December 31, 2015 49% of our net revenues were derived from our top five customers, with one customer contributing more than 10% of our net revenues during the period (31%). No other customer contributed more than 10% of our net revenues during this period. During the year ended December 31, 2014 53% of our net revenues were derived from our top five customers, with one customer contributing more than 10% of our net revenues during the period (31%). No other customer contributed more than 10% of our net revenues during this period. During the year ended December 31, 2013 53% of our net revenues were derived from our top five customers, with two customers individually contributing more than 10% of our net revenues during the period (26% and 10% respectively). No other customer contributed more than 10% of our net revenues during this period. The loss of, or a significant decrease in business from one or more of these key customers could have a material adverse impact on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2015 we had a backlog of approximately $3.9 billion, compared with approximately $3.6 billion at December 31, 2014. We believe that our backlog as of any date is not necessarily a meaningful predictor of future results due to the potential for cancellation or delay of the projects included in the backlog, and no assurances can be given on the extent to which we will be able to realize this backlog as net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Information Systems</w:t>
      </w:r>
    </w:p>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Having access to accurate and timely information is critical in the management, delivery and quality of all aspects of drug development. To enable this ICON has developed an Informatics strategy built around ICONIK, a web-based information platform that enables the management, reporting, analysis and visualization of all data relating to drug development. ICONIK collects, manages and standardizes study data from multiple sources, including Electronic Data Capture (EDC), patient diaries, central laboratories and imaging, to provide a single view of study information. ICONIK enables ICON to deliver new services such as ICONIK monitoring which uses near-real time clinical data to drive monitoring visit schedules thereby reducing overall cost and time to market.</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addition to managing clinical data, ICONIK collects operational data, such as project management, clinical trials management system (CTMS) and metric information to drive trial efficiency and transparency. Investigator data, such as payments, site details and performance, can also be incorporated. ICONIK can be accessed via a portal that allows clients access to study related information via a secure web based environment.</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site management and training technology, Firecrest, is another important component of our Informatics strategy. Firecrest provides an on-line web-based portal to access visit by visit study guides which drive site performance and quality.</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ICON also utilizes a range of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Oracle, EMC, SAS and Medidata. IT expenditure is authorized by strict IT governance policies requiring senior level approval of all strategic IT expenditure based on defined, measurable business benefits.</w:t>
      </w:r>
    </w:p>
    <w:p>
      <w:pPr>
        <w:spacing w:after="0" w:line="20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that tracks all relevant data in a trial and automates all management and reporting processes. In our Data Management function, we have deployed leading clinical data management solutions including EDC and Clinical Data Warehouse solutions from external vendors. This allows us to guarantee the integrity of client data and provide consolidated information across client studies. In our clinical trials management area Firecrest Clinical provides a comprehensive site performance management system that improves compliance, consistency and execution of activities at investigative sites. The web-based solution enables accurate study information, including protocol information, training manuals and case report forms, to be rolled out quickly and simultaneously to sites. Site behaviour can then be tracked to ensure training is understood, procedures are being followed, timelines are met and study parameters are maintained. As well as meeting day to day operational requirements, these systems are feeder systems into the ICONIK platform.</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also developed an interactive response technology (IXR) system which provides features such as centralized patient randomization, drug inventory management, patient diary collection and provides our clients with a fully flexible data retrieval solution which can be utilized via telephone, internet browser or a mobile device. In our central laboratory business, we utilize a comprehensive suite of software, including a laboratory information management system (LIMS), a kit/sample management system and a web interface system to allow clients to review results online.</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All of the Company’s global finance operations utilize Oracle’s eBusiness suite to serve the organization’s financial and project accounting requirements. Workday is used to fulfil our HR people management requirements.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Company’s strategy of using technology to enhance our global processes can be seen from our deployment of platforms like ICONIK</w:t>
      </w:r>
      <w:r>
        <w:rPr>
          <w:rFonts w:ascii="Arial" w:cs="Arial" w:eastAsia="Arial" w:hAnsi="Arial"/>
          <w:sz w:val="18"/>
          <w:szCs w:val="18"/>
          <w:color w:val="auto"/>
          <w:strike w:val="1"/>
        </w:rPr>
        <w:t>,</w:t>
      </w:r>
      <w:r>
        <w:rPr>
          <w:rFonts w:ascii="Arial" w:cs="Arial" w:eastAsia="Arial" w:hAnsi="Arial"/>
          <w:sz w:val="18"/>
          <w:szCs w:val="18"/>
          <w:color w:val="auto"/>
        </w:rPr>
        <w:t xml:space="preserve"> QualityDocs our global SOP Document Management system and our Web-based training delivery solution, iLearn.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0" w:name="page31"/>
    <w:bookmarkEnd w:id="30"/>
    <w:p>
      <w:pPr>
        <w:jc w:val="both"/>
        <w:spacing w:after="0" w:line="251" w:lineRule="auto"/>
        <w:rPr>
          <w:sz w:val="20"/>
          <w:szCs w:val="20"/>
          <w:color w:val="auto"/>
        </w:rPr>
      </w:pPr>
      <w:r>
        <w:rPr>
          <w:rFonts w:ascii="Arial" w:cs="Arial" w:eastAsia="Arial" w:hAnsi="Arial"/>
          <w:sz w:val="18"/>
          <w:szCs w:val="18"/>
          <w:color w:val="auto"/>
        </w:rPr>
        <w:t>Our IT systems are operated from two hubs in Dublin, Ireland and Philadelphia, Pennsylvania. Other offices are linked to these hubs through a network managed by Verizon, a tier one global telecommunications provider. This network provides global connectivity for our applications and allows collaboration and communication using tools like Microsoft Lync, Sharepoint and eRooms. Mobile staff can also access all systems via secure remote access facilities. A global corporate intranet portal provides access to all authorized data and applications for our internal staff as well as providing an internal platform for company wide communication.</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Following the acquisition of Aptiv Solutions we have now integrated three new technology platforms into the ICON offerings. These comprise of ADDPLAN for simulation and design of exploratory/pilot and confirmatory/ pivotal adaptive clinical trials (</w:t>
      </w:r>
      <w:r>
        <w:rPr>
          <w:rFonts w:ascii="Arial" w:cs="Arial" w:eastAsia="Arial" w:hAnsi="Arial"/>
          <w:sz w:val="16"/>
          <w:szCs w:val="16"/>
          <w:i w:val="1"/>
          <w:iCs w:val="1"/>
          <w:color w:val="auto"/>
        </w:rPr>
        <w:t>ADDPLAN</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DF (Dose Finder), ADDPLAN® Base,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ADDPLAN® MC (Multiple Comparison) </w:t>
      </w:r>
      <w:r>
        <w:rPr>
          <w:rFonts w:ascii="Arial" w:cs="Arial" w:eastAsia="Arial" w:hAnsi="Arial"/>
          <w:sz w:val="16"/>
          <w:szCs w:val="16"/>
          <w:color w:val="auto"/>
        </w:rPr>
        <w:t>and</w:t>
      </w:r>
      <w:r>
        <w:rPr>
          <w:rFonts w:ascii="Arial" w:cs="Arial" w:eastAsia="Arial" w:hAnsi="Arial"/>
          <w:sz w:val="16"/>
          <w:szCs w:val="16"/>
          <w:i w:val="1"/>
          <w:iCs w:val="1"/>
          <w:color w:val="auto"/>
        </w:rPr>
        <w:t xml:space="preserve"> ADDPLAN® PE (Population Enrichment)</w:t>
      </w:r>
      <w:r>
        <w:rPr>
          <w:rFonts w:ascii="Arial" w:cs="Arial" w:eastAsia="Arial" w:hAnsi="Arial"/>
          <w:sz w:val="16"/>
          <w:szCs w:val="16"/>
          <w:color w:val="auto"/>
        </w:rPr>
        <w:t>), AptivAdvantage which is an integrated platform comprising EDC,</w:t>
      </w:r>
      <w:r>
        <w:rPr>
          <w:rFonts w:ascii="Arial" w:cs="Arial" w:eastAsia="Arial" w:hAnsi="Arial"/>
          <w:sz w:val="16"/>
          <w:szCs w:val="16"/>
          <w:i w:val="1"/>
          <w:iCs w:val="1"/>
          <w:color w:val="auto"/>
        </w:rPr>
        <w:t xml:space="preserve"> </w:t>
      </w:r>
      <w:r>
        <w:rPr>
          <w:rFonts w:ascii="Arial" w:cs="Arial" w:eastAsia="Arial" w:hAnsi="Arial"/>
          <w:sz w:val="16"/>
          <w:szCs w:val="16"/>
          <w:color w:val="auto"/>
        </w:rPr>
        <w:t>randomization and drug supply management specifically created for execution of adaptive clinical trials and used to deliver risk-based monitoring and Aptiv Insite which is a novel approach to risk-based monitoring, using Verification by Statistical Sampling (VSS) to manage data quality and site related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generally awarded projects based upon our responses to requests for proposals received from companies in the pharmaceutical, biotechnology and medical device industries, or work orders executed under our strategic partnership agreements.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revenues on contracts are recognized on a proportional performance method. Depending on the contractual terms revenue is either recognized on the percentage of completion method based on the relationship between hours incurred and the total estimated hours of the trial or on the unit of delivery method. Payment terms usually provide either for payments based on the achievement of certain identified milestones, units delivered or monthly payments, according to a contracted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achievement of certain performance targets or "milestones" or, based on units delivered, or on a fixed monthly payment schedule. For instance, installment payments may be based on patient enrollment dates or delivery of the database. During the course of the study, the Company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Government Regulation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-13335</wp:posOffset>
            </wp:positionV>
            <wp:extent cx="279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clinical investigation of new drugs is highly regulated by government agencies. The standard for the conduct of clinical research and development studies is Good Clinical Practice (“GCP”), which stipulates procedures designed to ensure the quality and integrity of data obtained from clinical testing and to protect the rights and safety of clinical subjects.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providing our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services we provide outside the United States are ultimately subject to similar regulation by the relevant regulatory authority, including the Medicines and Healthcare products Regulatory Agency (“MHRA”) in the United Kingdom and the Bundesinstitut für Arzneimittel und Medizinprodukte (“BfARM”) in Germany. In addition, our activities in Europe are affected by the European Medicines Agency (“EMA”), which is based in London, England.</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must retain records for each study for specified periods for inspection by the client and by the applicable regulatory authority during audits. If we fail to comply adequately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Liability and Insurance</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nature of our business exposes us to potential liability including, but not limited to, potential liability for (i) breach of contract or negligence claims by our customers; (ii) non-compliance with regulatory or legal obligations including, but not limited to, anti-bribery and anti-corruption laws; (iii) third party (such as patients) claims in respect of our performance of services.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addition, although we do not believe we are legally responsible for acts of third party investigators (physicians running trials), we could be subject to claims arising as a result of the actions of these investigators.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try to reduce this potential liability by:</w:t>
      </w:r>
    </w:p>
    <w:p>
      <w:pPr>
        <w:spacing w:after="0" w:line="245" w:lineRule="exact"/>
        <w:rPr>
          <w:sz w:val="20"/>
          <w:szCs w:val="20"/>
          <w:color w:val="auto"/>
        </w:rPr>
      </w:pPr>
    </w:p>
    <w:p>
      <w:pPr>
        <w:jc w:val="both"/>
        <w:ind w:left="620" w:firstLine="6"/>
        <w:spacing w:after="0" w:line="251" w:lineRule="auto"/>
        <w:tabs>
          <w:tab w:leader="none" w:pos="12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Seeking contractual indemnification from customers in relation to certain activities. However, the terms and scope of indemnification varies from customer to customer and project to project and the performance of these indemnities is not secured. As a result, we bear the risk that indemnification may not be relevant or sufficient or that the indemnifying party may not have the financial ability to fulfill its indemnification obligations. Furthermore this indemnification does not protect us against our own acts or omissions such as our negligence or where our performance does not reach the required contractual, industry or regulatory standard.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2" w:name="page33"/>
    <w:bookmarkEnd w:id="32"/>
    <w:p>
      <w:pPr>
        <w:jc w:val="both"/>
        <w:ind w:left="620" w:firstLine="6"/>
        <w:spacing w:after="0" w:line="256" w:lineRule="auto"/>
        <w:tabs>
          <w:tab w:leader="none" w:pos="1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worldwide professional liability insurance. While we believe our insurance coverage is adequate, there is no guarantee that we will continue to be able to maintain such insurance coverage on terms acceptable to us, if at all, or that the relevant policy will respond and provide cover when we want it to.</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could be materially adversely affected if ICON is required to pay damages or bear the costs of defending or settling any claim outside the scope of or in excess of a contractual indemnification provision, an indemnifying party does not fulfill its indemnification obligations, the claim is in excess of level of our insurance coverage or the relevant circumstances are not covered by our insurance policies.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principal executive offices are located in South County Business Park, Leopardstown, Dublin, Republic of Ireland, where we own an office facility of approximately 15,000 square meters. We lease all other properties under operating leases.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four offices in Pennsylvania, three offices in New York State and Wilmington, two offices in San Antonio, San Francisco and Winston-Salem and one office in each of the following U.S. locations: Boston, Chicago, Durham, Gaithersburg, Houston, Los Angeles, Marlborough, Nashville, San Diego, Champaign, Cary, Charlotte, Hickory, Raleigh, Rocky Mount, Salisbury, Charleston, Bristol and Knoxville.</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European operations maintain two offices in Amsterdam and one office in each of the following locations: Abingdon, Allschwil, Ankara, Barcelona, Bucharest, Budapest, Cologne, Edinburgh, Frankfurt, Munich, Kiev, Limerick, London, Madrid, Marlow, Milan, Moscow, Paris, Prague, Riga, Southampton, Stockholm, Strasbourg, Tel Aviv and Warsaw.</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maintain two offices in Tokyo and Singapore and one office in each of the following locations: Auckland, Bangalore, Bangkok, Beijing, Bogota, Buenos Aires, Chennai, Hong Kong, Johannesburg, Lima, Manila, Mexico City, Montreal, Osaka, Santiago, Sao Paolo, Seoul, Shanghai, Sydney, Taipei, Tianjin, Trivandrum and Vancouver.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color w:val="auto"/>
              </w:rPr>
              <w:t>Organizational Structure</w:t>
            </w:r>
          </w:p>
        </w:tc>
        <w:tc>
          <w:tcPr>
            <w:tcW w:w="32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52"/>
        </w:trPr>
        <w:tc>
          <w:tcPr>
            <w:tcW w:w="5460" w:type="dxa"/>
            <w:vAlign w:val="bottom"/>
          </w:tcPr>
          <w:p>
            <w:pPr>
              <w:spacing w:after="0"/>
              <w:rPr>
                <w:sz w:val="20"/>
                <w:szCs w:val="20"/>
                <w:color w:val="auto"/>
              </w:rPr>
            </w:pPr>
            <w:r>
              <w:rPr>
                <w:rFonts w:ascii="Arial" w:cs="Arial" w:eastAsia="Arial" w:hAnsi="Arial"/>
                <w:sz w:val="18"/>
                <w:szCs w:val="18"/>
                <w:color w:val="auto"/>
                <w:w w:val="92"/>
              </w:rPr>
              <w:t>Details of the Company’s significant operating subsidiaries are as follows:</w:t>
            </w:r>
          </w:p>
        </w:tc>
        <w:tc>
          <w:tcPr>
            <w:tcW w:w="32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40"/>
        </w:trPr>
        <w:tc>
          <w:tcPr>
            <w:tcW w:w="5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Company</w:t>
            </w:r>
          </w:p>
        </w:tc>
        <w:tc>
          <w:tcPr>
            <w:tcW w:w="320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Country</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5"/>
              </w:rPr>
              <w:t>Group ownership</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S.A.</w:t>
            </w:r>
          </w:p>
        </w:tc>
        <w:tc>
          <w:tcPr>
            <w:tcW w:w="320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Argentina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PTY Limited</w:t>
            </w:r>
          </w:p>
        </w:tc>
        <w:tc>
          <w:tcPr>
            <w:tcW w:w="320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Australia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Austria GmbH</w:t>
            </w:r>
          </w:p>
        </w:tc>
        <w:tc>
          <w:tcPr>
            <w:tcW w:w="320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Austria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International Belgium N.V.</w:t>
            </w:r>
          </w:p>
        </w:tc>
        <w:tc>
          <w:tcPr>
            <w:tcW w:w="320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Belgium</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Pesquisas Clínicas LTDA.</w:t>
            </w:r>
          </w:p>
        </w:tc>
        <w:tc>
          <w:tcPr>
            <w:tcW w:w="3200" w:type="dxa"/>
            <w:vAlign w:val="bottom"/>
            <w:shd w:val="clear" w:color="auto" w:fill="CCEEFF"/>
          </w:tcPr>
          <w:p>
            <w:pPr>
              <w:ind w:left="1220"/>
              <w:spacing w:after="0"/>
              <w:rPr>
                <w:sz w:val="20"/>
                <w:szCs w:val="20"/>
                <w:color w:val="auto"/>
              </w:rPr>
            </w:pPr>
            <w:r>
              <w:rPr>
                <w:rFonts w:ascii="Arial" w:cs="Arial" w:eastAsia="Arial" w:hAnsi="Arial"/>
                <w:sz w:val="18"/>
                <w:szCs w:val="18"/>
                <w:b w:val="1"/>
                <w:bCs w:val="1"/>
                <w:i w:val="1"/>
                <w:iCs w:val="1"/>
                <w:color w:val="auto"/>
              </w:rPr>
              <w:t>Brazil</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EOOD</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Bulgaria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(Canada) Inc.</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Canada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Oxford Outcomes LTD.</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Canada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Chile Limitada</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Chile</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(Beijing No.2) Co., Ltd</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China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(Beijing) Co., Ltd</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China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Ispitivanja ICON d.o.o (ICON Research Ltd.)</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Croatia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s.r.o.</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Czech Republic</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International Nordic Countries A/S</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Denmark</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International Finland Oy</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Finland</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Aptiv Solutions</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France</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International France S.A.S.</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France</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S.A.R.L.</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France</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International Germany GmbH</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Germany</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GmbH</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Germany</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Hong Kong Limited</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Hong Kong</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00"/>
        </w:trPr>
        <w:tc>
          <w:tcPr>
            <w:tcW w:w="54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b w:val="1"/>
                <w:bCs w:val="1"/>
                <w:i w:val="1"/>
                <w:iCs w:val="1"/>
                <w:color w:val="auto"/>
              </w:rPr>
              <w:t>ICON Klinikai Kutató Korlátolt Felelősségű Társaság</w:t>
            </w:r>
          </w:p>
        </w:tc>
        <w:tc>
          <w:tcPr>
            <w:tcW w:w="32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r>
      <w:tr>
        <w:trPr>
          <w:trHeight w:val="225"/>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Limited Liability Company)</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Hungary</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India Private Limited</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India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Israel Limited</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Israel</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Italia S.R.L.</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Italy</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Japan K.K.</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Japan</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Niphix G.K.</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Japan</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Investments Limited</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Jersey</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Korea Yuhan Hoesa</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Korea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CRO Malaysia SDN. BHD.</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Malaysia</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México, S.A. de C.V.</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Mexico</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213"/>
        </w:trPr>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Insourcing B.V.</w:t>
            </w:r>
          </w:p>
        </w:tc>
        <w:tc>
          <w:tcPr>
            <w:tcW w:w="3200" w:type="dxa"/>
            <w:vAlign w:val="bottom"/>
            <w:shd w:val="clear" w:color="auto" w:fill="CCEEFF"/>
          </w:tcPr>
          <w:p>
            <w:pPr>
              <w:ind w:left="1360"/>
              <w:spacing w:after="0"/>
              <w:rPr>
                <w:sz w:val="20"/>
                <w:szCs w:val="20"/>
                <w:color w:val="auto"/>
              </w:rPr>
            </w:pPr>
            <w:r>
              <w:rPr>
                <w:rFonts w:ascii="Arial" w:cs="Arial" w:eastAsia="Arial" w:hAnsi="Arial"/>
                <w:sz w:val="18"/>
                <w:szCs w:val="18"/>
                <w:b w:val="1"/>
                <w:bCs w:val="1"/>
                <w:i w:val="1"/>
                <w:iCs w:val="1"/>
                <w:color w:val="auto"/>
              </w:rPr>
              <w:t>Netherlands</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100%</w:t>
            </w:r>
          </w:p>
        </w:tc>
      </w:tr>
      <w:tr>
        <w:trPr>
          <w:trHeight w:val="809"/>
        </w:trPr>
        <w:tc>
          <w:tcPr>
            <w:tcW w:w="5460" w:type="dxa"/>
            <w:vAlign w:val="bottom"/>
          </w:tcPr>
          <w:p>
            <w:pPr>
              <w:spacing w:after="0"/>
              <w:rPr>
                <w:sz w:val="24"/>
                <w:szCs w:val="24"/>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32</w:t>
            </w:r>
          </w:p>
        </w:tc>
        <w:tc>
          <w:tcPr>
            <w:tcW w:w="2760" w:type="dxa"/>
            <w:vAlign w:val="bottom"/>
          </w:tcPr>
          <w:p>
            <w:pPr>
              <w:spacing w:after="0"/>
              <w:rPr>
                <w:sz w:val="24"/>
                <w:szCs w:val="24"/>
                <w:color w:val="auto"/>
              </w:rPr>
            </w:pPr>
          </w:p>
        </w:tc>
      </w:tr>
      <w:tr>
        <w:trPr>
          <w:trHeight w:val="117"/>
        </w:trPr>
        <w:tc>
          <w:tcPr>
            <w:tcW w:w="5460" w:type="dxa"/>
            <w:vAlign w:val="bottom"/>
            <w:tcBorders>
              <w:bottom w:val="single" w:sz="8" w:color="808080"/>
            </w:tcBorders>
          </w:tcPr>
          <w:p>
            <w:pPr>
              <w:spacing w:after="0"/>
              <w:rPr>
                <w:sz w:val="10"/>
                <w:szCs w:val="10"/>
                <w:color w:val="auto"/>
              </w:rPr>
            </w:pPr>
          </w:p>
        </w:tc>
        <w:tc>
          <w:tcPr>
            <w:tcW w:w="3200" w:type="dxa"/>
            <w:vAlign w:val="bottom"/>
            <w:tcBorders>
              <w:bottom w:val="single" w:sz="8" w:color="808080"/>
            </w:tcBorders>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International B.V.</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Netherlands</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(New Zealand) Limited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New Zealand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Peru S.A.</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Peru</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Services Philippines, Inc.</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Philippines</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International Poland Sp. z o.o.</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Poland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Sp. z o.o.</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Poland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Resourcing Limited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Republic of Ireland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International</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Republic of Ireland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Limited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Republic of Ireland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w w:val="92"/>
              </w:rPr>
              <w:t>ICON Clinical Research Property Development (Ireland) Limited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Republic of Ireland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Holdings</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Republic of Ireland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Holdings Clinical Research International Limited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Republic of Ireland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Investments Five Unlimited Company</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Republic of Ireland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Investments Four</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Republic of Ireland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S.R.L.</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Romania</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(Rus) LLC</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Russia</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d.o.o. Beograd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Serbia</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(Pte) Limited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Singapore</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Slovakia, s.r.o.</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Slovakia</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España, S.L.</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Spain</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International Sweden AB</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Sweden</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International Switzerland GmbH</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Switzerland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(Switzerland) GmbH</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Switzerland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Taiwan Limited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Taiwan</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(Thailand) Limited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Thailand</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Ankara Klinik Arastirma Dis Ticaret Anonim Sirketi</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Turkey</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Ukraine LLC</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Ukraine</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LLC</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Ukraine</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Aptiv Solutions (UK) Ltd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United Kingdom</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International UK Limited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United Kingdom</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(U.K.) Limited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United Kingdom</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Development Solutions Limited</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United Kingdom</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Addplan, Inc.</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USA</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Beacon Bioscience, Inc</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USA</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C4 MedSolutions, LLC</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USA</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CHC Group, LLC</w:t>
            </w:r>
          </w:p>
        </w:tc>
        <w:tc>
          <w:tcPr>
            <w:tcW w:w="3640" w:type="dxa"/>
            <w:vAlign w:val="bottom"/>
            <w:shd w:val="clear" w:color="auto" w:fill="CCEEFF"/>
          </w:tcPr>
          <w:p>
            <w:pPr>
              <w:ind w:left="1440"/>
              <w:spacing w:after="0"/>
              <w:rPr>
                <w:sz w:val="20"/>
                <w:szCs w:val="20"/>
                <w:color w:val="auto"/>
              </w:rPr>
            </w:pPr>
            <w:r>
              <w:rPr>
                <w:rFonts w:ascii="Arial" w:cs="Arial" w:eastAsia="Arial" w:hAnsi="Arial"/>
                <w:sz w:val="18"/>
                <w:szCs w:val="18"/>
                <w:b w:val="1"/>
                <w:bCs w:val="1"/>
                <w:i w:val="1"/>
                <w:iCs w:val="1"/>
                <w:color w:val="auto"/>
              </w:rPr>
              <w:t>USA</w:t>
            </w:r>
          </w:p>
        </w:tc>
        <w:tc>
          <w:tcPr>
            <w:tcW w:w="240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597"/>
        </w:trPr>
        <w:tc>
          <w:tcPr>
            <w:tcW w:w="5380" w:type="dxa"/>
            <w:vAlign w:val="bottom"/>
          </w:tcPr>
          <w:p>
            <w:pPr>
              <w:spacing w:after="0"/>
              <w:rPr>
                <w:sz w:val="24"/>
                <w:szCs w:val="24"/>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33</w:t>
            </w:r>
          </w:p>
        </w:tc>
        <w:tc>
          <w:tcPr>
            <w:tcW w:w="2400" w:type="dxa"/>
            <w:vAlign w:val="bottom"/>
          </w:tcPr>
          <w:p>
            <w:pPr>
              <w:spacing w:after="0"/>
              <w:rPr>
                <w:sz w:val="24"/>
                <w:szCs w:val="24"/>
                <w:color w:val="auto"/>
              </w:rPr>
            </w:pPr>
          </w:p>
        </w:tc>
      </w:tr>
      <w:tr>
        <w:trPr>
          <w:trHeight w:val="117"/>
        </w:trPr>
        <w:tc>
          <w:tcPr>
            <w:tcW w:w="538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5" w:right="23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Complete Healthcare Communications,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Complete Publication Solutions,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DOCS Global, Inc.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Global Pharmaceutical Strategies Group,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Clinical Research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Early Phase Services,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Laboratory Services, Inc.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ICON US Holdings Inc.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Inclinix, Inc.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Inclinix-PMG Holdings, Inc.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Managed Care Strategic Solutions,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MMMM Consulting,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MMMM Group,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PMG Research of Bristol,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PMG Research of Charleston,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PMG Research of Charlotte,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PMG Research of Christie Clinic,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PMG Research of Hickory,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PMG Research of Raleigh,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PMG Research of Rocky Mount,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PMG Research of Salisbury,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PMG Research of Wilmington,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PMG Research of Winston-Salem,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PMG Research, Inc.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Pricespective,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r>
        <w:trPr>
          <w:trHeight w:val="213"/>
        </w:trPr>
        <w:tc>
          <w:tcPr>
            <w:tcW w:w="5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PubsHub LLC</w:t>
            </w:r>
          </w:p>
        </w:tc>
        <w:tc>
          <w:tcPr>
            <w:tcW w:w="3200" w:type="dxa"/>
            <w:vAlign w:val="bottom"/>
            <w:shd w:val="clear" w:color="auto" w:fill="CCEEFF"/>
          </w:tcPr>
          <w:p>
            <w:pPr>
              <w:ind w:left="1540"/>
              <w:spacing w:after="0"/>
              <w:rPr>
                <w:sz w:val="20"/>
                <w:szCs w:val="20"/>
                <w:color w:val="auto"/>
              </w:rPr>
            </w:pPr>
            <w:r>
              <w:rPr>
                <w:rFonts w:ascii="Arial" w:cs="Arial" w:eastAsia="Arial" w:hAnsi="Arial"/>
                <w:sz w:val="18"/>
                <w:szCs w:val="18"/>
                <w:b w:val="1"/>
                <w:bCs w:val="1"/>
                <w:i w:val="1"/>
                <w:iCs w:val="1"/>
                <w:color w:val="auto"/>
              </w:rPr>
              <w:t>USA</w:t>
            </w:r>
          </w:p>
        </w:tc>
        <w:tc>
          <w:tcPr>
            <w:tcW w:w="2940" w:type="dxa"/>
            <w:vAlign w:val="bottom"/>
            <w:shd w:val="clear" w:color="auto" w:fill="CCEEFF"/>
          </w:tcPr>
          <w:p>
            <w:pPr>
              <w:jc w:val="right"/>
              <w:ind w:right="1131"/>
              <w:spacing w:after="0"/>
              <w:rPr>
                <w:sz w:val="20"/>
                <w:szCs w:val="20"/>
                <w:color w:val="auto"/>
              </w:rPr>
            </w:pPr>
            <w:r>
              <w:rPr>
                <w:rFonts w:ascii="Arial" w:cs="Arial" w:eastAsia="Arial" w:hAnsi="Arial"/>
                <w:sz w:val="18"/>
                <w:szCs w:val="18"/>
                <w:b w:val="1"/>
                <w:bCs w:val="1"/>
                <w:i w:val="1"/>
                <w:iCs w:val="1"/>
                <w:color w:val="auto"/>
              </w:rPr>
              <w:t>100%</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Overview</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2015, we employed approximately 11,900 employees, in 90 locations in 37 countries. During the year ended December 31, 2015 we derived approximately 41.3%, 48.3% and 10.4% of our net revenue in the United States, Europe and Rest of World, respectively.</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December 31, 2015 we had a backlog of approximately $3.9 billion, compared with approximately $3.6 billion at December 31, 2014. We believe that our backlog as of any date is not necessarily a meaningful predictor of future results, due to the potential for cancellation or delay of the projects included in the backlog, and no assurances can be given on the extent to which we will be able to realize this backlog as net revenue.</w:t>
      </w:r>
    </w:p>
    <w:p>
      <w:pPr>
        <w:spacing w:after="0" w:line="21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7" w:name="page38"/>
    <w:bookmarkEnd w:id="37"/>
    <w:p>
      <w:pPr>
        <w:jc w:val="both"/>
        <w:spacing w:after="0" w:line="303"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5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80" w:type="dxa"/>
            <w:vAlign w:val="bottom"/>
            <w:gridSpan w:val="2"/>
          </w:tcPr>
          <w:p>
            <w:pPr>
              <w:jc w:val="right"/>
              <w:ind w:right="811"/>
              <w:spacing w:after="0"/>
              <w:rPr>
                <w:sz w:val="20"/>
                <w:szCs w:val="20"/>
                <w:color w:val="auto"/>
              </w:rPr>
            </w:pPr>
            <w:r>
              <w:rPr>
                <w:rFonts w:ascii="Arial" w:cs="Arial" w:eastAsia="Arial" w:hAnsi="Arial"/>
                <w:sz w:val="18"/>
                <w:szCs w:val="18"/>
                <w:b w:val="1"/>
                <w:bCs w:val="1"/>
                <w:color w:val="auto"/>
                <w:w w:val="97"/>
              </w:rPr>
              <w:t>Year Ended December 31,</w:t>
            </w:r>
          </w:p>
        </w:tc>
        <w:tc>
          <w:tcPr>
            <w:tcW w:w="1000" w:type="dxa"/>
            <w:vAlign w:val="bottom"/>
          </w:tcPr>
          <w:p>
            <w:pPr>
              <w:spacing w:after="0"/>
              <w:rPr>
                <w:sz w:val="18"/>
                <w:szCs w:val="18"/>
                <w:color w:val="auto"/>
              </w:rPr>
            </w:pPr>
          </w:p>
        </w:tc>
      </w:tr>
      <w:tr>
        <w:trPr>
          <w:trHeight w:val="213"/>
        </w:trPr>
        <w:tc>
          <w:tcPr>
            <w:tcW w:w="5160" w:type="dxa"/>
            <w:vAlign w:val="bottom"/>
          </w:tcPr>
          <w:p>
            <w:pPr>
              <w:spacing w:after="0"/>
              <w:rPr>
                <w:sz w:val="18"/>
                <w:szCs w:val="18"/>
                <w:color w:val="auto"/>
              </w:rPr>
            </w:pPr>
          </w:p>
        </w:tc>
        <w:tc>
          <w:tcPr>
            <w:tcW w:w="2180" w:type="dxa"/>
            <w:vAlign w:val="bottom"/>
          </w:tcPr>
          <w:p>
            <w:pPr>
              <w:jc w:val="right"/>
              <w:ind w:right="271"/>
              <w:spacing w:after="0"/>
              <w:rPr>
                <w:sz w:val="20"/>
                <w:szCs w:val="20"/>
                <w:color w:val="auto"/>
              </w:rPr>
            </w:pPr>
            <w:r>
              <w:rPr>
                <w:rFonts w:ascii="Arial" w:cs="Arial" w:eastAsia="Arial" w:hAnsi="Arial"/>
                <w:sz w:val="18"/>
                <w:szCs w:val="18"/>
                <w:b w:val="1"/>
                <w:bCs w:val="1"/>
                <w:color w:val="auto"/>
              </w:rPr>
              <w:t>2015</w:t>
            </w:r>
          </w:p>
        </w:tc>
        <w:tc>
          <w:tcPr>
            <w:tcW w:w="1280" w:type="dxa"/>
            <w:vAlign w:val="bottom"/>
          </w:tcPr>
          <w:p>
            <w:pPr>
              <w:jc w:val="right"/>
              <w:ind w:right="171"/>
              <w:spacing w:after="0"/>
              <w:rPr>
                <w:sz w:val="20"/>
                <w:szCs w:val="20"/>
                <w:color w:val="auto"/>
              </w:rPr>
            </w:pPr>
            <w:r>
              <w:rPr>
                <w:rFonts w:ascii="Arial" w:cs="Arial" w:eastAsia="Arial" w:hAnsi="Arial"/>
                <w:sz w:val="18"/>
                <w:szCs w:val="18"/>
                <w:b w:val="1"/>
                <w:bCs w:val="1"/>
                <w:color w:val="auto"/>
              </w:rPr>
              <w:t>2014</w:t>
            </w:r>
          </w:p>
        </w:tc>
        <w:tc>
          <w:tcPr>
            <w:tcW w:w="1800" w:type="dxa"/>
            <w:vAlign w:val="bottom"/>
          </w:tcPr>
          <w:p>
            <w:pPr>
              <w:jc w:val="right"/>
              <w:ind w:right="571"/>
              <w:spacing w:after="0"/>
              <w:rPr>
                <w:sz w:val="20"/>
                <w:szCs w:val="20"/>
                <w:color w:val="auto"/>
              </w:rPr>
            </w:pPr>
            <w:r>
              <w:rPr>
                <w:rFonts w:ascii="Arial" w:cs="Arial" w:eastAsia="Arial" w:hAnsi="Arial"/>
                <w:sz w:val="18"/>
                <w:szCs w:val="18"/>
                <w:b w:val="1"/>
                <w:bCs w:val="1"/>
                <w:color w:val="auto"/>
              </w:rPr>
              <w:t>2015</w:t>
            </w: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2014</w:t>
            </w:r>
          </w:p>
        </w:tc>
      </w:tr>
      <w:tr>
        <w:trPr>
          <w:trHeight w:val="230"/>
        </w:trPr>
        <w:tc>
          <w:tcPr>
            <w:tcW w:w="5160" w:type="dxa"/>
            <w:vAlign w:val="bottom"/>
          </w:tcPr>
          <w:p>
            <w:pPr>
              <w:spacing w:after="0"/>
              <w:rPr>
                <w:sz w:val="20"/>
                <w:szCs w:val="20"/>
                <w:color w:val="auto"/>
              </w:rPr>
            </w:pPr>
          </w:p>
        </w:tc>
        <w:tc>
          <w:tcPr>
            <w:tcW w:w="3460" w:type="dxa"/>
            <w:vAlign w:val="bottom"/>
            <w:gridSpan w:val="2"/>
          </w:tcPr>
          <w:p>
            <w:pPr>
              <w:jc w:val="right"/>
              <w:ind w:right="391"/>
              <w:spacing w:after="0"/>
              <w:rPr>
                <w:sz w:val="20"/>
                <w:szCs w:val="20"/>
                <w:color w:val="auto"/>
              </w:rPr>
            </w:pPr>
            <w:r>
              <w:rPr>
                <w:rFonts w:ascii="Arial" w:cs="Arial" w:eastAsia="Arial" w:hAnsi="Arial"/>
                <w:sz w:val="18"/>
                <w:szCs w:val="18"/>
                <w:b w:val="1"/>
                <w:bCs w:val="1"/>
                <w:color w:val="auto"/>
              </w:rPr>
              <w:t>Percentage of Net Revenue</w:t>
            </w:r>
          </w:p>
        </w:tc>
        <w:tc>
          <w:tcPr>
            <w:tcW w:w="2800" w:type="dxa"/>
            <w:vAlign w:val="bottom"/>
            <w:gridSpan w:val="2"/>
          </w:tcPr>
          <w:p>
            <w:pPr>
              <w:jc w:val="right"/>
              <w:ind w:right="231"/>
              <w:spacing w:after="0"/>
              <w:rPr>
                <w:sz w:val="20"/>
                <w:szCs w:val="20"/>
                <w:color w:val="auto"/>
              </w:rPr>
            </w:pPr>
            <w:r>
              <w:rPr>
                <w:rFonts w:ascii="Arial" w:cs="Arial" w:eastAsia="Arial" w:hAnsi="Arial"/>
                <w:sz w:val="18"/>
                <w:szCs w:val="18"/>
                <w:b w:val="1"/>
                <w:bCs w:val="1"/>
                <w:color w:val="auto"/>
                <w:w w:val="90"/>
              </w:rPr>
              <w:t>Percentage Increase/(Decrease)</w:t>
            </w:r>
          </w:p>
        </w:tc>
      </w:tr>
      <w:tr>
        <w:trPr>
          <w:trHeight w:val="42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100%</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8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424"/>
        </w:trPr>
        <w:tc>
          <w:tcPr>
            <w:tcW w:w="5160" w:type="dxa"/>
            <w:vAlign w:val="bottom"/>
          </w:tcPr>
          <w:p>
            <w:pPr>
              <w:spacing w:after="0"/>
              <w:rPr>
                <w:sz w:val="20"/>
                <w:szCs w:val="20"/>
                <w:color w:val="auto"/>
              </w:rPr>
            </w:pPr>
            <w:r>
              <w:rPr>
                <w:rFonts w:ascii="Arial" w:cs="Arial" w:eastAsia="Arial" w:hAnsi="Arial"/>
                <w:sz w:val="18"/>
                <w:szCs w:val="18"/>
                <w:color w:val="auto"/>
              </w:rPr>
              <w:t>Costs and expenses:</w:t>
            </w: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4"/>
        </w:trPr>
        <w:tc>
          <w:tcPr>
            <w:tcW w:w="5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57.7%</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18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425"/>
        </w:trPr>
        <w:tc>
          <w:tcPr>
            <w:tcW w:w="5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20.7%</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8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425"/>
        </w:trPr>
        <w:tc>
          <w:tcPr>
            <w:tcW w:w="5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2.6%</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8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21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1.1%</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c>
          <w:tcPr>
            <w:tcW w:w="18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68.9%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from operations (excluding restructuring and other items)</w:t>
            </w:r>
          </w:p>
        </w:tc>
        <w:tc>
          <w:tcPr>
            <w:tcW w:w="2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17.9%</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8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33.3%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644"/>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 and other items</w:t>
            </w:r>
          </w:p>
        </w:tc>
        <w:tc>
          <w:tcPr>
            <w:tcW w:w="21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c>
          <w:tcPr>
            <w:tcW w:w="18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53"/>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Income from operations (including restructuring and other items )</w:t>
            </w:r>
          </w:p>
        </w:tc>
        <w:tc>
          <w:tcPr>
            <w:tcW w:w="2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17.9%</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80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39.1%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590"/>
        </w:trPr>
        <w:tc>
          <w:tcPr>
            <w:tcW w:w="5160" w:type="dxa"/>
            <w:vAlign w:val="bottom"/>
          </w:tcPr>
          <w:p>
            <w:pPr>
              <w:spacing w:after="0"/>
              <w:rPr>
                <w:sz w:val="24"/>
                <w:szCs w:val="24"/>
                <w:color w:val="auto"/>
              </w:rPr>
            </w:pPr>
          </w:p>
        </w:tc>
        <w:tc>
          <w:tcPr>
            <w:tcW w:w="2180" w:type="dxa"/>
            <w:vAlign w:val="bottom"/>
          </w:tcPr>
          <w:p>
            <w:pPr>
              <w:jc w:val="right"/>
              <w:ind w:right="1451"/>
              <w:spacing w:after="0"/>
              <w:rPr>
                <w:sz w:val="20"/>
                <w:szCs w:val="20"/>
                <w:color w:val="auto"/>
              </w:rPr>
            </w:pPr>
            <w:r>
              <w:rPr>
                <w:rFonts w:ascii="Arial" w:cs="Arial" w:eastAsia="Arial" w:hAnsi="Arial"/>
                <w:sz w:val="18"/>
                <w:szCs w:val="18"/>
                <w:color w:val="auto"/>
              </w:rPr>
              <w:t>36</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7"/>
        </w:trPr>
        <w:tc>
          <w:tcPr>
            <w:tcW w:w="516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revenue for the year increased by $71.7 million, or 4.8%, from $1,503.3 million for the year ended December 31, 2014 to $1,575.0 million for the year ended December 31, 2015. Net revenue increased by 10% in constant currency, and by 5% in constant dollar organic. The primary driver of the increase in net revenues during the year-ended December 31, 2015 were the additional net revenues from the acquisition of MediMedia Pharma Solutions and PMG which were acquired on February 27, 2015 and December 4, 2015 respectively and from a full year contribution from the acquisition of Aptiv Solutions, which was acquired on May 7, 2014. Net revenues derived from our top 5 customers was $774.8 million in 2015, compared to $792.7 million in 2014 or 49% and 53% respectively. The largest of these customers related to a Strategic Partnership with a large global pharmaceutical company, signed in May 2011. In both 2014 and 2015, net revenue from this customer contributed 31% of net revenue for the year. The addition of new customer accounts, particularly mid-tier pharma customers and biotech customers have resulted in a reduction in this concentration of revenues from our top 5 customers.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Net revenue in Ireland increased by $69.2 million during 2015, from $360.4 million for the year ended December 31, 2014 to $429.6 million for the year ended December 31, 2015. Net revenue in Ireland during the year ended December 31, 2015 increased by 19.2% compared to an overall increase in Group revenues of 4.8%. The higher proportional increase in net revenue in Ireland during 2015 was a function of our global transfer pricing model. In previous years significant upfront investment in personnel and related costs was required to support the increase of activities under our strategic relationship partnerships.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revenue for Rest of Europe decreased by $42.1 million or 11.3%, from $372.6 million for the year ended December 31, 2014 to $330.5 million for the year ended December 31, 2015. Net revenue for other regions (i.e. those outside of Europe and the U.S) decreased by $0.6 million or 0.3%, from $164.5 million for the year ended December 31, 2014 to $163.9 million for the year ended December 31, 2015. Net revenues in both of these regions were impacted by the continued strengthening of the U.S. dollar during the period resulting in a decrease in their reported value when translated to U.S dollars. Net revenue in the U.S. increased by $45.1 million or 7.4%, from $605.8 million for the year ended December 31, 2014 to $650.9 million for the year ended December 31, 2015. The increase in net revenue in the U.S arose primarily from a full year contribution from the acquisition of Aptiv Solutions and the additional net revenue from MediMedia Pharma Solutions, acquired on February 27, 2015 and from PMG, acquired on December 4, 2015.</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Direct costs for the year increased by $5.8 million, or 0.6%, from $903.2 million for the year ended December 31, 2014 to $909.0 million for the year ended December 31, 2015. Direct costs consist primarily of compensation, associated fringe benefits and share based compensation expense for project-related employees and other direct project driven costs. The increase in direct costs during the period arose from an increase in headcount of approximately 1,300 over the comparative period, including the impact of additional headcount and other costs from the acquisition of MediMedia Pharma Solutions and PMG, and inclusion of a full year’s costs for Aptiv Solutions. In addition, the continued strengthening of the U.S dollar resulted in a decrease in the reported value of direct costs for operations outside of the United States when translated to U.S. dollars. As a percentage of net revenue, direct costs have decreased from 60.1% for the year ended December 31, 2014 to 57.7% for the year ended December 31, 2015.</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Selling, general and administrative expenses for the year decreased by $9.7 million, or 2.9%, from $336.5 million for the year ended December 31, 2014 to $326.8 million for the year ended December 31, 2015.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 primary driver of the decrease in selling, general and administrative expenses during the period has been the continued strengthening of the U.S. dollar resulting in a reduction in the reported value of selling, general and administrative expenses during the period for regions outside of the United States. This reduction was offset by increased costs from the acquisition of MediMedia Pharma Solutions and PMG, and the inclusion of a full years costs for Aptiv Solutions. In addition, we recognized a foreign exchange gain of $6.0 million in the year-ended December 31, 2014, compared to a gain of $3.6 million during the year-ended December 31, 2015, which reduced selling, general and administrative expenses from 22.4% of revenue to 20.7% of net revenue for the year ended December 31, 2015.</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jc w:val="both"/>
        <w:spacing w:after="0" w:line="266" w:lineRule="auto"/>
        <w:rPr>
          <w:sz w:val="20"/>
          <w:szCs w:val="20"/>
          <w:color w:val="auto"/>
        </w:rPr>
      </w:pPr>
      <w:r>
        <w:rPr>
          <w:rFonts w:ascii="Arial" w:cs="Arial" w:eastAsia="Arial" w:hAnsi="Arial"/>
          <w:sz w:val="18"/>
          <w:szCs w:val="18"/>
          <w:color w:val="auto"/>
        </w:rPr>
        <w:t>Total share based compensation expense recognized during the years ended December 31, 2015 and December 31, 2014 amounted to $33.3 million and $22.7 million respectively.</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Depreciation expense for the period decreased by $2.0 million, or 4.7%, from $42.2 million for the year ended December 31, 2014 to $40.2 million for the year ended December 31, 2015. The depreciation charge reflects investments in facilities, information systems and equipment supporting the Company’s continued growth. As a percentage of net revenue, depreciation expense decreased from 2.8% of net revenues for the year ended December 31, 2014 to 2.6% for the year ended December 31, 2015. Amortization expense for the year increased by $7.2 million, or 70%, from $10.3 million for the year ended December 31, 2014 to $17.5 million for the year ended December 31, 2015. Amortization expense represents the amortization of intangible assets acquired on business combinations. The increase in the amortization expense for the period relates to the MediMedia Pharma Solutions and PMG acquisitions and a full year charge in respect of the Aptiv acquisition. As a percentage of net revenue, amortization expense increased from 0.7% of net revenues for the year ended December, 2014 to 1.1% for the year ended December 31, 2015.</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No restructuring cost was recognized during the year ended December 31, 2015. A restructuring charge of $8.8 million was recognized during the year ended December 31, 2014. Following the closure of the Company’s European Phase 1 services, the Company recognized a charge during the year ended December 31, 2014 in relation to its Manchester, United Kingdom facility; $5.6 million in relation to asset impairments and $3.2 million in relation to an onerous lease charge associated with this facility. </w:t>
      </w:r>
      <w:r>
        <w:rPr>
          <w:rFonts w:ascii="Arial" w:cs="Arial" w:eastAsia="Arial" w:hAnsi="Arial"/>
          <w:sz w:val="17"/>
          <w:szCs w:val="17"/>
          <w:i w:val="1"/>
          <w:iCs w:val="1"/>
          <w:color w:val="auto"/>
        </w:rPr>
        <w:t>See Note 14 to the Audited Consolidated Financial Statements.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the above, income from operations increased by $79.2 million, or 39.1%, from $202.4 million for the year ended December 31, 2014 ($211.1 million, or 33.3% excluding restructuring charges) to $281.5 million for the year ended December 31, 2015. As a percentage of net revenue, income from operations increased from 13.4% of net revenues for year ended December 31, 2014 (14.0% excluding restructuring charges) to 17.9% of net revenues for year ended December 31, 2015.</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Income from operations in Ireland increased by 37% from $138.2 million for year ended December 31, 2014 ($138.2 million excluding the impact of restructuring and other charges), to $189.0 million for year ended December 31, 2015. Income from operations in Ireland and other geographic regions are impacted by the Company’s global transfer pricing model. Previous strategic investment in personnel and related infrastructure together with enhanced operating processes and the successful leveraging of our support costs in 2015, has resulted in a decrease of the proportion of the Group’s net revenue being used to support other Group entities and a corresponding increase in income from operations in Ireland in 2015.</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Rest of Europe region, income from operations increased by $23.8 million, from $14.4 million for the year ended December 31, 2014 to $38.2 million for the year ended December 31, 2015. Excluding restructuring charges recorded income from operations in the Rest of Europe increased by $14.9 million, from $23.3 million for the year ended December 31, 2014 to $38.2 million for the year ended December 31, 2015. As a percentage of net revenues income from operations increased from 3.9% (6.2% excluding restructuring charges) for the year ended December 31, 2014 to 11.5% for the year ended December 31, 2015.</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U.S. region, income from operations increased by $6.3 million or 16.1%, from $39.1 million for the year ended December 31, 2014 to $45.3 million for the year ended December 31, 2015. Excluding restructuring charges recorded income from operations in the U.S. increased by $6.2 million, from $39.1 million for the year ended December 31, 2014 to $45.3 million for the year ended December 31, 2015. As a percentage of net revenues income from operations in the U.S. region increased from 6.5% for the year ended December 31, 2014 to 6.9% for the year ended December 31, 2015.</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other regions, income from operations decreased by $1.6 million, from $10.6 million for the year ended December 31, 2014 to $9.0 million for the year ended December 31, 2015. Excluding restructuring charges recorded income from operations in other regions decreased by $1.6 million, from $10.6 million for the year ended December 31, 2014 to $9.0 million for the year ended December 31, 2015. As a percentage of net revenues, income from operations in the other regions decreased from 6.5% for the year ended December 31, 2014 to 5.5% for the year ended December 31, 2015. The decrease in operating income as a percentage of net revenues is due to the distribution in revenues amongst different locations within the regions.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jc w:val="both"/>
        <w:spacing w:after="0" w:line="303" w:lineRule="auto"/>
        <w:rPr>
          <w:sz w:val="20"/>
          <w:szCs w:val="20"/>
          <w:color w:val="auto"/>
        </w:rPr>
      </w:pPr>
      <w:r>
        <w:rPr>
          <w:rFonts w:ascii="Arial" w:cs="Arial" w:eastAsia="Arial" w:hAnsi="Arial"/>
          <w:sz w:val="16"/>
          <w:szCs w:val="16"/>
          <w:color w:val="auto"/>
        </w:rPr>
        <w:t>Interest expense increased from $0.8 million for the year ended December 31, 2014 to $4.0 million for the year ended December 31, 2015 reflecting the drawdown of the Senior Notes issued in December 2015 and the bridge facility of $350 million in place from September 2015. Interest income for the year ended December 31, 2015 increased from $1.2 million for the year ended December 31, 2014 to $1.3 million for the year ended December 31, 2015.</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Provision for income taxes for the period increased from $30.2 million ($30.2 million excluding the impact of restructuring charges) for the year ended December 31, 2014 to $39.3 million ($39.3 million excluding the impact of restructuring charges) for the year ended December 31, 2015. The Company’s effective tax rate for the year ended December 31, 2015 was 14.1% (14.1% excluding the impact of restructuring charges) compared with 14.9% (14.3% excluding the impact of restructuring charges) for the year ended December 31, 2014. The Company’s effective tax rate is principally a function of the distribution of pre-tax profits in the territories in which it operates.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revenue for the year increased by $167.2 million, or 12.5%, from $1,336.1 million for the year ended December 31, 2013 to $1,503.3 million for the year ended December 31, 2014. In total, the Company had five strategic relationships in place in 2014 and 2013. In 2013, net revenue earned from these five customers equated to $670.7 million and in 2014 net revenue earned increased to $771.2 million, accounting for $100.5 million of the increase in net revenue in 2014. The largest of these customers related to a Strategic Partnership with a large global pharmaceutical company, signed in May 2011. Given the size of this new partnership it was always envisaged that it would take 18 to 24 months for the model to be fully implemented and that the Company would see significant incremental revenue growth beyond this period. In 2013 and 2014, net revenue from this customer directly contributed 26% and 31%, respectively, of the Company’s net revenue for the year. The majority of the residual increase in net revenue in 2014 relates to revenue arising as a result of the 2014 acquisition of Aptiv Solutions and the full year impact of the 2013 acquisition of the clinical trials services division of Cross Country Healthcare Inc.</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revenue in Ireland increased by $87.7 million during 2014, from $272.7 million for the year ended December 31, 2013 to $360.4 million for the year ended December 31, 2014. Net revenue in Ireland during the year ended December 31, 2014 increased by 32.2% compared to an overall increase in Group revenues of 12.5%. The higher proportional increase in net revenue in Ireland during 2014 was a function of our global transfer pricing model. In previous years significant upfront investment in personnel and related costs was required to support the increase of activities under our strategic relationship partnerships. With the operating models and infrastructure associated with these partnerships now largely in place, the level of 2014 investment required by the Irish entity to support other Group entities has reduced, resulting in a greater portion of residual revenue being earned by the Irish entity.</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revenue for Rest of Europe increased by $39.1 million or 11.7%, from $333.5 million for the year ended December 31, 2013 to $372.6 million for the year ended December 31, 2014. Net revenue in the U.S. increased by $23.6 million or 4.0%, from $582.2 million for the year ended December 31, 2013 to $605.8 million for the year ended December 31, 2014. Net revenue for other regions (i.e. those outside of Europe and the U.S) increased by $16.9 million or 11.5%, from $147.6 million for the year ended December 31, 2013 to $164.5 million for the year ended December 31, 2014. The increase in net revenue in the Rest of Europe and other regions during 2014 was in line with overall increases in Group net revenues. The percentage increase in net revenues in the U.S. region was lower than the overall increases in group net revenues during the year. This lower proportional increase in net revenues was predominately due to a generally stable cost base during 2014 as a result of prior period investments, resulting in sufficient personnel and related infrastructure to support our Strategic Partnership relationships and other customers.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18"/>
          <w:szCs w:val="18"/>
          <w:color w:val="auto"/>
        </w:rPr>
        <w:t>Direct costs for the year increased by $57.8 million, or 6.8%, from $845.4 million for the year ended December 31, 2013 to $903.2 million for the year ended December 31, 2014.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$52.4 million and an increase in other direct project related costs of $12.4 million, offset by a decrease in laboratory costs of $7.0 million. As a percentage of net revenue, direct costs have decreased from 63.3% for the year ended December 31, 2013 to 60.1% for the year ended December 31, 2014.</w:t>
      </w:r>
    </w:p>
    <w:p>
      <w:pPr>
        <w:spacing w:after="0" w:line="2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Selling, general and administrative expenses for the year increased by $22.5 million, or 7.2%, from $313.9 million for the year ended December 31, 2013 to $336.5 million for the year ended December 31, 2014.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 for the period arose primarily from an increase in personnel related expenditure, including bonuses of $15.0 million, an increase in facilities and related costs of $9.7 million and an increase in other general overhead costs of $2.5 million. The increase in selling, general and administrative expenses are inclusive of expenses in relation to Aptiv since acquisition. In addition, during the year ended December 31, 2014, we recognized a foreign exchange gain of $6.0 million, which reduced selling, general and administrative expenses from 22.8% of revenue to 22.4% of revenue for the year ended December 31, 2014. As a percentage of net revenue, selling, general and administrative expenses, decreased from 23.5% for the year ended December 31, 2013 to 22.4% for the year ended December 31, 2014.</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Total share based compensation expense recognized during the years ended December 31, 2014 and December 31, 2013 amounted to $22.7 million and $14.2 million respectively.</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Depreciation expense for the period increased by $3.2 million, or 8.3%, from $39.0 million for the year ended December 31, 2013 to $42.2 million for the year ended December 31, 2014. The increase in depreciation expenses principally arises from continued investment in facilities, information systems and equipment to support the Company’s growth. As a percentage of net revenue, depreciation expense decreased from 2.9% of net revenues for the year ended December 31, 2013 to 2.8% for the year ended December 31, 2014. Amortization expense for the year increased by $2.8 million, or 37.2%, from $7.5 million for the year ended December 31, 2013 to $10.3 million for the year ended December 31, 2014. Amortization expense represents the amortization of intangible assets acquired on business combinations. The increase in the amortization expense for the period relates to the Aptiv Solutions acquisition. As a percentage of net revenue, amortization expense increased from 0.6% of net revenues for the year ended December, 2013 to 0.7% for the year ended December 31, 2014.</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 restructuring charge of $8.8 million was recognized during the year ended December 31, 2014. Following the closure of the Company’s European Phase 1 services in 2013, the Company recognized a charge during the year ended December 31, 2014 in relation to its Manchester, United Kingdom facility; $5.6 million in relation to asset impairments and $3.2 million in relation to an onerous lease charge associated with this facility. </w:t>
      </w:r>
      <w:r>
        <w:rPr>
          <w:rFonts w:ascii="Arial" w:cs="Arial" w:eastAsia="Arial" w:hAnsi="Arial"/>
          <w:sz w:val="18"/>
          <w:szCs w:val="18"/>
          <w:i w:val="1"/>
          <w:iCs w:val="1"/>
          <w:color w:val="auto"/>
        </w:rPr>
        <w:t>See Note 14 to the Audited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above, income from operations increased by $81.2 million, or 67.0%, from $121.2 million for the year ended December 31, 2013 ($130.2 million excluding restructuring charges) to $202.4 million for the year ended December 31, 2014 ($211.1 million, or 62.2% excluding restructuring charges). As a percentage of net revenue, income from operations increased from 9.1% of net revenues for the year ended December 31, 2013 (9.7% excluding restructuring charges) to 13.4% of net revenues for year ended December 31, 2014 (14.0% excluding restructuring charges).</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from operations in Ireland increased from $81.8 million for the year ended December 31, 2013 ($82.9 million excluding the impact of restructuring and other charges), to $138.2 million for year ended December 31, 2014 ($138.2 million excluding the impact of restructuring and other charges). Income from operations in Ireland and other geographic regions are impacted by the Company’s global transfer pricing model. Previous strategic investment in personnel and related infrastructure together with enhanced operating processes and the successful leveraging of our support costs in 2014, has resulted in a decrease of the proportion of the Group’s net revenue being used to support other Group entities and a corresponding increase in income from operations in Ireland in 2014.</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jc w:val="both"/>
        <w:spacing w:after="0" w:line="265" w:lineRule="auto"/>
        <w:rPr>
          <w:sz w:val="20"/>
          <w:szCs w:val="20"/>
          <w:color w:val="auto"/>
        </w:rPr>
      </w:pPr>
      <w:r>
        <w:rPr>
          <w:rFonts w:ascii="Arial" w:cs="Arial" w:eastAsia="Arial" w:hAnsi="Arial"/>
          <w:sz w:val="17"/>
          <w:szCs w:val="17"/>
          <w:color w:val="auto"/>
        </w:rPr>
        <w:t>In the Rest of Europe region, income from operations increased by $11.7 million, from $2.8 million for the year ended December 31, 2013 to $14.4 million for the year ended December 31, 2014. Excluding restructuring charges recorded income from operations in the Rest of Europe increased by $17.0 million, from $6.3 million for the year ended December 31, 2013 to $23.3 million for the year ended December 31, 2014. As a percentage of net revenues income from operations increased from 0.8% (1.9% excluding restructuring charges) for the year ended December 31, 2013 to 3.9% (6.2% excluding restructuring charges) for the year ended December 31, 2014. During 2013, the Company undertook a commercial review of its Early Phase business, the result of which was the decision to close the Company’s Phase 1 European service offering in the United Kingdom. Consequently, this entity stopped providing services to ICON Ireland, and in line with the Company’s transfer pricing policy, the entity was removed from the global transfer pricing model. Subsequent third party expenses incurred by this entity were not reimbursed under the cost plus model. With the closure of this facility in 2013 the same level of operational costs were not incurred in 2014, thereby contributing to higher income from operations in the current year.</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U.S. region, income from operations increased by $9.6 million or 32.5%, from $29.5 million for the year ended December 31, 2013 to $39.1 million for the year ended December 31, 2014. Excluding restructuring charges recorded income from operations in the U.S. increased by $5.5 million, from $33.6 million for the year ended December 31, 2013 to $39.1 million for the year ended December 31, 2014. As a percentage of net revenues income from operations in the U.S. region increased from 5.1% (5.8% excluding restructuring charges) for the year ended December 31, 2013 to 6.4% (6.4% excluding restructuring charges) for the year ended December 31, 2014. The increase in operating income as a percentage of net revenues arose predominately from the closure of the Company’s Phase I facility in Omaha, Nebraska during 2013 and the consolidation of US Phase I capabilities into the Company’s expanded Phase I facility in San Antonio, Texas.</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other regions, income from operations increased by $3.6 million, from $7.1 million for the year ended December 31, 2013 to $10.6 million for the year ended December 31, 2014. Excluding restructuring charges recorded income from operations in other regions increased by $3.1 million, from $7.5 million for the year ended December 31, 2013 to $10.6 million for the year ended December 31, 2014. As a percentage of net revenues, income from operations in the other regions increased from 4.8% (5.1% excluding restructuring charges) for the year ended December 31, 2013 to 6.5% (6.5% excluding restructuring charges) for the year ended December 31, 2014. The increase in operating income as a percentage of net revenues is due to the distribution in revenues amongst different locations within the regions.</w:t>
      </w:r>
    </w:p>
    <w:p>
      <w:pPr>
        <w:spacing w:after="0" w:line="221"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Interest expense decreased from $1.3 million for the year ended December 31, 2013 to $0.8 million for the year ended December 31, 2014. Interest income for the year ended December 31, 2014 increased from $1.0 million for the year ended December 31, 2013 to $1.2 million for the year ended December 31, 2014.</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Provision for income taxes for the period increased from $18.1 million for the year ended December 31, 2013 ($19.9 million excluding the impact of restructuring charges) to $30.2 million ($30.2 million excluding the impact of restructuring charges) for the year ended December 31, 2014. The Company’s effective tax rate for the year ended December 31, 2014 was 14.9% (14.3% excluding the impact of restructuring charges) compared with 14.9% (15.3% excluding the impact of restructuring charges) for the year ended December 31, 2013. The Company’s effective tax rate is principally a function of the distribution of pre-tax profits in the territories in which it operates.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43" w:name="page44"/>
    <w:bookmarkEnd w:id="43"/>
    <w:p>
      <w:pPr>
        <w:jc w:val="both"/>
        <w:spacing w:after="0" w:line="253" w:lineRule="auto"/>
        <w:rPr>
          <w:sz w:val="20"/>
          <w:szCs w:val="20"/>
          <w:color w:val="auto"/>
        </w:rPr>
      </w:pPr>
      <w:r>
        <w:rPr>
          <w:rFonts w:ascii="Arial" w:cs="Arial" w:eastAsia="Arial" w:hAnsi="Arial"/>
          <w:sz w:val="18"/>
          <w:szCs w:val="18"/>
          <w:color w:val="auto"/>
        </w:rPr>
        <w:t>The Company’s cash and short term investment balances at December 31, 2015 amounted to $189.9 million compared with cash and short term investment balances of $216.0 million at December 31, 2014. The Company’s cash and short term investment balances at December 31, 2015 comprised cash and cash equivalents $103.9 million and short-term investments $86.0 million. The Company’s cash and short term investment balances at December 31, 2014 comprised cash and cash equivalents $118.9 million and short-term investments $97.1 million.</w:t>
      </w:r>
    </w:p>
    <w:p>
      <w:pPr>
        <w:spacing w:after="0" w:line="2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February 27, 2015, a subsidiary of the Company; ICON Holdings acquired 100% of the securities of MediMedia Pharma Solutions which resulted in net cash outflows of $116.0 million. On December 4, 2015, PMG was acquired by ICON Clinical Research LLC a subsidiary of the Company, resulting in net cash outflows of $63.5 million (see Note 4 of the Financial Statements at Item 19).</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 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“Derivatives and Hedging”. The cash proceeds, representing the realized gain on the interest rate hedge were received on maturity in November 2015.</w:t>
      </w:r>
    </w:p>
    <w:p>
      <w:pPr>
        <w:spacing w:after="0" w:line="19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On July 27, 2015 the Company entered into a 364 day bridge facility for $350.0 million with two financial institutions. The facility bore interest at LIBOR plus a margin and included certain guarantees and indemnities in favor of the two financial institutions. The bridge facility was repaid in full in December 2015.</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30, 2014 the Company entered into a five year committed multi-currency Revolving Credit Facility for $100.0 million with Citibank, JP Morgan, Santander and Barclays Bank (“Revolving Credit Facility”). Each bank subject to the agreement has committed $25 million to the facility, with equal terms and conditions in place with all institutions. In December 2015 the Revolving Credit Facility was amended to remove certain guarantees, the facility is guaranteed by ICON plc. The facility bears interest at LIBOR plus a margin, No amounts were drawn at December 31, 2015, amounts available to the Group under the facility amounted to $100.0 million at December 31, 2015.</w:t>
      </w:r>
    </w:p>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Net cash provided by operating activities was $279.5 million for the year ended December 31, 2015 compared with net cash provided by operating activities of $169.9 million for the year ended December 31, 2014. The most significant influence on our operating cash flow is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December 31, 2015 was 41 days compared to 40 days at December 31, 2014.</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investing activities was $204.8 million for the year ended December 31, 2015 compared to net cash used in investing activities of $112.3 million for the year ended December 31, 2014. Net cash used in the year ended December 31, 2015 arose principally from cash paid for acquisitions of $166.3 million, capital expenditures of $49.7 million and the purchase of short-term investments of $14.2 million.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 w:name="page45"/>
    <w:bookmarkEnd w:id="44"/>
    <w:p>
      <w:pPr>
        <w:jc w:val="both"/>
        <w:spacing w:after="0" w:line="266" w:lineRule="auto"/>
        <w:rPr>
          <w:sz w:val="20"/>
          <w:szCs w:val="20"/>
          <w:color w:val="auto"/>
        </w:rPr>
      </w:pPr>
      <w:r>
        <w:rPr>
          <w:rFonts w:ascii="Arial" w:cs="Arial" w:eastAsia="Arial" w:hAnsi="Arial"/>
          <w:sz w:val="18"/>
          <w:szCs w:val="18"/>
          <w:color w:val="auto"/>
        </w:rPr>
        <w:t xml:space="preserve">During the year ended December 31, 2015 the Company completed the acquisition of MediMedia Pharma Solutions and PMG which resulted in net cash outflows of $116.0 million and $63.5 million respectively. </w:t>
      </w:r>
      <w:r>
        <w:rPr>
          <w:rFonts w:ascii="Arial" w:cs="Arial" w:eastAsia="Arial" w:hAnsi="Arial"/>
          <w:sz w:val="18"/>
          <w:szCs w:val="18"/>
          <w:i w:val="1"/>
          <w:iCs w:val="1"/>
          <w:color w:val="auto"/>
        </w:rPr>
        <w:t>(See note 4 Goodwill for further information relating to the acquisition)</w:t>
      </w:r>
      <w:r>
        <w:rPr>
          <w:rFonts w:ascii="Arial" w:cs="Arial" w:eastAsia="Arial" w:hAnsi="Arial"/>
          <w:sz w:val="18"/>
          <w:szCs w:val="18"/>
          <w:color w:val="auto"/>
        </w:rPr>
        <w:t>.</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Capital expenditure for the year ended December 31, 2015 amounted to $49.7 million, and comprised mainly of expenditure on global infrastructure and information technology systems to support the Company’s growth. During the year ended December 31, 2014 the Company received a net $41.2 million in respect of the purchase and sale of short-term investments. This compares to receipt of a net $11.0 million during the year ended December 31, 2015.</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cash outflow from financing activities amounted to $81.4 million compared with net cash outflow from financing activities of $116.4 million for the year ended December 31, 2014. Cash outflows in respect of financing includes cash payments in respect of the Company’s share repurchase programme totaling $457.9 million in the year-ended December 31, 2015 and payments of $140.0 million in respect of the share repurchase programme in the year-ended December 31, 2014 (</w:t>
      </w:r>
      <w:r>
        <w:rPr>
          <w:rFonts w:ascii="Arial" w:cs="Arial" w:eastAsia="Arial" w:hAnsi="Arial"/>
          <w:sz w:val="17"/>
          <w:szCs w:val="17"/>
          <w:i w:val="1"/>
          <w:iCs w:val="1"/>
          <w:color w:val="auto"/>
        </w:rPr>
        <w:t>see Note 12 Share Capital for further information).</w:t>
      </w:r>
      <w:r>
        <w:rPr>
          <w:rFonts w:ascii="Arial" w:cs="Arial" w:eastAsia="Arial" w:hAnsi="Arial"/>
          <w:sz w:val="17"/>
          <w:szCs w:val="17"/>
          <w:color w:val="auto"/>
        </w:rPr>
        <w:t xml:space="preserve"> These outflows were offset by cash receipts of $23.0 million from the exercise of stock options. Net cash used in financing activities during the year ended December 31, 2015 also reflects the issuance of the Senior Notes in December 2015, drawdown of the bridge facility in July 2015, and repayment of the bridge facility in December 2015.</w:t>
      </w:r>
    </w:p>
    <w:p>
      <w:pPr>
        <w:spacing w:after="0" w:line="20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As a result of these cash flows, cash and cash equivalents decreased by $15.0 million for the year ended December 31, 2015 compared to a decrease of $63.6 million for the year ended December 31, 2014.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table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contractual obligations and commercial commitments as of December 31,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4"/>
          </w:tcPr>
          <w:p>
            <w:pPr>
              <w:jc w:val="right"/>
              <w:ind w:right="231"/>
              <w:spacing w:after="0"/>
              <w:rPr>
                <w:sz w:val="20"/>
                <w:szCs w:val="20"/>
                <w:color w:val="auto"/>
              </w:rPr>
            </w:pPr>
            <w:r>
              <w:rPr>
                <w:rFonts w:ascii="Arial" w:cs="Arial" w:eastAsia="Arial" w:hAnsi="Arial"/>
                <w:sz w:val="18"/>
                <w:szCs w:val="18"/>
                <w:b w:val="1"/>
                <w:bCs w:val="1"/>
                <w:color w:val="auto"/>
              </w:rPr>
              <w:t>Payments due by period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3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4"/>
              </w:rPr>
              <w:t>Less than 1</w:t>
            </w:r>
          </w:p>
        </w:tc>
        <w:tc>
          <w:tcPr>
            <w:tcW w:w="6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1 to 3</w:t>
            </w:r>
          </w:p>
        </w:tc>
        <w:tc>
          <w:tcPr>
            <w:tcW w:w="4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3 to 5</w:t>
            </w:r>
          </w:p>
        </w:tc>
        <w:tc>
          <w:tcPr>
            <w:tcW w:w="3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More than</w:t>
            </w:r>
          </w:p>
        </w:tc>
      </w:tr>
      <w:tr>
        <w:trPr>
          <w:trHeight w:val="213"/>
        </w:trPr>
        <w:tc>
          <w:tcPr>
            <w:tcW w:w="3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6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years</w:t>
            </w:r>
          </w:p>
        </w:tc>
        <w:tc>
          <w:tcPr>
            <w:tcW w:w="4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5 years</w:t>
            </w:r>
          </w:p>
        </w:tc>
      </w:tr>
      <w:tr>
        <w:trPr>
          <w:trHeight w:val="230"/>
        </w:trPr>
        <w:tc>
          <w:tcPr>
            <w:tcW w:w="3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(U.S.$ in millions)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157.6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r>
      <w:tr>
        <w:trPr>
          <w:trHeight w:val="213"/>
        </w:trPr>
        <w:tc>
          <w:tcPr>
            <w:tcW w:w="3700" w:type="dxa"/>
            <w:vAlign w:val="bottom"/>
          </w:tcPr>
          <w:p>
            <w:pPr>
              <w:spacing w:after="0"/>
              <w:rPr>
                <w:sz w:val="20"/>
                <w:szCs w:val="20"/>
                <w:color w:val="auto"/>
              </w:rPr>
            </w:pPr>
            <w:r>
              <w:rPr>
                <w:rFonts w:ascii="Arial" w:cs="Arial" w:eastAsia="Arial" w:hAnsi="Arial"/>
                <w:sz w:val="18"/>
                <w:szCs w:val="18"/>
                <w:color w:val="auto"/>
              </w:rPr>
              <w:t>Senior Notes</w:t>
            </w:r>
          </w:p>
        </w:tc>
        <w:tc>
          <w:tcPr>
            <w:tcW w:w="14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350.0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3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9"/>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and Non-current tax liabilities</w:t>
            </w:r>
          </w:p>
        </w:tc>
        <w:tc>
          <w:tcPr>
            <w:tcW w:w="1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7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(U.S.$ in millions)</w:t>
            </w:r>
          </w:p>
        </w:tc>
        <w:tc>
          <w:tcPr>
            <w:tcW w:w="14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588.4</w:t>
            </w: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6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75.8</w:t>
            </w:r>
          </w:p>
        </w:tc>
        <w:tc>
          <w:tcPr>
            <w:tcW w:w="4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413.3</w:t>
            </w:r>
          </w:p>
        </w:tc>
        <w:tc>
          <w:tcPr>
            <w:tcW w:w="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to spend approximately $41.4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existing cash balances and funds available under negotiated facilities. In the future, we may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consolidated financial statements in accordance with generally accepted accounting principles in the United States requires management to make estimates and judgments that affect the reported amounts of assets and liabilities at the date of the financial statements and the reported amounts of revenues and expenses during the reported period.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jc w:val="both"/>
        <w:spacing w:after="0" w:line="363" w:lineRule="auto"/>
        <w:rPr>
          <w:sz w:val="20"/>
          <w:szCs w:val="20"/>
          <w:color w:val="auto"/>
        </w:rPr>
      </w:pPr>
      <w:r>
        <w:rPr>
          <w:rFonts w:ascii="Arial" w:cs="Arial" w:eastAsia="Arial" w:hAnsi="Arial"/>
          <w:sz w:val="14"/>
          <w:szCs w:val="14"/>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review our goodwill for impairment annually, or more frequently if facts or circumstances warrant such a review. We evaluate goodwill for impairment by firstly comparing the fair value of each reporting segment to its carrying value. Fair value is determined using the market approach, by assessing the market value of each reporting unit. If the carrying amount exceeds the fair value then a second step is completed which involves the fair value of the reporting unit being allocated to each asset and liability with the excess being implied goodwill. If the implied goodwill is lower than its carrying amount, goodwill is impaired and written down to its implied fair value.</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Significant estimates and judgments are required in allocating the fair value of the reporting unit to each asset and liability. If we were to use different estimates or judgments a material impairment charge to the statement of operations could arise. We believe that we have used reasonable estimates and judgments in assessing the carrying value of our goodwill.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earn revenues by providing a number of different services to our clients. These services include clinical trials management, biometric activities, consulting, imaging, contract staffing, informatics and laboratory services. Revenue for services, as rendered, are recognized only after persuasive evidence of an arrangement exists, the sales price is fixed or determinable and collectability is reasonably assured.</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Where revenue is recognized on the unit of delivery method, the basis applied is the number of units completed as a percentage of the total number of contractual units.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recognize biometric revenues on a fee-for-service basis as each unit of data is prepared. Imaging revenue is recognized on a fee-for-service basis recognizing revenue for each image completed. Consulting revenue is recognized on a fee-for-service basis recognizing revenue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Laboratory service revenue is recognized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jc w:val="both"/>
        <w:spacing w:after="0" w:line="249" w:lineRule="auto"/>
        <w:rPr>
          <w:sz w:val="20"/>
          <w:szCs w:val="20"/>
          <w:color w:val="auto"/>
        </w:rPr>
      </w:pPr>
      <w:r>
        <w:rPr>
          <w:rFonts w:ascii="Arial" w:cs="Arial" w:eastAsia="Arial" w:hAnsi="Arial"/>
          <w:sz w:val="18"/>
          <w:szCs w:val="18"/>
          <w:color w:val="auto"/>
        </w:rPr>
        <w:t>We invoice our customers upon achievement of specified contractual milestones. This mechanism, which allows us to receive payment from our customers throughout the duration of the contract, may not be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we may routinely adjust time estimates, estimates and assumptions historically have been accurate in all material respects in the aggregate.</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we do not accurately estimate the resources required or the scope of the work to be performed, or do not manage our projects properly within the planned cost or satisfy our obligations under the contracts, this would impact on the fair presentation of our future results.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 Such differences could have a material effect on our income tax provision and results in the period during which such determination is made.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Deferred tax assets and liabilities are determined using enacted tax rates for the effects of net operating losses and temporary differences between the book and tax bases of assets and liabilities.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While management considers the scheduled reversal of deferred tax liabilities, projected future taxable income, and tax planning strategies in making this assessment, there can be no assurance that these deferred tax assets may be realizable.</w:t>
      </w:r>
    </w:p>
    <w:p>
      <w:pPr>
        <w:spacing w:after="0" w:line="22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i w:val="1"/>
          <w:iCs w:val="1"/>
          <w:color w:val="auto"/>
        </w:rPr>
        <w:t>In addition, we are also subject to audits in the multiple taxing jurisdictions in which we operate. These audits can involve complex issues which may require an extended period of time for resolution. Management believe that adequate provisions for income taxes have been made in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Pronouncements</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January 2015, the FASB issued ASU 2015-01, which eliminates the concept of extraordinary items from U.S. GAAP as part of its simplification initiative. The ASU does not affect disclosure guidance for events or transactions that are unusual in nature or infrequent in their occurrence. The ASU is effective for fiscal years and, interim periods within those fiscal years, beginning after December 15, 2015. The ASU allows prospective or retrospective application. Early adoption is permitted if applied from the beginning of the fiscal year of adoption. The Company does not expect the adoption of ASU 2015-01 to have a material impact on the financial statements.</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February 2015, the FASB issued ASU 2015-02, which changes the way reporting enterprises evaluate whether (a) they should consolidate limited partnerships and similar entities, (b) fees paid to a decision maker or service provider are variable interests in a variable interest entity (VIE), and (c) variable interests in a VIE held by related parties of the reporting enterprise require the reporting enterprise to consolidate the VIE. It also eliminates the VIE consolidation model based on majority exposure to variability that applied to certain investment companies and similar entities. The new guidance excludes money market funds that are required to comply with Rule 2a-7 of the Investment Company Act of 1940 and similar entities from the U.S. GAAP consolidation requirements. The new consolidation guidance is effective for public business entities for annual and interim periods in fiscal years beginning after December 15, 2015. The Company does not expect the adoption of ASU 2015-02 to have a material impact on the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p>
      <w:pPr>
        <w:jc w:val="both"/>
        <w:spacing w:after="0" w:line="251" w:lineRule="auto"/>
        <w:rPr>
          <w:sz w:val="20"/>
          <w:szCs w:val="20"/>
          <w:color w:val="auto"/>
        </w:rPr>
      </w:pPr>
      <w:r>
        <w:rPr>
          <w:rFonts w:ascii="Arial" w:cs="Arial" w:eastAsia="Arial" w:hAnsi="Arial"/>
          <w:sz w:val="18"/>
          <w:szCs w:val="18"/>
          <w:color w:val="auto"/>
        </w:rPr>
        <w:t>In April 2015, the FASB issued ASU 2015-03, which intends to simplify the presentation of debt issuance costs. This ASU is effective for public business entities for fiscal years beginning after December 15, 2015, and interim periods within those fiscal years. Subsequent to the issuance of ASU 2015-03, the SEC staff made an announcement regarding the presentation of debt issuance costs associated with line-of-credit arrangements, which was codified by the FASB in ASU 2015-15. The SEC staff guidance is effective upon adoption of ASU 2015-03. The Company does not expect the adoption of ASU 2015-03 to have a material impact on the financial statements.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2015, the FASB issued ASU 2015-04, which permits an entity with a fiscal year-end that does not fall on a month-end to measure defined benefit plan obligations and assets as of the month-end that is closest to the entity’s fiscal year-end, and apply that methodology consistently from year to year. The ASU also requires an entity to adjust the measurement of defined benefit plan obligations and assets to reflect contributions or significant events that occur between the month-end date used to measure defined benefit plan obligations and assets and the entity’s fiscal year-end. This ASU is effective for public business entities for financial statements issued for fiscal years beginning after December 15, 2015, and interim periods within those fiscal years. The Company does not expect the adoption of ASU 2015-03 to have a material impact on the financial statements.</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the FASB issued ASU 2015-05, which provides explicit guidance to help companies evaluate the accounting for fees paid by a customer in a cloud computing arrangement. The new guidance clarifies that if a cloud computing arrangement includes a software license, the customer should account for the license consistent with its accounting for other software licenses. If the arrangement does not include a software license, the customer should account for the arrangement as a service contract. This ASU is effective for public business entities for annual periods, including interim periods within those annual periods, beginning after December 15, 2015. The Company does not expect the adoption of ASU 2015-05 to have a material impact on the financial statements.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April 2015, the FASB issued ASU 2015-06, which requires a master limited partnership (MLP) to allocate earnings (losses) of a transferred business entirely to the general partner when computing earnings per unit (EPU) for periods before the dropdown transaction occurred. The EPU that the limited partners previously reported would not change as a result of the dropdown transaction. The ASU also requires an MLP to disclose the effects of the dropdown transaction on EPU for the periods before and after the dropdown transaction occurred. The Company does not expect the adoption of ASU 2015-06 to have a significant impact on the financial statements.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July 2015, the FASB issued ASU 2015-11, which, for entities that do not measure inventory using the last-in, first-out (LIFO) or retail inventory method, changes the measurement principle for inventory from the lower of cost or market to lower of cost and net realizable value. The ASU also eliminates the requirement for these entities to consider replacement cost or net realizable value less an approximately normal profit margin when measuring inventory. This ASU is effective for public business entities in fiscal years beginning after December 15, 2017. The adoption of ASU 2015-11 is not expected to have a significant impact on the financial statements.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FASB ASU 2015-14 amends the effective dates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requirements are effective for annual periods and interim periods within fiscal years beginning after December 15, 2017. Earlier application is permitted only as of annual reporting periods beginning after December 15, 2016, including interim reporting periods within that reporting period. The adoption of ASU 2015-14 is not expected to have a significant impact on the financial statements.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2015, the FASB issued ASU 2015-16, which eliminates the requirement for an acquirer to retrospectively adjust the financial statements for measurement-period adjustments that occur in periods after a business combination is consummated. The ASU is effective for public business entities for annual periods, including interim periods within those annual periods, beginning after December 15, 2015. The adoption of ASU 2015-14 is not expected to have a significant impact on the financial statements.</w:t>
      </w:r>
    </w:p>
    <w:p>
      <w:pPr>
        <w:spacing w:after="0" w:line="21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November 2015, the FASB issued ASU 2015-17, which requires entities with a classified balance sheet to present all deferred tax assets and liabilities as noncurrent. The ASU 2015-17 has been early adopted in the financial statements presented. The impact is described in Note 13 to the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8" w:name="page49"/>
    <w:bookmarkEnd w:id="48"/>
    <w:p>
      <w:pPr>
        <w:jc w:val="both"/>
        <w:spacing w:after="0" w:line="303" w:lineRule="auto"/>
        <w:rPr>
          <w:sz w:val="20"/>
          <w:szCs w:val="20"/>
          <w:color w:val="auto"/>
        </w:rPr>
      </w:pPr>
      <w:r>
        <w:rPr>
          <w:rFonts w:ascii="Arial" w:cs="Arial" w:eastAsia="Arial" w:hAnsi="Arial"/>
          <w:sz w:val="16"/>
          <w:szCs w:val="16"/>
          <w:color w:val="auto"/>
        </w:rPr>
        <w:t>In January 2016, the FASB issued ASU 2016-01, which will significantly change the income statement impact of equity investments, and the recognition of changes in fair value of financial liabilities when the fair value option is elected. The ASU is effective for public business entities for interim and annual periods in fiscal years beginning after December 15, 2017. The adoption of ASU 2016-01 is not expected to have a significant impact on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effects of inflation generally do not have a material adverse impact on our operations or financial conditions.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and accompanying biographies set forth certain information concerning each of ICON plc’s Directors, officers and other key employees as of March 23,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3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Age</w:t>
            </w:r>
          </w:p>
        </w:tc>
        <w:tc>
          <w:tcPr>
            <w:tcW w:w="70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Position</w:t>
            </w: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Thomas Lynch (2)(3)(4)(5)</w:t>
            </w:r>
          </w:p>
        </w:tc>
        <w:tc>
          <w:tcPr>
            <w:tcW w:w="1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59</w:t>
            </w: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Chairman of the Board, Director</w:t>
            </w: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Ciaran Murray (1)(5)</w:t>
            </w:r>
          </w:p>
        </w:tc>
        <w:tc>
          <w:tcPr>
            <w:tcW w:w="1300" w:type="dxa"/>
            <w:vAlign w:val="bottom"/>
          </w:tcPr>
          <w:p>
            <w:pPr>
              <w:ind w:left="580"/>
              <w:spacing w:after="0"/>
              <w:rPr>
                <w:sz w:val="20"/>
                <w:szCs w:val="20"/>
                <w:color w:val="auto"/>
              </w:rPr>
            </w:pPr>
            <w:r>
              <w:rPr>
                <w:rFonts w:ascii="Arial" w:cs="Arial" w:eastAsia="Arial" w:hAnsi="Arial"/>
                <w:sz w:val="18"/>
                <w:szCs w:val="18"/>
                <w:color w:val="auto"/>
              </w:rPr>
              <w:t>53</w:t>
            </w:r>
          </w:p>
        </w:tc>
        <w:tc>
          <w:tcPr>
            <w:tcW w:w="7020" w:type="dxa"/>
            <w:vAlign w:val="bottom"/>
          </w:tcPr>
          <w:p>
            <w:pPr>
              <w:ind w:left="440"/>
              <w:spacing w:after="0"/>
              <w:rPr>
                <w:sz w:val="20"/>
                <w:szCs w:val="20"/>
                <w:color w:val="auto"/>
              </w:rPr>
            </w:pPr>
            <w:r>
              <w:rPr>
                <w:rFonts w:ascii="Arial" w:cs="Arial" w:eastAsia="Arial" w:hAnsi="Arial"/>
                <w:sz w:val="18"/>
                <w:szCs w:val="18"/>
                <w:color w:val="auto"/>
              </w:rPr>
              <w:t>Chief Executive Officer, Director</w:t>
            </w: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Brendan Brennan (1)(5)</w:t>
            </w:r>
          </w:p>
        </w:tc>
        <w:tc>
          <w:tcPr>
            <w:tcW w:w="1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37</w:t>
            </w: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Chief Financial Officer</w:t>
            </w: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Dr. Steve Cutler (1)</w:t>
            </w:r>
          </w:p>
        </w:tc>
        <w:tc>
          <w:tcPr>
            <w:tcW w:w="1300" w:type="dxa"/>
            <w:vAlign w:val="bottom"/>
          </w:tcPr>
          <w:p>
            <w:pPr>
              <w:ind w:left="580"/>
              <w:spacing w:after="0"/>
              <w:rPr>
                <w:sz w:val="20"/>
                <w:szCs w:val="20"/>
                <w:color w:val="auto"/>
              </w:rPr>
            </w:pPr>
            <w:r>
              <w:rPr>
                <w:rFonts w:ascii="Arial" w:cs="Arial" w:eastAsia="Arial" w:hAnsi="Arial"/>
                <w:sz w:val="18"/>
                <w:szCs w:val="18"/>
                <w:color w:val="auto"/>
              </w:rPr>
              <w:t>55</w:t>
            </w:r>
          </w:p>
        </w:tc>
        <w:tc>
          <w:tcPr>
            <w:tcW w:w="7020" w:type="dxa"/>
            <w:vAlign w:val="bottom"/>
          </w:tcPr>
          <w:p>
            <w:pPr>
              <w:ind w:left="440"/>
              <w:spacing w:after="0"/>
              <w:rPr>
                <w:sz w:val="20"/>
                <w:szCs w:val="20"/>
                <w:color w:val="auto"/>
              </w:rPr>
            </w:pPr>
            <w:r>
              <w:rPr>
                <w:rFonts w:ascii="Arial" w:cs="Arial" w:eastAsia="Arial" w:hAnsi="Arial"/>
                <w:sz w:val="18"/>
                <w:szCs w:val="18"/>
                <w:color w:val="auto"/>
              </w:rPr>
              <w:t>Chief Operating Officer, Director</w:t>
            </w: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Dr. John Climax (6)</w:t>
            </w:r>
          </w:p>
        </w:tc>
        <w:tc>
          <w:tcPr>
            <w:tcW w:w="1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63</w:t>
            </w: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Director</w:t>
            </w: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Dr. Ronan Lambe (6)</w:t>
            </w:r>
          </w:p>
        </w:tc>
        <w:tc>
          <w:tcPr>
            <w:tcW w:w="1300" w:type="dxa"/>
            <w:vAlign w:val="bottom"/>
          </w:tcPr>
          <w:p>
            <w:pPr>
              <w:ind w:left="580"/>
              <w:spacing w:after="0"/>
              <w:rPr>
                <w:sz w:val="20"/>
                <w:szCs w:val="20"/>
                <w:color w:val="auto"/>
              </w:rPr>
            </w:pPr>
            <w:r>
              <w:rPr>
                <w:rFonts w:ascii="Arial" w:cs="Arial" w:eastAsia="Arial" w:hAnsi="Arial"/>
                <w:sz w:val="18"/>
                <w:szCs w:val="18"/>
                <w:color w:val="auto"/>
              </w:rPr>
              <w:t>76</w:t>
            </w:r>
          </w:p>
        </w:tc>
        <w:tc>
          <w:tcPr>
            <w:tcW w:w="702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Professor Dermot Kelleher (3)(6)</w:t>
            </w:r>
          </w:p>
        </w:tc>
        <w:tc>
          <w:tcPr>
            <w:tcW w:w="1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60</w:t>
            </w: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Director</w:t>
            </w: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Declan McKeon (3)(4)</w:t>
            </w:r>
          </w:p>
        </w:tc>
        <w:tc>
          <w:tcPr>
            <w:tcW w:w="1300" w:type="dxa"/>
            <w:vAlign w:val="bottom"/>
          </w:tcPr>
          <w:p>
            <w:pPr>
              <w:ind w:left="580"/>
              <w:spacing w:after="0"/>
              <w:rPr>
                <w:sz w:val="20"/>
                <w:szCs w:val="20"/>
                <w:color w:val="auto"/>
              </w:rPr>
            </w:pPr>
            <w:r>
              <w:rPr>
                <w:rFonts w:ascii="Arial" w:cs="Arial" w:eastAsia="Arial" w:hAnsi="Arial"/>
                <w:sz w:val="18"/>
                <w:szCs w:val="18"/>
                <w:color w:val="auto"/>
              </w:rPr>
              <w:t>64</w:t>
            </w:r>
          </w:p>
        </w:tc>
        <w:tc>
          <w:tcPr>
            <w:tcW w:w="702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Professor William Hall (2)(3)(4)(6)</w:t>
            </w:r>
          </w:p>
        </w:tc>
        <w:tc>
          <w:tcPr>
            <w:tcW w:w="1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66</w:t>
            </w: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Director</w:t>
            </w:r>
          </w:p>
        </w:tc>
      </w:tr>
      <w:tr>
        <w:trPr>
          <w:trHeight w:val="213"/>
        </w:trPr>
        <w:tc>
          <w:tcPr>
            <w:tcW w:w="3100" w:type="dxa"/>
            <w:vAlign w:val="bottom"/>
          </w:tcPr>
          <w:p>
            <w:pPr>
              <w:spacing w:after="0"/>
              <w:rPr>
                <w:sz w:val="20"/>
                <w:szCs w:val="20"/>
                <w:color w:val="auto"/>
              </w:rPr>
            </w:pPr>
            <w:r>
              <w:rPr>
                <w:rFonts w:ascii="Arial" w:cs="Arial" w:eastAsia="Arial" w:hAnsi="Arial"/>
                <w:sz w:val="18"/>
                <w:szCs w:val="18"/>
                <w:color w:val="auto"/>
              </w:rPr>
              <w:t>Mary Pendergast (2)(6)</w:t>
            </w:r>
          </w:p>
        </w:tc>
        <w:tc>
          <w:tcPr>
            <w:tcW w:w="1300" w:type="dxa"/>
            <w:vAlign w:val="bottom"/>
          </w:tcPr>
          <w:p>
            <w:pPr>
              <w:ind w:left="580"/>
              <w:spacing w:after="0"/>
              <w:rPr>
                <w:sz w:val="20"/>
                <w:szCs w:val="20"/>
                <w:color w:val="auto"/>
              </w:rPr>
            </w:pPr>
            <w:r>
              <w:rPr>
                <w:rFonts w:ascii="Arial" w:cs="Arial" w:eastAsia="Arial" w:hAnsi="Arial"/>
                <w:sz w:val="18"/>
                <w:szCs w:val="18"/>
                <w:color w:val="auto"/>
              </w:rPr>
              <w:t>65</w:t>
            </w:r>
          </w:p>
        </w:tc>
        <w:tc>
          <w:tcPr>
            <w:tcW w:w="702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Dr. Hugh Brady</w:t>
            </w:r>
          </w:p>
        </w:tc>
        <w:tc>
          <w:tcPr>
            <w:tcW w:w="13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56</w:t>
            </w:r>
          </w:p>
        </w:tc>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Director</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Diarmaid Cunningham</w:t>
            </w:r>
          </w:p>
        </w:tc>
        <w:tc>
          <w:tcPr>
            <w:tcW w:w="1300" w:type="dxa"/>
            <w:vAlign w:val="bottom"/>
          </w:tcPr>
          <w:p>
            <w:pPr>
              <w:ind w:left="580"/>
              <w:spacing w:after="0"/>
              <w:rPr>
                <w:sz w:val="20"/>
                <w:szCs w:val="20"/>
                <w:color w:val="auto"/>
              </w:rPr>
            </w:pPr>
            <w:r>
              <w:rPr>
                <w:rFonts w:ascii="Arial" w:cs="Arial" w:eastAsia="Arial" w:hAnsi="Arial"/>
                <w:sz w:val="18"/>
                <w:szCs w:val="18"/>
                <w:color w:val="auto"/>
              </w:rPr>
              <w:t>41</w:t>
            </w:r>
          </w:p>
        </w:tc>
        <w:tc>
          <w:tcPr>
            <w:tcW w:w="7020" w:type="dxa"/>
            <w:vAlign w:val="bottom"/>
          </w:tcPr>
          <w:p>
            <w:pPr>
              <w:ind w:left="440"/>
              <w:spacing w:after="0"/>
              <w:rPr>
                <w:sz w:val="20"/>
                <w:szCs w:val="20"/>
                <w:color w:val="auto"/>
              </w:rPr>
            </w:pPr>
            <w:r>
              <w:rPr>
                <w:rFonts w:ascii="Arial" w:cs="Arial" w:eastAsia="Arial" w:hAnsi="Arial"/>
                <w:sz w:val="18"/>
                <w:szCs w:val="18"/>
                <w:color w:val="auto"/>
              </w:rPr>
              <w:t>General Counsel &amp; Company Secretary</w:t>
            </w:r>
          </w:p>
        </w:tc>
      </w:tr>
    </w:tbl>
    <w:p>
      <w:pPr>
        <w:spacing w:after="0" w:line="216" w:lineRule="exact"/>
        <w:rPr>
          <w:sz w:val="20"/>
          <w:szCs w:val="20"/>
          <w:color w:val="auto"/>
        </w:rPr>
      </w:pPr>
    </w:p>
    <w:p>
      <w:pPr>
        <w:ind w:left="580" w:hanging="574"/>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Officer of the Company.</w:t>
      </w:r>
    </w:p>
    <w:p>
      <w:pPr>
        <w:spacing w:after="0" w:line="16" w:lineRule="exact"/>
        <w:rPr>
          <w:rFonts w:ascii="Arial" w:cs="Arial" w:eastAsia="Arial" w:hAnsi="Arial"/>
          <w:sz w:val="18"/>
          <w:szCs w:val="18"/>
          <w:color w:val="auto"/>
        </w:rPr>
      </w:pPr>
    </w:p>
    <w:p>
      <w:pPr>
        <w:ind w:left="580" w:hanging="574"/>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Compensation and Organization Committee.</w:t>
      </w:r>
    </w:p>
    <w:p>
      <w:pPr>
        <w:spacing w:after="0" w:line="5" w:lineRule="exact"/>
        <w:rPr>
          <w:rFonts w:ascii="Arial" w:cs="Arial" w:eastAsia="Arial" w:hAnsi="Arial"/>
          <w:sz w:val="18"/>
          <w:szCs w:val="18"/>
          <w:color w:val="auto"/>
        </w:rPr>
      </w:pPr>
    </w:p>
    <w:p>
      <w:pPr>
        <w:ind w:left="580" w:hanging="574"/>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5" w:lineRule="exact"/>
        <w:rPr>
          <w:rFonts w:ascii="Arial" w:cs="Arial" w:eastAsia="Arial" w:hAnsi="Arial"/>
          <w:sz w:val="18"/>
          <w:szCs w:val="18"/>
          <w:color w:val="auto"/>
        </w:rPr>
      </w:pPr>
    </w:p>
    <w:p>
      <w:pPr>
        <w:ind w:left="580" w:hanging="574"/>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5" w:lineRule="exact"/>
        <w:rPr>
          <w:rFonts w:ascii="Arial" w:cs="Arial" w:eastAsia="Arial" w:hAnsi="Arial"/>
          <w:sz w:val="18"/>
          <w:szCs w:val="18"/>
          <w:color w:val="auto"/>
        </w:rPr>
      </w:pPr>
    </w:p>
    <w:p>
      <w:pPr>
        <w:ind w:left="580" w:hanging="574"/>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Execution Committee.</w:t>
      </w:r>
    </w:p>
    <w:p>
      <w:pPr>
        <w:spacing w:after="0" w:line="5" w:lineRule="exact"/>
        <w:rPr>
          <w:rFonts w:ascii="Arial" w:cs="Arial" w:eastAsia="Arial" w:hAnsi="Arial"/>
          <w:sz w:val="18"/>
          <w:szCs w:val="18"/>
          <w:color w:val="auto"/>
        </w:rPr>
      </w:pPr>
    </w:p>
    <w:p>
      <w:pPr>
        <w:ind w:left="580" w:hanging="574"/>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Quality Committee.</w:t>
      </w: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Thomas Lynch </w:t>
      </w:r>
      <w:r>
        <w:rPr>
          <w:rFonts w:ascii="Arial" w:cs="Arial" w:eastAsia="Arial" w:hAnsi="Arial"/>
          <w:sz w:val="16"/>
          <w:szCs w:val="16"/>
          <w:color w:val="auto"/>
        </w:rPr>
        <w:t>was appointed Chairman of Board of the Company in January 2013. He has served as an outside Director of the Company since August 1994.</w:t>
      </w:r>
      <w:r>
        <w:rPr>
          <w:rFonts w:ascii="Arial" w:cs="Arial" w:eastAsia="Arial" w:hAnsi="Arial"/>
          <w:sz w:val="16"/>
          <w:szCs w:val="16"/>
          <w:i w:val="1"/>
          <w:iCs w:val="1"/>
          <w:color w:val="auto"/>
        </w:rPr>
        <w:t xml:space="preserve"> </w:t>
      </w:r>
      <w:r>
        <w:rPr>
          <w:rFonts w:ascii="Arial" w:cs="Arial" w:eastAsia="Arial" w:hAnsi="Arial"/>
          <w:sz w:val="16"/>
          <w:szCs w:val="16"/>
          <w:color w:val="auto"/>
        </w:rPr>
        <w:t>Mr. Lynch served as Chairman and Chief Executive Officer of Amarin Corporation from December 2007 to December 2009. Mr Lynch retired from the Board of Amarin in October 2010 but continues to serve as Chairman of Amarin Pharmaceuticals Ireland Ltd. Mr. Lynch served in a variety of senior roles in Elan Corporation plc from 1993 to 2004. He was a Director of IDA Ireland from 2001 to 2010 and of the Royal Opera House (Covent Garden) from 2001 to 2010. He currently serves as a Director of GW Pharmaceuticals plc, is Chairman of the Ireland East Hospital Group, Dublin Academic Medical Centre and the Queens University of Belfast Foundation. He also serves as a board member of a number of public and privately held pharmaceutical companies. Mr Lynch graduated from Queens University of Belfast with a BSc in Economics and is a fellow of the Institute of the Chartered Accountants in Ireland.</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Ciaran Murray </w:t>
      </w:r>
      <w:r>
        <w:rPr>
          <w:rFonts w:ascii="Arial" w:cs="Arial" w:eastAsia="Arial" w:hAnsi="Arial"/>
          <w:sz w:val="17"/>
          <w:szCs w:val="17"/>
          <w:color w:val="auto"/>
        </w:rPr>
        <w:t>is the Chief Executive Officer of ICON plc. He joined ICON as Chief Financial Officer in 2005 and served in that capacity until his appointment</w:t>
      </w:r>
      <w:r>
        <w:rPr>
          <w:rFonts w:ascii="Arial" w:cs="Arial" w:eastAsia="Arial" w:hAnsi="Arial"/>
          <w:sz w:val="17"/>
          <w:szCs w:val="17"/>
          <w:i w:val="1"/>
          <w:iCs w:val="1"/>
          <w:color w:val="auto"/>
        </w:rPr>
        <w:t xml:space="preserve"> </w:t>
      </w:r>
      <w:r>
        <w:rPr>
          <w:rFonts w:ascii="Arial" w:cs="Arial" w:eastAsia="Arial" w:hAnsi="Arial"/>
          <w:sz w:val="17"/>
          <w:szCs w:val="17"/>
          <w:color w:val="auto"/>
        </w:rPr>
        <w:t>as Chief Executive Officer in 2011. Mr. Murray is an executive with 30 years of leadership experience forged from a career spent operating in global markets in high-growth entrepreneurial companies and blue-chip multi-nationals, including PricewaterhouseCoopers, Kraft Foods, Novell Inc., Northern Foods and Codec Systems. Mr. Murray has also played a leadership role in advocating for safe, ethical high-quality research through his 2014 Chairmanship of the Association of Clinical Research Organisations (ACRO). ACRO represents the CRO industry globally to key stakeholders including pharmaceutical, biotech and medical device companies, regulators, legislators and patient groups. In 2014 Mr. Murray was named as a leader in CRO Innovation by PharmaVOICE100, a listing of the most influential people in the bio pharma industry. Mr. Murray graduated with a Bachelor of Commerce degree from University College Dublin and he is a Fellow of the Institute of Chartered Accountants in Ireland. He was awarded an Honorary Degree of Doctor of Laws from University College Dublin in 2013 for his support of third level research and innovation in Ireland.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0" w:name="page51"/>
    <w:bookmarkEnd w:id="50"/>
    <w:p>
      <w:pPr>
        <w:jc w:val="both"/>
        <w:spacing w:after="0" w:line="253" w:lineRule="auto"/>
        <w:rPr>
          <w:sz w:val="20"/>
          <w:szCs w:val="20"/>
          <w:color w:val="auto"/>
        </w:rPr>
      </w:pPr>
      <w:r>
        <w:rPr>
          <w:rFonts w:ascii="Arial" w:cs="Arial" w:eastAsia="Arial" w:hAnsi="Arial"/>
          <w:sz w:val="18"/>
          <w:szCs w:val="18"/>
          <w:i w:val="1"/>
          <w:iCs w:val="1"/>
          <w:color w:val="auto"/>
        </w:rPr>
        <w:t xml:space="preserve">Brendan Brennan </w:t>
      </w:r>
      <w:r>
        <w:rPr>
          <w:rFonts w:ascii="Arial" w:cs="Arial" w:eastAsia="Arial" w:hAnsi="Arial"/>
          <w:sz w:val="18"/>
          <w:szCs w:val="18"/>
          <w:color w:val="auto"/>
        </w:rPr>
        <w:t>has served as Chief Financial Officer since February 2012. Mr. Brennan joined ICON in 2006 and he has served in a number of senior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roles in the Company including the role of Senior Vice President of Corporate Finance. Prior to this he developed his corporate finance experience in Cement Roadstone Holdings, a major Irish building materials organization. Mr. Brennan qualified as a chartered accountant with PricewaterhouseCoopers and obtained a bachelors degree in Accounting and Finance from Dublin City University.</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Dr. Steve Cutler </w:t>
      </w:r>
      <w:r>
        <w:rPr>
          <w:rFonts w:ascii="Arial" w:cs="Arial" w:eastAsia="Arial" w:hAnsi="Arial"/>
          <w:sz w:val="17"/>
          <w:szCs w:val="17"/>
          <w:color w:val="auto"/>
        </w:rPr>
        <w:t>was appointed Chief Operating Officer of the Company in January 2014, having previously occupied the position of Group President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Services since November 2011. Dr. Cutler was appointed to the Board of ICON plc in November 2015. 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He holds a B.Sc. and a Ph.D from the University of Sydney and a Masters of Business Administration from the University of Birmingham (UK).</w:t>
      </w:r>
    </w:p>
    <w:p>
      <w:pPr>
        <w:spacing w:after="0" w:line="21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i w:val="1"/>
          <w:iCs w:val="1"/>
          <w:color w:val="auto"/>
        </w:rPr>
        <w:t>Dr. John Climax</w:t>
      </w:r>
      <w:r>
        <w:rPr>
          <w:rFonts w:ascii="Arial" w:cs="Arial" w:eastAsia="Arial" w:hAnsi="Arial"/>
          <w:sz w:val="18"/>
          <w:szCs w:val="18"/>
          <w:color w:val="auto"/>
        </w:rPr>
        <w:t>, one of the Company’s co-founders, served as Chairman of the Board of the Company from November 2002 to December 2009,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from June 1990 to October 2002. From January 2010 he has held a position as an outside Director of the Company. Dr. Climax has over 25 years of experience in the contract research industry. Dr. Climax is the Executive Chairman of Dignity Sciences Ltd.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Dr. Ronan Lambe</w:t>
      </w:r>
      <w:r>
        <w:rPr>
          <w:rFonts w:ascii="Arial" w:cs="Arial" w:eastAsia="Arial" w:hAnsi="Arial"/>
          <w:sz w:val="18"/>
          <w:szCs w:val="18"/>
          <w:color w:val="auto"/>
        </w:rPr>
        <w:t>, one of the Company’s co-founders, served as Chairman of the Board of the Company from June 1990 to November 2002. He has served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Director of the Company since January 2008. Dr. Lambe has over 30 years of experience in the contract research industry. Dr. Lambe attended the National University of Ireland where he received his Bachelor of Science degree in chemistry in 1959, his masters in biochemistry in 1962 and his Ph.D. in pharmacology in 1976.</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Professor Dermot Kelleher </w:t>
      </w:r>
      <w:r>
        <w:rPr>
          <w:rFonts w:ascii="Arial" w:cs="Arial" w:eastAsia="Arial" w:hAnsi="Arial"/>
          <w:sz w:val="17"/>
          <w:szCs w:val="17"/>
          <w:color w:val="auto"/>
        </w:rPr>
        <w:t>has served as an outside Director of the Company since May 2008. Professor Kelleher is currently Dean of the Faculty of Medicine</w:t>
      </w:r>
      <w:r>
        <w:rPr>
          <w:rFonts w:ascii="Arial" w:cs="Arial" w:eastAsia="Arial" w:hAnsi="Arial"/>
          <w:sz w:val="17"/>
          <w:szCs w:val="17"/>
          <w:i w:val="1"/>
          <w:iCs w:val="1"/>
          <w:color w:val="auto"/>
        </w:rPr>
        <w:t xml:space="preserve"> </w:t>
      </w:r>
      <w:r>
        <w:rPr>
          <w:rFonts w:ascii="Arial" w:cs="Arial" w:eastAsia="Arial" w:hAnsi="Arial"/>
          <w:sz w:val="17"/>
          <w:szCs w:val="17"/>
          <w:color w:val="auto"/>
        </w:rPr>
        <w:t>at the University of British Columbia in Vancouver. From 2012 -2015 he was Vice President (Health) and Dean of the Faculty of Medicine at Imperial College London and concurrently Dean of the Lee Kong Chian School of Medicine in Singapore from 2012-2014. From 2004 to 2012 he was Head of the School of Medicine and Vice Provost for Medical Affairs at Trinity College, Dublin, Ireland where he led the development of the Institute of Molecular Medicine and Molecular Medicine Ireland. His research interests have focused on gastrointestinal infectious and inflammatory diseases and over a distinguished thirty year career he has led significant research projects in this field. Alongside his notable academic appointments he has served as a visiting research scientist with a major pharmaceutical company and has been a founder of a number of biotechnology companies.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Declan McKeon </w:t>
      </w:r>
      <w:r>
        <w:rPr>
          <w:rFonts w:ascii="Arial" w:cs="Arial" w:eastAsia="Arial" w:hAnsi="Arial"/>
          <w:sz w:val="16"/>
          <w:szCs w:val="16"/>
          <w:color w:val="auto"/>
        </w:rPr>
        <w:t>has served as an outside Director of the Company since April 2010. Mr. McKeon was a partner in PricewaterhouseCoopers from 1986 to 2007.</w:t>
      </w:r>
      <w:r>
        <w:rPr>
          <w:rFonts w:ascii="Arial" w:cs="Arial" w:eastAsia="Arial" w:hAnsi="Arial"/>
          <w:sz w:val="16"/>
          <w:szCs w:val="16"/>
          <w:i w:val="1"/>
          <w:iCs w:val="1"/>
          <w:color w:val="auto"/>
        </w:rPr>
        <w:t xml:space="preserve"> </w:t>
      </w:r>
      <w:r>
        <w:rPr>
          <w:rFonts w:ascii="Arial" w:cs="Arial" w:eastAsia="Arial" w:hAnsi="Arial"/>
          <w:sz w:val="16"/>
          <w:szCs w:val="16"/>
          <w:color w:val="auto"/>
        </w:rPr>
        <w:t>His roles included leadership of the audit and business advisory team for PricewaterhouseCoopers Ireland, membership of the PricewaterhouseCoopers Europe audit and business advisory services executive and market sector leader for consumer and industrial products. Mr. McKeon is a non-executive Director of Ryanair plc and GC Aesthetics. Mr McKeon retired from the audit committee of the Royal College of Surgeons in Ireland during 2015. Mr. McKeon holds a Bachelor of Commerce and Masters in Business Studies from University College Dublin and is a Fellow of The Institute of Chartered Accountants in Ireland.</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 xml:space="preserve">Professor William Hall </w:t>
      </w:r>
      <w:r>
        <w:rPr>
          <w:rFonts w:ascii="Arial" w:cs="Arial" w:eastAsia="Arial" w:hAnsi="Arial"/>
          <w:sz w:val="18"/>
          <w:szCs w:val="18"/>
          <w:color w:val="auto"/>
        </w:rPr>
        <w:t>has served as an outside Director of the Company since February 2013. He is a renowned expert in infectious diseases and virology, is</w:t>
      </w:r>
      <w:r>
        <w:rPr>
          <w:rFonts w:ascii="Arial" w:cs="Arial" w:eastAsia="Arial" w:hAnsi="Arial"/>
          <w:sz w:val="18"/>
          <w:szCs w:val="18"/>
          <w:i w:val="1"/>
          <w:iCs w:val="1"/>
          <w:color w:val="auto"/>
        </w:rPr>
        <w:t xml:space="preserve"> </w:t>
      </w:r>
      <w:r>
        <w:rPr>
          <w:rFonts w:ascii="Arial" w:cs="Arial" w:eastAsia="Arial" w:hAnsi="Arial"/>
          <w:sz w:val="18"/>
          <w:szCs w:val="18"/>
          <w:color w:val="auto"/>
        </w:rPr>
        <w:t>Chair of Medical Microbiology and Director of the Centre for Research in Infectious Diseases at University College Dublin’s (UCD) School of Medicine and Medical Science. He is also a Director of UCD’s National Virus Reference Laboratory and is a consultant microbiologist at St. Vincent’s University Hospital Dublin. Professor Hall also serves as a consultant to the Minister of Heath and Children in the Republic of Ireland, providing input on a number of topics including influenza pandemic preparedness and bioterrorism. Prior to his tenure at UCD, Professor Hall was Professor and Head of the Laboratory of Medical Virology, Senior Physician and Director of the Clinical Research Centre at the Rockefeller University in New York. He previously served as an Assistant and Associate Professor of Medicine at Cornell University. Professor Hall is a board member of The Atlantic Philanthropies and is a co-founder of the Global Virus Network.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1" w:name="page52"/>
    <w:bookmarkEnd w:id="51"/>
    <w:p>
      <w:pPr>
        <w:jc w:val="both"/>
        <w:spacing w:after="0" w:line="250" w:lineRule="auto"/>
        <w:rPr>
          <w:sz w:val="20"/>
          <w:szCs w:val="20"/>
          <w:color w:val="auto"/>
        </w:rPr>
      </w:pPr>
      <w:r>
        <w:rPr>
          <w:rFonts w:ascii="Arial" w:cs="Arial" w:eastAsia="Arial" w:hAnsi="Arial"/>
          <w:sz w:val="18"/>
          <w:szCs w:val="18"/>
          <w:i w:val="1"/>
          <w:iCs w:val="1"/>
          <w:color w:val="auto"/>
        </w:rPr>
        <w:t xml:space="preserve">Mary Pendergast </w:t>
      </w:r>
      <w:r>
        <w:rPr>
          <w:rFonts w:ascii="Arial" w:cs="Arial" w:eastAsia="Arial" w:hAnsi="Arial"/>
          <w:sz w:val="18"/>
          <w:szCs w:val="18"/>
          <w:color w:val="auto"/>
        </w:rPr>
        <w:t>has served as an outside Director of the Company since February 2014. She is an expert in the regulatory aspects of drug development and is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Pendergast Consulting, a consulting firm that advises biopharmaceutical companies, patient groups, professional and advocacy organisations, governments and academic and financial institutions. Prior to founding her own firm, Ms. Pendergast was Executive Vice President of Government Affairs at Elan Corporation plc from 1998 to 2003. Ms. Pendergast also spent more than 18 years at the US Food and Drug Administration (FDA), serving as Deputy Commissioner and Senior Advisor to the FDA Commissioner and Associate Chief Counsel for Enforcement. Ms. Pendergast is also a board member of Impax Laboratories, Inc.</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Professor Hugh Brady </w:t>
      </w:r>
      <w:r>
        <w:rPr>
          <w:rFonts w:ascii="Arial" w:cs="Arial" w:eastAsia="Arial" w:hAnsi="Arial"/>
          <w:sz w:val="17"/>
          <w:szCs w:val="17"/>
          <w:color w:val="auto"/>
        </w:rPr>
        <w:t>has served as an outside Director of the Company since April 2014. In September 2015, Professor Brady took up the position of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and Vice-Chancellor of the University of Bristol - a member of the UK's Russell Group of elite research-intensive universities. Professor Brady is also President Emeritus of University College Dublin (UCD), where he served as President from 2004 until the end of 2013. During his tenure Professor Brady oversaw a major institution-wide transformation programme that included significant expansion of UCD’s science, engineering and biomedical research capacity through the development of the O'Brien Centre for Science, Conway Institute for Biomedical Research, UCD Clinical Research Centre, the Dublin Academic Medical Centre and the Ireland East Hospital Group. In addition, he led a major growth in UCD’s international footprint. A nephrologist by training, Professor Brady was Professor of Medicine and Therapeutics at UCD before being appointed the university’s President. Prior to that, he built a successful career as a physician and biomedical research scientist in the US - spending almost a decade at Harvard University where he was Associate Professor of Medicine, Director of the Renal Division of the Brockton/West Roxbury VA Medical Center and Consultant Physician at the Brigham and Women’s Hospital, Boston. He has an international reputation in the pathogenesis of diabetic kidney disease and renal inflammation. Professor Brady has held many national and international leadership roles, including Chairman of the Irish Health Research Board and Chairman of the Universitas 21 Network of global research universities. He is also a non-executive Director of Kerry Group plc.</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Diarmaid Cunningham </w:t>
      </w:r>
      <w:r>
        <w:rPr>
          <w:rFonts w:ascii="Arial" w:cs="Arial" w:eastAsia="Arial" w:hAnsi="Arial"/>
          <w:sz w:val="16"/>
          <w:szCs w:val="16"/>
          <w:color w:val="auto"/>
        </w:rPr>
        <w:t>is General Counsel, Executive Vice President and Company Secretary. Mr. Cunningham joined the Company in November 2009 and</w:t>
      </w:r>
      <w:r>
        <w:rPr>
          <w:rFonts w:ascii="Arial" w:cs="Arial" w:eastAsia="Arial" w:hAnsi="Arial"/>
          <w:sz w:val="16"/>
          <w:szCs w:val="16"/>
          <w:i w:val="1"/>
          <w:iCs w:val="1"/>
          <w:color w:val="auto"/>
        </w:rPr>
        <w:t xml:space="preserve"> </w:t>
      </w:r>
      <w:r>
        <w:rPr>
          <w:rFonts w:ascii="Arial" w:cs="Arial" w:eastAsia="Arial" w:hAnsi="Arial"/>
          <w:sz w:val="16"/>
          <w:szCs w:val="16"/>
          <w:color w:val="auto"/>
        </w:rPr>
        <w:t>was appointed Company Secretary in October 2011. Mr Cunningham spent 10 years with A&amp;L Goodbody, one of Ireland's premier corporate law firms, prior to joining the Company. Mr. Cunningham graduated with a Bachelor of Business and Legal Studies from University College Dublin in 1997 and qualified as a lawyer with A&amp;L Goodbody in 2001. In 2015, Mr. Cunningham completed the Stanford Executive Program at Stanford University in California. Mr. Cunningham served as Secretary to the Board of the Association of Clinical Research Organisations (ACRO) in 2013 and 2014. ACRO represents the CRO industry globally to key stakeholders including pharmaceutical, biotech and medical device companies, regulators, legislators and patient groups.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business of the Company is managed by the Directors who may exercise all the powers of the Company which are not required by the Companies Act 2014 of Ireland or by the Articles of Association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6"/>
          <w:szCs w:val="16"/>
          <w:color w:val="auto"/>
        </w:rPr>
        <w:t>The Board comprises two executive and eight outside-Directors at the date of this report. The outside-Directors bring independent judgment to bear on issues of strategy, performance, resources, key appointments and standards. The Company considers all of its outside-Directors to be of complementary skills, experience and knowledge and each outside-Director has specific skills, experience and knowledge that are valuable to the Company. The Board members between them have very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(10 Directors) to be adequate but continues to look for suitable qualified potential candidates to join the Board.</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detailed below, certain other matters are delegated to Board Committees and all Board Committees report to the Board. The Company maintains what it considers an appropriate level of insurance cover in respect of legal action against its Directors. The Board, through the Nominating and Governance Committee, engages in succession planning for the Board and in so doing considers the strength and depth of the Board and the levels of knowledge, skills and experience of the Directors necessary for the Company to achieve its objectives. The Board normally meets at least four times each year. During the year ended December 31, 2015 the Board met on five occasions. All Directors allocated sufficient time to the Company during the year ended December 31, 2015 to effectively discharge their responsibilities to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retirement and re-election</w:t>
      </w:r>
    </w:p>
    <w:p>
      <w:pPr>
        <w:spacing w:after="0" w:line="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Articles of Association provide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2016, it is anticipated that four Directors will retire by rotation and offer themselves for re-election.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Board has delegated some of its responsibilities to Board Committees. There are five permanent Committees. These are the Audit Committee, the Compensation and Organization Committee, the Nominating and Governance Committee, the Execution Committee and the Quality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Each committee completed a self-evaluation of the performance of the committee during the year ended December 31, 2015 and each committee was satisfied with their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It pre-approves on an annual basis, the audit and non-audit services provided to the Company by its external auditors. Such annual pre-approval is given with respect to particular services. The Audit Committee, on a case by case basis, may approve additional services not covered by the annual pre-approval, as the need for such services arises. The Audit Committee reviews all services which are provided by the external auditors regularly to review the independence and objectivity of the external auditors taking into consideration relevant professional and regulatory requirements so that these are not impaired by the provisions of permissible non-audit services. The Chief Financial Officer, the Head of Internal Audit, the General Counsel and the external auditors normally attend all meetings of the Audit Committee and have direct access to the Committee Chairman at all times. During 2015, the Audit Committee was comprised of, and is still comprised of, the following four independent Directors: Declan McKeon (Chairman); Thomas Lynch; Professor Dermot Kelleher; and Professor William Hall.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Compensation and Organization Committee</w:t>
      </w:r>
    </w:p>
    <w:p>
      <w:pPr>
        <w:spacing w:after="0" w:line="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 During 2015, the Compensation and Organization Committee comprised of, and is still comprised of, the following independent Directors: Professor William Hall (Chairperson); Thomas Lynch; and Mary Pendergast.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Nominating and Governance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uses an external search consultant as needed to assist it in identifying potential new outside Directors. Once potential suitable candidates are identified either by the external search consultants or by members of the Nominating and Governance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the Committee would recommend to the Board of the Company that the potential candidate be appointed. The Board of the Company then decides whether or not to appoint the candidate. The Committee considers diversity of the Board members when making recommendations to the Board of the Company.</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2015, the Nominating and Governance Committee comprised of, and is still comprised of, the following independent Directors: Thomas Lynch (Chairman), Declan McKeon and Professor William Hall.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Execution Committee</w:t>
      </w:r>
    </w:p>
    <w:p>
      <w:pPr>
        <w:spacing w:after="0" w:line="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During 2015, the Execution Committee comprised of, and is still comprised of, the following Directors and Officer: Ciaran Murray (Chairman); Thomas Lynch; and Brendan Brennan.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Quality Committee</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purpose of the Quality Committee is to provide oversight of the quality strategy and initiatives in place within the Company. As part of this the Committee is required to review the Company’s strategy in relation to quality and to review continuous improvement initiatives and activities in place within the Company. The Committee also reviews reports of audits by internal and external auditors or regulatory agencies (including the FDA and European Medicines Agency). During 2015, the Quality Committee comprised of, and is still comprised of, the following Directors: Professor Dermot Kelleher (Chairman); Dr. John Climax (Vice Chairman); Dr. Ronan Lambe; Professor William Hall; and Mary Pendergast.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Attendance at Board and committee meetings by the Directors who held office during 2015 are set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146685</wp:posOffset>
            </wp:positionV>
            <wp:extent cx="72485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Attendance Table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left="51"/>
              <w:spacing w:after="0" w:line="202" w:lineRule="exact"/>
              <w:rPr>
                <w:sz w:val="20"/>
                <w:szCs w:val="20"/>
                <w:color w:val="auto"/>
              </w:rPr>
            </w:pPr>
            <w:r>
              <w:rPr>
                <w:rFonts w:ascii="Arial" w:cs="Arial" w:eastAsia="Arial" w:hAnsi="Arial"/>
                <w:sz w:val="18"/>
                <w:szCs w:val="18"/>
                <w:b w:val="1"/>
                <w:bCs w:val="1"/>
                <w:color w:val="auto"/>
                <w:w w:val="86"/>
              </w:rPr>
              <w:t>Compensation</w:t>
            </w:r>
          </w:p>
        </w:tc>
        <w:tc>
          <w:tcPr>
            <w:tcW w:w="136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Nominating</w:t>
            </w:r>
          </w:p>
        </w:tc>
        <w:tc>
          <w:tcPr>
            <w:tcW w:w="16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3"/>
        </w:trPr>
        <w:tc>
          <w:tcPr>
            <w:tcW w:w="2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tcPr>
          <w:p>
            <w:pPr>
              <w:jc w:val="center"/>
              <w:ind w:left="51"/>
              <w:spacing w:after="0"/>
              <w:rPr>
                <w:sz w:val="20"/>
                <w:szCs w:val="20"/>
                <w:color w:val="auto"/>
              </w:rPr>
            </w:pPr>
            <w:r>
              <w:rPr>
                <w:rFonts w:ascii="Arial" w:cs="Arial" w:eastAsia="Arial" w:hAnsi="Arial"/>
                <w:sz w:val="18"/>
                <w:szCs w:val="18"/>
                <w:b w:val="1"/>
                <w:bCs w:val="1"/>
                <w:color w:val="auto"/>
                <w:w w:val="87"/>
              </w:rPr>
              <w:t>and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2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Board</w:t>
            </w:r>
          </w:p>
        </w:tc>
        <w:tc>
          <w:tcPr>
            <w:tcW w:w="166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Audit</w:t>
            </w:r>
          </w:p>
        </w:tc>
        <w:tc>
          <w:tcPr>
            <w:tcW w:w="158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b w:val="1"/>
                <w:bCs w:val="1"/>
                <w:color w:val="auto"/>
                <w:w w:val="90"/>
              </w:rPr>
              <w:t>Organization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Governance</w:t>
            </w:r>
          </w:p>
        </w:tc>
        <w:tc>
          <w:tcPr>
            <w:tcW w:w="16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Execution</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Quality</w:t>
            </w:r>
          </w:p>
        </w:tc>
      </w:tr>
      <w:tr>
        <w:trPr>
          <w:trHeight w:val="219"/>
        </w:trPr>
        <w:tc>
          <w:tcPr>
            <w:tcW w:w="2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gridSpan w:val="4"/>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19"/>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w:t>
            </w:r>
          </w:p>
        </w:tc>
        <w:tc>
          <w:tcPr>
            <w:tcW w:w="1420" w:type="dxa"/>
            <w:vAlign w:val="bottom"/>
            <w:tcBorders>
              <w:bottom w:val="single" w:sz="8" w:color="auto"/>
            </w:tcBorders>
          </w:tcPr>
          <w:p>
            <w:pPr>
              <w:spacing w:after="0"/>
              <w:rPr>
                <w:sz w:val="19"/>
                <w:szCs w:val="19"/>
                <w:color w:val="auto"/>
              </w:rPr>
            </w:pPr>
          </w:p>
        </w:tc>
        <w:tc>
          <w:tcPr>
            <w:tcW w:w="6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Number of meetings attended / number of meetings eligible to attend as a Director</w:t>
            </w:r>
          </w:p>
        </w:tc>
        <w:tc>
          <w:tcPr>
            <w:tcW w:w="980" w:type="dxa"/>
            <w:vAlign w:val="bottom"/>
            <w:tcBorders>
              <w:bottom w:val="single" w:sz="8" w:color="auto"/>
            </w:tcBorders>
          </w:tcPr>
          <w:p>
            <w:pPr>
              <w:spacing w:after="0"/>
              <w:rPr>
                <w:sz w:val="19"/>
                <w:szCs w:val="19"/>
                <w:color w:val="auto"/>
              </w:rPr>
            </w:pPr>
          </w:p>
        </w:tc>
      </w:tr>
      <w:tr>
        <w:trPr>
          <w:trHeight w:val="219"/>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Thomas Lynch (1)</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660" w:type="dxa"/>
            <w:vAlign w:val="bottom"/>
            <w:tcBorders>
              <w:bottom w:val="single" w:sz="8" w:color="auto"/>
            </w:tcBorders>
            <w:shd w:val="clear" w:color="auto" w:fill="CCEEFF"/>
          </w:tcPr>
          <w:p>
            <w:pPr>
              <w:jc w:val="center"/>
              <w:ind w:left="611"/>
              <w:spacing w:after="0"/>
              <w:rPr>
                <w:sz w:val="20"/>
                <w:szCs w:val="20"/>
                <w:color w:val="auto"/>
              </w:rPr>
            </w:pPr>
            <w:r>
              <w:rPr>
                <w:rFonts w:ascii="Arial" w:cs="Arial" w:eastAsia="Arial" w:hAnsi="Arial"/>
                <w:sz w:val="18"/>
                <w:szCs w:val="18"/>
                <w:color w:val="auto"/>
                <w:w w:val="95"/>
              </w:rPr>
              <w:t>3/4</w:t>
            </w:r>
          </w:p>
        </w:tc>
        <w:tc>
          <w:tcPr>
            <w:tcW w:w="1580" w:type="dxa"/>
            <w:vAlign w:val="bottom"/>
            <w:tcBorders>
              <w:bottom w:val="single" w:sz="8" w:color="auto"/>
            </w:tcBorders>
            <w:shd w:val="clear" w:color="auto" w:fill="CCEEFF"/>
          </w:tcPr>
          <w:p>
            <w:pPr>
              <w:jc w:val="center"/>
              <w:ind w:left="171"/>
              <w:spacing w:after="0"/>
              <w:rPr>
                <w:sz w:val="20"/>
                <w:szCs w:val="20"/>
                <w:color w:val="auto"/>
              </w:rPr>
            </w:pPr>
            <w:r>
              <w:rPr>
                <w:rFonts w:ascii="Arial" w:cs="Arial" w:eastAsia="Arial" w:hAnsi="Arial"/>
                <w:sz w:val="18"/>
                <w:szCs w:val="18"/>
                <w:color w:val="auto"/>
                <w:w w:val="95"/>
              </w:rPr>
              <w:t>4/4</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2/2</w:t>
            </w:r>
          </w:p>
        </w:tc>
        <w:tc>
          <w:tcPr>
            <w:tcW w:w="16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center"/>
              <w:ind w:right="151"/>
              <w:spacing w:after="0"/>
              <w:rPr>
                <w:sz w:val="20"/>
                <w:szCs w:val="20"/>
                <w:color w:val="auto"/>
              </w:rPr>
            </w:pPr>
            <w:r>
              <w:rPr>
                <w:rFonts w:ascii="Arial" w:cs="Arial" w:eastAsia="Arial" w:hAnsi="Arial"/>
                <w:sz w:val="18"/>
                <w:szCs w:val="18"/>
                <w:color w:val="auto"/>
                <w:w w:val="99"/>
              </w:rPr>
              <w:t>-</w:t>
            </w:r>
          </w:p>
        </w:tc>
      </w:tr>
      <w:tr>
        <w:trPr>
          <w:trHeight w:val="219"/>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Ciaran Murray</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c>
          <w:tcPr>
            <w:tcW w:w="1660" w:type="dxa"/>
            <w:vAlign w:val="bottom"/>
            <w:tcBorders>
              <w:bottom w:val="single" w:sz="8" w:color="auto"/>
            </w:tcBorders>
          </w:tcPr>
          <w:p>
            <w:pPr>
              <w:jc w:val="center"/>
              <w:ind w:left="63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99"/>
              </w:rPr>
              <w:t>-</w:t>
            </w:r>
          </w:p>
        </w:tc>
      </w:tr>
      <w:tr>
        <w:trPr>
          <w:trHeight w:val="219"/>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John Climax (1)</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660" w:type="dxa"/>
            <w:vAlign w:val="bottom"/>
            <w:tcBorders>
              <w:bottom w:val="single" w:sz="8" w:color="auto"/>
            </w:tcBorders>
            <w:shd w:val="clear" w:color="auto" w:fill="CCEEFF"/>
          </w:tcPr>
          <w:p>
            <w:pPr>
              <w:jc w:val="center"/>
              <w:ind w:left="63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center"/>
              <w:ind w:left="15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center"/>
              <w:ind w:right="151"/>
              <w:spacing w:after="0"/>
              <w:rPr>
                <w:sz w:val="20"/>
                <w:szCs w:val="20"/>
                <w:color w:val="auto"/>
              </w:rPr>
            </w:pPr>
            <w:r>
              <w:rPr>
                <w:rFonts w:ascii="Arial" w:cs="Arial" w:eastAsia="Arial" w:hAnsi="Arial"/>
                <w:sz w:val="18"/>
                <w:szCs w:val="18"/>
                <w:color w:val="auto"/>
                <w:w w:val="87"/>
              </w:rPr>
              <w:t>4/4</w:t>
            </w:r>
          </w:p>
        </w:tc>
      </w:tr>
      <w:tr>
        <w:trPr>
          <w:trHeight w:val="219"/>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Ronan Lambe (1)</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c>
          <w:tcPr>
            <w:tcW w:w="1660" w:type="dxa"/>
            <w:vAlign w:val="bottom"/>
            <w:tcBorders>
              <w:bottom w:val="single" w:sz="8" w:color="auto"/>
            </w:tcBorders>
          </w:tcPr>
          <w:p>
            <w:pPr>
              <w:jc w:val="center"/>
              <w:ind w:left="63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87"/>
              </w:rPr>
              <w:t>4/4</w:t>
            </w:r>
          </w:p>
        </w:tc>
      </w:tr>
      <w:tr>
        <w:trPr>
          <w:trHeight w:val="219"/>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 Dermot Kelleher (1)</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660" w:type="dxa"/>
            <w:vAlign w:val="bottom"/>
            <w:tcBorders>
              <w:bottom w:val="single" w:sz="8" w:color="auto"/>
            </w:tcBorders>
            <w:shd w:val="clear" w:color="auto" w:fill="CCEEFF"/>
          </w:tcPr>
          <w:p>
            <w:pPr>
              <w:jc w:val="center"/>
              <w:ind w:left="611"/>
              <w:spacing w:after="0"/>
              <w:rPr>
                <w:sz w:val="20"/>
                <w:szCs w:val="20"/>
                <w:color w:val="auto"/>
              </w:rPr>
            </w:pPr>
            <w:r>
              <w:rPr>
                <w:rFonts w:ascii="Arial" w:cs="Arial" w:eastAsia="Arial" w:hAnsi="Arial"/>
                <w:sz w:val="18"/>
                <w:szCs w:val="18"/>
                <w:color w:val="auto"/>
                <w:w w:val="95"/>
              </w:rPr>
              <w:t>4/4</w:t>
            </w:r>
          </w:p>
        </w:tc>
        <w:tc>
          <w:tcPr>
            <w:tcW w:w="1580" w:type="dxa"/>
            <w:vAlign w:val="bottom"/>
            <w:tcBorders>
              <w:bottom w:val="single" w:sz="8" w:color="auto"/>
            </w:tcBorders>
            <w:shd w:val="clear" w:color="auto" w:fill="CCEEFF"/>
          </w:tcPr>
          <w:p>
            <w:pPr>
              <w:jc w:val="center"/>
              <w:ind w:left="15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center"/>
              <w:ind w:right="151"/>
              <w:spacing w:after="0"/>
              <w:rPr>
                <w:sz w:val="20"/>
                <w:szCs w:val="20"/>
                <w:color w:val="auto"/>
              </w:rPr>
            </w:pPr>
            <w:r>
              <w:rPr>
                <w:rFonts w:ascii="Arial" w:cs="Arial" w:eastAsia="Arial" w:hAnsi="Arial"/>
                <w:sz w:val="18"/>
                <w:szCs w:val="18"/>
                <w:color w:val="auto"/>
                <w:w w:val="87"/>
              </w:rPr>
              <w:t>4/4</w:t>
            </w:r>
          </w:p>
        </w:tc>
      </w:tr>
      <w:tr>
        <w:trPr>
          <w:trHeight w:val="219"/>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Declan McKeon (1)</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c>
          <w:tcPr>
            <w:tcW w:w="1660" w:type="dxa"/>
            <w:vAlign w:val="bottom"/>
            <w:tcBorders>
              <w:bottom w:val="single" w:sz="8" w:color="auto"/>
            </w:tcBorders>
          </w:tcPr>
          <w:p>
            <w:pPr>
              <w:jc w:val="center"/>
              <w:ind w:left="611"/>
              <w:spacing w:after="0"/>
              <w:rPr>
                <w:sz w:val="20"/>
                <w:szCs w:val="20"/>
                <w:color w:val="auto"/>
              </w:rPr>
            </w:pPr>
            <w:r>
              <w:rPr>
                <w:rFonts w:ascii="Arial" w:cs="Arial" w:eastAsia="Arial" w:hAnsi="Arial"/>
                <w:sz w:val="18"/>
                <w:szCs w:val="18"/>
                <w:color w:val="auto"/>
                <w:w w:val="95"/>
              </w:rPr>
              <w:t>4/4</w:t>
            </w:r>
          </w:p>
        </w:tc>
        <w:tc>
          <w:tcPr>
            <w:tcW w:w="158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2/2</w:t>
            </w: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99"/>
              </w:rPr>
              <w:t>-</w:t>
            </w:r>
          </w:p>
        </w:tc>
      </w:tr>
      <w:tr>
        <w:trPr>
          <w:trHeight w:val="219"/>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 William Hall (1)</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660" w:type="dxa"/>
            <w:vAlign w:val="bottom"/>
            <w:tcBorders>
              <w:bottom w:val="single" w:sz="8" w:color="auto"/>
            </w:tcBorders>
            <w:shd w:val="clear" w:color="auto" w:fill="CCEEFF"/>
          </w:tcPr>
          <w:p>
            <w:pPr>
              <w:jc w:val="center"/>
              <w:ind w:left="611"/>
              <w:spacing w:after="0"/>
              <w:rPr>
                <w:sz w:val="20"/>
                <w:szCs w:val="20"/>
                <w:color w:val="auto"/>
              </w:rPr>
            </w:pPr>
            <w:r>
              <w:rPr>
                <w:rFonts w:ascii="Arial" w:cs="Arial" w:eastAsia="Arial" w:hAnsi="Arial"/>
                <w:sz w:val="18"/>
                <w:szCs w:val="18"/>
                <w:color w:val="auto"/>
                <w:w w:val="95"/>
              </w:rPr>
              <w:t>4/4</w:t>
            </w:r>
          </w:p>
        </w:tc>
        <w:tc>
          <w:tcPr>
            <w:tcW w:w="1580" w:type="dxa"/>
            <w:vAlign w:val="bottom"/>
            <w:tcBorders>
              <w:bottom w:val="single" w:sz="8" w:color="auto"/>
            </w:tcBorders>
            <w:shd w:val="clear" w:color="auto" w:fill="CCEEFF"/>
          </w:tcPr>
          <w:p>
            <w:pPr>
              <w:jc w:val="center"/>
              <w:ind w:left="171"/>
              <w:spacing w:after="0"/>
              <w:rPr>
                <w:sz w:val="20"/>
                <w:szCs w:val="20"/>
                <w:color w:val="auto"/>
              </w:rPr>
            </w:pPr>
            <w:r>
              <w:rPr>
                <w:rFonts w:ascii="Arial" w:cs="Arial" w:eastAsia="Arial" w:hAnsi="Arial"/>
                <w:sz w:val="18"/>
                <w:szCs w:val="18"/>
                <w:color w:val="auto"/>
                <w:w w:val="95"/>
              </w:rPr>
              <w:t>4/4</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2/2</w:t>
            </w:r>
          </w:p>
        </w:tc>
        <w:tc>
          <w:tcPr>
            <w:tcW w:w="16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center"/>
              <w:ind w:right="151"/>
              <w:spacing w:after="0"/>
              <w:rPr>
                <w:sz w:val="20"/>
                <w:szCs w:val="20"/>
                <w:color w:val="auto"/>
              </w:rPr>
            </w:pPr>
            <w:r>
              <w:rPr>
                <w:rFonts w:ascii="Arial" w:cs="Arial" w:eastAsia="Arial" w:hAnsi="Arial"/>
                <w:sz w:val="18"/>
                <w:szCs w:val="18"/>
                <w:color w:val="auto"/>
                <w:w w:val="87"/>
              </w:rPr>
              <w:t>4/4</w:t>
            </w:r>
          </w:p>
        </w:tc>
      </w:tr>
      <w:tr>
        <w:trPr>
          <w:trHeight w:val="219"/>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Mary Pendergast (1)</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c>
          <w:tcPr>
            <w:tcW w:w="1660" w:type="dxa"/>
            <w:vAlign w:val="bottom"/>
            <w:tcBorders>
              <w:bottom w:val="single" w:sz="8" w:color="auto"/>
            </w:tcBorders>
          </w:tcPr>
          <w:p>
            <w:pPr>
              <w:jc w:val="center"/>
              <w:ind w:left="63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5"/>
              </w:rPr>
              <w:t>4/4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87"/>
              </w:rPr>
              <w:t>4/4</w:t>
            </w:r>
          </w:p>
        </w:tc>
      </w:tr>
      <w:tr>
        <w:trPr>
          <w:trHeight w:val="219"/>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Hugh Brady (1)</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660" w:type="dxa"/>
            <w:vAlign w:val="bottom"/>
            <w:tcBorders>
              <w:bottom w:val="single" w:sz="8" w:color="auto"/>
            </w:tcBorders>
            <w:shd w:val="clear" w:color="auto" w:fill="CCEEFF"/>
          </w:tcPr>
          <w:p>
            <w:pPr>
              <w:jc w:val="center"/>
              <w:ind w:left="63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center"/>
              <w:ind w:left="15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center"/>
              <w:ind w:right="151"/>
              <w:spacing w:after="0"/>
              <w:rPr>
                <w:sz w:val="20"/>
                <w:szCs w:val="20"/>
                <w:color w:val="auto"/>
              </w:rPr>
            </w:pPr>
            <w:r>
              <w:rPr>
                <w:rFonts w:ascii="Arial" w:cs="Arial" w:eastAsia="Arial" w:hAnsi="Arial"/>
                <w:sz w:val="18"/>
                <w:szCs w:val="18"/>
                <w:color w:val="auto"/>
                <w:w w:val="99"/>
              </w:rPr>
              <w:t>-</w:t>
            </w:r>
          </w:p>
        </w:tc>
      </w:tr>
      <w:tr>
        <w:trPr>
          <w:trHeight w:val="219"/>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Steve Cutler (2)</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1660" w:type="dxa"/>
            <w:vAlign w:val="bottom"/>
            <w:tcBorders>
              <w:bottom w:val="single" w:sz="8" w:color="auto"/>
            </w:tcBorders>
          </w:tcPr>
          <w:p>
            <w:pPr>
              <w:jc w:val="center"/>
              <w:ind w:left="63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99"/>
              </w:rPr>
              <w:t>-</w:t>
            </w:r>
          </w:p>
        </w:tc>
      </w:tr>
    </w:tbl>
    <w:p>
      <w:pPr>
        <w:spacing w:after="0" w:line="227" w:lineRule="exact"/>
        <w:rPr>
          <w:sz w:val="20"/>
          <w:szCs w:val="20"/>
          <w:color w:val="auto"/>
        </w:rPr>
      </w:pPr>
    </w:p>
    <w:p>
      <w:pPr>
        <w:ind w:left="680" w:hanging="35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Director as defined under NASDAQ Rule 5605(a)(2)</w:t>
      </w:r>
    </w:p>
    <w:p>
      <w:pPr>
        <w:spacing w:after="0" w:line="16" w:lineRule="exact"/>
        <w:rPr>
          <w:rFonts w:ascii="Arial" w:cs="Arial" w:eastAsia="Arial" w:hAnsi="Arial"/>
          <w:sz w:val="18"/>
          <w:szCs w:val="18"/>
          <w:color w:val="auto"/>
        </w:rPr>
      </w:pPr>
    </w:p>
    <w:p>
      <w:pPr>
        <w:ind w:left="680" w:hanging="35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 Steve Cutler was appointed as a Director on November 23,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Remuneration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policy</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w:t>
      </w:r>
    </w:p>
    <w:p>
      <w:pPr>
        <w:spacing w:after="0" w:line="21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Base salary, bonus awards and Directors’ fees were determined by the Compensation and Organization Committee in USD. In certain instances these awards were paid at a fixed euro rate determined by the Compensation and Organization Committee.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 remuneration</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Outside Directors are remunerated by way of Directors’ fees and are also eligible for participation in the share option scheme. Each Outside Director (excluding the Board Chairman) is paid an annual retainer of $61,800 and additional fees for Board Committee service. The Board Chairman is paid €463,500 (translated at average rate for the year: $510,000) annually and does not receive additional payment for Board Committee service. Outside Directors are not eligible for performance related bonuses and no pension contributions are made on their behalf. The Compensation and Organization Committee sets non-Executive remuneration.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Executive Directors’ and Key Executive Officers’ remuneration</w:t>
      </w:r>
    </w:p>
    <w:p>
      <w:pPr>
        <w:spacing w:after="0" w:line="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Total cash compensation is divided into a base salary portion and a bonus incentive portion. Base salary is established based on peer group and is adjusted based on individual performance, experience and the importance of the role.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60% and 100% with actual pay outs ranging from 90 to 220% of salary based on group and individual performance.</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 exceptional cash bonus of $6.3 million was awarded to Mr. Ciaran Murray Chief Executive Officer ($3.6 million), Mr. Brendan Brennan Chief Financial Officer ($0.9 million) and Dr. Steve Cutler Chief Operating Officer ($1.8 million), to reflect their contribution to the exceptional performance of the Company during 2014. Of the $1.8 million paid to Dr. Steve Cutler in 2015 in respect of exceptional performance in 2014, $386,000 is included within the 2015 amounts in the Summary compensation table--Year ended December 31, 2015. These amounts were approved by the Compensation and Organization Committee and paid during the year-ended December 31, 2015.</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 bonus of $3.2 million was awarded to Mr. Ciaran Murray Chief Executive Officer ($1.9 million), Mr. Brendan Brennan Chief Financial Officer ($0.5 million) and Dr. Steve Cutler Chief Operating Officer ($0.9 million), to reflect their contribution to the exceptional performance of the Company during 2014. These amounts were approved by the Compensation and Organization Committee and paid during the year-ended December 31, 2015.</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 additional bonus of $9.5 million was awarded by the Compensation and Organization Committee to Mr. Ciaran Murray Chief Executive Officer ($5.5 million), Mr. Brendan Brennan Chief Financial Officer ($1.5 million) and Dr. Steve Cutler Chief Operating Officer ($2.5 million), to reflect their contribution to the successful turnaround in the performance of the Company during 2012 and the creation of a platform to enable the delivery of long-term sustainable returns to the Company’s shareholders. The bonus was payable in either cash or ordinary shares of the Company, at the discretion of the Committee, over the 3 year period from approval by the Compensation and Organization Committee in 2013 up to December 31, 2015. The last payments in respect of this award were made in the year ending December 31, 2015.</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regularly scheduled meeting of the Committee in the fiscal year. The grant date is determined by the Committee, and grants are awarded at the closing price on the day of grant.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 The Company granted equity incentive awards to executive officers in its fiscal years ended December 31, 2012, December 31, 2013, December 31, 2014 and December 31, 2015 (</w:t>
      </w:r>
      <w:r>
        <w:rPr>
          <w:rFonts w:ascii="Arial" w:cs="Arial" w:eastAsia="Arial" w:hAnsi="Arial"/>
          <w:sz w:val="17"/>
          <w:szCs w:val="17"/>
          <w:i w:val="1"/>
          <w:iCs w:val="1"/>
          <w:color w:val="auto"/>
        </w:rPr>
        <w:t>see Share Ownership section for further information)</w:t>
      </w:r>
      <w:r>
        <w:rPr>
          <w:rFonts w:ascii="Arial" w:cs="Arial" w:eastAsia="Arial" w:hAnsi="Arial"/>
          <w:sz w:val="17"/>
          <w:szCs w:val="17"/>
          <w:color w:val="auto"/>
        </w:rPr>
        <w:t>.</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Executive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December 31, 2015</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880" w:type="dxa"/>
            <w:vAlign w:val="bottom"/>
            <w:tcBorders>
              <w:top w:val="single" w:sz="8" w:color="auto"/>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Name &amp; principal</w:t>
            </w:r>
          </w:p>
        </w:tc>
        <w:tc>
          <w:tcPr>
            <w:tcW w:w="78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Pension</w:t>
            </w:r>
          </w:p>
        </w:tc>
        <w:tc>
          <w:tcPr>
            <w:tcW w:w="1180" w:type="dxa"/>
            <w:vAlign w:val="bottom"/>
            <w:tcBorders>
              <w:top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All other</w:t>
            </w:r>
          </w:p>
        </w:tc>
        <w:tc>
          <w:tcPr>
            <w:tcW w:w="1000" w:type="dxa"/>
            <w:vAlign w:val="bottom"/>
            <w:tcBorders>
              <w:top w:val="single" w:sz="8" w:color="auto"/>
              <w:right w:val="single" w:sz="8" w:color="auto"/>
            </w:tcBorders>
          </w:tcPr>
          <w:p>
            <w:pPr>
              <w:spacing w:after="0"/>
              <w:rPr>
                <w:sz w:val="17"/>
                <w:szCs w:val="17"/>
                <w:color w:val="auto"/>
              </w:rPr>
            </w:pPr>
          </w:p>
        </w:tc>
        <w:tc>
          <w:tcPr>
            <w:tcW w:w="1280" w:type="dxa"/>
            <w:vAlign w:val="bottom"/>
            <w:tcBorders>
              <w:top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rPr>
              <w:t>Share-based</w:t>
            </w:r>
          </w:p>
        </w:tc>
        <w:tc>
          <w:tcPr>
            <w:tcW w:w="1040" w:type="dxa"/>
            <w:vAlign w:val="bottom"/>
            <w:tcBorders>
              <w:top w:val="single" w:sz="8" w:color="auto"/>
              <w:right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Director’s</w:t>
            </w:r>
          </w:p>
        </w:tc>
        <w:tc>
          <w:tcPr>
            <w:tcW w:w="1240" w:type="dxa"/>
            <w:vAlign w:val="bottom"/>
            <w:tcBorders>
              <w:top w:val="single" w:sz="8" w:color="auto"/>
              <w:right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Total</w:t>
            </w:r>
          </w:p>
        </w:tc>
      </w:tr>
      <w:tr>
        <w:trPr>
          <w:trHeight w:val="213"/>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c>
          <w:tcPr>
            <w:tcW w:w="78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Year</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Salary</w:t>
            </w: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Bonus*</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contribution</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compensation</w:t>
            </w: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Subtotal</w:t>
            </w:r>
          </w:p>
        </w:tc>
        <w:tc>
          <w:tcPr>
            <w:tcW w:w="1280" w:type="dxa"/>
            <w:vAlign w:val="bottom"/>
          </w:tcPr>
          <w:p>
            <w:pPr>
              <w:jc w:val="right"/>
              <w:ind w:right="71"/>
              <w:spacing w:after="0"/>
              <w:rPr>
                <w:sz w:val="20"/>
                <w:szCs w:val="20"/>
                <w:color w:val="auto"/>
              </w:rPr>
            </w:pPr>
            <w:r>
              <w:rPr>
                <w:rFonts w:ascii="Arial" w:cs="Arial" w:eastAsia="Arial" w:hAnsi="Arial"/>
                <w:sz w:val="18"/>
                <w:szCs w:val="18"/>
                <w:b w:val="1"/>
                <w:bCs w:val="1"/>
                <w:color w:val="auto"/>
                <w:w w:val="90"/>
              </w:rPr>
              <w:t>compensation</w:t>
            </w:r>
          </w:p>
        </w:tc>
        <w:tc>
          <w:tcPr>
            <w:tcW w:w="10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Fees</w:t>
            </w:r>
          </w:p>
        </w:tc>
        <w:tc>
          <w:tcPr>
            <w:tcW w:w="12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1"/>
              </w:rPr>
              <w:t>compensation</w:t>
            </w:r>
          </w:p>
        </w:tc>
      </w:tr>
      <w:tr>
        <w:trPr>
          <w:trHeight w:val="230"/>
        </w:trPr>
        <w:tc>
          <w:tcPr>
            <w:tcW w:w="1880" w:type="dxa"/>
            <w:vAlign w:val="bottom"/>
            <w:tcBorders>
              <w:left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$’000</w:t>
            </w: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$’000</w:t>
            </w: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$’000</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$’000</w:t>
            </w:r>
          </w:p>
        </w:tc>
        <w:tc>
          <w:tcPr>
            <w:tcW w:w="1280" w:type="dxa"/>
            <w:vAlign w:val="bottom"/>
          </w:tcPr>
          <w:p>
            <w:pPr>
              <w:jc w:val="right"/>
              <w:ind w:right="71"/>
              <w:spacing w:after="0"/>
              <w:rPr>
                <w:sz w:val="20"/>
                <w:szCs w:val="20"/>
                <w:color w:val="auto"/>
              </w:rPr>
            </w:pPr>
            <w:r>
              <w:rPr>
                <w:rFonts w:ascii="Arial" w:cs="Arial" w:eastAsia="Arial" w:hAnsi="Arial"/>
                <w:sz w:val="18"/>
                <w:szCs w:val="18"/>
                <w:b w:val="1"/>
                <w:bCs w:val="1"/>
                <w:color w:val="auto"/>
              </w:rPr>
              <w:t>$’000</w:t>
            </w:r>
          </w:p>
        </w:tc>
        <w:tc>
          <w:tcPr>
            <w:tcW w:w="10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$’000</w:t>
            </w:r>
          </w:p>
        </w:tc>
        <w:tc>
          <w:tcPr>
            <w:tcW w:w="12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$’000</w:t>
            </w:r>
          </w:p>
        </w:tc>
      </w:tr>
      <w:tr>
        <w:trPr>
          <w:trHeight w:val="201"/>
        </w:trPr>
        <w:tc>
          <w:tcPr>
            <w:tcW w:w="188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Ciaran Murray,</w:t>
            </w:r>
          </w:p>
        </w:tc>
        <w:tc>
          <w:tcPr>
            <w:tcW w:w="780" w:type="dxa"/>
            <w:vAlign w:val="bottom"/>
            <w:tcBorders>
              <w:right w:val="single" w:sz="8" w:color="auto"/>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r>
      <w:tr>
        <w:trPr>
          <w:trHeight w:val="225"/>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8"/>
              </w:rPr>
              <w:t>Chief Executive Officer</w:t>
            </w:r>
          </w:p>
        </w:tc>
        <w:tc>
          <w:tcPr>
            <w:tcW w:w="7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2015</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1,238</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2,575</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4,007</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6,839</w:t>
            </w:r>
          </w:p>
        </w:tc>
        <w:tc>
          <w:tcPr>
            <w:tcW w:w="104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10,846</w:t>
            </w:r>
          </w:p>
        </w:tc>
      </w:tr>
      <w:tr>
        <w:trPr>
          <w:trHeight w:val="200"/>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Brendan Brennan,</w:t>
            </w:r>
          </w:p>
        </w:tc>
        <w:tc>
          <w:tcPr>
            <w:tcW w:w="78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24"/>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c>
          <w:tcPr>
            <w:tcW w:w="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2015</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486</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610</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1,183</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1,206</w:t>
            </w:r>
          </w:p>
        </w:tc>
        <w:tc>
          <w:tcPr>
            <w:tcW w:w="104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2,389</w:t>
            </w:r>
          </w:p>
        </w:tc>
      </w:tr>
      <w:tr>
        <w:trPr>
          <w:trHeight w:val="201"/>
        </w:trPr>
        <w:tc>
          <w:tcPr>
            <w:tcW w:w="1880" w:type="dxa"/>
            <w:vAlign w:val="bottom"/>
            <w:tcBorders>
              <w:left w:val="single" w:sz="8" w:color="auto"/>
              <w:right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rPr>
              <w:t>Dr. Steve Cutler</w:t>
            </w:r>
          </w:p>
        </w:tc>
        <w:tc>
          <w:tcPr>
            <w:tcW w:w="780" w:type="dxa"/>
            <w:vAlign w:val="bottom"/>
            <w:tcBorders>
              <w:right w:val="single" w:sz="8" w:color="auto"/>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8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r>
      <w:tr>
        <w:trPr>
          <w:trHeight w:val="232"/>
        </w:trPr>
        <w:tc>
          <w:tcPr>
            <w:tcW w:w="1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Chief Operating Officer</w:t>
            </w:r>
          </w:p>
        </w:tc>
        <w:tc>
          <w:tcPr>
            <w:tcW w:w="78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2015</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766</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1,622**</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2,639</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4,298</w:t>
            </w:r>
          </w:p>
        </w:tc>
        <w:tc>
          <w:tcPr>
            <w:tcW w:w="104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6,937</w:t>
            </w:r>
          </w:p>
        </w:tc>
      </w:tr>
      <w:tr>
        <w:trPr>
          <w:trHeight w:val="219"/>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2015</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2,490</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4,807</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417</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100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7,829</w:t>
            </w:r>
          </w:p>
        </w:tc>
        <w:tc>
          <w:tcPr>
            <w:tcW w:w="12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12,343</w:t>
            </w: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20,172</w:t>
            </w:r>
          </w:p>
        </w:tc>
      </w:tr>
    </w:tbl>
    <w:p>
      <w:pPr>
        <w:ind w:left="720" w:hanging="714"/>
        <w:spacing w:after="0" w:line="276"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$1.8 million, $0.5 million and $0.8 million respectively for Ciaran Murray, Brendan Brennan and Dr Steve Cutler, which were paid during 2015 under the terms of the 2012 long-term incentive plan. **Includes an amount of $386,000 payable in respect of the additional 2014 bonus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December 31, 2014</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600" w:type="dxa"/>
            <w:vAlign w:val="bottom"/>
            <w:tcBorders>
              <w:top w:val="single" w:sz="8" w:color="auto"/>
              <w:left w:val="single" w:sz="8" w:color="auto"/>
              <w:right w:val="single" w:sz="8" w:color="auto"/>
            </w:tcBorders>
            <w:gridSpan w:val="2"/>
          </w:tcPr>
          <w:p>
            <w:pPr>
              <w:ind w:left="40"/>
              <w:spacing w:after="0" w:line="202" w:lineRule="exact"/>
              <w:rPr>
                <w:sz w:val="20"/>
                <w:szCs w:val="20"/>
                <w:color w:val="auto"/>
              </w:rPr>
            </w:pPr>
            <w:r>
              <w:rPr>
                <w:rFonts w:ascii="Arial" w:cs="Arial" w:eastAsia="Arial" w:hAnsi="Arial"/>
                <w:sz w:val="18"/>
                <w:szCs w:val="18"/>
                <w:b w:val="1"/>
                <w:bCs w:val="1"/>
                <w:color w:val="auto"/>
              </w:rPr>
              <w:t>Name &amp; principal</w:t>
            </w:r>
          </w:p>
        </w:tc>
        <w:tc>
          <w:tcPr>
            <w:tcW w:w="68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Pension</w:t>
            </w:r>
          </w:p>
        </w:tc>
        <w:tc>
          <w:tcPr>
            <w:tcW w:w="1140" w:type="dxa"/>
            <w:vAlign w:val="bottom"/>
            <w:tcBorders>
              <w:top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All other</w:t>
            </w:r>
          </w:p>
        </w:tc>
        <w:tc>
          <w:tcPr>
            <w:tcW w:w="90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rPr>
              <w:t>Share-based</w:t>
            </w:r>
          </w:p>
        </w:tc>
        <w:tc>
          <w:tcPr>
            <w:tcW w:w="1020" w:type="dxa"/>
            <w:vAlign w:val="bottom"/>
            <w:tcBorders>
              <w:top w:val="single" w:sz="8" w:color="auto"/>
              <w:right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Director’s</w:t>
            </w:r>
          </w:p>
        </w:tc>
        <w:tc>
          <w:tcPr>
            <w:tcW w:w="1220" w:type="dxa"/>
            <w:vAlign w:val="bottom"/>
            <w:tcBorders>
              <w:top w:val="single" w:sz="8" w:color="auto"/>
              <w:right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Total</w:t>
            </w:r>
          </w:p>
        </w:tc>
      </w:tr>
      <w:tr>
        <w:trPr>
          <w:trHeight w:val="213"/>
        </w:trPr>
        <w:tc>
          <w:tcPr>
            <w:tcW w:w="74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w w:val="97"/>
              </w:rPr>
              <w:t>position</w:t>
            </w:r>
          </w:p>
        </w:tc>
        <w:tc>
          <w:tcPr>
            <w:tcW w:w="8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Year</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Salary</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Bonus**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7"/>
              </w:rPr>
              <w:t>contribution</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compensation</w:t>
            </w:r>
          </w:p>
        </w:tc>
        <w:tc>
          <w:tcPr>
            <w:tcW w:w="9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Subtotal</w:t>
            </w: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w w:val="90"/>
              </w:rPr>
              <w:t>compensation</w:t>
            </w:r>
          </w:p>
        </w:tc>
        <w:tc>
          <w:tcPr>
            <w:tcW w:w="10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Fees</w:t>
            </w:r>
          </w:p>
        </w:tc>
        <w:tc>
          <w:tcPr>
            <w:tcW w:w="12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0"/>
              </w:rPr>
              <w:t>compensation</w:t>
            </w:r>
          </w:p>
        </w:tc>
      </w:tr>
      <w:tr>
        <w:trPr>
          <w:trHeight w:val="230"/>
        </w:trPr>
        <w:tc>
          <w:tcPr>
            <w:tcW w:w="740" w:type="dxa"/>
            <w:vAlign w:val="bottom"/>
            <w:tcBorders>
              <w:left w:val="single" w:sz="8" w:color="auto"/>
            </w:tcBorders>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9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51"/>
              <w:spacing w:after="0"/>
              <w:rPr>
                <w:sz w:val="20"/>
                <w:szCs w:val="20"/>
                <w:color w:val="auto"/>
              </w:rPr>
            </w:pPr>
            <w:r>
              <w:rPr>
                <w:rFonts w:ascii="Arial" w:cs="Arial" w:eastAsia="Arial" w:hAnsi="Arial"/>
                <w:sz w:val="18"/>
                <w:szCs w:val="18"/>
                <w:b w:val="1"/>
                <w:bCs w:val="1"/>
                <w:color w:val="auto"/>
              </w:rPr>
              <w:t>$’000</w:t>
            </w:r>
          </w:p>
        </w:tc>
        <w:tc>
          <w:tcPr>
            <w:tcW w:w="10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$’000</w:t>
            </w:r>
          </w:p>
        </w:tc>
      </w:tr>
      <w:tr>
        <w:trPr>
          <w:trHeight w:val="201"/>
        </w:trPr>
        <w:tc>
          <w:tcPr>
            <w:tcW w:w="1600" w:type="dxa"/>
            <w:vAlign w:val="bottom"/>
            <w:tcBorders>
              <w:left w:val="single" w:sz="8" w:color="auto"/>
              <w:right w:val="single" w:sz="8" w:color="auto"/>
            </w:tcBorders>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Ciaran Murray,</w:t>
            </w:r>
          </w:p>
        </w:tc>
        <w:tc>
          <w:tcPr>
            <w:tcW w:w="680" w:type="dxa"/>
            <w:vAlign w:val="bottom"/>
            <w:tcBorders>
              <w:right w:val="single" w:sz="8" w:color="auto"/>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r>
      <w:tr>
        <w:trPr>
          <w:trHeight w:val="213"/>
        </w:trPr>
        <w:tc>
          <w:tcPr>
            <w:tcW w:w="160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w:t>
            </w:r>
          </w:p>
        </w:tc>
        <w:tc>
          <w:tcPr>
            <w:tcW w:w="68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r>
      <w:tr>
        <w:trPr>
          <w:trHeight w:val="225"/>
        </w:trPr>
        <w:tc>
          <w:tcPr>
            <w:tcW w:w="7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60" w:type="dxa"/>
            <w:vAlign w:val="bottom"/>
            <w:tcBorders>
              <w:right w:val="single" w:sz="8" w:color="auto"/>
            </w:tcBorders>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90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6,806</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5,415</w:t>
            </w:r>
          </w:p>
        </w:tc>
        <w:tc>
          <w:tcPr>
            <w:tcW w:w="102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12,221</w:t>
            </w:r>
          </w:p>
        </w:tc>
      </w:tr>
      <w:tr>
        <w:trPr>
          <w:trHeight w:val="200"/>
        </w:trPr>
        <w:tc>
          <w:tcPr>
            <w:tcW w:w="16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Brendan Brennan,</w:t>
            </w:r>
          </w:p>
        </w:tc>
        <w:tc>
          <w:tcPr>
            <w:tcW w:w="6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r>
      <w:tr>
        <w:trPr>
          <w:trHeight w:val="213"/>
        </w:trPr>
        <w:tc>
          <w:tcPr>
            <w:tcW w:w="16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Chief Financial</w:t>
            </w:r>
          </w:p>
        </w:tc>
        <w:tc>
          <w:tcPr>
            <w:tcW w:w="6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24"/>
        </w:trPr>
        <w:tc>
          <w:tcPr>
            <w:tcW w:w="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Officer</w:t>
            </w:r>
          </w:p>
        </w:tc>
        <w:tc>
          <w:tcPr>
            <w:tcW w:w="86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820" w:type="dxa"/>
            <w:vAlign w:val="bottom"/>
          </w:tcPr>
          <w:p>
            <w:pPr>
              <w:jc w:val="right"/>
              <w:spacing w:after="0"/>
              <w:rPr>
                <w:sz w:val="20"/>
                <w:szCs w:val="20"/>
                <w:color w:val="auto"/>
              </w:rPr>
            </w:pPr>
            <w:r>
              <w:rPr>
                <w:rFonts w:ascii="Arial" w:cs="Arial" w:eastAsia="Arial" w:hAnsi="Arial"/>
                <w:sz w:val="18"/>
                <w:szCs w:val="18"/>
                <w:color w:val="auto"/>
              </w:rPr>
              <w:t>478</w:t>
            </w:r>
          </w:p>
        </w:tc>
        <w:tc>
          <w:tcPr>
            <w:tcW w:w="820" w:type="dxa"/>
            <w:vAlign w:val="bottom"/>
          </w:tcPr>
          <w:p>
            <w:pPr>
              <w:jc w:val="right"/>
              <w:spacing w:after="0"/>
              <w:rPr>
                <w:sz w:val="20"/>
                <w:szCs w:val="20"/>
                <w:color w:val="auto"/>
              </w:rPr>
            </w:pPr>
            <w:r>
              <w:rPr>
                <w:rFonts w:ascii="Arial" w:cs="Arial" w:eastAsia="Arial" w:hAnsi="Arial"/>
                <w:sz w:val="18"/>
                <w:szCs w:val="18"/>
                <w:color w:val="auto"/>
              </w:rPr>
              <w:t>1,333*</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90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1,902</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1,002</w:t>
            </w:r>
          </w:p>
        </w:tc>
        <w:tc>
          <w:tcPr>
            <w:tcW w:w="10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2,904</w:t>
            </w:r>
          </w:p>
        </w:tc>
      </w:tr>
      <w:tr>
        <w:trPr>
          <w:trHeight w:val="201"/>
        </w:trPr>
        <w:tc>
          <w:tcPr>
            <w:tcW w:w="1600" w:type="dxa"/>
            <w:vAlign w:val="bottom"/>
            <w:tcBorders>
              <w:left w:val="single" w:sz="8" w:color="auto"/>
              <w:right w:val="single" w:sz="8" w:color="auto"/>
            </w:tcBorders>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Dr. Steve Cutler</w:t>
            </w:r>
          </w:p>
        </w:tc>
        <w:tc>
          <w:tcPr>
            <w:tcW w:w="680" w:type="dxa"/>
            <w:vAlign w:val="bottom"/>
            <w:tcBorders>
              <w:right w:val="single" w:sz="8" w:color="auto"/>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220" w:type="dxa"/>
            <w:vAlign w:val="bottom"/>
            <w:tcBorders>
              <w:right w:val="single" w:sz="8" w:color="auto"/>
            </w:tcBorders>
            <w:shd w:val="clear" w:color="auto" w:fill="CCEEFF"/>
          </w:tcPr>
          <w:p>
            <w:pPr>
              <w:spacing w:after="0"/>
              <w:rPr>
                <w:sz w:val="17"/>
                <w:szCs w:val="17"/>
                <w:color w:val="auto"/>
              </w:rPr>
            </w:pPr>
          </w:p>
        </w:tc>
      </w:tr>
      <w:tr>
        <w:trPr>
          <w:trHeight w:val="213"/>
        </w:trPr>
        <w:tc>
          <w:tcPr>
            <w:tcW w:w="7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w:t>
            </w:r>
          </w:p>
        </w:tc>
        <w:tc>
          <w:tcPr>
            <w:tcW w:w="86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Operating</w:t>
            </w:r>
          </w:p>
        </w:tc>
        <w:tc>
          <w:tcPr>
            <w:tcW w:w="680" w:type="dxa"/>
            <w:vAlign w:val="bottom"/>
            <w:tcBorders>
              <w:right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r>
      <w:tr>
        <w:trPr>
          <w:trHeight w:val="232"/>
        </w:trPr>
        <w:tc>
          <w:tcPr>
            <w:tcW w:w="7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3,199</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2,823</w:t>
            </w:r>
          </w:p>
        </w:tc>
        <w:tc>
          <w:tcPr>
            <w:tcW w:w="102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6,022</w:t>
            </w:r>
          </w:p>
        </w:tc>
      </w:tr>
      <w:tr>
        <w:trPr>
          <w:trHeight w:val="219"/>
        </w:trPr>
        <w:tc>
          <w:tcPr>
            <w:tcW w:w="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2014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9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11,907</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9,240</w:t>
            </w:r>
          </w:p>
        </w:tc>
        <w:tc>
          <w:tcPr>
            <w:tcW w:w="10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21,147</w:t>
            </w:r>
          </w:p>
        </w:tc>
      </w:tr>
    </w:tbl>
    <w:p>
      <w:pPr>
        <w:ind w:left="720" w:hanging="714"/>
        <w:spacing w:after="0" w:line="245"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$3.6 million, $0.9 million and $1.4 million respectively for Ciaran Murray, Brendan Brennan and Dr Steve Cutler, payable in respect of the additional 2014 bonus plan.</w:t>
      </w:r>
    </w:p>
    <w:p>
      <w:pPr>
        <w:spacing w:after="0" w:line="2" w:lineRule="exact"/>
        <w:rPr>
          <w:sz w:val="20"/>
          <w:szCs w:val="20"/>
          <w:color w:val="auto"/>
        </w:rPr>
      </w:pPr>
    </w:p>
    <w:p>
      <w:pPr>
        <w:ind w:left="720" w:hanging="714"/>
        <w:spacing w:after="0" w:line="25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$2.0 million, $0.5 million and $0.8 million respectively for Ciaran Murray, Brendan Brennan and Dr Steve Cutler, which were paid during 2014 under the terms of the 2012 long-term incentive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13"/>
        </w:trPr>
        <w:tc>
          <w:tcPr>
            <w:tcW w:w="2440" w:type="dxa"/>
            <w:vAlign w:val="bottom"/>
          </w:tcPr>
          <w:p>
            <w:pPr>
              <w:spacing w:after="0"/>
              <w:rPr>
                <w:sz w:val="20"/>
                <w:szCs w:val="20"/>
                <w:color w:val="auto"/>
              </w:rPr>
            </w:pPr>
            <w:r>
              <w:rPr>
                <w:rFonts w:ascii="Arial" w:cs="Arial" w:eastAsia="Arial" w:hAnsi="Arial"/>
                <w:sz w:val="18"/>
                <w:szCs w:val="18"/>
                <w:b w:val="1"/>
                <w:bCs w:val="1"/>
                <w:color w:val="auto"/>
              </w:rPr>
              <w:t>Director Compensation</w:t>
            </w: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5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Summary compensation table - Year ended December 31, 2015</w:t>
            </w:r>
          </w:p>
        </w:tc>
        <w:tc>
          <w:tcPr>
            <w:tcW w:w="1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4"/>
        </w:trPr>
        <w:tc>
          <w:tcPr>
            <w:tcW w:w="244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jc w:val="right"/>
              <w:ind w:right="31"/>
              <w:spacing w:after="0" w:line="195" w:lineRule="exact"/>
              <w:rPr>
                <w:sz w:val="20"/>
                <w:szCs w:val="20"/>
                <w:color w:val="auto"/>
              </w:rPr>
            </w:pPr>
            <w:r>
              <w:rPr>
                <w:rFonts w:ascii="Arial" w:cs="Arial" w:eastAsia="Arial" w:hAnsi="Arial"/>
                <w:sz w:val="18"/>
                <w:szCs w:val="18"/>
                <w:b w:val="1"/>
                <w:bCs w:val="1"/>
                <w:color w:val="auto"/>
              </w:rPr>
              <w:t>Company</w:t>
            </w:r>
          </w:p>
        </w:tc>
        <w:tc>
          <w:tcPr>
            <w:tcW w:w="1280" w:type="dxa"/>
            <w:vAlign w:val="bottom"/>
            <w:tcBorders>
              <w:right w:val="single" w:sz="8" w:color="auto"/>
            </w:tcBorders>
          </w:tcPr>
          <w:p>
            <w:pPr>
              <w:jc w:val="right"/>
              <w:ind w:right="51"/>
              <w:spacing w:after="0" w:line="195" w:lineRule="exact"/>
              <w:rPr>
                <w:sz w:val="20"/>
                <w:szCs w:val="20"/>
                <w:color w:val="auto"/>
              </w:rPr>
            </w:pPr>
            <w:r>
              <w:rPr>
                <w:rFonts w:ascii="Arial" w:cs="Arial" w:eastAsia="Arial" w:hAnsi="Arial"/>
                <w:sz w:val="18"/>
                <w:szCs w:val="18"/>
                <w:b w:val="1"/>
                <w:bCs w:val="1"/>
                <w:color w:val="auto"/>
              </w:rPr>
              <w:t>All other</w:t>
            </w:r>
          </w:p>
        </w:tc>
        <w:tc>
          <w:tcPr>
            <w:tcW w:w="980" w:type="dxa"/>
            <w:vAlign w:val="bottom"/>
            <w:tcBorders>
              <w:right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13"/>
        </w:trPr>
        <w:tc>
          <w:tcPr>
            <w:tcW w:w="244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pension</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1"/>
              </w:rPr>
              <w:t>compensation</w:t>
            </w:r>
          </w:p>
        </w:tc>
        <w:tc>
          <w:tcPr>
            <w:tcW w:w="980" w:type="dxa"/>
            <w:vAlign w:val="bottom"/>
            <w:tcBorders>
              <w:right w:val="single" w:sz="8" w:color="auto"/>
            </w:tcBorders>
          </w:tcPr>
          <w:p>
            <w:pPr>
              <w:spacing w:after="0"/>
              <w:rPr>
                <w:sz w:val="18"/>
                <w:szCs w:val="18"/>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rPr>
              <w:t>Share-based</w:t>
            </w: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Director’s</w:t>
            </w:r>
          </w:p>
        </w:tc>
        <w:tc>
          <w:tcPr>
            <w:tcW w:w="126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38"/>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Year</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Salary</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contribution</w:t>
            </w:r>
          </w:p>
        </w:tc>
        <w:tc>
          <w:tcPr>
            <w:tcW w:w="128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Subtotal</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1"/>
              </w:rPr>
              <w:t>compensation</w:t>
            </w:r>
          </w:p>
        </w:tc>
        <w:tc>
          <w:tcPr>
            <w:tcW w:w="112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fees</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Compensation</w:t>
            </w:r>
          </w:p>
        </w:tc>
      </w:tr>
      <w:tr>
        <w:trPr>
          <w:trHeight w:val="213"/>
        </w:trPr>
        <w:tc>
          <w:tcPr>
            <w:tcW w:w="244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$’000</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$’000</w:t>
            </w:r>
          </w:p>
        </w:tc>
        <w:tc>
          <w:tcPr>
            <w:tcW w:w="9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rPr>
              <w:t>$’000</w:t>
            </w: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$’000</w:t>
            </w:r>
          </w:p>
        </w:tc>
        <w:tc>
          <w:tcPr>
            <w:tcW w:w="126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$’000</w:t>
            </w: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Thomas Lynch</w:t>
            </w:r>
          </w:p>
        </w:tc>
        <w:tc>
          <w:tcPr>
            <w:tcW w:w="6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75</w:t>
            </w:r>
          </w:p>
        </w:tc>
        <w:tc>
          <w:tcPr>
            <w:tcW w:w="112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512</w:t>
            </w:r>
          </w:p>
        </w:tc>
        <w:tc>
          <w:tcPr>
            <w:tcW w:w="126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r>
      <w:tr>
        <w:trPr>
          <w:trHeight w:val="213"/>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Ciaran Murray</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1,238</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2,614</w:t>
            </w:r>
          </w:p>
        </w:tc>
        <w:tc>
          <w:tcPr>
            <w:tcW w:w="9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4,007</w:t>
            </w: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6,839</w:t>
            </w: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10,846</w:t>
            </w: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John Climax</w:t>
            </w:r>
          </w:p>
        </w:tc>
        <w:tc>
          <w:tcPr>
            <w:tcW w:w="6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w:t>
            </w:r>
          </w:p>
        </w:tc>
        <w:tc>
          <w:tcPr>
            <w:tcW w:w="112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75</w:t>
            </w:r>
          </w:p>
        </w:tc>
        <w:tc>
          <w:tcPr>
            <w:tcW w:w="126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13"/>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Ronan Lambe</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75</w:t>
            </w:r>
          </w:p>
        </w:tc>
        <w:tc>
          <w:tcPr>
            <w:tcW w:w="126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144</w:t>
            </w: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Dermot Kelleher</w:t>
            </w:r>
          </w:p>
        </w:tc>
        <w:tc>
          <w:tcPr>
            <w:tcW w:w="6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w:t>
            </w:r>
          </w:p>
        </w:tc>
        <w:tc>
          <w:tcPr>
            <w:tcW w:w="112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96</w:t>
            </w:r>
          </w:p>
        </w:tc>
        <w:tc>
          <w:tcPr>
            <w:tcW w:w="126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r>
      <w:tr>
        <w:trPr>
          <w:trHeight w:val="213"/>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Declan McKeon</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71</w:t>
            </w: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121</w:t>
            </w:r>
          </w:p>
        </w:tc>
        <w:tc>
          <w:tcPr>
            <w:tcW w:w="126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192</w:t>
            </w: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William Hall</w:t>
            </w:r>
          </w:p>
        </w:tc>
        <w:tc>
          <w:tcPr>
            <w:tcW w:w="6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75</w:t>
            </w:r>
          </w:p>
        </w:tc>
        <w:tc>
          <w:tcPr>
            <w:tcW w:w="112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121</w:t>
            </w:r>
          </w:p>
        </w:tc>
        <w:tc>
          <w:tcPr>
            <w:tcW w:w="126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r>
      <w:tr>
        <w:trPr>
          <w:trHeight w:val="213"/>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Mary Pendergast</w:t>
            </w: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57</w:t>
            </w:r>
          </w:p>
        </w:tc>
        <w:tc>
          <w:tcPr>
            <w:tcW w:w="112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88</w:t>
            </w:r>
          </w:p>
        </w:tc>
        <w:tc>
          <w:tcPr>
            <w:tcW w:w="126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Hugh Brady</w:t>
            </w:r>
          </w:p>
        </w:tc>
        <w:tc>
          <w:tcPr>
            <w:tcW w:w="6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57</w:t>
            </w:r>
          </w:p>
        </w:tc>
        <w:tc>
          <w:tcPr>
            <w:tcW w:w="112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63</w:t>
            </w:r>
          </w:p>
        </w:tc>
        <w:tc>
          <w:tcPr>
            <w:tcW w:w="126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19"/>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 Steve Cutler*</w:t>
            </w:r>
          </w:p>
        </w:tc>
        <w:tc>
          <w:tcPr>
            <w:tcW w:w="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766</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201</w:t>
            </w:r>
          </w:p>
        </w:tc>
        <w:tc>
          <w:tcPr>
            <w:tcW w:w="128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1,672***</w:t>
            </w:r>
          </w:p>
        </w:tc>
        <w:tc>
          <w:tcPr>
            <w:tcW w:w="98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2,639</w:t>
            </w: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4,298</w:t>
            </w:r>
          </w:p>
        </w:tc>
        <w:tc>
          <w:tcPr>
            <w:tcW w:w="112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6,937</w:t>
            </w:r>
          </w:p>
        </w:tc>
      </w:tr>
      <w:tr>
        <w:trPr>
          <w:trHeight w:val="253"/>
        </w:trPr>
        <w:tc>
          <w:tcPr>
            <w:tcW w:w="24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2015</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2,004</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356</w:t>
            </w:r>
          </w:p>
        </w:tc>
        <w:tc>
          <w:tcPr>
            <w:tcW w:w="128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4,286</w:t>
            </w:r>
          </w:p>
        </w:tc>
        <w:tc>
          <w:tcPr>
            <w:tcW w:w="98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6,646</w:t>
            </w:r>
          </w:p>
        </w:tc>
        <w:tc>
          <w:tcPr>
            <w:tcW w:w="1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11,679</w:t>
            </w:r>
          </w:p>
        </w:tc>
        <w:tc>
          <w:tcPr>
            <w:tcW w:w="112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1,151</w:t>
            </w:r>
          </w:p>
        </w:tc>
        <w:tc>
          <w:tcPr>
            <w:tcW w:w="126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19,476</w:t>
            </w:r>
          </w:p>
        </w:tc>
      </w:tr>
    </w:tbl>
    <w:p>
      <w:pPr>
        <w:ind w:right="260" w:firstLine="6"/>
        <w:spacing w:after="0" w:line="260" w:lineRule="auto"/>
        <w:tabs>
          <w:tab w:leader="none" w:pos="123" w:val="left"/>
        </w:tabs>
        <w:numPr>
          <w:ilvl w:val="0"/>
          <w:numId w:val="18"/>
        </w:numPr>
        <w:rPr>
          <w:rFonts w:ascii="Arial" w:cs="Arial" w:eastAsia="Arial" w:hAnsi="Arial"/>
          <w:sz w:val="17"/>
          <w:szCs w:val="17"/>
          <w:color w:val="auto"/>
        </w:rPr>
      </w:pPr>
      <w:r>
        <w:rPr>
          <w:rFonts w:ascii="Arial" w:cs="Arial" w:eastAsia="Arial" w:hAnsi="Arial"/>
          <w:sz w:val="17"/>
          <w:szCs w:val="17"/>
          <w:color w:val="auto"/>
        </w:rPr>
        <w:t>Appointed to the Board in November 2015 ** Excludes $1.8 million and $0.8 million respectively for Ciaran Murray and Dr Steve Cutler paid during 2015 under the terms of the 2012 long-term incentive plan. ***Includes an amount of $386,000 payable in respect of the additional 2014 bonus plan.</w:t>
      </w:r>
    </w:p>
    <w:p>
      <w:pPr>
        <w:spacing w:after="0"/>
        <w:rPr>
          <w:rFonts w:ascii="Arial" w:cs="Arial" w:eastAsia="Arial" w:hAnsi="Arial"/>
          <w:sz w:val="17"/>
          <w:szCs w:val="17"/>
          <w:color w:val="auto"/>
        </w:rPr>
      </w:pPr>
      <w:r>
        <w:rPr>
          <w:rFonts w:ascii="Arial" w:cs="Arial" w:eastAsia="Arial" w:hAnsi="Arial"/>
          <w:sz w:val="18"/>
          <w:szCs w:val="18"/>
          <w:b w:val="1"/>
          <w:bCs w:val="1"/>
          <w:color w:val="auto"/>
        </w:rPr>
        <w:t>Summary compensation table - Year ended December 31, 2014</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440" w:type="dxa"/>
            <w:vAlign w:val="bottom"/>
            <w:tcBorders>
              <w:top w:val="single" w:sz="8" w:color="auto"/>
              <w:left w:val="single" w:sz="8" w:color="auto"/>
              <w:right w:val="single" w:sz="8" w:color="auto"/>
            </w:tcBorders>
          </w:tcPr>
          <w:p>
            <w:pPr>
              <w:spacing w:after="0"/>
              <w:rPr>
                <w:sz w:val="17"/>
                <w:szCs w:val="17"/>
                <w:color w:val="auto"/>
              </w:rPr>
            </w:pPr>
          </w:p>
        </w:tc>
        <w:tc>
          <w:tcPr>
            <w:tcW w:w="66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1"/>
              <w:spacing w:after="0" w:line="202" w:lineRule="exact"/>
              <w:rPr>
                <w:sz w:val="20"/>
                <w:szCs w:val="20"/>
                <w:color w:val="auto"/>
              </w:rPr>
            </w:pPr>
            <w:r>
              <w:rPr>
                <w:rFonts w:ascii="Arial" w:cs="Arial" w:eastAsia="Arial" w:hAnsi="Arial"/>
                <w:sz w:val="18"/>
                <w:szCs w:val="18"/>
                <w:b w:val="1"/>
                <w:bCs w:val="1"/>
                <w:color w:val="auto"/>
              </w:rPr>
              <w:t>Company</w:t>
            </w:r>
          </w:p>
        </w:tc>
        <w:tc>
          <w:tcPr>
            <w:tcW w:w="1280" w:type="dxa"/>
            <w:vAlign w:val="bottom"/>
            <w:tcBorders>
              <w:top w:val="single" w:sz="8" w:color="auto"/>
              <w:right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spacing w:after="0"/>
              <w:rPr>
                <w:sz w:val="17"/>
                <w:szCs w:val="17"/>
                <w:color w:val="auto"/>
              </w:rPr>
            </w:pPr>
          </w:p>
        </w:tc>
        <w:tc>
          <w:tcPr>
            <w:tcW w:w="1320" w:type="dxa"/>
            <w:vAlign w:val="bottom"/>
            <w:tcBorders>
              <w:top w:val="single" w:sz="8" w:color="auto"/>
              <w:right w:val="single" w:sz="8" w:color="auto"/>
            </w:tcBorders>
          </w:tcPr>
          <w:p>
            <w:pPr>
              <w:spacing w:after="0"/>
              <w:rPr>
                <w:sz w:val="17"/>
                <w:szCs w:val="17"/>
                <w:color w:val="auto"/>
              </w:rPr>
            </w:pPr>
          </w:p>
        </w:tc>
      </w:tr>
      <w:tr>
        <w:trPr>
          <w:trHeight w:val="213"/>
        </w:trPr>
        <w:tc>
          <w:tcPr>
            <w:tcW w:w="24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pension</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All other</w:t>
            </w:r>
          </w:p>
        </w:tc>
        <w:tc>
          <w:tcPr>
            <w:tcW w:w="1000" w:type="dxa"/>
            <w:vAlign w:val="bottom"/>
            <w:tcBorders>
              <w:right w:val="single" w:sz="8" w:color="auto"/>
            </w:tcBorders>
          </w:tcPr>
          <w:p>
            <w:pPr>
              <w:spacing w:after="0"/>
              <w:rPr>
                <w:sz w:val="18"/>
                <w:szCs w:val="18"/>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b w:val="1"/>
                <w:bCs w:val="1"/>
                <w:color w:val="auto"/>
              </w:rPr>
              <w:t>Share-based</w:t>
            </w:r>
          </w:p>
        </w:tc>
        <w:tc>
          <w:tcPr>
            <w:tcW w:w="11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Director’s</w:t>
            </w:r>
          </w:p>
        </w:tc>
        <w:tc>
          <w:tcPr>
            <w:tcW w:w="13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38"/>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6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Year</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Salary</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contribution</w:t>
            </w:r>
          </w:p>
        </w:tc>
        <w:tc>
          <w:tcPr>
            <w:tcW w:w="128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3"/>
              </w:rPr>
              <w:t>compensation</w:t>
            </w:r>
          </w:p>
        </w:tc>
        <w:tc>
          <w:tcPr>
            <w:tcW w:w="100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Subtotal</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0"/>
              </w:rPr>
              <w:t>compensation</w:t>
            </w:r>
          </w:p>
        </w:tc>
        <w:tc>
          <w:tcPr>
            <w:tcW w:w="11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fees</w:t>
            </w:r>
          </w:p>
        </w:tc>
        <w:tc>
          <w:tcPr>
            <w:tcW w:w="13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5"/>
              </w:rPr>
              <w:t>Compensation</w:t>
            </w:r>
          </w:p>
        </w:tc>
      </w:tr>
      <w:tr>
        <w:trPr>
          <w:trHeight w:val="213"/>
        </w:trPr>
        <w:tc>
          <w:tcPr>
            <w:tcW w:w="24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$’000</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$’000</w:t>
            </w: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31"/>
              <w:spacing w:after="0"/>
              <w:rPr>
                <w:sz w:val="20"/>
                <w:szCs w:val="20"/>
                <w:color w:val="auto"/>
              </w:rPr>
            </w:pPr>
            <w:r>
              <w:rPr>
                <w:rFonts w:ascii="Arial" w:cs="Arial" w:eastAsia="Arial" w:hAnsi="Arial"/>
                <w:sz w:val="18"/>
                <w:szCs w:val="18"/>
                <w:b w:val="1"/>
                <w:bCs w:val="1"/>
                <w:color w:val="auto"/>
              </w:rPr>
              <w:t>$’000</w:t>
            </w:r>
          </w:p>
        </w:tc>
        <w:tc>
          <w:tcPr>
            <w:tcW w:w="11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$’000</w:t>
            </w:r>
          </w:p>
        </w:tc>
        <w:tc>
          <w:tcPr>
            <w:tcW w:w="13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$’000</w:t>
            </w: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Thomas Lynch</w:t>
            </w:r>
          </w:p>
        </w:tc>
        <w:tc>
          <w:tcPr>
            <w:tcW w:w="6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c>
          <w:tcPr>
            <w:tcW w:w="112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132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r>
      <w:tr>
        <w:trPr>
          <w:trHeight w:val="213"/>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Ciaran Murray</w:t>
            </w:r>
          </w:p>
        </w:tc>
        <w:tc>
          <w:tcPr>
            <w:tcW w:w="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1,184</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5,474****</w:t>
            </w: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6,806</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5,415</w:t>
            </w:r>
          </w:p>
        </w:tc>
        <w:tc>
          <w:tcPr>
            <w:tcW w:w="11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12,221</w:t>
            </w: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John Climax</w:t>
            </w:r>
          </w:p>
        </w:tc>
        <w:tc>
          <w:tcPr>
            <w:tcW w:w="6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112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32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13"/>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Ronan Lambe</w:t>
            </w:r>
          </w:p>
        </w:tc>
        <w:tc>
          <w:tcPr>
            <w:tcW w:w="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11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68</w:t>
            </w:r>
          </w:p>
        </w:tc>
        <w:tc>
          <w:tcPr>
            <w:tcW w:w="13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98</w:t>
            </w: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Dermot Kelleher</w:t>
            </w:r>
          </w:p>
        </w:tc>
        <w:tc>
          <w:tcPr>
            <w:tcW w:w="6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112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32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13"/>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Declan McKeon</w:t>
            </w:r>
          </w:p>
        </w:tc>
        <w:tc>
          <w:tcPr>
            <w:tcW w:w="6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34</w:t>
            </w:r>
          </w:p>
        </w:tc>
        <w:tc>
          <w:tcPr>
            <w:tcW w:w="11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113</w:t>
            </w:r>
          </w:p>
        </w:tc>
        <w:tc>
          <w:tcPr>
            <w:tcW w:w="13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147</w:t>
            </w: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Cathrin Petty*</w:t>
            </w:r>
          </w:p>
        </w:tc>
        <w:tc>
          <w:tcPr>
            <w:tcW w:w="66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2014</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c>
          <w:tcPr>
            <w:tcW w:w="112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32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13"/>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Hall</w:t>
            </w:r>
          </w:p>
        </w:tc>
        <w:tc>
          <w:tcPr>
            <w:tcW w:w="6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2014</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34</w:t>
            </w:r>
          </w:p>
        </w:tc>
        <w:tc>
          <w:tcPr>
            <w:tcW w:w="112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109</w:t>
            </w:r>
          </w:p>
        </w:tc>
        <w:tc>
          <w:tcPr>
            <w:tcW w:w="132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Mary Pendergast**</w:t>
            </w:r>
          </w:p>
        </w:tc>
        <w:tc>
          <w:tcPr>
            <w:tcW w:w="66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2014</w:t>
            </w: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c>
          <w:tcPr>
            <w:tcW w:w="1120" w:type="dxa"/>
            <w:vAlign w:val="bottom"/>
            <w:tcBorders>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320" w:type="dxa"/>
            <w:vAlign w:val="bottom"/>
            <w:tcBorders>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r>
      <w:tr>
        <w:trPr>
          <w:trHeight w:val="219"/>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Hugh Brady ***</w:t>
            </w:r>
          </w:p>
        </w:tc>
        <w:tc>
          <w:tcPr>
            <w:tcW w:w="6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w:t>
            </w:r>
          </w:p>
        </w:tc>
        <w:tc>
          <w:tcPr>
            <w:tcW w:w="11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40</w:t>
            </w:r>
          </w:p>
        </w:tc>
        <w:tc>
          <w:tcPr>
            <w:tcW w:w="13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r>
      <w:tr>
        <w:trPr>
          <w:trHeight w:val="219"/>
        </w:trPr>
        <w:tc>
          <w:tcPr>
            <w:tcW w:w="24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2014</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1,184</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148</w:t>
            </w:r>
          </w:p>
        </w:tc>
        <w:tc>
          <w:tcPr>
            <w:tcW w:w="128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5,474</w:t>
            </w:r>
          </w:p>
        </w:tc>
        <w:tc>
          <w:tcPr>
            <w:tcW w:w="100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6,806</w:t>
            </w: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5,685</w:t>
            </w:r>
          </w:p>
        </w:tc>
        <w:tc>
          <w:tcPr>
            <w:tcW w:w="112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1,161</w:t>
            </w:r>
          </w:p>
        </w:tc>
        <w:tc>
          <w:tcPr>
            <w:tcW w:w="132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13,652</w:t>
            </w:r>
          </w:p>
        </w:tc>
      </w:tr>
    </w:tbl>
    <w:p>
      <w:pPr>
        <w:ind w:right="560"/>
        <w:spacing w:after="0" w:line="251" w:lineRule="auto"/>
        <w:rPr>
          <w:sz w:val="20"/>
          <w:szCs w:val="20"/>
          <w:color w:val="auto"/>
        </w:rPr>
      </w:pPr>
      <w:r>
        <w:rPr>
          <w:rFonts w:ascii="Arial" w:cs="Arial" w:eastAsia="Arial" w:hAnsi="Arial"/>
          <w:sz w:val="18"/>
          <w:szCs w:val="18"/>
          <w:color w:val="auto"/>
        </w:rPr>
        <w:t>* Resigned on January 24, 2014 ** Appointed February 18, 2014 ***Appointed April 29, 2014**** Includes $3.6 million payable in respect of the additional 2014 bonus plan.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Disclosure of Compensation Agreements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Termination of Employment and Change in Control Arrangements</w:t>
      </w:r>
    </w:p>
    <w:p>
      <w:pPr>
        <w:spacing w:after="0" w:line="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have any termination or change of control agreements with its named executive officers other than as set out below and in the agreements relating to their equity holdings which provide for vesting on change of control.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Executive Officers’ service agreements and letters of engagement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Thomas Lynch</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Mr. Thomas Lynch has served as Chairman of the Board of the Company since January 2013 and has served as an outside Director of the Company since August 1994. The arrangements with Mr. Lynch provide for the payment to him of Director fees of €463,500 (at average exchange rate for the year: $510,000) per annum plus reasonable expenses properly incurred in carrying out his duties for the Company. He was previously granted and held at March 23, 2016 25,000 ordinary share options at exercise prices ranging from $20.28 to $68.39 per share.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Mr. Ciaran Murray is currently Chief Executive Officer of the Company, a position he has held since October 2011. He has served as an Executive Director of the Company since October 2011. He previously served as Chief Financial Officer of the Company from October 2005 until October 2011. The service agreement with Mr. Murray is terminable on 12 months notice by either party. Under the terms of this agreement Mr. Murray is entitled to receive an annual salary of $1,287,000 and a bonus to be agreed by the Compensation and Organization Committee. He is also entitled to receive a pension contribution, a car allowance of €25,000 and medical insurance coverage for himself and his dependents. He was previously granted and held at March 23, 2016 358,805 ordinary share options at exercise prices ranging from $16.80 to $71.95 per share, 81,445 Restricted Share Units which vest on various dates between May 2016 and March 2019 and 209,765 (up to a maximum of 419,530 based on certain performance conditions) Performance Share Units which vest between May 2016 and March 2019 subject to the fulfillment of certain performance conditions. His service agreement requires him to devote his full time and attention to his duties for the Company excepting certain outside Director positions authorized by the Board. The agreement with Mr. Murray includes termination and change of control provisions and also includes certain post-termination clauses including non-disclosure, non-competition and non-solicitation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Brendan Brennan</w:t>
      </w:r>
    </w:p>
    <w:p>
      <w:pPr>
        <w:spacing w:after="0" w:line="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Mr. 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$508,518 and a bonus to be agreed by the Compensation and Organization Committee. He is also entitled to receive a pension contribution, a car allowance of €20,000 and medical insurance coverage for himself and his dependents. He was previously granted and held at March 23, 2016 61,952 ordinary share options at exercise prices ranging from $20.28 to $71.95 per share, 16,682 Restricted Share Units, which vest on various dates between May 2016 and March 2019, and 40,091 (up to a maximum of 80,182 based on certain performance conditions) Performance Share Units which vest between May 2016 and March 2019 subject to the fulfillment of certain performance conditions.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Steve Cutler</w:t>
      </w:r>
    </w:p>
    <w:p>
      <w:pPr>
        <w:spacing w:after="0" w:line="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Dr. Steve Cutler was appointed Chief Operating Officer of the Company in January 2014. Prior to this appointment he served as Group President Clinical Research Services since November 2011. He has served as an Executive Director of the Company since November 2015. The service agreement with Dr. Cutler is terminable on 180 days’ notice by either party. Under the terms of this agreement Dr. Cutler is entitled to receive an annual salary of $772,500 and a bonus to be agreed by the Compensation and Organization Committee. He is also entitled to receive a pension contribution, a car allowance of $12,000 and medical insurance coverage for himself and his dependents. He was previously granted and held at March 23, 2016 179,181 ordinary share options at exercise prices ranging from $17.17 to $71.95 per share, 44,239 Restricted Share Units which vest on various dates between May 2016 and March 2019 and 111,664 (up to a maximum of 223,328 based on certain performance conditions) Performance Share Units which vest between May 2016 and March 2019 subject to the fulfillment of certain performance conditions. His service agreement requires him to devote his full time and attention to his duties for the Company excepting certain outside Director positions authorized by the Company. The agreement with Dr. Cutler includes termination and change of control provisions and also includes certain post-termination clauses including non-disclosure, non-competition and non-solicitation provisions.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Dr. John Climax</w:t>
      </w:r>
    </w:p>
    <w:p>
      <w:pPr>
        <w:spacing w:after="0" w:line="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arrangements with Dr. Climax provide for the payment to him of Director fees of $74,300 per annum plus reasonable expenses properly incurred in carrying out his duties for the Company. He was previously granted and held at March 23, 2016 78,500 ordinary share options at exercise prices ranging from $15.84 to $68.39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Ronan Lambe</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Dr. Ronan Lambe, one of the Company’s co-founders, served as Chairman of the Board of the Company from June 1990 to November 2002 and is currently an outside Director of the Company. The arrangements with Dr. Lambe provide for the payment to him of Director fees of $74,300 per annum plus reasonable expenses properly incurred in carrying out his duties for the Company. He was previously granted and held at March 23, 2016 30,500 ordinary share options at exercise prices ranging from $20.28 to $68.39 per share.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Dermot Kelleher</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Professor Dermot Kelleher has served as an outside Director of the Company since May 2008. The arrangements with Professor Kelleher provide for the payment to him of Director fees of $94,300 per annum. He was previously granted and held at March 23, 2016 24,400 ordinary share options at an exercise price ranging from $20.28 to $68.39.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Declan McKeon</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Mr. Declan McKeon has served as an outside Director of the Company since April 2010. The arrangements with Mr. McKeon provide for the payment to him of Directors fees of $119,300 per annum. He was previously granted and held at March 23, 2016 29,500 ordinary share options at exercise prices ranging from $20.28 to $68.39.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William Hall</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Professor William Hall has served as an outside Director of the Company since February 2013. The arrangements with Professor Hall provide for the payment to him of Directors fees of $119,300 per annum. He was previously granted and held at March 23, 2016 27,500 ordinary share options at exercise prices ranging from $32.37 to $68.39.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Mary Pendergast</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Ms. Mary Pendergast has served as an outside Director of the Company since February 2014. The arrangements with Ms. Pendergast provide for the payment to her of Directors fees of $86,800 per annum. She was previously granted and held at March 23, 2016 20,000 ordinary share options at exercise prices ranging from $40.83 to $68.39.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Hugh Brady</w:t>
      </w:r>
    </w:p>
    <w:p>
      <w:pPr>
        <w:spacing w:after="0" w:line="17" w:lineRule="exact"/>
        <w:rPr>
          <w:sz w:val="20"/>
          <w:szCs w:val="20"/>
          <w:color w:val="auto"/>
        </w:rPr>
      </w:pPr>
    </w:p>
    <w:p>
      <w:pPr>
        <w:ind w:right="440"/>
        <w:spacing w:after="0" w:line="249" w:lineRule="auto"/>
        <w:rPr>
          <w:sz w:val="20"/>
          <w:szCs w:val="20"/>
          <w:color w:val="auto"/>
        </w:rPr>
      </w:pPr>
      <w:r>
        <w:rPr>
          <w:rFonts w:ascii="Arial" w:cs="Arial" w:eastAsia="Arial" w:hAnsi="Arial"/>
          <w:sz w:val="18"/>
          <w:szCs w:val="18"/>
          <w:color w:val="auto"/>
        </w:rPr>
        <w:t>Dr. Hugh Brady has served as an outside Director of the Company since April 2014. The arrangements with Dr. Brady provide for the payment to him of Directors fees of $61,800 per annum. He was previously granted and held at March 23, 2016 20,000 ordinary share options at exercise prices ranging from $40.83 to $68.39.</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Employees</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At December 31, 2015, December 31, 2014 and December 31, 2013 we employed approximately 11,900, 10,600 and 10,300 people respectively. Our employees are not unionized and we believe we have a satisfactory relationship with our employees.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w:t>
      </w:r>
    </w:p>
    <w:p>
      <w:pPr>
        <w:spacing w:after="0" w:line="2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table sets forth certain information as of March 23, 2016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4660" w:type="dxa"/>
            <w:vAlign w:val="bottom"/>
          </w:tcPr>
          <w:p>
            <w:pPr>
              <w:jc w:val="right"/>
              <w:ind w:right="551"/>
              <w:spacing w:after="0"/>
              <w:rPr>
                <w:sz w:val="20"/>
                <w:szCs w:val="20"/>
                <w:color w:val="auto"/>
              </w:rPr>
            </w:pPr>
            <w:r>
              <w:rPr>
                <w:rFonts w:ascii="Arial" w:cs="Arial" w:eastAsia="Arial" w:hAnsi="Arial"/>
                <w:sz w:val="18"/>
                <w:szCs w:val="18"/>
                <w:b w:val="1"/>
                <w:bCs w:val="1"/>
                <w:color w:val="auto"/>
              </w:rPr>
              <w:t>No. of</w:t>
            </w:r>
          </w:p>
        </w:tc>
        <w:tc>
          <w:tcPr>
            <w:tcW w:w="1580" w:type="dxa"/>
            <w:vAlign w:val="bottom"/>
          </w:tcPr>
          <w:p>
            <w:pPr>
              <w:jc w:val="right"/>
              <w:ind w:right="111"/>
              <w:spacing w:after="0"/>
              <w:rPr>
                <w:sz w:val="20"/>
                <w:szCs w:val="20"/>
                <w:color w:val="auto"/>
              </w:rPr>
            </w:pPr>
            <w:r>
              <w:rPr>
                <w:rFonts w:ascii="Arial" w:cs="Arial" w:eastAsia="Arial" w:hAnsi="Arial"/>
                <w:sz w:val="18"/>
                <w:szCs w:val="18"/>
                <w:b w:val="1"/>
                <w:bCs w:val="1"/>
                <w:color w:val="auto"/>
              </w:rPr>
              <w:t>% of total</w:t>
            </w:r>
          </w:p>
        </w:tc>
      </w:tr>
      <w:tr>
        <w:trPr>
          <w:trHeight w:val="230"/>
        </w:trPr>
        <w:tc>
          <w:tcPr>
            <w:tcW w:w="518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4660" w:type="dxa"/>
            <w:vAlign w:val="bottom"/>
          </w:tcPr>
          <w:p>
            <w:pPr>
              <w:jc w:val="right"/>
              <w:ind w:right="551"/>
              <w:spacing w:after="0"/>
              <w:rPr>
                <w:sz w:val="20"/>
                <w:szCs w:val="20"/>
                <w:color w:val="auto"/>
              </w:rPr>
            </w:pPr>
            <w:r>
              <w:rPr>
                <w:rFonts w:ascii="Arial" w:cs="Arial" w:eastAsia="Arial" w:hAnsi="Arial"/>
                <w:sz w:val="18"/>
                <w:szCs w:val="18"/>
                <w:b w:val="1"/>
                <w:bCs w:val="1"/>
                <w:color w:val="auto"/>
              </w:rPr>
              <w:t>Shares (1)</w:t>
            </w:r>
          </w:p>
        </w:tc>
        <w:tc>
          <w:tcPr>
            <w:tcW w:w="1580" w:type="dxa"/>
            <w:vAlign w:val="bottom"/>
          </w:tcPr>
          <w:p>
            <w:pPr>
              <w:jc w:val="right"/>
              <w:ind w:right="111"/>
              <w:spacing w:after="0"/>
              <w:rPr>
                <w:sz w:val="20"/>
                <w:szCs w:val="20"/>
                <w:color w:val="auto"/>
              </w:rPr>
            </w:pPr>
            <w:r>
              <w:rPr>
                <w:rFonts w:ascii="Arial" w:cs="Arial" w:eastAsia="Arial" w:hAnsi="Arial"/>
                <w:sz w:val="18"/>
                <w:szCs w:val="18"/>
                <w:b w:val="1"/>
                <w:bCs w:val="1"/>
                <w:color w:val="auto"/>
              </w:rPr>
              <w:t>Shares</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Mr. Thomas Lynch</w:t>
            </w:r>
          </w:p>
        </w:tc>
        <w:tc>
          <w:tcPr>
            <w:tcW w:w="46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w:t>
            </w:r>
          </w:p>
        </w:tc>
        <w:tc>
          <w:tcPr>
            <w:tcW w:w="1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13"/>
        </w:trPr>
        <w:tc>
          <w:tcPr>
            <w:tcW w:w="5180" w:type="dxa"/>
            <w:vAlign w:val="bottom"/>
          </w:tcPr>
          <w:p>
            <w:pPr>
              <w:spacing w:after="0"/>
              <w:rPr>
                <w:sz w:val="20"/>
                <w:szCs w:val="20"/>
                <w:color w:val="auto"/>
              </w:rPr>
            </w:pPr>
            <w:r>
              <w:rPr>
                <w:rFonts w:ascii="Arial" w:cs="Arial" w:eastAsia="Arial" w:hAnsi="Arial"/>
                <w:sz w:val="18"/>
                <w:szCs w:val="18"/>
                <w:color w:val="auto"/>
              </w:rPr>
              <w:t>Mr. Ciaran Murray</w:t>
            </w:r>
          </w:p>
        </w:tc>
        <w:tc>
          <w:tcPr>
            <w:tcW w:w="4660" w:type="dxa"/>
            <w:vAlign w:val="bottom"/>
          </w:tcPr>
          <w:p>
            <w:pPr>
              <w:jc w:val="right"/>
              <w:ind w:right="551"/>
              <w:spacing w:after="0"/>
              <w:rPr>
                <w:sz w:val="20"/>
                <w:szCs w:val="20"/>
                <w:color w:val="auto"/>
              </w:rPr>
            </w:pPr>
            <w:r>
              <w:rPr>
                <w:rFonts w:ascii="Arial" w:cs="Arial" w:eastAsia="Arial" w:hAnsi="Arial"/>
                <w:sz w:val="18"/>
                <w:szCs w:val="18"/>
                <w:color w:val="auto"/>
              </w:rPr>
              <w:t>53,898</w:t>
            </w:r>
          </w:p>
        </w:tc>
        <w:tc>
          <w:tcPr>
            <w:tcW w:w="15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Mr. Brendan Brennan</w:t>
            </w:r>
          </w:p>
        </w:tc>
        <w:tc>
          <w:tcPr>
            <w:tcW w:w="46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5,950</w:t>
            </w:r>
          </w:p>
        </w:tc>
        <w:tc>
          <w:tcPr>
            <w:tcW w:w="1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13"/>
        </w:trPr>
        <w:tc>
          <w:tcPr>
            <w:tcW w:w="5180" w:type="dxa"/>
            <w:vAlign w:val="bottom"/>
          </w:tcPr>
          <w:p>
            <w:pPr>
              <w:spacing w:after="0"/>
              <w:rPr>
                <w:sz w:val="20"/>
                <w:szCs w:val="20"/>
                <w:color w:val="auto"/>
              </w:rPr>
            </w:pPr>
            <w:r>
              <w:rPr>
                <w:rFonts w:ascii="Arial" w:cs="Arial" w:eastAsia="Arial" w:hAnsi="Arial"/>
                <w:sz w:val="18"/>
                <w:szCs w:val="18"/>
                <w:color w:val="auto"/>
              </w:rPr>
              <w:t>Dr. Steve Cutler</w:t>
            </w:r>
          </w:p>
        </w:tc>
        <w:tc>
          <w:tcPr>
            <w:tcW w:w="4660" w:type="dxa"/>
            <w:vAlign w:val="bottom"/>
          </w:tcPr>
          <w:p>
            <w:pPr>
              <w:jc w:val="right"/>
              <w:ind w:right="551"/>
              <w:spacing w:after="0"/>
              <w:rPr>
                <w:sz w:val="20"/>
                <w:szCs w:val="20"/>
                <w:color w:val="auto"/>
              </w:rPr>
            </w:pPr>
            <w:r>
              <w:rPr>
                <w:rFonts w:ascii="Arial" w:cs="Arial" w:eastAsia="Arial" w:hAnsi="Arial"/>
                <w:sz w:val="18"/>
                <w:szCs w:val="18"/>
                <w:color w:val="auto"/>
              </w:rPr>
              <w:t>9,365</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46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1,015,211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3"/>
        </w:trPr>
        <w:tc>
          <w:tcPr>
            <w:tcW w:w="5180" w:type="dxa"/>
            <w:vAlign w:val="bottom"/>
          </w:tcPr>
          <w:p>
            <w:pPr>
              <w:spacing w:after="0"/>
              <w:rPr>
                <w:sz w:val="20"/>
                <w:szCs w:val="20"/>
                <w:color w:val="auto"/>
              </w:rPr>
            </w:pPr>
            <w:r>
              <w:rPr>
                <w:rFonts w:ascii="Arial" w:cs="Arial" w:eastAsia="Arial" w:hAnsi="Arial"/>
                <w:sz w:val="18"/>
                <w:szCs w:val="18"/>
                <w:color w:val="auto"/>
              </w:rPr>
              <w:t>Dr. Ronan Lambe</w:t>
            </w:r>
          </w:p>
        </w:tc>
        <w:tc>
          <w:tcPr>
            <w:tcW w:w="4660" w:type="dxa"/>
            <w:vAlign w:val="bottom"/>
          </w:tcPr>
          <w:p>
            <w:pPr>
              <w:jc w:val="right"/>
              <w:ind w:right="551"/>
              <w:spacing w:after="0"/>
              <w:rPr>
                <w:sz w:val="20"/>
                <w:szCs w:val="20"/>
                <w:color w:val="auto"/>
              </w:rPr>
            </w:pPr>
            <w:r>
              <w:rPr>
                <w:rFonts w:ascii="Arial" w:cs="Arial" w:eastAsia="Arial" w:hAnsi="Arial"/>
                <w:sz w:val="18"/>
                <w:szCs w:val="18"/>
                <w:color w:val="auto"/>
              </w:rPr>
              <w:t>400</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Professor Dermot Kelleher</w:t>
            </w:r>
          </w:p>
        </w:tc>
        <w:tc>
          <w:tcPr>
            <w:tcW w:w="46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13"/>
        </w:trPr>
        <w:tc>
          <w:tcPr>
            <w:tcW w:w="5180" w:type="dxa"/>
            <w:vAlign w:val="bottom"/>
          </w:tcPr>
          <w:p>
            <w:pPr>
              <w:spacing w:after="0"/>
              <w:rPr>
                <w:sz w:val="20"/>
                <w:szCs w:val="20"/>
                <w:color w:val="auto"/>
              </w:rPr>
            </w:pPr>
            <w:r>
              <w:rPr>
                <w:rFonts w:ascii="Arial" w:cs="Arial" w:eastAsia="Arial" w:hAnsi="Arial"/>
                <w:sz w:val="18"/>
                <w:szCs w:val="18"/>
                <w:color w:val="auto"/>
              </w:rPr>
              <w:t>Mr. Declan McKeon</w:t>
            </w:r>
          </w:p>
        </w:tc>
        <w:tc>
          <w:tcPr>
            <w:tcW w:w="46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Professor William Hall</w:t>
            </w:r>
          </w:p>
        </w:tc>
        <w:tc>
          <w:tcPr>
            <w:tcW w:w="46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13"/>
        </w:trPr>
        <w:tc>
          <w:tcPr>
            <w:tcW w:w="5180" w:type="dxa"/>
            <w:vAlign w:val="bottom"/>
          </w:tcPr>
          <w:p>
            <w:pPr>
              <w:spacing w:after="0"/>
              <w:rPr>
                <w:sz w:val="20"/>
                <w:szCs w:val="20"/>
                <w:color w:val="auto"/>
              </w:rPr>
            </w:pPr>
            <w:r>
              <w:rPr>
                <w:rFonts w:ascii="Arial" w:cs="Arial" w:eastAsia="Arial" w:hAnsi="Arial"/>
                <w:sz w:val="18"/>
                <w:szCs w:val="18"/>
                <w:color w:val="auto"/>
              </w:rPr>
              <w:t>Ms. Mary Pendergast</w:t>
            </w:r>
          </w:p>
        </w:tc>
        <w:tc>
          <w:tcPr>
            <w:tcW w:w="46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Dr. Hugh Brady</w:t>
            </w:r>
          </w:p>
        </w:tc>
        <w:tc>
          <w:tcPr>
            <w:tcW w:w="466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bl>
    <w:p>
      <w:pPr>
        <w:spacing w:after="0" w:line="227" w:lineRule="exact"/>
        <w:rPr>
          <w:sz w:val="20"/>
          <w:szCs w:val="20"/>
          <w:color w:val="auto"/>
        </w:rPr>
      </w:pPr>
    </w:p>
    <w:p>
      <w:pPr>
        <w:jc w:val="both"/>
        <w:ind w:left="720" w:hanging="342"/>
        <w:spacing w:after="0" w:line="27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used in these tables, each person has the sole or shared power to vote or direct the voting of a security, or the sole or shared investment power with respect to a security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Restricted Share Units and Performance Share Units</w:t>
      </w:r>
    </w:p>
    <w:p>
      <w:pPr>
        <w:spacing w:after="0" w:line="24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following table sets forth certain information as of March 23, 2016 regarding beneficial ownership of restricted share units (“RSU’s”) and performance share units (“PSU’s”) which have been issued to our current Directors and executive 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Name of Owner or</w:t>
            </w:r>
          </w:p>
        </w:tc>
        <w:tc>
          <w:tcPr>
            <w:tcW w:w="3000" w:type="dxa"/>
            <w:vAlign w:val="bottom"/>
            <w:vMerge w:val="restart"/>
          </w:tcPr>
          <w:p>
            <w:pPr>
              <w:jc w:val="right"/>
              <w:ind w:right="291"/>
              <w:spacing w:after="0"/>
              <w:rPr>
                <w:sz w:val="20"/>
                <w:szCs w:val="20"/>
                <w:color w:val="auto"/>
              </w:rPr>
            </w:pPr>
            <w:r>
              <w:rPr>
                <w:rFonts w:ascii="Arial" w:cs="Arial" w:eastAsia="Arial" w:hAnsi="Arial"/>
                <w:sz w:val="18"/>
                <w:szCs w:val="18"/>
                <w:b w:val="1"/>
                <w:bCs w:val="1"/>
                <w:color w:val="auto"/>
              </w:rPr>
              <w:t>No. of</w:t>
            </w:r>
          </w:p>
        </w:tc>
        <w:tc>
          <w:tcPr>
            <w:tcW w:w="1860" w:type="dxa"/>
            <w:vAlign w:val="bottom"/>
            <w:vMerge w:val="restart"/>
          </w:tcPr>
          <w:p>
            <w:pPr>
              <w:jc w:val="right"/>
              <w:ind w:right="351"/>
              <w:spacing w:after="0"/>
              <w:rPr>
                <w:sz w:val="20"/>
                <w:szCs w:val="20"/>
                <w:color w:val="auto"/>
              </w:rPr>
            </w:pPr>
            <w:r>
              <w:rPr>
                <w:rFonts w:ascii="Arial" w:cs="Arial" w:eastAsia="Arial" w:hAnsi="Arial"/>
                <w:sz w:val="18"/>
                <w:szCs w:val="18"/>
                <w:b w:val="1"/>
                <w:bCs w:val="1"/>
                <w:color w:val="auto"/>
              </w:rPr>
              <w:t>Vesting Date</w:t>
            </w:r>
          </w:p>
        </w:tc>
        <w:tc>
          <w:tcPr>
            <w:tcW w:w="1560" w:type="dxa"/>
            <w:vAlign w:val="bottom"/>
          </w:tcPr>
          <w:p>
            <w:pPr>
              <w:jc w:val="right"/>
              <w:ind w:right="113"/>
              <w:spacing w:after="0"/>
              <w:rPr>
                <w:sz w:val="20"/>
                <w:szCs w:val="20"/>
                <w:color w:val="auto"/>
              </w:rPr>
            </w:pPr>
            <w:r>
              <w:rPr>
                <w:rFonts w:ascii="Arial" w:cs="Arial" w:eastAsia="Arial" w:hAnsi="Arial"/>
                <w:sz w:val="18"/>
                <w:szCs w:val="18"/>
                <w:b w:val="1"/>
                <w:bCs w:val="1"/>
                <w:color w:val="auto"/>
              </w:rPr>
              <w:t>No. of</w:t>
            </w:r>
          </w:p>
        </w:tc>
        <w:tc>
          <w:tcPr>
            <w:tcW w:w="1520" w:type="dxa"/>
            <w:vAlign w:val="bottom"/>
            <w:vMerge w:val="restart"/>
          </w:tcPr>
          <w:p>
            <w:pPr>
              <w:jc w:val="right"/>
              <w:ind w:right="291"/>
              <w:spacing w:after="0"/>
              <w:rPr>
                <w:sz w:val="20"/>
                <w:szCs w:val="20"/>
                <w:color w:val="auto"/>
              </w:rPr>
            </w:pPr>
            <w:r>
              <w:rPr>
                <w:rFonts w:ascii="Arial" w:cs="Arial" w:eastAsia="Arial" w:hAnsi="Arial"/>
                <w:sz w:val="18"/>
                <w:szCs w:val="18"/>
                <w:b w:val="1"/>
                <w:bCs w:val="1"/>
                <w:color w:val="auto"/>
              </w:rPr>
              <w:t>Vesting Date</w:t>
            </w:r>
          </w:p>
        </w:tc>
        <w:tc>
          <w:tcPr>
            <w:tcW w:w="0" w:type="dxa"/>
            <w:vAlign w:val="bottom"/>
          </w:tcPr>
          <w:p>
            <w:pPr>
              <w:spacing w:after="0"/>
              <w:rPr>
                <w:sz w:val="1"/>
                <w:szCs w:val="1"/>
                <w:color w:val="auto"/>
              </w:rPr>
            </w:pPr>
          </w:p>
        </w:tc>
      </w:tr>
      <w:tr>
        <w:trPr>
          <w:trHeight w:val="178"/>
        </w:trPr>
        <w:tc>
          <w:tcPr>
            <w:tcW w:w="3480" w:type="dxa"/>
            <w:vAlign w:val="bottom"/>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560" w:type="dxa"/>
            <w:vAlign w:val="bottom"/>
          </w:tcPr>
          <w:p>
            <w:pPr>
              <w:jc w:val="right"/>
              <w:ind w:right="113"/>
              <w:spacing w:after="0" w:line="178" w:lineRule="exact"/>
              <w:rPr>
                <w:sz w:val="20"/>
                <w:szCs w:val="20"/>
                <w:color w:val="auto"/>
              </w:rPr>
            </w:pPr>
            <w:r>
              <w:rPr>
                <w:rFonts w:ascii="Arial" w:cs="Arial" w:eastAsia="Arial" w:hAnsi="Arial"/>
                <w:sz w:val="18"/>
                <w:szCs w:val="18"/>
                <w:b w:val="1"/>
                <w:bCs w:val="1"/>
                <w:color w:val="auto"/>
              </w:rPr>
              <w:t>PSU’s</w:t>
            </w: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8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3000" w:type="dxa"/>
            <w:vAlign w:val="bottom"/>
          </w:tcPr>
          <w:p>
            <w:pPr>
              <w:jc w:val="right"/>
              <w:ind w:right="291"/>
              <w:spacing w:after="0" w:line="212" w:lineRule="exact"/>
              <w:rPr>
                <w:sz w:val="20"/>
                <w:szCs w:val="20"/>
                <w:color w:val="auto"/>
              </w:rPr>
            </w:pPr>
            <w:r>
              <w:rPr>
                <w:rFonts w:ascii="Arial" w:cs="Arial" w:eastAsia="Arial" w:hAnsi="Arial"/>
                <w:sz w:val="18"/>
                <w:szCs w:val="18"/>
                <w:b w:val="1"/>
                <w:bCs w:val="1"/>
                <w:color w:val="auto"/>
              </w:rPr>
              <w:t xml:space="preserve">RSU’s </w:t>
            </w:r>
            <w:r>
              <w:rPr>
                <w:rFonts w:ascii="Arial" w:cs="Arial" w:eastAsia="Arial" w:hAnsi="Arial"/>
                <w:sz w:val="24"/>
                <w:szCs w:val="24"/>
                <w:b w:val="1"/>
                <w:bCs w:val="1"/>
                <w:color w:val="auto"/>
                <w:vertAlign w:val="superscript"/>
              </w:rPr>
              <w:t>(1)</w:t>
            </w:r>
          </w:p>
        </w:tc>
        <w:tc>
          <w:tcPr>
            <w:tcW w:w="1860" w:type="dxa"/>
            <w:vAlign w:val="bottom"/>
          </w:tcPr>
          <w:p>
            <w:pPr>
              <w:spacing w:after="0"/>
              <w:rPr>
                <w:sz w:val="18"/>
                <w:szCs w:val="18"/>
                <w:color w:val="auto"/>
              </w:rPr>
            </w:pPr>
          </w:p>
        </w:tc>
        <w:tc>
          <w:tcPr>
            <w:tcW w:w="1560" w:type="dxa"/>
            <w:vAlign w:val="bottom"/>
          </w:tcPr>
          <w:p>
            <w:pPr>
              <w:jc w:val="right"/>
              <w:ind w:right="893"/>
              <w:spacing w:after="0"/>
              <w:rPr>
                <w:sz w:val="20"/>
                <w:szCs w:val="20"/>
                <w:color w:val="auto"/>
              </w:rPr>
            </w:pPr>
            <w:r>
              <w:rPr>
                <w:rFonts w:ascii="Arial" w:cs="Arial" w:eastAsia="Arial" w:hAnsi="Arial"/>
                <w:sz w:val="12"/>
                <w:szCs w:val="12"/>
                <w:b w:val="1"/>
                <w:bCs w:val="1"/>
                <w:color w:val="auto"/>
              </w:rPr>
              <w:t>(1)</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Ciaran Murray</w:t>
            </w:r>
          </w:p>
        </w:tc>
        <w:tc>
          <w:tcPr>
            <w:tcW w:w="3000" w:type="dxa"/>
            <w:vAlign w:val="bottom"/>
            <w:shd w:val="clear" w:color="auto" w:fill="CCEEFF"/>
          </w:tcPr>
          <w:p>
            <w:pPr>
              <w:jc w:val="right"/>
              <w:ind w:right="291"/>
              <w:spacing w:after="0" w:line="201" w:lineRule="exact"/>
              <w:rPr>
                <w:sz w:val="20"/>
                <w:szCs w:val="20"/>
                <w:color w:val="auto"/>
              </w:rPr>
            </w:pPr>
            <w:r>
              <w:rPr>
                <w:rFonts w:ascii="Arial" w:cs="Arial" w:eastAsia="Arial" w:hAnsi="Arial"/>
                <w:sz w:val="18"/>
                <w:szCs w:val="18"/>
                <w:color w:val="auto"/>
              </w:rPr>
              <w:t>31,149</w:t>
            </w:r>
          </w:p>
        </w:tc>
        <w:tc>
          <w:tcPr>
            <w:tcW w:w="1860" w:type="dxa"/>
            <w:vAlign w:val="bottom"/>
            <w:shd w:val="clear" w:color="auto" w:fill="CCEEFF"/>
          </w:tcPr>
          <w:p>
            <w:pPr>
              <w:jc w:val="right"/>
              <w:ind w:right="351"/>
              <w:spacing w:after="0" w:line="201" w:lineRule="exact"/>
              <w:rPr>
                <w:sz w:val="20"/>
                <w:szCs w:val="20"/>
                <w:color w:val="auto"/>
              </w:rPr>
            </w:pPr>
            <w:r>
              <w:rPr>
                <w:rFonts w:ascii="Arial" w:cs="Arial" w:eastAsia="Arial" w:hAnsi="Arial"/>
                <w:sz w:val="18"/>
                <w:szCs w:val="18"/>
                <w:color w:val="auto"/>
              </w:rPr>
              <w:t>May 1, 2016</w:t>
            </w:r>
          </w:p>
        </w:tc>
        <w:tc>
          <w:tcPr>
            <w:tcW w:w="1560" w:type="dxa"/>
            <w:vAlign w:val="bottom"/>
            <w:shd w:val="clear" w:color="auto" w:fill="CCEEFF"/>
          </w:tcPr>
          <w:p>
            <w:pPr>
              <w:jc w:val="right"/>
              <w:ind w:right="193"/>
              <w:spacing w:after="0" w:line="201" w:lineRule="exact"/>
              <w:rPr>
                <w:sz w:val="20"/>
                <w:szCs w:val="20"/>
                <w:color w:val="auto"/>
              </w:rPr>
            </w:pPr>
            <w:r>
              <w:rPr>
                <w:rFonts w:ascii="Arial" w:cs="Arial" w:eastAsia="Arial" w:hAnsi="Arial"/>
                <w:sz w:val="18"/>
                <w:szCs w:val="18"/>
                <w:color w:val="auto"/>
              </w:rPr>
              <w:t>62,299</w:t>
            </w:r>
          </w:p>
        </w:tc>
        <w:tc>
          <w:tcPr>
            <w:tcW w:w="1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May 1, 2016</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8,471</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May 3, 2016</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63,638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 2017</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8,294</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March 4, 2017</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42,358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3, 2018</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8,471</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May 3, 2017</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41,470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4, 2019</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8,294</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March 4, 2018</w:t>
            </w:r>
          </w:p>
        </w:tc>
        <w:tc>
          <w:tcPr>
            <w:tcW w:w="1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8,472</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May 3, 2018</w:t>
            </w:r>
          </w:p>
        </w:tc>
        <w:tc>
          <w:tcPr>
            <w:tcW w:w="1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spacing w:after="0"/>
              <w:rPr>
                <w:sz w:val="19"/>
                <w:szCs w:val="19"/>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8,294</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March 4, 2019</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3480" w:type="dxa"/>
            <w:vAlign w:val="bottom"/>
          </w:tcPr>
          <w:p>
            <w:pPr>
              <w:spacing w:after="0"/>
              <w:rPr>
                <w:sz w:val="20"/>
                <w:szCs w:val="20"/>
                <w:color w:val="auto"/>
              </w:rPr>
            </w:pPr>
            <w:r>
              <w:rPr>
                <w:rFonts w:ascii="Arial" w:cs="Arial" w:eastAsia="Arial" w:hAnsi="Arial"/>
                <w:sz w:val="18"/>
                <w:szCs w:val="18"/>
                <w:color w:val="auto"/>
              </w:rPr>
              <w:t>Mr. Brendan Brennan</w:t>
            </w:r>
          </w:p>
        </w:tc>
        <w:tc>
          <w:tcPr>
            <w:tcW w:w="3000" w:type="dxa"/>
            <w:vAlign w:val="bottom"/>
          </w:tcPr>
          <w:p>
            <w:pPr>
              <w:jc w:val="right"/>
              <w:ind w:right="291"/>
              <w:spacing w:after="0"/>
              <w:rPr>
                <w:sz w:val="20"/>
                <w:szCs w:val="20"/>
                <w:color w:val="auto"/>
              </w:rPr>
            </w:pPr>
            <w:r>
              <w:rPr>
                <w:rFonts w:ascii="Arial" w:cs="Arial" w:eastAsia="Arial" w:hAnsi="Arial"/>
                <w:sz w:val="18"/>
                <w:szCs w:val="18"/>
                <w:color w:val="auto"/>
              </w:rPr>
              <w:t>6,325</w:t>
            </w: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May 1, 2016</w:t>
            </w:r>
          </w:p>
        </w:tc>
        <w:tc>
          <w:tcPr>
            <w:tcW w:w="1560" w:type="dxa"/>
            <w:vAlign w:val="bottom"/>
          </w:tcPr>
          <w:p>
            <w:pPr>
              <w:jc w:val="right"/>
              <w:ind w:right="193"/>
              <w:spacing w:after="0"/>
              <w:rPr>
                <w:sz w:val="20"/>
                <w:szCs w:val="20"/>
                <w:color w:val="auto"/>
              </w:rPr>
            </w:pPr>
            <w:r>
              <w:rPr>
                <w:rFonts w:ascii="Arial" w:cs="Arial" w:eastAsia="Arial" w:hAnsi="Arial"/>
                <w:sz w:val="18"/>
                <w:szCs w:val="18"/>
                <w:color w:val="auto"/>
              </w:rPr>
              <w:t>12,650</w:t>
            </w:r>
          </w:p>
        </w:tc>
        <w:tc>
          <w:tcPr>
            <w:tcW w:w="1520" w:type="dxa"/>
            <w:vAlign w:val="bottom"/>
          </w:tcPr>
          <w:p>
            <w:pPr>
              <w:jc w:val="right"/>
              <w:spacing w:after="0"/>
              <w:rPr>
                <w:sz w:val="20"/>
                <w:szCs w:val="20"/>
                <w:color w:val="auto"/>
              </w:rPr>
            </w:pPr>
            <w:r>
              <w:rPr>
                <w:rFonts w:ascii="Arial" w:cs="Arial" w:eastAsia="Arial" w:hAnsi="Arial"/>
                <w:sz w:val="18"/>
                <w:szCs w:val="18"/>
                <w:color w:val="auto"/>
              </w:rPr>
              <w:t>May 1, 2016</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3000" w:type="dxa"/>
            <w:vAlign w:val="bottom"/>
          </w:tcPr>
          <w:p>
            <w:pPr>
              <w:jc w:val="right"/>
              <w:ind w:right="291"/>
              <w:spacing w:after="0"/>
              <w:rPr>
                <w:sz w:val="20"/>
                <w:szCs w:val="20"/>
                <w:color w:val="auto"/>
              </w:rPr>
            </w:pPr>
            <w:r>
              <w:rPr>
                <w:rFonts w:ascii="Arial" w:cs="Arial" w:eastAsia="Arial" w:hAnsi="Arial"/>
                <w:sz w:val="18"/>
                <w:szCs w:val="18"/>
                <w:color w:val="auto"/>
              </w:rPr>
              <w:t>1,486</w:t>
            </w: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May 3, 2016</w:t>
            </w:r>
          </w:p>
        </w:tc>
        <w:tc>
          <w:tcPr>
            <w:tcW w:w="1560" w:type="dxa"/>
            <w:vAlign w:val="bottom"/>
          </w:tcPr>
          <w:p>
            <w:pPr>
              <w:jc w:val="right"/>
              <w:ind w:right="193"/>
              <w:spacing w:after="0"/>
              <w:rPr>
                <w:sz w:val="20"/>
                <w:szCs w:val="20"/>
                <w:color w:val="auto"/>
              </w:rPr>
            </w:pPr>
            <w:r>
              <w:rPr>
                <w:rFonts w:ascii="Arial" w:cs="Arial" w:eastAsia="Arial" w:hAnsi="Arial"/>
                <w:sz w:val="18"/>
                <w:szCs w:val="18"/>
                <w:color w:val="auto"/>
              </w:rPr>
              <w:t>10,179</w:t>
            </w:r>
          </w:p>
        </w:tc>
        <w:tc>
          <w:tcPr>
            <w:tcW w:w="1520" w:type="dxa"/>
            <w:vAlign w:val="bottom"/>
          </w:tcPr>
          <w:p>
            <w:pPr>
              <w:jc w:val="right"/>
              <w:spacing w:after="0"/>
              <w:rPr>
                <w:sz w:val="20"/>
                <w:szCs w:val="20"/>
                <w:color w:val="auto"/>
              </w:rPr>
            </w:pPr>
            <w:r>
              <w:rPr>
                <w:rFonts w:ascii="Arial" w:cs="Arial" w:eastAsia="Arial" w:hAnsi="Arial"/>
                <w:sz w:val="18"/>
                <w:szCs w:val="18"/>
                <w:color w:val="auto"/>
              </w:rPr>
              <w:t>March 3, 2017</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3000" w:type="dxa"/>
            <w:vAlign w:val="bottom"/>
          </w:tcPr>
          <w:p>
            <w:pPr>
              <w:jc w:val="right"/>
              <w:ind w:right="291"/>
              <w:spacing w:after="0"/>
              <w:rPr>
                <w:sz w:val="20"/>
                <w:szCs w:val="20"/>
                <w:color w:val="auto"/>
              </w:rPr>
            </w:pPr>
            <w:r>
              <w:rPr>
                <w:rFonts w:ascii="Arial" w:cs="Arial" w:eastAsia="Arial" w:hAnsi="Arial"/>
                <w:sz w:val="18"/>
                <w:szCs w:val="18"/>
                <w:color w:val="auto"/>
              </w:rPr>
              <w:t>1,965</w:t>
            </w: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March 4, 2017</w:t>
            </w:r>
          </w:p>
        </w:tc>
        <w:tc>
          <w:tcPr>
            <w:tcW w:w="1560" w:type="dxa"/>
            <w:vAlign w:val="bottom"/>
          </w:tcPr>
          <w:p>
            <w:pPr>
              <w:jc w:val="right"/>
              <w:ind w:right="193"/>
              <w:spacing w:after="0"/>
              <w:rPr>
                <w:sz w:val="20"/>
                <w:szCs w:val="20"/>
                <w:color w:val="auto"/>
              </w:rPr>
            </w:pPr>
            <w:r>
              <w:rPr>
                <w:rFonts w:ascii="Arial" w:cs="Arial" w:eastAsia="Arial" w:hAnsi="Arial"/>
                <w:sz w:val="18"/>
                <w:szCs w:val="18"/>
                <w:color w:val="auto"/>
              </w:rPr>
              <w:t>7,435</w:t>
            </w:r>
          </w:p>
        </w:tc>
        <w:tc>
          <w:tcPr>
            <w:tcW w:w="1520" w:type="dxa"/>
            <w:vAlign w:val="bottom"/>
          </w:tcPr>
          <w:p>
            <w:pPr>
              <w:jc w:val="right"/>
              <w:spacing w:after="0"/>
              <w:rPr>
                <w:sz w:val="20"/>
                <w:szCs w:val="20"/>
                <w:color w:val="auto"/>
              </w:rPr>
            </w:pPr>
            <w:r>
              <w:rPr>
                <w:rFonts w:ascii="Arial" w:cs="Arial" w:eastAsia="Arial" w:hAnsi="Arial"/>
                <w:sz w:val="18"/>
                <w:szCs w:val="18"/>
                <w:color w:val="auto"/>
              </w:rPr>
              <w:t>May 3, 2018</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3000" w:type="dxa"/>
            <w:vAlign w:val="bottom"/>
          </w:tcPr>
          <w:p>
            <w:pPr>
              <w:jc w:val="right"/>
              <w:ind w:right="291"/>
              <w:spacing w:after="0"/>
              <w:rPr>
                <w:sz w:val="20"/>
                <w:szCs w:val="20"/>
                <w:color w:val="auto"/>
              </w:rPr>
            </w:pPr>
            <w:r>
              <w:rPr>
                <w:rFonts w:ascii="Arial" w:cs="Arial" w:eastAsia="Arial" w:hAnsi="Arial"/>
                <w:sz w:val="18"/>
                <w:szCs w:val="18"/>
                <w:color w:val="auto"/>
              </w:rPr>
              <w:t>1,486</w:t>
            </w: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May 3, 2017</w:t>
            </w:r>
          </w:p>
        </w:tc>
        <w:tc>
          <w:tcPr>
            <w:tcW w:w="1560" w:type="dxa"/>
            <w:vAlign w:val="bottom"/>
          </w:tcPr>
          <w:p>
            <w:pPr>
              <w:jc w:val="right"/>
              <w:ind w:right="193"/>
              <w:spacing w:after="0"/>
              <w:rPr>
                <w:sz w:val="20"/>
                <w:szCs w:val="20"/>
                <w:color w:val="auto"/>
              </w:rPr>
            </w:pPr>
            <w:r>
              <w:rPr>
                <w:rFonts w:ascii="Arial" w:cs="Arial" w:eastAsia="Arial" w:hAnsi="Arial"/>
                <w:sz w:val="18"/>
                <w:szCs w:val="18"/>
                <w:color w:val="auto"/>
              </w:rPr>
              <w:t>9,827</w:t>
            </w:r>
          </w:p>
        </w:tc>
        <w:tc>
          <w:tcPr>
            <w:tcW w:w="1520" w:type="dxa"/>
            <w:vAlign w:val="bottom"/>
          </w:tcPr>
          <w:p>
            <w:pPr>
              <w:jc w:val="right"/>
              <w:spacing w:after="0"/>
              <w:rPr>
                <w:sz w:val="20"/>
                <w:szCs w:val="20"/>
                <w:color w:val="auto"/>
              </w:rPr>
            </w:pPr>
            <w:r>
              <w:rPr>
                <w:rFonts w:ascii="Arial" w:cs="Arial" w:eastAsia="Arial" w:hAnsi="Arial"/>
                <w:sz w:val="18"/>
                <w:szCs w:val="18"/>
                <w:color w:val="auto"/>
              </w:rPr>
              <w:t>March 4, 2019</w:t>
            </w: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3000" w:type="dxa"/>
            <w:vAlign w:val="bottom"/>
          </w:tcPr>
          <w:p>
            <w:pPr>
              <w:jc w:val="right"/>
              <w:ind w:right="291"/>
              <w:spacing w:after="0"/>
              <w:rPr>
                <w:sz w:val="20"/>
                <w:szCs w:val="20"/>
                <w:color w:val="auto"/>
              </w:rPr>
            </w:pPr>
            <w:r>
              <w:rPr>
                <w:rFonts w:ascii="Arial" w:cs="Arial" w:eastAsia="Arial" w:hAnsi="Arial"/>
                <w:sz w:val="18"/>
                <w:szCs w:val="18"/>
                <w:color w:val="auto"/>
              </w:rPr>
              <w:t>1,965</w:t>
            </w: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March 4, 2018</w:t>
            </w: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3000" w:type="dxa"/>
            <w:vAlign w:val="bottom"/>
          </w:tcPr>
          <w:p>
            <w:pPr>
              <w:jc w:val="right"/>
              <w:ind w:right="291"/>
              <w:spacing w:after="0"/>
              <w:rPr>
                <w:sz w:val="20"/>
                <w:szCs w:val="20"/>
                <w:color w:val="auto"/>
              </w:rPr>
            </w:pPr>
            <w:r>
              <w:rPr>
                <w:rFonts w:ascii="Arial" w:cs="Arial" w:eastAsia="Arial" w:hAnsi="Arial"/>
                <w:sz w:val="18"/>
                <w:szCs w:val="18"/>
                <w:color w:val="auto"/>
              </w:rPr>
              <w:t>1,489</w:t>
            </w: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May 3, 2018</w:t>
            </w: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80" w:type="dxa"/>
            <w:vAlign w:val="bottom"/>
          </w:tcPr>
          <w:p>
            <w:pPr>
              <w:spacing w:after="0"/>
              <w:rPr>
                <w:sz w:val="19"/>
                <w:szCs w:val="19"/>
                <w:color w:val="auto"/>
              </w:rPr>
            </w:pPr>
          </w:p>
        </w:tc>
        <w:tc>
          <w:tcPr>
            <w:tcW w:w="3000" w:type="dxa"/>
            <w:vAlign w:val="bottom"/>
          </w:tcPr>
          <w:p>
            <w:pPr>
              <w:jc w:val="right"/>
              <w:ind w:right="291"/>
              <w:spacing w:after="0"/>
              <w:rPr>
                <w:sz w:val="20"/>
                <w:szCs w:val="20"/>
                <w:color w:val="auto"/>
              </w:rPr>
            </w:pPr>
            <w:r>
              <w:rPr>
                <w:rFonts w:ascii="Arial" w:cs="Arial" w:eastAsia="Arial" w:hAnsi="Arial"/>
                <w:sz w:val="18"/>
                <w:szCs w:val="18"/>
                <w:color w:val="auto"/>
              </w:rPr>
              <w:t>1,966</w:t>
            </w:r>
          </w:p>
        </w:tc>
        <w:tc>
          <w:tcPr>
            <w:tcW w:w="1860" w:type="dxa"/>
            <w:vAlign w:val="bottom"/>
          </w:tcPr>
          <w:p>
            <w:pPr>
              <w:jc w:val="right"/>
              <w:ind w:right="351"/>
              <w:spacing w:after="0"/>
              <w:rPr>
                <w:sz w:val="20"/>
                <w:szCs w:val="20"/>
                <w:color w:val="auto"/>
              </w:rPr>
            </w:pPr>
            <w:r>
              <w:rPr>
                <w:rFonts w:ascii="Arial" w:cs="Arial" w:eastAsia="Arial" w:hAnsi="Arial"/>
                <w:sz w:val="18"/>
                <w:szCs w:val="18"/>
                <w:color w:val="auto"/>
              </w:rPr>
              <w:t>March 4, 2019</w:t>
            </w:r>
          </w:p>
        </w:tc>
        <w:tc>
          <w:tcPr>
            <w:tcW w:w="1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Dr. Steve Cutler</w:t>
            </w: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17,415</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May 1, 2016</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34,831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 2016</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4,517</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May 3, 2016</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32,125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 2017</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4,423</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March 4, 2017</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22,591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3, 2018</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4,517</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May 3, 2017</w:t>
            </w:r>
          </w:p>
        </w:tc>
        <w:tc>
          <w:tcPr>
            <w:tcW w:w="15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22,117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4, 2019</w:t>
            </w: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4,423</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March 4 2018</w:t>
            </w:r>
          </w:p>
        </w:tc>
        <w:tc>
          <w:tcPr>
            <w:tcW w:w="1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4,520</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May 3, 2018</w:t>
            </w:r>
          </w:p>
        </w:tc>
        <w:tc>
          <w:tcPr>
            <w:tcW w:w="1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spacing w:after="0"/>
              <w:rPr>
                <w:sz w:val="19"/>
                <w:szCs w:val="19"/>
                <w:color w:val="auto"/>
              </w:rPr>
            </w:pPr>
          </w:p>
        </w:tc>
        <w:tc>
          <w:tcPr>
            <w:tcW w:w="30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4,424</w:t>
            </w:r>
          </w:p>
        </w:tc>
        <w:tc>
          <w:tcPr>
            <w:tcW w:w="18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March 4, 2019</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680" w:right="100" w:hanging="355"/>
        <w:spacing w:after="0" w:line="266"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the issued PSU’s, performance conditions will determine how many vest. If performance targets are exceeded, additional PSU’s will be issued and will vest in accordance with the terms of the relevant PSU award.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sets forth certain information as of March 23, 2016 regarding options to acquire ordinary shares of the Company by all of our current Director and executive 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No. of</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326"/>
        </w:trPr>
        <w:tc>
          <w:tcPr>
            <w:tcW w:w="424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4"/>
                <w:szCs w:val="24"/>
                <w:b w:val="1"/>
                <w:bCs w:val="1"/>
                <w:color w:val="auto"/>
                <w:vertAlign w:val="superscript"/>
              </w:rPr>
              <w:t>(1)</w:t>
            </w:r>
          </w:p>
        </w:tc>
        <w:tc>
          <w:tcPr>
            <w:tcW w:w="154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Exercise price</w:t>
            </w:r>
          </w:p>
        </w:tc>
        <w:tc>
          <w:tcPr>
            <w:tcW w:w="4320" w:type="dxa"/>
            <w:vAlign w:val="bottom"/>
          </w:tcPr>
          <w:p>
            <w:pPr>
              <w:ind w:left="100"/>
              <w:spacing w:after="0"/>
              <w:rPr>
                <w:sz w:val="20"/>
                <w:szCs w:val="20"/>
                <w:color w:val="auto"/>
              </w:rPr>
            </w:pPr>
            <w:r>
              <w:rPr>
                <w:rFonts w:ascii="Arial" w:cs="Arial" w:eastAsia="Arial" w:hAnsi="Arial"/>
                <w:sz w:val="18"/>
                <w:szCs w:val="18"/>
                <w:b w:val="1"/>
                <w:bCs w:val="1"/>
                <w:color w:val="auto"/>
              </w:rPr>
              <w:t>Expiration Date</w:t>
            </w:r>
          </w:p>
        </w:tc>
      </w:tr>
      <w:tr>
        <w:trPr>
          <w:trHeight w:val="117"/>
        </w:trPr>
        <w:tc>
          <w:tcPr>
            <w:tcW w:w="4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320" w:type="dxa"/>
            <w:vAlign w:val="bottom"/>
          </w:tcPr>
          <w:p>
            <w:pPr>
              <w:spacing w:after="0"/>
              <w:rPr>
                <w:sz w:val="10"/>
                <w:szCs w:val="10"/>
                <w:color w:val="auto"/>
              </w:rPr>
            </w:pPr>
          </w:p>
        </w:tc>
      </w:tr>
      <w:tr>
        <w:trPr>
          <w:trHeight w:val="21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Mr. Thomas Lynch</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7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20.28</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7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22.30</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27, 2020</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7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32.37</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1, 2021</w:t>
            </w:r>
          </w:p>
        </w:tc>
      </w:tr>
      <w:tr>
        <w:trPr>
          <w:trHeight w:val="200"/>
        </w:trPr>
        <w:tc>
          <w:tcPr>
            <w:tcW w:w="4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10,000</w:t>
            </w:r>
          </w:p>
        </w:tc>
        <w:tc>
          <w:tcPr>
            <w:tcW w:w="700" w:type="dxa"/>
            <w:vAlign w:val="bottom"/>
            <w:shd w:val="clear" w:color="auto" w:fill="CCEEFF"/>
          </w:tcPr>
          <w:p>
            <w:pPr>
              <w:jc w:val="right"/>
              <w:ind w:right="231"/>
              <w:spacing w:after="0" w:line="201"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line="201" w:lineRule="exact"/>
              <w:rPr>
                <w:sz w:val="20"/>
                <w:szCs w:val="20"/>
                <w:color w:val="auto"/>
              </w:rPr>
            </w:pPr>
            <w:r>
              <w:rPr>
                <w:rFonts w:ascii="Arial" w:cs="Arial" w:eastAsia="Arial" w:hAnsi="Arial"/>
                <w:sz w:val="18"/>
                <w:szCs w:val="18"/>
                <w:color w:val="auto"/>
              </w:rPr>
              <w:t>40.83</w:t>
            </w:r>
          </w:p>
        </w:tc>
        <w:tc>
          <w:tcPr>
            <w:tcW w:w="4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May 23, 2022</w:t>
            </w:r>
          </w:p>
        </w:tc>
      </w:tr>
      <w:tr>
        <w:trPr>
          <w:trHeight w:val="225"/>
        </w:trPr>
        <w:tc>
          <w:tcPr>
            <w:tcW w:w="4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2023</w:t>
            </w:r>
          </w:p>
        </w:tc>
      </w:tr>
      <w:tr>
        <w:trPr>
          <w:trHeight w:val="597"/>
        </w:trPr>
        <w:tc>
          <w:tcPr>
            <w:tcW w:w="4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jc w:val="right"/>
              <w:ind w:right="371"/>
              <w:spacing w:after="0"/>
              <w:rPr>
                <w:sz w:val="20"/>
                <w:szCs w:val="20"/>
                <w:color w:val="auto"/>
              </w:rPr>
            </w:pPr>
            <w:r>
              <w:rPr>
                <w:rFonts w:ascii="Arial" w:cs="Arial" w:eastAsia="Arial" w:hAnsi="Arial"/>
                <w:sz w:val="18"/>
                <w:szCs w:val="18"/>
                <w:color w:val="auto"/>
              </w:rPr>
              <w:t>60</w:t>
            </w:r>
          </w:p>
        </w:tc>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17"/>
        </w:trPr>
        <w:tc>
          <w:tcPr>
            <w:tcW w:w="4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513" w:right="1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No.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326"/>
        </w:trPr>
        <w:tc>
          <w:tcPr>
            <w:tcW w:w="424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4"/>
                <w:szCs w:val="24"/>
                <w:b w:val="1"/>
                <w:bCs w:val="1"/>
                <w:color w:val="auto"/>
                <w:vertAlign w:val="superscript"/>
              </w:rPr>
              <w:t>(1)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5"/>
              </w:rPr>
              <w:t>Exercise price</w:t>
            </w:r>
          </w:p>
        </w:tc>
        <w:tc>
          <w:tcPr>
            <w:tcW w:w="4320" w:type="dxa"/>
            <w:vAlign w:val="bottom"/>
          </w:tcPr>
          <w:p>
            <w:pPr>
              <w:ind w:left="100"/>
              <w:spacing w:after="0"/>
              <w:rPr>
                <w:sz w:val="20"/>
                <w:szCs w:val="20"/>
                <w:color w:val="auto"/>
              </w:rPr>
            </w:pPr>
            <w:r>
              <w:rPr>
                <w:rFonts w:ascii="Arial" w:cs="Arial" w:eastAsia="Arial" w:hAnsi="Arial"/>
                <w:sz w:val="18"/>
                <w:szCs w:val="18"/>
                <w:b w:val="1"/>
                <w:bCs w:val="1"/>
                <w:color w:val="auto"/>
              </w:rPr>
              <w:t>Expiration Date</w:t>
            </w:r>
          </w:p>
        </w:tc>
      </w:tr>
      <w:tr>
        <w:trPr>
          <w:trHeight w:val="117"/>
        </w:trPr>
        <w:tc>
          <w:tcPr>
            <w:tcW w:w="4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320" w:type="dxa"/>
            <w:vAlign w:val="bottom"/>
          </w:tcPr>
          <w:p>
            <w:pPr>
              <w:spacing w:after="0"/>
              <w:rPr>
                <w:sz w:val="10"/>
                <w:szCs w:val="10"/>
                <w:color w:val="auto"/>
              </w:rPr>
            </w:pPr>
          </w:p>
        </w:tc>
      </w:tr>
      <w:tr>
        <w:trPr>
          <w:trHeight w:val="21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Mr. Ciaran Murray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20.28</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16.80</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October 31, 2019</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22.30</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27, 2020</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32.37</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1, 2021</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47.03</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2022</w:t>
            </w:r>
          </w:p>
        </w:tc>
      </w:tr>
      <w:tr>
        <w:trPr>
          <w:trHeight w:val="200"/>
        </w:trPr>
        <w:tc>
          <w:tcPr>
            <w:tcW w:w="4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53,828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line="201" w:lineRule="exact"/>
              <w:rPr>
                <w:sz w:val="20"/>
                <w:szCs w:val="20"/>
                <w:color w:val="auto"/>
              </w:rPr>
            </w:pPr>
            <w:r>
              <w:rPr>
                <w:rFonts w:ascii="Arial" w:cs="Arial" w:eastAsia="Arial" w:hAnsi="Arial"/>
                <w:sz w:val="18"/>
                <w:szCs w:val="18"/>
                <w:color w:val="auto"/>
              </w:rPr>
              <w:t>48.67</w:t>
            </w:r>
          </w:p>
        </w:tc>
        <w:tc>
          <w:tcPr>
            <w:tcW w:w="4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March 17, 2022</w:t>
            </w:r>
          </w:p>
        </w:tc>
      </w:tr>
      <w:tr>
        <w:trPr>
          <w:trHeight w:val="224"/>
        </w:trPr>
        <w:tc>
          <w:tcPr>
            <w:tcW w:w="4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2023</w:t>
            </w:r>
          </w:p>
        </w:tc>
      </w:tr>
      <w:tr>
        <w:trPr>
          <w:trHeight w:val="214"/>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71.95</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4, 2024</w:t>
            </w:r>
          </w:p>
        </w:tc>
      </w:tr>
      <w:tr>
        <w:trPr>
          <w:trHeight w:val="213"/>
        </w:trPr>
        <w:tc>
          <w:tcPr>
            <w:tcW w:w="4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Mr. Brendan Brennan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20.28</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22, 2020</w:t>
            </w:r>
          </w:p>
        </w:tc>
      </w:tr>
      <w:tr>
        <w:trPr>
          <w:trHeight w:val="200"/>
        </w:trPr>
        <w:tc>
          <w:tcPr>
            <w:tcW w:w="4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15,813</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line="201" w:lineRule="exact"/>
              <w:rPr>
                <w:sz w:val="20"/>
                <w:szCs w:val="20"/>
                <w:color w:val="auto"/>
              </w:rPr>
            </w:pPr>
            <w:r>
              <w:rPr>
                <w:rFonts w:ascii="Arial" w:cs="Arial" w:eastAsia="Arial" w:hAnsi="Arial"/>
                <w:sz w:val="18"/>
                <w:szCs w:val="18"/>
                <w:color w:val="auto"/>
              </w:rPr>
              <w:t>32.37</w:t>
            </w:r>
          </w:p>
        </w:tc>
        <w:tc>
          <w:tcPr>
            <w:tcW w:w="4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May 1, 2021</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47.03</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2022</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48.67</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17, 2022</w:t>
            </w:r>
          </w:p>
        </w:tc>
      </w:tr>
      <w:tr>
        <w:trPr>
          <w:trHeight w:val="224"/>
        </w:trPr>
        <w:tc>
          <w:tcPr>
            <w:tcW w:w="4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2023</w:t>
            </w:r>
          </w:p>
        </w:tc>
      </w:tr>
      <w:tr>
        <w:trPr>
          <w:trHeight w:val="214"/>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71.95</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4, 2024</w:t>
            </w:r>
          </w:p>
        </w:tc>
      </w:tr>
      <w:tr>
        <w:trPr>
          <w:trHeight w:val="239"/>
        </w:trPr>
        <w:tc>
          <w:tcPr>
            <w:tcW w:w="4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11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200"/>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Steve Cutler</w:t>
            </w:r>
          </w:p>
        </w:tc>
        <w:tc>
          <w:tcPr>
            <w:tcW w:w="1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12,000</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line="201" w:lineRule="exact"/>
              <w:rPr>
                <w:sz w:val="20"/>
                <w:szCs w:val="20"/>
                <w:color w:val="auto"/>
              </w:rPr>
            </w:pPr>
            <w:r>
              <w:rPr>
                <w:rFonts w:ascii="Arial" w:cs="Arial" w:eastAsia="Arial" w:hAnsi="Arial"/>
                <w:sz w:val="18"/>
                <w:szCs w:val="18"/>
                <w:color w:val="auto"/>
              </w:rPr>
              <w:t>17.17</w:t>
            </w:r>
          </w:p>
        </w:tc>
        <w:tc>
          <w:tcPr>
            <w:tcW w:w="4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7, 2019</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22, 2020</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32.37</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1, 2021</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47.03</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2022</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48.67</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17, 2022</w:t>
            </w:r>
          </w:p>
        </w:tc>
      </w:tr>
      <w:tr>
        <w:trPr>
          <w:trHeight w:val="224"/>
        </w:trPr>
        <w:tc>
          <w:tcPr>
            <w:tcW w:w="4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2023</w:t>
            </w:r>
          </w:p>
        </w:tc>
      </w:tr>
      <w:tr>
        <w:trPr>
          <w:trHeight w:val="214"/>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71.95</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4, 2024</w:t>
            </w:r>
          </w:p>
        </w:tc>
      </w:tr>
      <w:tr>
        <w:trPr>
          <w:trHeight w:val="213"/>
        </w:trPr>
        <w:tc>
          <w:tcPr>
            <w:tcW w:w="4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15.84</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30, 2017</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24.46</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4, 2018</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20.28</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22.30</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27, 2020</w:t>
            </w:r>
          </w:p>
        </w:tc>
      </w:tr>
      <w:tr>
        <w:trPr>
          <w:trHeight w:val="200"/>
        </w:trPr>
        <w:tc>
          <w:tcPr>
            <w:tcW w:w="4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2,500</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line="201" w:lineRule="exact"/>
              <w:rPr>
                <w:sz w:val="20"/>
                <w:szCs w:val="20"/>
                <w:color w:val="auto"/>
              </w:rPr>
            </w:pPr>
            <w:r>
              <w:rPr>
                <w:rFonts w:ascii="Arial" w:cs="Arial" w:eastAsia="Arial" w:hAnsi="Arial"/>
                <w:sz w:val="18"/>
                <w:szCs w:val="18"/>
                <w:color w:val="auto"/>
              </w:rPr>
              <w:t>32.37</w:t>
            </w:r>
          </w:p>
        </w:tc>
        <w:tc>
          <w:tcPr>
            <w:tcW w:w="4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May 1, 2021</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40.83</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23, 2022</w:t>
            </w:r>
          </w:p>
        </w:tc>
      </w:tr>
      <w:tr>
        <w:trPr>
          <w:trHeight w:val="225"/>
        </w:trPr>
        <w:tc>
          <w:tcPr>
            <w:tcW w:w="4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2023</w:t>
            </w:r>
          </w:p>
        </w:tc>
      </w:tr>
      <w:tr>
        <w:trPr>
          <w:trHeight w:val="213"/>
        </w:trPr>
        <w:tc>
          <w:tcPr>
            <w:tcW w:w="4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3"/>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22.26</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February 25, 2017</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24.46</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4, 2018</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20.28</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22.30</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27, 2020</w:t>
            </w:r>
          </w:p>
        </w:tc>
      </w:tr>
      <w:tr>
        <w:trPr>
          <w:trHeight w:val="200"/>
        </w:trPr>
        <w:tc>
          <w:tcPr>
            <w:tcW w:w="4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2,500</w:t>
            </w:r>
          </w:p>
        </w:tc>
        <w:tc>
          <w:tcPr>
            <w:tcW w:w="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line="201" w:lineRule="exact"/>
              <w:rPr>
                <w:sz w:val="20"/>
                <w:szCs w:val="20"/>
                <w:color w:val="auto"/>
              </w:rPr>
            </w:pPr>
            <w:r>
              <w:rPr>
                <w:rFonts w:ascii="Arial" w:cs="Arial" w:eastAsia="Arial" w:hAnsi="Arial"/>
                <w:sz w:val="18"/>
                <w:szCs w:val="18"/>
                <w:color w:val="auto"/>
              </w:rPr>
              <w:t>32.37</w:t>
            </w:r>
          </w:p>
        </w:tc>
        <w:tc>
          <w:tcPr>
            <w:tcW w:w="4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May 1, 2021</w:t>
            </w:r>
          </w:p>
        </w:tc>
      </w:tr>
      <w:tr>
        <w:trPr>
          <w:trHeight w:val="213"/>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40.83</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23, 2022</w:t>
            </w:r>
          </w:p>
        </w:tc>
      </w:tr>
      <w:tr>
        <w:trPr>
          <w:trHeight w:val="225"/>
        </w:trPr>
        <w:tc>
          <w:tcPr>
            <w:tcW w:w="4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2023</w:t>
            </w:r>
          </w:p>
        </w:tc>
      </w:tr>
      <w:tr>
        <w:trPr>
          <w:trHeight w:val="597"/>
        </w:trPr>
        <w:tc>
          <w:tcPr>
            <w:tcW w:w="4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17"/>
        </w:trPr>
        <w:tc>
          <w:tcPr>
            <w:tcW w:w="4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20"/>
                <w:szCs w:val="20"/>
                <w:color w:val="auto"/>
              </w:rPr>
            </w:pPr>
            <w:r>
              <w:rPr>
                <w:rFonts w:ascii="Arial" w:cs="Arial" w:eastAsia="Arial" w:hAnsi="Arial"/>
                <w:sz w:val="18"/>
                <w:szCs w:val="18"/>
                <w:b w:val="1"/>
                <w:bCs w:val="1"/>
                <w:color w:val="auto"/>
              </w:rPr>
              <w:t>Name of Owner or</w:t>
            </w:r>
          </w:p>
        </w:tc>
        <w:tc>
          <w:tcPr>
            <w:tcW w:w="1320" w:type="dxa"/>
            <w:vAlign w:val="bottom"/>
          </w:tcPr>
          <w:p>
            <w:pPr>
              <w:jc w:val="right"/>
              <w:ind w:right="91"/>
              <w:spacing w:after="0"/>
              <w:rPr>
                <w:sz w:val="20"/>
                <w:szCs w:val="20"/>
                <w:color w:val="auto"/>
              </w:rPr>
            </w:pPr>
            <w:r>
              <w:rPr>
                <w:rFonts w:ascii="Arial" w:cs="Arial" w:eastAsia="Arial" w:hAnsi="Arial"/>
                <w:sz w:val="18"/>
                <w:szCs w:val="18"/>
                <w:b w:val="1"/>
                <w:bCs w:val="1"/>
                <w:color w:val="auto"/>
              </w:rPr>
              <w:t>No. of</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326"/>
        </w:trPr>
        <w:tc>
          <w:tcPr>
            <w:tcW w:w="4360" w:type="dxa"/>
            <w:vAlign w:val="bottom"/>
          </w:tcPr>
          <w:p>
            <w:pPr>
              <w:spacing w:after="0"/>
              <w:rPr>
                <w:sz w:val="20"/>
                <w:szCs w:val="20"/>
                <w:color w:val="auto"/>
              </w:rPr>
            </w:pPr>
            <w:r>
              <w:rPr>
                <w:rFonts w:ascii="Arial" w:cs="Arial" w:eastAsia="Arial" w:hAnsi="Arial"/>
                <w:sz w:val="18"/>
                <w:szCs w:val="18"/>
                <w:b w:val="1"/>
                <w:bCs w:val="1"/>
                <w:color w:val="auto"/>
              </w:rPr>
              <w:t>Identity of Group</w:t>
            </w:r>
          </w:p>
        </w:tc>
        <w:tc>
          <w:tcPr>
            <w:tcW w:w="1320" w:type="dxa"/>
            <w:vAlign w:val="bottom"/>
          </w:tcPr>
          <w:p>
            <w:pPr>
              <w:jc w:val="right"/>
              <w:ind w:right="91"/>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4"/>
                <w:szCs w:val="24"/>
                <w:b w:val="1"/>
                <w:bCs w:val="1"/>
                <w:color w:val="auto"/>
                <w:vertAlign w:val="superscript"/>
              </w:rPr>
              <w:t>(1)</w:t>
            </w:r>
          </w:p>
        </w:tc>
        <w:tc>
          <w:tcPr>
            <w:tcW w:w="142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Exercise price</w:t>
            </w:r>
          </w:p>
        </w:tc>
        <w:tc>
          <w:tcPr>
            <w:tcW w:w="4320" w:type="dxa"/>
            <w:vAlign w:val="bottom"/>
          </w:tcPr>
          <w:p>
            <w:pPr>
              <w:ind w:left="100"/>
              <w:spacing w:after="0"/>
              <w:rPr>
                <w:sz w:val="20"/>
                <w:szCs w:val="20"/>
                <w:color w:val="auto"/>
              </w:rPr>
            </w:pPr>
            <w:r>
              <w:rPr>
                <w:rFonts w:ascii="Arial" w:cs="Arial" w:eastAsia="Arial" w:hAnsi="Arial"/>
                <w:sz w:val="18"/>
                <w:szCs w:val="18"/>
                <w:b w:val="1"/>
                <w:bCs w:val="1"/>
                <w:color w:val="auto"/>
              </w:rPr>
              <w:t>Expiration Date</w:t>
            </w:r>
          </w:p>
        </w:tc>
      </w:tr>
      <w:tr>
        <w:trPr>
          <w:trHeight w:val="144"/>
        </w:trPr>
        <w:tc>
          <w:tcPr>
            <w:tcW w:w="4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320" w:type="dxa"/>
            <w:vAlign w:val="bottom"/>
          </w:tcPr>
          <w:p>
            <w:pPr>
              <w:spacing w:after="0"/>
              <w:rPr>
                <w:sz w:val="12"/>
                <w:szCs w:val="12"/>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Professor Dermot Kelleher</w:t>
            </w: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24.46</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4, 2018</w:t>
            </w:r>
          </w:p>
        </w:tc>
      </w:tr>
      <w:tr>
        <w:trPr>
          <w:trHeight w:val="213"/>
        </w:trPr>
        <w:tc>
          <w:tcPr>
            <w:tcW w:w="4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20.28</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r>
      <w:tr>
        <w:trPr>
          <w:trHeight w:val="213"/>
        </w:trPr>
        <w:tc>
          <w:tcPr>
            <w:tcW w:w="4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22.30</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27, 2020</w:t>
            </w:r>
          </w:p>
        </w:tc>
      </w:tr>
      <w:tr>
        <w:trPr>
          <w:trHeight w:val="200"/>
        </w:trPr>
        <w:tc>
          <w:tcPr>
            <w:tcW w:w="43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91"/>
              <w:spacing w:after="0" w:line="201" w:lineRule="exact"/>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line="201" w:lineRule="exact"/>
              <w:rPr>
                <w:sz w:val="20"/>
                <w:szCs w:val="20"/>
                <w:color w:val="auto"/>
              </w:rPr>
            </w:pPr>
            <w:r>
              <w:rPr>
                <w:rFonts w:ascii="Arial" w:cs="Arial" w:eastAsia="Arial" w:hAnsi="Arial"/>
                <w:sz w:val="18"/>
                <w:szCs w:val="18"/>
                <w:color w:val="auto"/>
              </w:rPr>
              <w:t>32.37</w:t>
            </w:r>
          </w:p>
        </w:tc>
        <w:tc>
          <w:tcPr>
            <w:tcW w:w="4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May 1, 2021</w:t>
            </w:r>
          </w:p>
        </w:tc>
      </w:tr>
      <w:tr>
        <w:trPr>
          <w:trHeight w:val="213"/>
        </w:trPr>
        <w:tc>
          <w:tcPr>
            <w:tcW w:w="4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40.83</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23, 2022</w:t>
            </w:r>
          </w:p>
        </w:tc>
      </w:tr>
      <w:tr>
        <w:trPr>
          <w:trHeight w:val="225"/>
        </w:trPr>
        <w:tc>
          <w:tcPr>
            <w:tcW w:w="4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2023</w:t>
            </w:r>
          </w:p>
        </w:tc>
      </w:tr>
      <w:tr>
        <w:trPr>
          <w:trHeight w:val="213"/>
        </w:trPr>
        <w:tc>
          <w:tcPr>
            <w:tcW w:w="4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Mr. Declan McKeon</w:t>
            </w: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29.45</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29, 2018</w:t>
            </w:r>
          </w:p>
        </w:tc>
      </w:tr>
      <w:tr>
        <w:trPr>
          <w:trHeight w:val="213"/>
        </w:trPr>
        <w:tc>
          <w:tcPr>
            <w:tcW w:w="4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20.28</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 2019</w:t>
            </w:r>
          </w:p>
        </w:tc>
      </w:tr>
      <w:tr>
        <w:trPr>
          <w:trHeight w:val="200"/>
        </w:trPr>
        <w:tc>
          <w:tcPr>
            <w:tcW w:w="43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91"/>
              <w:spacing w:after="0" w:line="201" w:lineRule="exact"/>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1"/>
              <w:spacing w:after="0" w:line="201" w:lineRule="exact"/>
              <w:rPr>
                <w:sz w:val="20"/>
                <w:szCs w:val="20"/>
                <w:color w:val="auto"/>
              </w:rPr>
            </w:pPr>
            <w:r>
              <w:rPr>
                <w:rFonts w:ascii="Arial" w:cs="Arial" w:eastAsia="Arial" w:hAnsi="Arial"/>
                <w:sz w:val="18"/>
                <w:szCs w:val="18"/>
                <w:color w:val="auto"/>
              </w:rPr>
              <w:t>22.30</w:t>
            </w:r>
          </w:p>
        </w:tc>
        <w:tc>
          <w:tcPr>
            <w:tcW w:w="4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April 27, 2020</w:t>
            </w:r>
          </w:p>
        </w:tc>
      </w:tr>
      <w:tr>
        <w:trPr>
          <w:trHeight w:val="213"/>
        </w:trPr>
        <w:tc>
          <w:tcPr>
            <w:tcW w:w="4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$32.37</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1, 2021</w:t>
            </w:r>
          </w:p>
        </w:tc>
      </w:tr>
      <w:tr>
        <w:trPr>
          <w:trHeight w:val="224"/>
        </w:trPr>
        <w:tc>
          <w:tcPr>
            <w:tcW w:w="4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$40.83</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23, 2022</w:t>
            </w:r>
          </w:p>
        </w:tc>
      </w:tr>
      <w:tr>
        <w:trPr>
          <w:trHeight w:val="214"/>
        </w:trPr>
        <w:tc>
          <w:tcPr>
            <w:tcW w:w="4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2023</w:t>
            </w:r>
          </w:p>
        </w:tc>
      </w:tr>
      <w:tr>
        <w:trPr>
          <w:trHeight w:val="213"/>
        </w:trPr>
        <w:tc>
          <w:tcPr>
            <w:tcW w:w="4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Professor William Hall</w:t>
            </w: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7,500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32.37</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1, 2021</w:t>
            </w:r>
          </w:p>
        </w:tc>
      </w:tr>
      <w:tr>
        <w:trPr>
          <w:trHeight w:val="213"/>
        </w:trPr>
        <w:tc>
          <w:tcPr>
            <w:tcW w:w="4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40.83</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23, 2022</w:t>
            </w:r>
          </w:p>
        </w:tc>
      </w:tr>
      <w:tr>
        <w:trPr>
          <w:trHeight w:val="213"/>
        </w:trPr>
        <w:tc>
          <w:tcPr>
            <w:tcW w:w="4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2023</w:t>
            </w:r>
          </w:p>
        </w:tc>
      </w:tr>
      <w:tr>
        <w:trPr>
          <w:trHeight w:val="239"/>
        </w:trPr>
        <w:tc>
          <w:tcPr>
            <w:tcW w:w="4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Ms. Mary Pendergast</w:t>
            </w: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40.83</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23, 2022</w:t>
            </w:r>
          </w:p>
        </w:tc>
      </w:tr>
      <w:tr>
        <w:trPr>
          <w:trHeight w:val="213"/>
        </w:trPr>
        <w:tc>
          <w:tcPr>
            <w:tcW w:w="4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2023</w:t>
            </w:r>
          </w:p>
        </w:tc>
      </w:tr>
      <w:tr>
        <w:trPr>
          <w:trHeight w:val="239"/>
        </w:trPr>
        <w:tc>
          <w:tcPr>
            <w:tcW w:w="4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Dr. Hugh Brady</w:t>
            </w: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40.83</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23, 2022</w:t>
            </w:r>
          </w:p>
        </w:tc>
      </w:tr>
      <w:tr>
        <w:trPr>
          <w:trHeight w:val="213"/>
        </w:trPr>
        <w:tc>
          <w:tcPr>
            <w:tcW w:w="4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68.39</w:t>
            </w: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2023</w:t>
            </w:r>
          </w:p>
        </w:tc>
      </w:tr>
    </w:tbl>
    <w:p>
      <w:pPr>
        <w:spacing w:after="0" w:line="227" w:lineRule="exact"/>
        <w:rPr>
          <w:sz w:val="20"/>
          <w:szCs w:val="20"/>
          <w:color w:val="auto"/>
        </w:rPr>
      </w:pPr>
    </w:p>
    <w:p>
      <w:pPr>
        <w:ind w:left="520" w:hanging="514"/>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securities covered by all of the above options are non qualified.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ordinary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4" w:name="page65"/>
    <w:bookmarkEnd w:id="64"/>
    <w:p>
      <w:pPr>
        <w:jc w:val="both"/>
        <w:spacing w:after="0" w:line="29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option granted under the 2008 Employee Plan or the 2008 Consultants Plan (together the “2008 Option Plans”) will be an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2015 is eight years.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 sets forth certain information regarding beneficial ownership of ICON's ordinary shares as of March 23, 2016 (i) by each person that beneficially owns more than 5% of the outstanding ordinary shares, based upon information known to us and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b w:val="1"/>
                <w:bCs w:val="1"/>
                <w:color w:val="auto"/>
              </w:rPr>
              <w:t>Name of Owner or Identity of Group</w:t>
            </w:r>
          </w:p>
        </w:tc>
        <w:tc>
          <w:tcPr>
            <w:tcW w:w="3460" w:type="dxa"/>
            <w:vAlign w:val="bottom"/>
          </w:tcPr>
          <w:p>
            <w:pPr>
              <w:jc w:val="right"/>
              <w:ind w:right="131"/>
              <w:spacing w:after="0"/>
              <w:rPr>
                <w:sz w:val="20"/>
                <w:szCs w:val="20"/>
                <w:color w:val="auto"/>
              </w:rPr>
            </w:pPr>
            <w:r>
              <w:rPr>
                <w:rFonts w:ascii="Arial" w:cs="Arial" w:eastAsia="Arial" w:hAnsi="Arial"/>
                <w:sz w:val="18"/>
                <w:szCs w:val="18"/>
                <w:b w:val="1"/>
                <w:bCs w:val="1"/>
                <w:color w:val="auto"/>
              </w:rPr>
              <w:t>No. of Shares (1)</w:t>
            </w:r>
          </w:p>
        </w:tc>
        <w:tc>
          <w:tcPr>
            <w:tcW w:w="1600" w:type="dxa"/>
            <w:vAlign w:val="bottom"/>
          </w:tcPr>
          <w:p>
            <w:pPr>
              <w:jc w:val="right"/>
              <w:ind w:right="51"/>
              <w:spacing w:after="0"/>
              <w:rPr>
                <w:sz w:val="20"/>
                <w:szCs w:val="20"/>
                <w:color w:val="auto"/>
              </w:rPr>
            </w:pPr>
            <w:r>
              <w:rPr>
                <w:rFonts w:ascii="Arial" w:cs="Arial" w:eastAsia="Arial" w:hAnsi="Arial"/>
                <w:sz w:val="18"/>
                <w:szCs w:val="18"/>
                <w:b w:val="1"/>
                <w:bCs w:val="1"/>
                <w:color w:val="auto"/>
              </w:rPr>
              <w:t>Percent of Class</w:t>
            </w:r>
          </w:p>
        </w:tc>
      </w:tr>
      <w:tr>
        <w:trPr>
          <w:trHeight w:val="213"/>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WCM Investment Management (2)</w:t>
            </w:r>
          </w:p>
        </w:tc>
        <w:tc>
          <w:tcPr>
            <w:tcW w:w="3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4,584,348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13"/>
        </w:trPr>
        <w:tc>
          <w:tcPr>
            <w:tcW w:w="6360" w:type="dxa"/>
            <w:vAlign w:val="bottom"/>
          </w:tcPr>
          <w:p>
            <w:pPr>
              <w:spacing w:after="0"/>
              <w:rPr>
                <w:sz w:val="20"/>
                <w:szCs w:val="20"/>
                <w:color w:val="auto"/>
              </w:rPr>
            </w:pPr>
            <w:r>
              <w:rPr>
                <w:rFonts w:ascii="Arial" w:cs="Arial" w:eastAsia="Arial" w:hAnsi="Arial"/>
                <w:sz w:val="18"/>
                <w:szCs w:val="18"/>
                <w:color w:val="auto"/>
              </w:rPr>
              <w:t>EARNEST Partners, LLC (2)</w:t>
            </w:r>
          </w:p>
        </w:tc>
        <w:tc>
          <w:tcPr>
            <w:tcW w:w="3460" w:type="dxa"/>
            <w:vAlign w:val="bottom"/>
          </w:tcPr>
          <w:p>
            <w:pPr>
              <w:jc w:val="right"/>
              <w:ind w:right="151"/>
              <w:spacing w:after="0"/>
              <w:rPr>
                <w:sz w:val="20"/>
                <w:szCs w:val="20"/>
                <w:color w:val="auto"/>
              </w:rPr>
            </w:pPr>
            <w:r>
              <w:rPr>
                <w:rFonts w:ascii="Arial" w:cs="Arial" w:eastAsia="Arial" w:hAnsi="Arial"/>
                <w:sz w:val="18"/>
                <w:szCs w:val="18"/>
                <w:color w:val="auto"/>
              </w:rPr>
              <w:t>4,453,885</w:t>
            </w:r>
          </w:p>
        </w:tc>
        <w:tc>
          <w:tcPr>
            <w:tcW w:w="160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13"/>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Neuberger Berman, LLC (2)</w:t>
            </w:r>
          </w:p>
        </w:tc>
        <w:tc>
          <w:tcPr>
            <w:tcW w:w="3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4,113,018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13"/>
        </w:trPr>
        <w:tc>
          <w:tcPr>
            <w:tcW w:w="6360" w:type="dxa"/>
            <w:vAlign w:val="bottom"/>
          </w:tcPr>
          <w:p>
            <w:pPr>
              <w:spacing w:after="0"/>
              <w:rPr>
                <w:sz w:val="20"/>
                <w:szCs w:val="20"/>
                <w:color w:val="auto"/>
              </w:rPr>
            </w:pPr>
            <w:r>
              <w:rPr>
                <w:rFonts w:ascii="Arial" w:cs="Arial" w:eastAsia="Arial" w:hAnsi="Arial"/>
                <w:sz w:val="18"/>
                <w:szCs w:val="18"/>
                <w:color w:val="auto"/>
              </w:rPr>
              <w:t>Boston Partners (2)</w:t>
            </w:r>
          </w:p>
        </w:tc>
        <w:tc>
          <w:tcPr>
            <w:tcW w:w="3460" w:type="dxa"/>
            <w:vAlign w:val="bottom"/>
          </w:tcPr>
          <w:p>
            <w:pPr>
              <w:jc w:val="right"/>
              <w:ind w:right="151"/>
              <w:spacing w:after="0"/>
              <w:rPr>
                <w:sz w:val="20"/>
                <w:szCs w:val="20"/>
                <w:color w:val="auto"/>
              </w:rPr>
            </w:pPr>
            <w:r>
              <w:rPr>
                <w:rFonts w:ascii="Arial" w:cs="Arial" w:eastAsia="Arial" w:hAnsi="Arial"/>
                <w:sz w:val="18"/>
                <w:szCs w:val="18"/>
                <w:color w:val="auto"/>
              </w:rPr>
              <w:t>3,349,120</w:t>
            </w:r>
          </w:p>
        </w:tc>
        <w:tc>
          <w:tcPr>
            <w:tcW w:w="160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13"/>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All Directors, officers and other key employees as a group (3)</w:t>
            </w:r>
          </w:p>
        </w:tc>
        <w:tc>
          <w:tcPr>
            <w:tcW w:w="3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2,899,778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bl>
    <w:p>
      <w:pPr>
        <w:spacing w:after="0" w:line="200" w:lineRule="exact"/>
        <w:rPr>
          <w:sz w:val="20"/>
          <w:szCs w:val="20"/>
          <w:color w:val="auto"/>
        </w:rPr>
      </w:pPr>
    </w:p>
    <w:p>
      <w:pPr>
        <w:jc w:val="both"/>
        <w:ind w:left="360" w:hanging="354"/>
        <w:spacing w:after="0" w:line="256"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188" w:lineRule="exact"/>
        <w:rPr>
          <w:rFonts w:ascii="Arial" w:cs="Arial" w:eastAsia="Arial" w:hAnsi="Arial"/>
          <w:sz w:val="18"/>
          <w:szCs w:val="18"/>
          <w:color w:val="auto"/>
        </w:rPr>
      </w:pPr>
    </w:p>
    <w:p>
      <w:pPr>
        <w:ind w:left="360" w:hanging="354"/>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holds any voting power in this entity.</w:t>
      </w:r>
    </w:p>
    <w:p>
      <w:pPr>
        <w:spacing w:after="0" w:line="218" w:lineRule="exact"/>
        <w:rPr>
          <w:rFonts w:ascii="Arial" w:cs="Arial" w:eastAsia="Arial" w:hAnsi="Arial"/>
          <w:sz w:val="18"/>
          <w:szCs w:val="18"/>
          <w:color w:val="auto"/>
        </w:rPr>
      </w:pPr>
    </w:p>
    <w:p>
      <w:pPr>
        <w:jc w:val="both"/>
        <w:ind w:left="360" w:hanging="354"/>
        <w:spacing w:after="0" w:line="253"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889,817 ordinary shares issuable upon the exercise of stock options granted by the Company, 153,788 RSU’s awarded by the Company to directors, officers and other key employees and 770,270 PSU’s awarded by the Company to Directors, officers and other key employees. Of the issued PSU’s, performance conditions will determine how many of them vest and, if performance targets are exceeded, additional PSU’s will be issued and vest in accordance with the terms of the relevant PSU award.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ICON plc, is not directly or indirectly, owned or controlled by another corporation or by any government.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19, 2012, Mr. Peter Gray retired as a Director and employee of the Company. The Company subsequently entered into an agreement with Integritum Limited, a company controlled by Mr. Gray, for the provision of consultancy services for a period of two years from August 1, 2012, at an agreed fee of €265,000 ($350,000) per annum. This arrangement expired in August, 2014.</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Subsidiaries of the Company earned revenue of $221,000 from GW Pharmaceuticals plc in the normal course of business. There were backlog awards at December 31, 2015 of $88,000. Tom Lynch, Chairman of the Company is a non-executive Director of GW Pharmaceuticals plc. The contract terms were agreed on an arm’s length basis.</w:t>
      </w:r>
    </w:p>
    <w:p>
      <w:pPr>
        <w:spacing w:after="0" w:line="21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Subsidiaries of the Company earned revenue of $100,000 (2014: $300,000) from Dignity Sciences Limited during the year. Dr. John Climax is a director and both Dr. John Climax and Dr. Ronan Lambe are shareholders of Dignity Sciences Limited. The contract terms were agreed on an arm’s length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Legal Proceedings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ICON is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cash dividends on our ordinary shares and do not currently intend to pay cash dividends on our ordinary shares in the foreseeable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ICON’s ordinary shares are traded on the NASDAQ Global Select Market under the symbol “ICLR”. The following table sets forth the trading price for the dates indicated for ICON plc’s shares as reported by NASDAQ. ICON plc’s ADR program was terminated on January 31, 2013 and ICON plc’s ordinary shares began directly trading on NASDAQ on February 4, 2013. Prior to that date, ICON plc’s ADSs were traded on NASDAQ and ICON plc’s Depository for the ADSs was The Bank of New York Mellon.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High Sales Price</w:t>
            </w:r>
          </w:p>
        </w:tc>
        <w:tc>
          <w:tcPr>
            <w:tcW w:w="220" w:type="dxa"/>
            <w:vAlign w:val="bottom"/>
          </w:tcPr>
          <w:p>
            <w:pPr>
              <w:spacing w:after="0"/>
              <w:rPr>
                <w:sz w:val="18"/>
                <w:szCs w:val="18"/>
                <w:color w:val="auto"/>
              </w:rPr>
            </w:pPr>
          </w:p>
        </w:tc>
        <w:tc>
          <w:tcPr>
            <w:tcW w:w="146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Low Sales Price</w:t>
            </w:r>
          </w:p>
        </w:tc>
      </w:tr>
      <w:tr>
        <w:trPr>
          <w:trHeight w:val="23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w:t>
            </w:r>
          </w:p>
        </w:tc>
        <w:tc>
          <w:tcPr>
            <w:tcW w:w="4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r>
      <w:tr>
        <w:trPr>
          <w:trHeight w:val="213"/>
        </w:trPr>
        <w:tc>
          <w:tcPr>
            <w:tcW w:w="35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15.03</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December 31, 2012</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28.93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16.73</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26.70</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December 31, 2014</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59.81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35.33</w:t>
            </w:r>
          </w:p>
        </w:tc>
      </w:tr>
      <w:tr>
        <w:trPr>
          <w:trHeight w:val="253"/>
        </w:trPr>
        <w:tc>
          <w:tcPr>
            <w:tcW w:w="3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4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50.91</w:t>
            </w:r>
          </w:p>
        </w:tc>
      </w:tr>
      <w:tr>
        <w:trPr>
          <w:trHeight w:val="187"/>
        </w:trPr>
        <w:tc>
          <w:tcPr>
            <w:tcW w:w="35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500" w:type="dxa"/>
            <w:vAlign w:val="bottom"/>
          </w:tcPr>
          <w:p>
            <w:pPr>
              <w:jc w:val="center"/>
              <w:ind w:right="131"/>
              <w:spacing w:after="0" w:line="188" w:lineRule="exact"/>
              <w:rPr>
                <w:sz w:val="20"/>
                <w:szCs w:val="20"/>
                <w:color w:val="auto"/>
              </w:rPr>
            </w:pPr>
            <w:r>
              <w:rPr>
                <w:rFonts w:ascii="Arial" w:cs="Arial" w:eastAsia="Arial" w:hAnsi="Arial"/>
                <w:sz w:val="18"/>
                <w:szCs w:val="18"/>
                <w:b w:val="1"/>
                <w:bCs w:val="1"/>
                <w:color w:val="auto"/>
                <w:w w:val="87"/>
              </w:rPr>
              <w:t>High Sales Price</w:t>
            </w:r>
          </w:p>
        </w:tc>
        <w:tc>
          <w:tcPr>
            <w:tcW w:w="220" w:type="dxa"/>
            <w:vAlign w:val="bottom"/>
          </w:tcPr>
          <w:p>
            <w:pPr>
              <w:spacing w:after="0"/>
              <w:rPr>
                <w:sz w:val="16"/>
                <w:szCs w:val="16"/>
                <w:color w:val="auto"/>
              </w:rPr>
            </w:pPr>
          </w:p>
        </w:tc>
        <w:tc>
          <w:tcPr>
            <w:tcW w:w="1460" w:type="dxa"/>
            <w:vAlign w:val="bottom"/>
          </w:tcPr>
          <w:p>
            <w:pPr>
              <w:jc w:val="center"/>
              <w:ind w:right="131"/>
              <w:spacing w:after="0" w:line="188" w:lineRule="exact"/>
              <w:rPr>
                <w:sz w:val="20"/>
                <w:szCs w:val="20"/>
                <w:color w:val="auto"/>
              </w:rPr>
            </w:pPr>
            <w:r>
              <w:rPr>
                <w:rFonts w:ascii="Arial" w:cs="Arial" w:eastAsia="Arial" w:hAnsi="Arial"/>
                <w:sz w:val="18"/>
                <w:szCs w:val="18"/>
                <w:b w:val="1"/>
                <w:bCs w:val="1"/>
                <w:color w:val="auto"/>
                <w:w w:val="87"/>
              </w:rPr>
              <w:t>Low Sales Price</w:t>
            </w:r>
          </w:p>
        </w:tc>
      </w:tr>
      <w:tr>
        <w:trPr>
          <w:trHeight w:val="23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 Ending</w:t>
            </w:r>
          </w:p>
        </w:tc>
        <w:tc>
          <w:tcPr>
            <w:tcW w:w="4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r>
      <w:tr>
        <w:trPr>
          <w:trHeight w:val="213"/>
        </w:trPr>
        <w:tc>
          <w:tcPr>
            <w:tcW w:w="35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Mar 31, 2014</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38.91</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June 30, 2014</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49.39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35.33</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Sept 30, 2014</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45.50</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Dec 31, 2014</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59.81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49.75</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Mar 31, 2015</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50.91</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June 30, 2015</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71.80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62.36</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Sept 30, 2015</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64.27</w:t>
            </w:r>
          </w:p>
        </w:tc>
      </w:tr>
      <w:tr>
        <w:trPr>
          <w:trHeight w:val="21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 31, 2015</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63.20</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7"/>
        </w:trPr>
        <w:tc>
          <w:tcPr>
            <w:tcW w:w="35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500" w:type="dxa"/>
            <w:vAlign w:val="bottom"/>
          </w:tcPr>
          <w:p>
            <w:pPr>
              <w:jc w:val="center"/>
              <w:ind w:right="131"/>
              <w:spacing w:after="0" w:line="188" w:lineRule="exact"/>
              <w:rPr>
                <w:sz w:val="20"/>
                <w:szCs w:val="20"/>
                <w:color w:val="auto"/>
              </w:rPr>
            </w:pPr>
            <w:r>
              <w:rPr>
                <w:rFonts w:ascii="Arial" w:cs="Arial" w:eastAsia="Arial" w:hAnsi="Arial"/>
                <w:sz w:val="18"/>
                <w:szCs w:val="18"/>
                <w:b w:val="1"/>
                <w:bCs w:val="1"/>
                <w:color w:val="auto"/>
                <w:w w:val="87"/>
              </w:rPr>
              <w:t>High Sales Price</w:t>
            </w:r>
          </w:p>
        </w:tc>
        <w:tc>
          <w:tcPr>
            <w:tcW w:w="220" w:type="dxa"/>
            <w:vAlign w:val="bottom"/>
          </w:tcPr>
          <w:p>
            <w:pPr>
              <w:spacing w:after="0"/>
              <w:rPr>
                <w:sz w:val="16"/>
                <w:szCs w:val="16"/>
                <w:color w:val="auto"/>
              </w:rPr>
            </w:pPr>
          </w:p>
        </w:tc>
        <w:tc>
          <w:tcPr>
            <w:tcW w:w="1460" w:type="dxa"/>
            <w:vAlign w:val="bottom"/>
          </w:tcPr>
          <w:p>
            <w:pPr>
              <w:jc w:val="center"/>
              <w:ind w:right="131"/>
              <w:spacing w:after="0" w:line="188" w:lineRule="exact"/>
              <w:rPr>
                <w:sz w:val="20"/>
                <w:szCs w:val="20"/>
                <w:color w:val="auto"/>
              </w:rPr>
            </w:pPr>
            <w:r>
              <w:rPr>
                <w:rFonts w:ascii="Arial" w:cs="Arial" w:eastAsia="Arial" w:hAnsi="Arial"/>
                <w:sz w:val="18"/>
                <w:szCs w:val="18"/>
                <w:b w:val="1"/>
                <w:bCs w:val="1"/>
                <w:color w:val="auto"/>
                <w:w w:val="87"/>
              </w:rPr>
              <w:t>Low Sales Price</w:t>
            </w:r>
          </w:p>
        </w:tc>
      </w:tr>
      <w:tr>
        <w:trPr>
          <w:trHeight w:val="23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 Ending</w:t>
            </w:r>
          </w:p>
        </w:tc>
        <w:tc>
          <w:tcPr>
            <w:tcW w:w="4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During Period</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July 31, 2015</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64.27</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Aug 31, 2015</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84.14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71.08</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Sept 30, 2015</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67.47</w:t>
            </w:r>
          </w:p>
        </w:tc>
      </w:tr>
      <w:tr>
        <w:trPr>
          <w:trHeight w:val="213"/>
        </w:trPr>
        <w:tc>
          <w:tcPr>
            <w:tcW w:w="3520" w:type="dxa"/>
            <w:vAlign w:val="bottom"/>
          </w:tcPr>
          <w:p>
            <w:pPr>
              <w:spacing w:after="0"/>
              <w:rPr>
                <w:sz w:val="20"/>
                <w:szCs w:val="20"/>
                <w:color w:val="auto"/>
              </w:rPr>
            </w:pPr>
            <w:r>
              <w:rPr>
                <w:rFonts w:ascii="Arial" w:cs="Arial" w:eastAsia="Arial" w:hAnsi="Arial"/>
                <w:sz w:val="18"/>
                <w:szCs w:val="18"/>
                <w:color w:val="auto"/>
              </w:rPr>
              <w:t>Oct 31, 2015</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74.12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63.20</w:t>
            </w:r>
          </w:p>
        </w:tc>
      </w:tr>
      <w:tr>
        <w:trPr>
          <w:trHeight w:val="21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Nov 30, 2015</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63.92</w:t>
            </w:r>
          </w:p>
        </w:tc>
      </w:tr>
      <w:tr>
        <w:trPr>
          <w:trHeight w:val="21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 31, 2015</w:t>
            </w:r>
          </w:p>
        </w:tc>
        <w:tc>
          <w:tcPr>
            <w:tcW w:w="4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71.90</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90"/>
        </w:trPr>
        <w:tc>
          <w:tcPr>
            <w:tcW w:w="3520" w:type="dxa"/>
            <w:vAlign w:val="bottom"/>
          </w:tcPr>
          <w:p>
            <w:pPr>
              <w:spacing w:after="0"/>
              <w:rPr>
                <w:sz w:val="24"/>
                <w:szCs w:val="24"/>
                <w:color w:val="auto"/>
              </w:rPr>
            </w:pPr>
          </w:p>
        </w:tc>
        <w:tc>
          <w:tcPr>
            <w:tcW w:w="4720" w:type="dxa"/>
            <w:vAlign w:val="bottom"/>
          </w:tcPr>
          <w:p>
            <w:pPr>
              <w:jc w:val="right"/>
              <w:ind w:right="2351"/>
              <w:spacing w:after="0"/>
              <w:rPr>
                <w:sz w:val="20"/>
                <w:szCs w:val="20"/>
                <w:color w:val="auto"/>
              </w:rPr>
            </w:pPr>
            <w:r>
              <w:rPr>
                <w:rFonts w:ascii="Arial" w:cs="Arial" w:eastAsia="Arial" w:hAnsi="Arial"/>
                <w:sz w:val="18"/>
                <w:szCs w:val="18"/>
                <w:color w:val="auto"/>
              </w:rPr>
              <w:t>65</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7"/>
        </w:trPr>
        <w:tc>
          <w:tcPr>
            <w:tcW w:w="3520" w:type="dxa"/>
            <w:vAlign w:val="bottom"/>
            <w:tcBorders>
              <w:bottom w:val="single" w:sz="8" w:color="808080"/>
            </w:tcBorders>
          </w:tcPr>
          <w:p>
            <w:pPr>
              <w:spacing w:after="0"/>
              <w:rPr>
                <w:sz w:val="10"/>
                <w:szCs w:val="10"/>
                <w:color w:val="auto"/>
              </w:rPr>
            </w:pPr>
          </w:p>
        </w:tc>
        <w:tc>
          <w:tcPr>
            <w:tcW w:w="47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hereby incorporate by reference our Memorandum and Articles of Association, as amended, located under the heading “Memorandum and Articles of Association of the Company” in Exhibit 3.1.</w:t>
      </w:r>
    </w:p>
    <w:p>
      <w:pPr>
        <w:spacing w:after="0" w:line="20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following is a summary of certain provisions of the current Articles of Association of the Company. This summary does not purport to be complete and is qualified in its entirety by reference to the complete text of the Articles of Association of the Company, which are included as an exhibit to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is incorporated under the name ICON plc, and is registered in Ireland under registered number 145835. The Company's objects, which are detailed in the Memorandum of Association of the Company, are broad and include, but are not limited to, the carrying on the business of an investment holding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 Directors are not required to retire at any particular age. One-third of the Directors retire and offer themselves for re-election at each Annual General Meeting ("AGM") of the Company. The Directors to retire by rotation are those who have been longest in office since their last appointment or reappointment. As between persons who became or were appointed Directors on the same date, those to retire are determined by agreement between them or, otherwise, by lot. All of the shareholders entitled to attend and vote at the AGM may vote on the re-election of Directors. There is no requirement for Directors to hold shares.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Preferences and Dividends Attaching to Shares</w:t>
      </w:r>
    </w:p>
    <w:p>
      <w:pPr>
        <w:spacing w:after="0" w:line="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Necessary to Change the Rights of Shareholders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and General Meetings</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Articles of Association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Limitations on the Right to Own Shares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limitations on the right to own shares in the Articles of Association of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Share Ownership</w:t>
      </w:r>
    </w:p>
    <w:p>
      <w:pPr>
        <w:spacing w:after="0" w:line="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Irish law, the Company can require parties to disclose their interests in shares. The Articles of Association of the Company entitle the Directors to require parties to provide details regarding their identity and the nature and extent of any interest which such parties hold in Ordinary Shares. Under Irish law, if a party acquires or disposes of Ordinary Shares so as to bring his interest above or below 3% of the total issued share capital of the Company, he must notify the Company of that. The Company would also need to be notified of the acquisition by an existing substantial (i.e. 3% plus) shareholder, of every movement of one whole percentage integer (e.g. 3.9% to 4.1% but not 4.1% to 4.9%) or more.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 of the Articles of Association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provisions in the Articles of Association of the Company:</w:t>
      </w:r>
    </w:p>
    <w:p>
      <w:pPr>
        <w:spacing w:after="0" w:line="234" w:lineRule="exact"/>
        <w:rPr>
          <w:sz w:val="20"/>
          <w:szCs w:val="20"/>
          <w:color w:val="auto"/>
        </w:rPr>
      </w:pPr>
    </w:p>
    <w:p>
      <w:pPr>
        <w:ind w:left="220" w:hanging="214"/>
        <w:spacing w:after="0"/>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delaying or prohibiting a change in the control of the Company, but which operate only with respect to a merger, acquisition or corporate restructuring;</w:t>
      </w:r>
    </w:p>
    <w:p>
      <w:pPr>
        <w:spacing w:after="0" w:line="267" w:lineRule="exact"/>
        <w:rPr>
          <w:rFonts w:ascii="Arial" w:cs="Arial" w:eastAsia="Arial" w:hAnsi="Arial"/>
          <w:sz w:val="16"/>
          <w:szCs w:val="16"/>
          <w:color w:val="auto"/>
        </w:rPr>
      </w:pPr>
    </w:p>
    <w:p>
      <w:pPr>
        <w:ind w:left="260" w:hanging="254"/>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discriminating against any existing or prospective holder of shares as a result of such shareholder owning a substantial number of shares; or</w:t>
      </w:r>
    </w:p>
    <w:p>
      <w:pPr>
        <w:spacing w:after="0" w:line="244" w:lineRule="exact"/>
        <w:rPr>
          <w:rFonts w:ascii="Arial" w:cs="Arial" w:eastAsia="Arial" w:hAnsi="Arial"/>
          <w:sz w:val="18"/>
          <w:szCs w:val="18"/>
          <w:color w:val="auto"/>
        </w:rPr>
      </w:pPr>
    </w:p>
    <w:p>
      <w:pPr>
        <w:ind w:left="360" w:hanging="354"/>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governing changes in capital,</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each case, where such provisions are more stringent than those required by law.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 and Other Limitations Affecting Security Holders</w:t>
      </w:r>
    </w:p>
    <w:p>
      <w:pPr>
        <w:spacing w:after="0" w:line="25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15"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220"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Financial Transfers Act, 1992 prohibits financial transfers involving a number of persons, entities and bodies, which is subject to amendment on an ongoing, regular basis and currently includes, but is not limited to: certain persons and activities in Sudan, the Republic of Guinea, Côte d’Ivoire, Libya, Iraq, the Democratic People's Republic of Korea, certain activities, persons and entities in Syria and Iran; certain persons and entities associated with the Taliban in Afghanistan; certain persons, entities and bodies in Ukraine; and certain known terrorists and terrorist groups and countries that harbor certain terrorist groups, without the prior permission of the Central Bank of Ireland.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9" w:name="page70"/>
    <w:bookmarkEnd w:id="69"/>
    <w:p>
      <w:pPr>
        <w:ind w:right="20"/>
        <w:spacing w:after="0" w:line="266" w:lineRule="auto"/>
        <w:rPr>
          <w:sz w:val="20"/>
          <w:szCs w:val="20"/>
          <w:color w:val="auto"/>
        </w:rPr>
      </w:pPr>
      <w:r>
        <w:rPr>
          <w:rFonts w:ascii="Arial" w:cs="Arial" w:eastAsia="Arial" w:hAnsi="Arial"/>
          <w:sz w:val="18"/>
          <w:szCs w:val="18"/>
          <w:color w:val="auto"/>
        </w:rPr>
        <w:t>There are no restrictions under the Company’s Articles of Association or under Irish Law that limit the right of non-residents or foreign owners to hold the Company’s ordinary shares or vote at general meetings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USED HEREIN, REFERENCES TO THE ORDINARY SHARES SHALL INCLUDE SHARES HELD IN THE ACCOUNTS OF PARTICIPANTS THROUGH THE DEPOSITARY TRUST COMPANY (“THE DTC”).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corporation tax on income</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ICON is a public limited company incorporated and resident for tax purposes in Ireland by virtue of its place of central management and control being in Ireland.</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standard rate of Irish corporation tax on trading income (with certain exceptions) is currently 12.5%.</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 research and development tax credit is available in Ireland where an Irish resident company incurs qualifying expenditure on research and development activities. Qualifying expenditure incurred in a particular account period results in a tax credit of 25% of that expenditure.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Corporation tax is charged at the rate of 25% on a company's non-trading income and certain types of trading income not eligible for the lower rate of 12.5% referred to above.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0" w:name="page71"/>
    <w:bookmarkEnd w:id="70"/>
    <w:p>
      <w:pPr>
        <w:spacing w:after="0" w:line="266" w:lineRule="auto"/>
        <w:rPr>
          <w:sz w:val="20"/>
          <w:szCs w:val="20"/>
          <w:color w:val="auto"/>
        </w:rPr>
      </w:pPr>
      <w:r>
        <w:rPr>
          <w:rFonts w:ascii="Arial" w:cs="Arial" w:eastAsia="Arial" w:hAnsi="Arial"/>
          <w:sz w:val="18"/>
          <w:szCs w:val="18"/>
          <w:color w:val="auto"/>
        </w:rPr>
        <w:t>The exemption from capital gains tax on the disposal of shares by an Irish resident company will apply where certain conditions are met. These conditions principally are:</w:t>
      </w:r>
    </w:p>
    <w:p>
      <w:pPr>
        <w:spacing w:after="0" w:line="206" w:lineRule="exact"/>
        <w:rPr>
          <w:sz w:val="20"/>
          <w:szCs w:val="20"/>
          <w:color w:val="auto"/>
        </w:rPr>
      </w:pPr>
    </w:p>
    <w:p>
      <w:pPr>
        <w:ind w:left="480" w:hanging="274"/>
        <w:spacing w:after="0" w:line="266"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claiming the exemption must hold (directly or indirectly) at least 5% of the ordinary share capital of the company in which the interest is being disposed of, throughout a continuous period of at least 12 months, within the two year period prior to disposal</w:t>
      </w:r>
    </w:p>
    <w:p>
      <w:pPr>
        <w:spacing w:after="0" w:line="205" w:lineRule="exact"/>
        <w:rPr>
          <w:rFonts w:ascii="Arial" w:cs="Arial" w:eastAsia="Arial" w:hAnsi="Arial"/>
          <w:sz w:val="18"/>
          <w:szCs w:val="18"/>
          <w:color w:val="auto"/>
        </w:rPr>
      </w:pPr>
    </w:p>
    <w:p>
      <w:pPr>
        <w:ind w:left="480" w:hanging="274"/>
        <w:spacing w:after="0" w:line="295"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83" w:lineRule="exact"/>
        <w:rPr>
          <w:rFonts w:ascii="Arial" w:cs="Arial" w:eastAsia="Arial" w:hAnsi="Arial"/>
          <w:sz w:val="17"/>
          <w:szCs w:val="17"/>
          <w:color w:val="auto"/>
        </w:rPr>
      </w:pPr>
    </w:p>
    <w:p>
      <w:pPr>
        <w:ind w:left="480" w:right="20" w:hanging="274"/>
        <w:spacing w:after="0" w:line="266"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shares must be in a company which is primarily a trading company or the company making the disposal together with its “5% plus subsidiaries” should be primarily a trading group</w:t>
      </w:r>
    </w:p>
    <w:p>
      <w:pPr>
        <w:spacing w:after="0" w:line="205" w:lineRule="exact"/>
        <w:rPr>
          <w:rFonts w:ascii="Arial" w:cs="Arial" w:eastAsia="Arial" w:hAnsi="Arial"/>
          <w:sz w:val="18"/>
          <w:szCs w:val="18"/>
          <w:color w:val="auto"/>
        </w:rPr>
      </w:pPr>
    </w:p>
    <w:p>
      <w:pPr>
        <w:ind w:left="480" w:hanging="274"/>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shares must not derive the greater part of their value from land or mineral rights in the State.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withholding tax on dividends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Unless specifically exempted, all dividends paid by the Company, will be subject to Irish withholding tax at the standard rate of income tax in force at the time the dividend is paid, which is currently 20%.</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 individual shareholder who is neither resident nor ordinarily resident for tax purposes in Ireland, but is resident in a country with which Ireland has a double tax treaty, or in a member state of the European Union, other than Ireland (together, a Relevant Territory), will be exempt from withholding tax provided he or she makes the requisite declaration.</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Irish resident corporate shareholders will be exempt from withholding tax. Where the company paying the dividend is not a 51% subsidiary of the recipient company, a declaration must be made in order to avail of the exemption.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Non-Irish resident corporate shareholders will be exempt from withholding tax on the production of the appropriate certificates and declarations where they:</w:t>
      </w:r>
    </w:p>
    <w:p>
      <w:pPr>
        <w:spacing w:after="0" w:line="268" w:lineRule="exact"/>
        <w:rPr>
          <w:sz w:val="20"/>
          <w:szCs w:val="20"/>
          <w:color w:val="auto"/>
        </w:rPr>
      </w:pPr>
    </w:p>
    <w:p>
      <w:pPr>
        <w:ind w:left="480" w:hanging="274"/>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(directly or indirectly) by Irish residents</w:t>
      </w:r>
    </w:p>
    <w:p>
      <w:pPr>
        <w:spacing w:after="0" w:line="16" w:lineRule="exact"/>
        <w:rPr>
          <w:rFonts w:ascii="Arial" w:cs="Arial" w:eastAsia="Arial" w:hAnsi="Arial"/>
          <w:sz w:val="18"/>
          <w:szCs w:val="18"/>
          <w:color w:val="auto"/>
        </w:rPr>
      </w:pPr>
    </w:p>
    <w:p>
      <w:pPr>
        <w:ind w:left="480" w:hanging="274"/>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 ultimately controlled (directly or indirectly) by residents of a Relevant Territory or</w:t>
      </w:r>
    </w:p>
    <w:p>
      <w:pPr>
        <w:spacing w:after="0" w:line="5" w:lineRule="exact"/>
        <w:rPr>
          <w:rFonts w:ascii="Arial" w:cs="Arial" w:eastAsia="Arial" w:hAnsi="Arial"/>
          <w:sz w:val="18"/>
          <w:szCs w:val="18"/>
          <w:color w:val="auto"/>
        </w:rPr>
      </w:pPr>
    </w:p>
    <w:p>
      <w:pPr>
        <w:ind w:left="480" w:hanging="274"/>
        <w:spacing w:after="0" w:line="246"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(including Ireland) or Territories; or</w:t>
      </w:r>
    </w:p>
    <w:p>
      <w:pPr>
        <w:ind w:left="480" w:hanging="274"/>
        <w:spacing w:after="0" w:line="253"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221" w:lineRule="exact"/>
        <w:rPr>
          <w:sz w:val="20"/>
          <w:szCs w:val="20"/>
          <w:color w:val="auto"/>
        </w:rPr>
      </w:pPr>
    </w:p>
    <w:p>
      <w:pPr>
        <w:ind w:left="480" w:hanging="274"/>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depositary or the DTC is resident in a Relevant Territory and</w:t>
      </w:r>
    </w:p>
    <w:p>
      <w:pPr>
        <w:spacing w:after="0" w:line="16" w:lineRule="exact"/>
        <w:rPr>
          <w:rFonts w:ascii="Arial" w:cs="Arial" w:eastAsia="Arial" w:hAnsi="Arial"/>
          <w:sz w:val="18"/>
          <w:szCs w:val="18"/>
          <w:color w:val="auto"/>
        </w:rPr>
      </w:pPr>
    </w:p>
    <w:p>
      <w:pPr>
        <w:ind w:left="480" w:hanging="274"/>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depositary or the DTC have entered into a qualifying intermediary agreement with the Irish tax authorities and</w:t>
      </w:r>
    </w:p>
    <w:p>
      <w:pPr>
        <w:spacing w:after="0" w:line="5" w:lineRule="exact"/>
        <w:rPr>
          <w:rFonts w:ascii="Arial" w:cs="Arial" w:eastAsia="Arial" w:hAnsi="Arial"/>
          <w:sz w:val="18"/>
          <w:szCs w:val="18"/>
          <w:color w:val="auto"/>
        </w:rPr>
      </w:pPr>
    </w:p>
    <w:p>
      <w:pPr>
        <w:ind w:left="480" w:hanging="274"/>
        <w:spacing w:after="0" w:line="253"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depositary or the DTC have been authorized by the Irish Revenue Commissioners as a qualifying intermediary and such authorization has not expired or been revoked.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Irish income tax on dividends</w:t>
      </w:r>
    </w:p>
    <w:p>
      <w:pPr>
        <w:spacing w:after="0" w:line="245"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color w:val="auto"/>
        </w:rPr>
        <w:t>Irish resident or ordinarily resident shareholders will generally be liable to Irish income tax on dividend income at their marginal rate of tax. This income may also be liable to Pay Related Social Insurance (“PRSI”) of up to 4% and the Universal Social Charge (“USC”) of up to 11% (up to 15% in total).</w:t>
      </w:r>
    </w:p>
    <w:p>
      <w:pPr>
        <w:spacing w:after="0" w:line="16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or USC should apply in these circumstances.</w:t>
      </w:r>
    </w:p>
    <w:p>
      <w:pPr>
        <w:spacing w:after="0" w:line="215"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However, a non-Irish resident shareholder will not have an Irish income tax liability on dividends from the Company if the holder is neither resident nor ordinarily resident in the Republic of Ireland and the holder is</w:t>
      </w:r>
    </w:p>
    <w:p>
      <w:pPr>
        <w:spacing w:after="0" w:line="206" w:lineRule="exact"/>
        <w:rPr>
          <w:sz w:val="20"/>
          <w:szCs w:val="20"/>
          <w:color w:val="auto"/>
        </w:rPr>
      </w:pPr>
    </w:p>
    <w:p>
      <w:pPr>
        <w:ind w:left="480" w:hanging="274"/>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individual resident in the U.S. or in a Relevant Territory;</w:t>
      </w:r>
    </w:p>
    <w:p>
      <w:pPr>
        <w:spacing w:after="0" w:line="16" w:lineRule="exact"/>
        <w:rPr>
          <w:rFonts w:ascii="Arial" w:cs="Arial" w:eastAsia="Arial" w:hAnsi="Arial"/>
          <w:sz w:val="18"/>
          <w:szCs w:val="18"/>
          <w:color w:val="auto"/>
        </w:rPr>
      </w:pPr>
    </w:p>
    <w:p>
      <w:pPr>
        <w:ind w:left="480" w:hanging="274"/>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in a Relevant Territory;</w:t>
      </w:r>
    </w:p>
    <w:p>
      <w:pPr>
        <w:spacing w:after="0" w:line="5" w:lineRule="exact"/>
        <w:rPr>
          <w:rFonts w:ascii="Arial" w:cs="Arial" w:eastAsia="Arial" w:hAnsi="Arial"/>
          <w:sz w:val="18"/>
          <w:szCs w:val="18"/>
          <w:color w:val="auto"/>
        </w:rPr>
      </w:pPr>
    </w:p>
    <w:p>
      <w:pPr>
        <w:ind w:left="480" w:hanging="274"/>
        <w:spacing w:after="0" w:line="246"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whose principal class of shares (or its 75% or greater parent’s principal class of shares) is substantially and regularly traded on a recognized stock exchange in an EU country or in a Relevant Territory;</w:t>
      </w:r>
    </w:p>
    <w:p>
      <w:pPr>
        <w:ind w:left="480" w:hanging="274"/>
        <w:spacing w:after="0"/>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corporation resident in another EU member state or in a Relevant Territory, which is not controlled directly or indirectly by Irish residents; or</w:t>
      </w:r>
    </w:p>
    <w:p>
      <w:pPr>
        <w:spacing w:after="0" w:line="17" w:lineRule="exact"/>
        <w:rPr>
          <w:rFonts w:ascii="Arial" w:cs="Arial" w:eastAsia="Arial" w:hAnsi="Arial"/>
          <w:sz w:val="17"/>
          <w:szCs w:val="17"/>
          <w:color w:val="auto"/>
        </w:rPr>
      </w:pPr>
    </w:p>
    <w:p>
      <w:pPr>
        <w:ind w:left="480" w:hanging="274"/>
        <w:spacing w:after="0" w:line="253"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that is wholly owned by two or more corporations each of whose principal class of shares is substantially and regularly traded on a recognized stock exchange in an EU country or in a Relevant Territory.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U.S. Holders who do not qualify for the above income tax exemption may be able to obtain treaty benefits under the double tax treaty.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domicile levy</w:t>
      </w:r>
    </w:p>
    <w:p>
      <w:pPr>
        <w:spacing w:after="0" w:line="24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Certain non-Irish resident individuals that are domiciled in Ireland will be subject to an annual levy of €200,000 if their Irish-located property exceeds €5,000,000, their worldwide annual income exceeds €1,000,000 and their liability to Irish Income Tax in that year is less than €200,000.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capital gains tax on disposal of shares</w:t>
      </w:r>
    </w:p>
    <w:p>
      <w:pPr>
        <w:spacing w:after="0" w:line="24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Irish resident or ordinarily resident shareholders will be liable to capital gains tax at 33% on gains arising from the disposal or part disposal of their shareholding.</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There are provisions to subject a person who disposes of an interest in a company while temporarily being non-Irish resident, to Irish capital gains tax. This treatment will apply to Irish domiciled individuals:</w:t>
      </w:r>
    </w:p>
    <w:p>
      <w:pPr>
        <w:spacing w:after="0" w:line="206" w:lineRule="exact"/>
        <w:rPr>
          <w:sz w:val="20"/>
          <w:szCs w:val="20"/>
          <w:color w:val="auto"/>
        </w:rPr>
      </w:pPr>
    </w:p>
    <w:p>
      <w:pPr>
        <w:ind w:left="480" w:hanging="274"/>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16" w:lineRule="exact"/>
        <w:rPr>
          <w:rFonts w:ascii="Arial" w:cs="Arial" w:eastAsia="Arial" w:hAnsi="Arial"/>
          <w:sz w:val="18"/>
          <w:szCs w:val="18"/>
          <w:color w:val="auto"/>
        </w:rPr>
      </w:pPr>
    </w:p>
    <w:p>
      <w:pPr>
        <w:ind w:left="480" w:hanging="274"/>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who beneficially own the relevant assets when they cease to be resident;</w:t>
      </w:r>
    </w:p>
    <w:p>
      <w:pPr>
        <w:spacing w:after="0" w:line="5" w:lineRule="exact"/>
        <w:rPr>
          <w:rFonts w:ascii="Arial" w:cs="Arial" w:eastAsia="Arial" w:hAnsi="Arial"/>
          <w:sz w:val="18"/>
          <w:szCs w:val="18"/>
          <w:color w:val="auto"/>
        </w:rPr>
      </w:pPr>
    </w:p>
    <w:p>
      <w:pPr>
        <w:ind w:left="480" w:hanging="274"/>
        <w:spacing w:after="0" w:line="246"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there are not more than 5 years of assessment between the last year of Irish tax residence prior to becoming temporarily non-resident and the tax year that he/she resumes Irish tax residency;</w:t>
      </w:r>
    </w:p>
    <w:p>
      <w:pPr>
        <w:ind w:left="480" w:hanging="274"/>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who dispose of the relevant assets during this temporary non-residence; and</w:t>
      </w:r>
    </w:p>
    <w:p>
      <w:pPr>
        <w:spacing w:after="0" w:line="5" w:lineRule="exact"/>
        <w:rPr>
          <w:rFonts w:ascii="Arial" w:cs="Arial" w:eastAsia="Arial" w:hAnsi="Arial"/>
          <w:sz w:val="18"/>
          <w:szCs w:val="18"/>
          <w:color w:val="auto"/>
        </w:rPr>
      </w:pPr>
    </w:p>
    <w:p>
      <w:pPr>
        <w:ind w:left="480" w:hanging="274"/>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issued share capital of the company or is worth at least €500,000.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2" w:name="page73"/>
    <w:bookmarkEnd w:id="72"/>
    <w:p>
      <w:pPr>
        <w:spacing w:after="0" w:line="253"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pacing w:after="0"/>
        <w:rPr>
          <w:sz w:val="20"/>
          <w:szCs w:val="20"/>
          <w:color w:val="auto"/>
        </w:rPr>
      </w:pPr>
      <w:r>
        <w:rPr>
          <w:rFonts w:ascii="Arial" w:cs="Arial" w:eastAsia="Arial" w:hAnsi="Arial"/>
          <w:sz w:val="18"/>
          <w:szCs w:val="18"/>
          <w:i w:val="1"/>
          <w:iCs w:val="1"/>
          <w:color w:val="auto"/>
        </w:rPr>
        <w:t>Irish capital acquisitions tax</w:t>
      </w: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Irish capital acquisitions tax (referred to as CAT) applies to gifts and inheritances. Subject to certain tax-free thresholds, gifts and inheritances are liable to tax at 33%.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Where a gift or inheritance is taken under a disposition made after December 1, 1999, it will be within the charge to CAT:</w:t>
      </w:r>
    </w:p>
    <w:p>
      <w:pPr>
        <w:spacing w:after="0" w:line="17" w:lineRule="exact"/>
        <w:rPr>
          <w:sz w:val="20"/>
          <w:szCs w:val="20"/>
          <w:color w:val="auto"/>
        </w:rPr>
      </w:pPr>
    </w:p>
    <w:p>
      <w:pPr>
        <w:ind w:left="480" w:hanging="274"/>
        <w:spacing w:after="0"/>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the extent that the property of which the gift or inheritance consists is situated in the Republic of Ireland at the date of the gift or inheritance;</w:t>
      </w:r>
    </w:p>
    <w:p>
      <w:pPr>
        <w:spacing w:after="0" w:line="17" w:lineRule="exact"/>
        <w:rPr>
          <w:rFonts w:ascii="Arial" w:cs="Arial" w:eastAsia="Arial" w:hAnsi="Arial"/>
          <w:sz w:val="17"/>
          <w:szCs w:val="17"/>
          <w:color w:val="auto"/>
        </w:rPr>
      </w:pPr>
    </w:p>
    <w:p>
      <w:pPr>
        <w:ind w:left="480" w:hanging="274"/>
        <w:spacing w:after="0" w:line="246" w:lineRule="auto"/>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 the person making the gift or inheritance is or was resident or ordinarily resident in the Republic of Ireland at the date of the disposition under which the gift or inheritance is taken;</w:t>
      </w:r>
    </w:p>
    <w:p>
      <w:pPr>
        <w:ind w:left="480" w:hanging="274"/>
        <w:spacing w:after="0" w:line="261"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the date of his death; or</w:t>
      </w:r>
    </w:p>
    <w:p>
      <w:pPr>
        <w:ind w:left="480" w:hanging="274"/>
        <w:spacing w:after="0"/>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where the person receiving the gift or inheritance is resident or ordinarily resident in the Republic of Ireland at the date of the gift or inheritance.</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tax-free threshold amounts that apply are:</w:t>
      </w:r>
    </w:p>
    <w:p>
      <w:pPr>
        <w:spacing w:after="0" w:line="17" w:lineRule="exact"/>
        <w:rPr>
          <w:sz w:val="20"/>
          <w:szCs w:val="20"/>
          <w:color w:val="auto"/>
        </w:rPr>
      </w:pPr>
    </w:p>
    <w:p>
      <w:pPr>
        <w:ind w:left="480" w:hanging="274"/>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€15,075 in the case of persons who are not related to one another;</w:t>
      </w:r>
    </w:p>
    <w:p>
      <w:pPr>
        <w:spacing w:after="0" w:line="5" w:lineRule="exact"/>
        <w:rPr>
          <w:rFonts w:ascii="Arial" w:cs="Arial" w:eastAsia="Arial" w:hAnsi="Arial"/>
          <w:sz w:val="18"/>
          <w:szCs w:val="18"/>
          <w:color w:val="auto"/>
        </w:rPr>
      </w:pPr>
    </w:p>
    <w:p>
      <w:pPr>
        <w:ind w:left="480" w:hanging="274"/>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€30,150 in the case of gifts or inheritances received from inter alia a brother or sister or from a brother or sister of a parent or from a grandparent; and</w:t>
      </w:r>
    </w:p>
    <w:p>
      <w:pPr>
        <w:spacing w:after="0" w:line="28" w:lineRule="exact"/>
        <w:rPr>
          <w:rFonts w:ascii="Arial" w:cs="Arial" w:eastAsia="Arial" w:hAnsi="Arial"/>
          <w:sz w:val="16"/>
          <w:szCs w:val="16"/>
          <w:color w:val="auto"/>
        </w:rPr>
      </w:pPr>
    </w:p>
    <w:p>
      <w:pPr>
        <w:jc w:val="both"/>
        <w:ind w:left="480" w:hanging="274"/>
        <w:spacing w:after="0" w:line="249"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€280,000 in the case of gifts and inheritances received from a parent (or from a grandparent by a minor child of a deceased child) and specified inheritances received by a parent from a child for gifts or inheritances taken on or after 14 October 2015. This threshold was €225,000 prior to 14 October 2015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Gifts and inheritances passing between spouses are exempt from CAT.</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Irish stamp duty</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Transfers through the DTC of book entry interests in shares are not subject to Irish stamp duty.</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stampable at the ad valorem rate if the transfer relates to a sale, a contemplated sale, a gift or any other change in the beneficial ownership of such ordinary shares. However transfers of ordinary shares into or out of the DTC are not be subject to Irish stamp duty provided that no change in beneficial ownership of the shares has occurred and provided a contract for sale in respect of the transferring shares is not in place.</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person accountable for payment of stamp duty is normally the transferee or, in the case of a transfer by way of gift, or for a consideration less than the market value, all parties to the transfer.</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and file reports and other information with the SEC. The SEC maintains a web site that contains reports, proxy and information statements and other information regarding registrants that file electronically with the SEC at http://www.sec.gov.</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a foreign private issuer, we are exempt from certain rules under the Exchange Act, including prescribing the furnishing and content of proxy statements to shareholders.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Simon Holmes telephone number: (353) 1 291 2000.</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Exemptions From Corporate Governance Listing Requirements Under the NASDAQ Marketplace Rules</w:t>
      </w:r>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exemptions that the Company relies on, and the practices the Company adheres to, are as follows:</w:t>
      </w:r>
    </w:p>
    <w:p>
      <w:pPr>
        <w:spacing w:after="0" w:line="245" w:lineRule="exact"/>
        <w:rPr>
          <w:sz w:val="20"/>
          <w:szCs w:val="20"/>
          <w:color w:val="auto"/>
        </w:rPr>
      </w:pPr>
    </w:p>
    <w:p>
      <w:pPr>
        <w:jc w:val="both"/>
        <w:ind w:left="480" w:hanging="261"/>
        <w:spacing w:after="0" w:line="294" w:lineRule="auto"/>
        <w:tabs>
          <w:tab w:leader="none" w:pos="692"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188" w:lineRule="exact"/>
        <w:rPr>
          <w:rFonts w:ascii="Arial" w:cs="Arial" w:eastAsia="Arial" w:hAnsi="Arial"/>
          <w:sz w:val="16"/>
          <w:szCs w:val="16"/>
          <w:color w:val="auto"/>
        </w:rPr>
      </w:pPr>
    </w:p>
    <w:p>
      <w:pPr>
        <w:jc w:val="both"/>
        <w:ind w:left="480" w:hanging="301"/>
        <w:spacing w:after="0" w:line="251"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was adopted by the Board of Directors without shareholder approval.</w:t>
      </w:r>
    </w:p>
    <w:p>
      <w:pPr>
        <w:spacing w:after="0" w:line="219" w:lineRule="exact"/>
        <w:rPr>
          <w:rFonts w:ascii="Arial" w:cs="Arial" w:eastAsia="Arial" w:hAnsi="Arial"/>
          <w:sz w:val="18"/>
          <w:szCs w:val="18"/>
          <w:color w:val="auto"/>
        </w:rPr>
      </w:pPr>
    </w:p>
    <w:p>
      <w:pPr>
        <w:jc w:val="both"/>
        <w:ind w:left="480" w:hanging="301"/>
        <w:spacing w:after="0" w:line="278"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 Quantitative and Qualitative Disclosures about Market Risk</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principal market risks (i.e. risk of loss arising from adverse changes in market rates and prices) to which we are exposed include foreign currency risk and interest rate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Although domiciled in Ireland, we report our results in U.S. dollars. As a consequence the results of our non-U.S. based operations, when translated into U.S.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dollars, could be affected by fluctuations in exchange rates between the U.S. dollar and the currencies of those operations.</w:t>
      </w: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usually negotiate currency fluctuation clauses in our contracts which allow for price negotiation if certain exchange rate triggers occur.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following significant exchange rates applied during the year: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b w:val="1"/>
                <w:bCs w:val="1"/>
                <w:color w:val="auto"/>
              </w:rPr>
              <w:t>Average Rate</w:t>
            </w:r>
          </w:p>
        </w:tc>
        <w:tc>
          <w:tcPr>
            <w:tcW w:w="134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b w:val="1"/>
                <w:bCs w:val="1"/>
                <w:color w:val="auto"/>
              </w:rPr>
              <w:t>Closing Rate</w:t>
            </w:r>
          </w:p>
        </w:tc>
        <w:tc>
          <w:tcPr>
            <w:tcW w:w="720" w:type="dxa"/>
            <w:vAlign w:val="bottom"/>
          </w:tcPr>
          <w:p>
            <w:pPr>
              <w:spacing w:after="0"/>
              <w:rPr>
                <w:sz w:val="18"/>
                <w:szCs w:val="18"/>
                <w:color w:val="auto"/>
              </w:rPr>
            </w:pPr>
          </w:p>
        </w:tc>
      </w:tr>
      <w:tr>
        <w:trPr>
          <w:trHeight w:val="230"/>
        </w:trPr>
        <w:tc>
          <w:tcPr>
            <w:tcW w:w="6580" w:type="dxa"/>
            <w:vAlign w:val="bottom"/>
          </w:tcPr>
          <w:p>
            <w:pPr>
              <w:jc w:val="right"/>
              <w:ind w:right="71"/>
              <w:spacing w:after="0"/>
              <w:rPr>
                <w:sz w:val="20"/>
                <w:szCs w:val="20"/>
                <w:color w:val="auto"/>
              </w:rPr>
            </w:pPr>
            <w:r>
              <w:rPr>
                <w:rFonts w:ascii="Arial" w:cs="Arial" w:eastAsia="Arial" w:hAnsi="Arial"/>
                <w:sz w:val="18"/>
                <w:szCs w:val="18"/>
                <w:b w:val="1"/>
                <w:bCs w:val="1"/>
                <w:color w:val="auto"/>
              </w:rPr>
              <w:t>2015</w:t>
            </w:r>
          </w:p>
        </w:tc>
        <w:tc>
          <w:tcPr>
            <w:tcW w:w="1420" w:type="dxa"/>
            <w:vAlign w:val="bottom"/>
          </w:tcPr>
          <w:p>
            <w:pPr>
              <w:jc w:val="right"/>
              <w:ind w:right="91"/>
              <w:spacing w:after="0"/>
              <w:rPr>
                <w:sz w:val="20"/>
                <w:szCs w:val="20"/>
                <w:color w:val="auto"/>
              </w:rPr>
            </w:pPr>
            <w:r>
              <w:rPr>
                <w:rFonts w:ascii="Arial" w:cs="Arial" w:eastAsia="Arial" w:hAnsi="Arial"/>
                <w:sz w:val="18"/>
                <w:szCs w:val="18"/>
                <w:b w:val="1"/>
                <w:bCs w:val="1"/>
                <w:color w:val="auto"/>
              </w:rPr>
              <w:t>2014</w:t>
            </w:r>
          </w:p>
        </w:tc>
        <w:tc>
          <w:tcPr>
            <w:tcW w:w="134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rPr>
              <w:t>2014</w:t>
            </w:r>
          </w:p>
        </w:tc>
        <w:tc>
          <w:tcPr>
            <w:tcW w:w="720" w:type="dxa"/>
            <w:vAlign w:val="bottom"/>
          </w:tcPr>
          <w:p>
            <w:pPr>
              <w:spacing w:after="0"/>
              <w:rPr>
                <w:sz w:val="19"/>
                <w:szCs w:val="19"/>
                <w:color w:val="auto"/>
              </w:rPr>
            </w:pPr>
          </w:p>
        </w:tc>
      </w:tr>
      <w:tr>
        <w:trPr>
          <w:trHeight w:val="214"/>
        </w:trPr>
        <w:tc>
          <w:tcPr>
            <w:tcW w:w="6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3"/>
        </w:trPr>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Euro:USD</w:t>
            </w:r>
          </w:p>
        </w:tc>
        <w:tc>
          <w:tcPr>
            <w:tcW w:w="142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b w:val="1"/>
                <w:bCs w:val="1"/>
                <w:color w:val="auto"/>
              </w:rPr>
              <w:t>1.1123</w:t>
            </w:r>
          </w:p>
        </w:tc>
        <w:tc>
          <w:tcPr>
            <w:tcW w:w="134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b w:val="1"/>
                <w:bCs w:val="1"/>
                <w:color w:val="auto"/>
              </w:rPr>
              <w:t>1.3361</w:t>
            </w:r>
          </w:p>
        </w:tc>
        <w:tc>
          <w:tcPr>
            <w:tcW w:w="136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b w:val="1"/>
                <w:bCs w:val="1"/>
                <w:color w:val="auto"/>
              </w:rPr>
              <w:t>1.0862</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1.2098</w:t>
            </w:r>
          </w:p>
        </w:tc>
      </w:tr>
      <w:tr>
        <w:trPr>
          <w:trHeight w:val="206"/>
        </w:trPr>
        <w:tc>
          <w:tcPr>
            <w:tcW w:w="6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3"/>
        </w:trPr>
        <w:tc>
          <w:tcPr>
            <w:tcW w:w="6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Pound Sterling:USD</w:t>
            </w:r>
          </w:p>
        </w:tc>
        <w:tc>
          <w:tcPr>
            <w:tcW w:w="142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b w:val="1"/>
                <w:bCs w:val="1"/>
                <w:color w:val="auto"/>
              </w:rPr>
              <w:t>1.5307</w:t>
            </w:r>
          </w:p>
        </w:tc>
        <w:tc>
          <w:tcPr>
            <w:tcW w:w="134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b w:val="1"/>
                <w:bCs w:val="1"/>
                <w:color w:val="auto"/>
              </w:rPr>
              <w:t>1.6548</w:t>
            </w:r>
          </w:p>
        </w:tc>
        <w:tc>
          <w:tcPr>
            <w:tcW w:w="136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b w:val="1"/>
                <w:bCs w:val="1"/>
                <w:color w:val="auto"/>
              </w:rPr>
              <w:t>1.4736</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1.5577</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exposed to interest rate risk in respect of our cash and cash equivalents and short term investments – available for sale. Our treasury function actively manages our available cash resources and invests significant cash balances in various financial instruments to try to ensure optimum returns for the Company’s surplus cash balances. Financial instruments are classified either as cash and cash equivalents or short term investments –available for sale depending upon the maturity of the related investment. Funds may be invested in the form of floating rate notes and medium term minimum “A-” rated corporate securities. We may be subject to interest rate risk in respect of interest rate changes on amounts invested. Our treasury function manages interest rate risk in respect of these balances by monitoring the composition of the Company’s investment portfolio on an ongoing basis having regard to current market interest rates and future trends.</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December 2015 we issued $350m in the private placement market, the rate on these senior notes is fixed at 3.64% for the five year term. The interest rate is further reduced by an interest rate cash flow hedge which was entered into in advance of the rate fixing date. This cash flow hedge was deemed to be fully effective in accordance with Financial Accounting Standards Board (“FASB”) ASC 815, “Derivatives and Hedging”. The realized gain related to this derivative is recorded within other comprehensive income and is amortized over the life of the Senior Notes. The effective rate on our 5 year Senior Notes is fixed at 3.37%.</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sensitivity analysis below represents the hypothetical change in the net interest payable of a 1% movement in market interest rates.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18"/>
                <w:szCs w:val="18"/>
                <w:color w:val="auto"/>
              </w:rPr>
            </w:pPr>
          </w:p>
        </w:tc>
        <w:tc>
          <w:tcPr>
            <w:tcW w:w="1880" w:type="dxa"/>
            <w:vAlign w:val="bottom"/>
          </w:tcPr>
          <w:p>
            <w:pPr>
              <w:jc w:val="right"/>
              <w:ind w:right="51"/>
              <w:spacing w:after="0"/>
              <w:rPr>
                <w:sz w:val="20"/>
                <w:szCs w:val="20"/>
                <w:color w:val="auto"/>
              </w:rPr>
            </w:pPr>
            <w:r>
              <w:rPr>
                <w:rFonts w:ascii="Arial" w:cs="Arial" w:eastAsia="Arial" w:hAnsi="Arial"/>
                <w:sz w:val="18"/>
                <w:szCs w:val="18"/>
                <w:b w:val="1"/>
                <w:bCs w:val="1"/>
                <w:color w:val="auto"/>
              </w:rPr>
              <w:t>Interest</w:t>
            </w:r>
          </w:p>
        </w:tc>
        <w:tc>
          <w:tcPr>
            <w:tcW w:w="260" w:type="dxa"/>
            <w:vAlign w:val="bottom"/>
          </w:tcPr>
          <w:p>
            <w:pPr>
              <w:spacing w:after="0"/>
              <w:rPr>
                <w:sz w:val="18"/>
                <w:szCs w:val="18"/>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Interest</w:t>
            </w:r>
          </w:p>
        </w:tc>
      </w:tr>
      <w:tr>
        <w:trPr>
          <w:trHeight w:val="213"/>
        </w:trPr>
        <w:tc>
          <w:tcPr>
            <w:tcW w:w="3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Pr>
          <w:p>
            <w:pPr>
              <w:spacing w:after="0"/>
              <w:rPr>
                <w:sz w:val="18"/>
                <w:szCs w:val="18"/>
                <w:color w:val="auto"/>
              </w:rPr>
            </w:pPr>
          </w:p>
        </w:tc>
        <w:tc>
          <w:tcPr>
            <w:tcW w:w="1880" w:type="dxa"/>
            <w:vAlign w:val="bottom"/>
          </w:tcPr>
          <w:p>
            <w:pPr>
              <w:jc w:val="right"/>
              <w:ind w:right="51"/>
              <w:spacing w:after="0"/>
              <w:rPr>
                <w:sz w:val="20"/>
                <w:szCs w:val="20"/>
                <w:color w:val="auto"/>
              </w:rPr>
            </w:pPr>
            <w:r>
              <w:rPr>
                <w:rFonts w:ascii="Arial" w:cs="Arial" w:eastAsia="Arial" w:hAnsi="Arial"/>
                <w:sz w:val="18"/>
                <w:szCs w:val="18"/>
                <w:b w:val="1"/>
                <w:bCs w:val="1"/>
                <w:color w:val="auto"/>
                <w:w w:val="87"/>
              </w:rPr>
              <w:t>Change 1% increase in</w:t>
            </w:r>
          </w:p>
        </w:tc>
        <w:tc>
          <w:tcPr>
            <w:tcW w:w="19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2"/>
              </w:rPr>
              <w:t>Change 1% decrease in</w:t>
            </w:r>
          </w:p>
        </w:tc>
      </w:tr>
      <w:tr>
        <w:trPr>
          <w:trHeight w:val="213"/>
        </w:trPr>
        <w:tc>
          <w:tcPr>
            <w:tcW w:w="3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Pr>
          <w:p>
            <w:pPr>
              <w:spacing w:after="0"/>
              <w:rPr>
                <w:sz w:val="18"/>
                <w:szCs w:val="18"/>
                <w:color w:val="auto"/>
              </w:rPr>
            </w:pPr>
          </w:p>
        </w:tc>
        <w:tc>
          <w:tcPr>
            <w:tcW w:w="1880" w:type="dxa"/>
            <w:vAlign w:val="bottom"/>
          </w:tcPr>
          <w:p>
            <w:pPr>
              <w:jc w:val="right"/>
              <w:ind w:right="51"/>
              <w:spacing w:after="0"/>
              <w:rPr>
                <w:sz w:val="20"/>
                <w:szCs w:val="20"/>
                <w:color w:val="auto"/>
              </w:rPr>
            </w:pPr>
            <w:r>
              <w:rPr>
                <w:rFonts w:ascii="Arial" w:cs="Arial" w:eastAsia="Arial" w:hAnsi="Arial"/>
                <w:sz w:val="18"/>
                <w:szCs w:val="18"/>
                <w:b w:val="1"/>
                <w:bCs w:val="1"/>
                <w:color w:val="auto"/>
              </w:rPr>
              <w:t>market interest rate</w:t>
            </w:r>
          </w:p>
        </w:tc>
        <w:tc>
          <w:tcPr>
            <w:tcW w:w="260" w:type="dxa"/>
            <w:vAlign w:val="bottom"/>
          </w:tcPr>
          <w:p>
            <w:pPr>
              <w:spacing w:after="0"/>
              <w:rPr>
                <w:sz w:val="18"/>
                <w:szCs w:val="18"/>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market interest rate</w:t>
            </w:r>
          </w:p>
        </w:tc>
      </w:tr>
      <w:tr>
        <w:trPr>
          <w:trHeight w:val="230"/>
        </w:trPr>
        <w:tc>
          <w:tcPr>
            <w:tcW w:w="3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9"/>
                <w:szCs w:val="19"/>
                <w:color w:val="auto"/>
              </w:rPr>
            </w:pPr>
          </w:p>
        </w:tc>
        <w:tc>
          <w:tcPr>
            <w:tcW w:w="1880" w:type="dxa"/>
            <w:vAlign w:val="bottom"/>
          </w:tcPr>
          <w:p>
            <w:pPr>
              <w:jc w:val="right"/>
              <w:ind w:right="51"/>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3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3,521</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9"/>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w:t>
            </w:r>
          </w:p>
        </w:tc>
      </w:tr>
      <w:tr>
        <w:trPr>
          <w:trHeight w:val="219"/>
        </w:trPr>
        <w:tc>
          <w:tcPr>
            <w:tcW w:w="328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r>
      <w:tr>
        <w:trPr>
          <w:trHeight w:val="597"/>
        </w:trPr>
        <w:tc>
          <w:tcPr>
            <w:tcW w:w="3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20" w:type="dxa"/>
            <w:vAlign w:val="bottom"/>
          </w:tcPr>
          <w:p>
            <w:pPr>
              <w:jc w:val="right"/>
              <w:ind w:right="1491"/>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7"/>
        </w:trPr>
        <w:tc>
          <w:tcPr>
            <w:tcW w:w="32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 Description of Securities Other than Equity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Defaults, Dividend Arrearages and Delinquencies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2015.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Accounting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Reference is made to </w:t>
      </w:r>
      <w:r>
        <w:rPr>
          <w:rFonts w:ascii="Arial" w:cs="Arial" w:eastAsia="Arial" w:hAnsi="Arial"/>
          <w:sz w:val="18"/>
          <w:szCs w:val="18"/>
          <w:color w:val="auto"/>
          <w:highlight w:val="white"/>
        </w:rPr>
        <w:t>page 81</w:t>
      </w:r>
      <w:r>
        <w:rPr>
          <w:rFonts w:ascii="Arial" w:cs="Arial" w:eastAsia="Arial" w:hAnsi="Arial"/>
          <w:sz w:val="18"/>
          <w:szCs w:val="18"/>
          <w:color w:val="auto"/>
        </w:rPr>
        <w:t xml:space="preserve"> of this Form 20-F.</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page 83 of this Form 20-F.</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Changes in Internal Controls over Financial Reporting</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Reserved.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Mr. Declan McKeon acts as the Audit Committee financial expert serving on our Audit Committee and Board of Directors. Mr. McKeon is an independent Board member and serves as one of our non-executive Directors.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We adopted the code of ethics on March 22, 2011, which replaced our previous Code of Ethics. The Code of Ethics applies to all ICON employees.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7" w:name="page78"/>
    <w:bookmarkEnd w:id="77"/>
    <w:p>
      <w:pPr>
        <w:jc w:val="both"/>
        <w:spacing w:after="0" w:line="256" w:lineRule="auto"/>
        <w:rPr>
          <w:sz w:val="20"/>
          <w:szCs w:val="20"/>
          <w:color w:val="auto"/>
        </w:rPr>
      </w:pPr>
      <w:r>
        <w:rPr>
          <w:rFonts w:ascii="Arial" w:cs="Arial" w:eastAsia="Arial" w:hAnsi="Arial"/>
          <w:sz w:val="18"/>
          <w:szCs w:val="18"/>
          <w:color w:val="auto"/>
        </w:rPr>
        <w:t>We amended the Code of Ethics in October 2014 to reflect the adoption of our Ethics Line Charter. The charter provides, among other things, details on the types of issues that should be reported and how and when to report such issues. There are no waivers from the provisions of the Code of Ethics that are required to be disclosed.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This code is available on our website at the following address: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http://investor.iconplc.com/governance.cfm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accountants for the years ended December 31, 2015 and December 31, 2014, were KPMG.</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table below summarizes the fees for professional services rendered by KPMG for the audit of our annual financial statements for the years ended December 31, 2015 and December 31, 2014 and fees billed for other services rendered by KPMG.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12 month period ended</w:t>
            </w:r>
          </w:p>
        </w:tc>
        <w:tc>
          <w:tcPr>
            <w:tcW w:w="460" w:type="dxa"/>
            <w:vAlign w:val="bottom"/>
          </w:tcPr>
          <w:p>
            <w:pPr>
              <w:spacing w:after="0"/>
              <w:rPr>
                <w:sz w:val="18"/>
                <w:szCs w:val="18"/>
                <w:color w:val="auto"/>
              </w:rPr>
            </w:pPr>
          </w:p>
        </w:tc>
        <w:tc>
          <w:tcPr>
            <w:tcW w:w="22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12 month period ended</w:t>
            </w:r>
          </w:p>
        </w:tc>
      </w:tr>
      <w:tr>
        <w:trPr>
          <w:trHeight w:val="213"/>
        </w:trPr>
        <w:tc>
          <w:tcPr>
            <w:tcW w:w="3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8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December 31, 2015</w:t>
            </w:r>
          </w:p>
        </w:tc>
        <w:tc>
          <w:tcPr>
            <w:tcW w:w="460" w:type="dxa"/>
            <w:vAlign w:val="bottom"/>
          </w:tcPr>
          <w:p>
            <w:pPr>
              <w:spacing w:after="0"/>
              <w:rPr>
                <w:sz w:val="18"/>
                <w:szCs w:val="18"/>
                <w:color w:val="auto"/>
              </w:rPr>
            </w:pPr>
          </w:p>
        </w:tc>
        <w:tc>
          <w:tcPr>
            <w:tcW w:w="22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December 31, 2014</w:t>
            </w:r>
          </w:p>
        </w:tc>
      </w:tr>
      <w:tr>
        <w:trPr>
          <w:trHeight w:val="230"/>
        </w:trPr>
        <w:tc>
          <w:tcPr>
            <w:tcW w:w="3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b w:val="1"/>
                <w:bCs w:val="1"/>
                <w:color w:val="auto"/>
                <w:w w:val="95"/>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b w:val="1"/>
                <w:bCs w:val="1"/>
                <w:color w:val="auto"/>
                <w:w w:val="95"/>
              </w:rPr>
              <w:t>(in thousands)</w:t>
            </w:r>
          </w:p>
        </w:tc>
      </w:tr>
      <w:tr>
        <w:trPr>
          <w:trHeight w:val="213"/>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6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1,666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2,149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3"/>
        </w:trPr>
        <w:tc>
          <w:tcPr>
            <w:tcW w:w="3780" w:type="dxa"/>
            <w:vAlign w:val="bottom"/>
          </w:tcPr>
          <w:p>
            <w:pPr>
              <w:spacing w:after="0"/>
              <w:rPr>
                <w:sz w:val="20"/>
                <w:szCs w:val="20"/>
                <w:color w:val="auto"/>
              </w:rPr>
            </w:pPr>
            <w:r>
              <w:rPr>
                <w:rFonts w:ascii="Arial" w:cs="Arial" w:eastAsia="Arial" w:hAnsi="Arial"/>
                <w:sz w:val="18"/>
                <w:szCs w:val="18"/>
                <w:color w:val="auto"/>
              </w:rPr>
              <w:t>Audit related fees (2)</w:t>
            </w:r>
          </w:p>
        </w:tc>
        <w:tc>
          <w:tcPr>
            <w:tcW w:w="268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181</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156</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9"/>
        </w:trPr>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fees (3)</w:t>
            </w:r>
          </w:p>
        </w:tc>
        <w:tc>
          <w:tcPr>
            <w:tcW w:w="2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1,294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1,704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4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3,141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4,009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280" w:hanging="274"/>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Audit fees include annual audit fees for the Company and its subsidiaries.</w:t>
      </w:r>
    </w:p>
    <w:p>
      <w:pPr>
        <w:spacing w:after="0" w:line="244" w:lineRule="exact"/>
        <w:rPr>
          <w:rFonts w:ascii="Arial" w:cs="Arial" w:eastAsia="Arial" w:hAnsi="Arial"/>
          <w:sz w:val="18"/>
          <w:szCs w:val="18"/>
          <w:color w:val="auto"/>
        </w:rPr>
      </w:pPr>
    </w:p>
    <w:p>
      <w:pPr>
        <w:ind w:left="240" w:hanging="234"/>
        <w:spacing w:after="0" w:line="266" w:lineRule="auto"/>
        <w:tabs>
          <w:tab w:leader="none" w:pos="2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Audit related fees principally consisted of fees for financial due diligence services, fees for audit of the financial statements of employee benefit plans and fees for pension review.</w:t>
      </w:r>
    </w:p>
    <w:p>
      <w:pPr>
        <w:spacing w:after="0" w:line="205" w:lineRule="exact"/>
        <w:rPr>
          <w:rFonts w:ascii="Arial" w:cs="Arial" w:eastAsia="Arial" w:hAnsi="Arial"/>
          <w:sz w:val="18"/>
          <w:szCs w:val="18"/>
          <w:color w:val="auto"/>
        </w:rPr>
      </w:pPr>
    </w:p>
    <w:p>
      <w:pPr>
        <w:ind w:left="280" w:hanging="274"/>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 fees are fees for tax compliance and tax consultation services.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pre-approves on an annual basis the audit and non-audit services provided to the Company by its auditors.</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8" w:name="page79"/>
    <w:bookmarkEnd w:id="78"/>
    <w:p>
      <w:pPr>
        <w:spacing w:after="0"/>
        <w:rPr>
          <w:sz w:val="20"/>
          <w:szCs w:val="20"/>
          <w:color w:val="auto"/>
        </w:rPr>
      </w:pPr>
      <w:r>
        <w:rPr>
          <w:rFonts w:ascii="Arial" w:cs="Arial" w:eastAsia="Arial" w:hAnsi="Arial"/>
          <w:sz w:val="21"/>
          <w:szCs w:val="21"/>
          <w:b w:val="1"/>
          <w:bCs w:val="1"/>
          <w:color w:val="auto"/>
        </w:rPr>
        <w:t>Item 16E. Purchases of Equity Securities by the Issuer and Affiliated Purchasers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Maximum</w:t>
            </w:r>
          </w:p>
        </w:tc>
      </w:tr>
      <w:tr>
        <w:trPr>
          <w:trHeight w:val="213"/>
        </w:trPr>
        <w:tc>
          <w:tcPr>
            <w:tcW w:w="3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Total Price</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w w:val="90"/>
              </w:rPr>
              <w:t>Approximate</w:t>
            </w:r>
          </w:p>
        </w:tc>
      </w:tr>
      <w:tr>
        <w:trPr>
          <w:trHeight w:val="213"/>
        </w:trPr>
        <w:tc>
          <w:tcPr>
            <w:tcW w:w="3240" w:type="dxa"/>
            <w:vAlign w:val="bottom"/>
          </w:tcPr>
          <w:p>
            <w:pPr>
              <w:spacing w:after="0"/>
              <w:rPr>
                <w:sz w:val="18"/>
                <w:szCs w:val="18"/>
                <w:color w:val="auto"/>
              </w:rPr>
            </w:pPr>
          </w:p>
        </w:tc>
        <w:tc>
          <w:tcPr>
            <w:tcW w:w="2760" w:type="dxa"/>
            <w:vAlign w:val="bottom"/>
          </w:tcPr>
          <w:p>
            <w:pPr>
              <w:jc w:val="right"/>
              <w:ind w:right="51"/>
              <w:spacing w:after="0"/>
              <w:rPr>
                <w:sz w:val="20"/>
                <w:szCs w:val="20"/>
                <w:color w:val="auto"/>
              </w:rPr>
            </w:pPr>
            <w:r>
              <w:rPr>
                <w:rFonts w:ascii="Arial" w:cs="Arial" w:eastAsia="Arial" w:hAnsi="Arial"/>
                <w:sz w:val="18"/>
                <w:szCs w:val="18"/>
                <w:b w:val="1"/>
                <w:bCs w:val="1"/>
                <w:color w:val="auto"/>
              </w:rPr>
              <w:t>Total Number</w:t>
            </w:r>
          </w:p>
        </w:tc>
        <w:tc>
          <w:tcPr>
            <w:tcW w:w="142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Average Price</w:t>
            </w:r>
          </w:p>
        </w:tc>
        <w:tc>
          <w:tcPr>
            <w:tcW w:w="1320" w:type="dxa"/>
            <w:vAlign w:val="bottom"/>
          </w:tcPr>
          <w:p>
            <w:pPr>
              <w:jc w:val="right"/>
              <w:ind w:right="11"/>
              <w:spacing w:after="0"/>
              <w:rPr>
                <w:sz w:val="20"/>
                <w:szCs w:val="20"/>
                <w:color w:val="auto"/>
              </w:rPr>
            </w:pPr>
            <w:r>
              <w:rPr>
                <w:rFonts w:ascii="Arial" w:cs="Arial" w:eastAsia="Arial" w:hAnsi="Arial"/>
                <w:sz w:val="18"/>
                <w:szCs w:val="18"/>
                <w:b w:val="1"/>
                <w:bCs w:val="1"/>
                <w:color w:val="auto"/>
              </w:rPr>
              <w:t>Total Number</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Paid for</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Value of</w:t>
            </w:r>
          </w:p>
        </w:tc>
      </w:tr>
      <w:tr>
        <w:trPr>
          <w:trHeight w:val="213"/>
        </w:trPr>
        <w:tc>
          <w:tcPr>
            <w:tcW w:w="3240" w:type="dxa"/>
            <w:vAlign w:val="bottom"/>
          </w:tcPr>
          <w:p>
            <w:pPr>
              <w:spacing w:after="0"/>
              <w:rPr>
                <w:sz w:val="18"/>
                <w:szCs w:val="18"/>
                <w:color w:val="auto"/>
              </w:rPr>
            </w:pPr>
          </w:p>
        </w:tc>
        <w:tc>
          <w:tcPr>
            <w:tcW w:w="2760" w:type="dxa"/>
            <w:vAlign w:val="bottom"/>
          </w:tcPr>
          <w:p>
            <w:pPr>
              <w:jc w:val="right"/>
              <w:ind w:right="51"/>
              <w:spacing w:after="0"/>
              <w:rPr>
                <w:sz w:val="20"/>
                <w:szCs w:val="20"/>
                <w:color w:val="auto"/>
              </w:rPr>
            </w:pPr>
            <w:r>
              <w:rPr>
                <w:rFonts w:ascii="Arial" w:cs="Arial" w:eastAsia="Arial" w:hAnsi="Arial"/>
                <w:sz w:val="18"/>
                <w:szCs w:val="18"/>
                <w:b w:val="1"/>
                <w:bCs w:val="1"/>
                <w:color w:val="auto"/>
              </w:rPr>
              <w:t>of Shares</w:t>
            </w: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w w:val="98"/>
              </w:rPr>
              <w:t>Paid per Share</w:t>
            </w:r>
          </w:p>
        </w:tc>
        <w:tc>
          <w:tcPr>
            <w:tcW w:w="1320" w:type="dxa"/>
            <w:vAlign w:val="bottom"/>
          </w:tcPr>
          <w:p>
            <w:pPr>
              <w:jc w:val="right"/>
              <w:ind w:right="11"/>
              <w:spacing w:after="0"/>
              <w:rPr>
                <w:sz w:val="20"/>
                <w:szCs w:val="20"/>
                <w:color w:val="auto"/>
              </w:rPr>
            </w:pPr>
            <w:r>
              <w:rPr>
                <w:rFonts w:ascii="Arial" w:cs="Arial" w:eastAsia="Arial" w:hAnsi="Arial"/>
                <w:sz w:val="18"/>
                <w:szCs w:val="18"/>
                <w:b w:val="1"/>
                <w:bCs w:val="1"/>
                <w:color w:val="auto"/>
              </w:rPr>
              <w:t>of Shares</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Shares</w:t>
            </w:r>
          </w:p>
        </w:tc>
      </w:tr>
      <w:tr>
        <w:trPr>
          <w:trHeight w:val="213"/>
        </w:trPr>
        <w:tc>
          <w:tcPr>
            <w:tcW w:w="3240" w:type="dxa"/>
            <w:vAlign w:val="bottom"/>
          </w:tcPr>
          <w:p>
            <w:pPr>
              <w:spacing w:after="0"/>
              <w:rPr>
                <w:sz w:val="18"/>
                <w:szCs w:val="18"/>
                <w:color w:val="auto"/>
              </w:rPr>
            </w:pPr>
          </w:p>
        </w:tc>
        <w:tc>
          <w:tcPr>
            <w:tcW w:w="2760" w:type="dxa"/>
            <w:vAlign w:val="bottom"/>
          </w:tcPr>
          <w:p>
            <w:pPr>
              <w:jc w:val="right"/>
              <w:ind w:right="51"/>
              <w:spacing w:after="0"/>
              <w:rPr>
                <w:sz w:val="20"/>
                <w:szCs w:val="20"/>
                <w:color w:val="auto"/>
              </w:rPr>
            </w:pPr>
            <w:r>
              <w:rPr>
                <w:rFonts w:ascii="Arial" w:cs="Arial" w:eastAsia="Arial" w:hAnsi="Arial"/>
                <w:sz w:val="18"/>
                <w:szCs w:val="18"/>
                <w:b w:val="1"/>
                <w:bCs w:val="1"/>
                <w:color w:val="auto"/>
              </w:rPr>
              <w:t>Purchased</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b w:val="1"/>
                <w:bCs w:val="1"/>
                <w:color w:val="auto"/>
              </w:rPr>
              <w:t>Purchased as</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w w:val="85"/>
              </w:rPr>
              <w:t>Purchased as</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w w:val="95"/>
              </w:rPr>
              <w:t>that may yet</w:t>
            </w:r>
          </w:p>
        </w:tc>
      </w:tr>
      <w:tr>
        <w:trPr>
          <w:trHeight w:val="213"/>
        </w:trPr>
        <w:tc>
          <w:tcPr>
            <w:tcW w:w="3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b w:val="1"/>
                <w:bCs w:val="1"/>
                <w:color w:val="auto"/>
              </w:rPr>
              <w:t>Part of a</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Part of a</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be</w:t>
            </w:r>
          </w:p>
        </w:tc>
      </w:tr>
      <w:tr>
        <w:trPr>
          <w:trHeight w:val="213"/>
        </w:trPr>
        <w:tc>
          <w:tcPr>
            <w:tcW w:w="3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b w:val="1"/>
                <w:bCs w:val="1"/>
                <w:color w:val="auto"/>
              </w:rPr>
              <w:t>Publicly</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Publicly</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purchased</w:t>
            </w:r>
          </w:p>
        </w:tc>
      </w:tr>
      <w:tr>
        <w:trPr>
          <w:trHeight w:val="213"/>
        </w:trPr>
        <w:tc>
          <w:tcPr>
            <w:tcW w:w="3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b w:val="1"/>
                <w:bCs w:val="1"/>
                <w:color w:val="auto"/>
              </w:rPr>
              <w:t>Announced</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Announced</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under</w:t>
            </w:r>
          </w:p>
        </w:tc>
      </w:tr>
      <w:tr>
        <w:trPr>
          <w:trHeight w:val="213"/>
        </w:trPr>
        <w:tc>
          <w:tcPr>
            <w:tcW w:w="3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b w:val="1"/>
                <w:bCs w:val="1"/>
                <w:color w:val="auto"/>
              </w:rPr>
              <w:t>Plan</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Plan</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the Plans</w:t>
            </w:r>
          </w:p>
        </w:tc>
      </w:tr>
      <w:tr>
        <w:trPr>
          <w:trHeight w:val="230"/>
        </w:trPr>
        <w:tc>
          <w:tcPr>
            <w:tcW w:w="32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40" w:type="dxa"/>
            <w:vAlign w:val="bottom"/>
            <w:gridSpan w:val="4"/>
          </w:tcPr>
          <w:p>
            <w:pPr>
              <w:jc w:val="right"/>
              <w:ind w:right="591"/>
              <w:spacing w:after="0"/>
              <w:rPr>
                <w:sz w:val="20"/>
                <w:szCs w:val="20"/>
                <w:color w:val="auto"/>
              </w:rPr>
            </w:pPr>
            <w:r>
              <w:rPr>
                <w:rFonts w:ascii="Arial" w:cs="Arial" w:eastAsia="Arial" w:hAnsi="Arial"/>
                <w:sz w:val="18"/>
                <w:szCs w:val="18"/>
                <w:b w:val="1"/>
                <w:bCs w:val="1"/>
                <w:color w:val="auto"/>
                <w:w w:val="92"/>
              </w:rPr>
              <w:t>(in thousands, except per share data)</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4"/>
        </w:trPr>
        <w:tc>
          <w:tcPr>
            <w:tcW w:w="3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January 1/1 - 1/31</w:t>
            </w:r>
          </w:p>
        </w:tc>
        <w:tc>
          <w:tcPr>
            <w:tcW w:w="2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February 2/1 – 2/28</w:t>
            </w:r>
          </w:p>
        </w:tc>
        <w:tc>
          <w:tcPr>
            <w:tcW w:w="2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March 3/1 – 3/31</w:t>
            </w:r>
          </w:p>
        </w:tc>
        <w:tc>
          <w:tcPr>
            <w:tcW w:w="2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April 4/1 – 4/30</w:t>
            </w:r>
          </w:p>
        </w:tc>
        <w:tc>
          <w:tcPr>
            <w:tcW w:w="2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May 5/1 – 5/31</w:t>
            </w:r>
          </w:p>
        </w:tc>
        <w:tc>
          <w:tcPr>
            <w:tcW w:w="2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646,829</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65.57</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646,829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42,416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415,476</w:t>
            </w: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June 6/1 – 6/30</w:t>
            </w:r>
          </w:p>
        </w:tc>
        <w:tc>
          <w:tcPr>
            <w:tcW w:w="2760" w:type="dxa"/>
            <w:vAlign w:val="bottom"/>
          </w:tcPr>
          <w:p>
            <w:pPr>
              <w:jc w:val="right"/>
              <w:ind w:right="51"/>
              <w:spacing w:after="0"/>
              <w:rPr>
                <w:sz w:val="20"/>
                <w:szCs w:val="20"/>
                <w:color w:val="auto"/>
              </w:rPr>
            </w:pPr>
            <w:r>
              <w:rPr>
                <w:rFonts w:ascii="Arial" w:cs="Arial" w:eastAsia="Arial" w:hAnsi="Arial"/>
                <w:sz w:val="18"/>
                <w:szCs w:val="18"/>
                <w:color w:val="auto"/>
              </w:rPr>
              <w:t>235,590</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65.69</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235,590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400,000</w:t>
            </w: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July 7/1 – 7/31</w:t>
            </w:r>
          </w:p>
        </w:tc>
        <w:tc>
          <w:tcPr>
            <w:tcW w:w="2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August 8/1 – 8/31</w:t>
            </w:r>
          </w:p>
        </w:tc>
        <w:tc>
          <w:tcPr>
            <w:tcW w:w="2760" w:type="dxa"/>
            <w:vAlign w:val="bottom"/>
          </w:tcPr>
          <w:p>
            <w:pPr>
              <w:jc w:val="right"/>
              <w:ind w:right="51"/>
              <w:spacing w:after="0"/>
              <w:rPr>
                <w:sz w:val="20"/>
                <w:szCs w:val="20"/>
                <w:color w:val="auto"/>
              </w:rPr>
            </w:pPr>
            <w:r>
              <w:rPr>
                <w:rFonts w:ascii="Arial" w:cs="Arial" w:eastAsia="Arial" w:hAnsi="Arial"/>
                <w:sz w:val="18"/>
                <w:szCs w:val="18"/>
                <w:color w:val="auto"/>
              </w:rPr>
              <w:t>1,649,027</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79.90</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1,649,027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131,752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268,248</w:t>
            </w: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September 9/1 – 9/30</w:t>
            </w:r>
          </w:p>
        </w:tc>
        <w:tc>
          <w:tcPr>
            <w:tcW w:w="2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1,255,143</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77.73</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1,255,143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97,565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170,683</w:t>
            </w:r>
          </w:p>
        </w:tc>
      </w:tr>
      <w:tr>
        <w:trPr>
          <w:trHeight w:val="213"/>
        </w:trPr>
        <w:tc>
          <w:tcPr>
            <w:tcW w:w="3240" w:type="dxa"/>
            <w:vAlign w:val="bottom"/>
          </w:tcPr>
          <w:p>
            <w:pPr>
              <w:spacing w:after="0"/>
              <w:rPr>
                <w:sz w:val="20"/>
                <w:szCs w:val="20"/>
                <w:color w:val="auto"/>
              </w:rPr>
            </w:pPr>
            <w:r>
              <w:rPr>
                <w:rFonts w:ascii="Arial" w:cs="Arial" w:eastAsia="Arial" w:hAnsi="Arial"/>
                <w:sz w:val="18"/>
                <w:szCs w:val="18"/>
                <w:color w:val="auto"/>
              </w:rPr>
              <w:t>October 10/1 – 10/31</w:t>
            </w:r>
          </w:p>
        </w:tc>
        <w:tc>
          <w:tcPr>
            <w:tcW w:w="2760" w:type="dxa"/>
            <w:vAlign w:val="bottom"/>
          </w:tcPr>
          <w:p>
            <w:pPr>
              <w:jc w:val="right"/>
              <w:ind w:right="51"/>
              <w:spacing w:after="0"/>
              <w:rPr>
                <w:sz w:val="20"/>
                <w:szCs w:val="20"/>
                <w:color w:val="auto"/>
              </w:rPr>
            </w:pPr>
            <w:r>
              <w:rPr>
                <w:rFonts w:ascii="Arial" w:cs="Arial" w:eastAsia="Arial" w:hAnsi="Arial"/>
                <w:sz w:val="18"/>
                <w:szCs w:val="18"/>
                <w:color w:val="auto"/>
              </w:rPr>
              <w:t>968,075</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70.20</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968,075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67,955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102,728</w:t>
            </w:r>
          </w:p>
        </w:tc>
      </w:tr>
      <w:tr>
        <w:trPr>
          <w:trHeight w:val="21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November 11/1 – 11/30</w:t>
            </w:r>
          </w:p>
        </w:tc>
        <w:tc>
          <w:tcPr>
            <w:tcW w:w="2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713,955</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67.98</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713,955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48,537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54,191</w:t>
            </w:r>
          </w:p>
        </w:tc>
      </w:tr>
      <w:tr>
        <w:trPr>
          <w:trHeight w:val="21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12/1 – 12/31</w:t>
            </w:r>
          </w:p>
        </w:tc>
        <w:tc>
          <w:tcPr>
            <w:tcW w:w="2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729,862</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74.25</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729,862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54,191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r>
      <w:tr>
        <w:trPr>
          <w:trHeight w:val="253"/>
        </w:trPr>
        <w:tc>
          <w:tcPr>
            <w:tcW w:w="3240" w:type="dxa"/>
            <w:vAlign w:val="bottom"/>
            <w:tcBorders>
              <w:bottom w:val="single" w:sz="8" w:color="auto"/>
            </w:tcBorders>
            <w:shd w:val="clear" w:color="auto" w:fill="CCEEFF"/>
          </w:tcPr>
          <w:p>
            <w:pPr>
              <w:spacing w:after="0"/>
              <w:rPr>
                <w:sz w:val="21"/>
                <w:szCs w:val="21"/>
                <w:color w:val="auto"/>
              </w:rPr>
            </w:pPr>
          </w:p>
        </w:tc>
        <w:tc>
          <w:tcPr>
            <w:tcW w:w="2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6,198,481</w:t>
            </w: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73.87</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6,198,481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457,892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r>
    </w:tbl>
    <w:p>
      <w:pPr>
        <w:spacing w:after="0" w:line="22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May 1, 2015 the Company commenced a buyback program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 for a total consideration of $57.9 million.</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31, 2015 the Company commenced a further buyback program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 for a total consideration of $400 million. The share buyback program was completed in December 2015. During the year ended December 31, 2015, the Company redeemed a total of 6,198,481 ordinary shares for a total consideration of $457.9 million.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Under the repurchase programs, a broker purchased the Company’s shares from time to time on the open market or in privately negotiated transactions in accordance with agreed terms and limitations. The programs are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programs were made independently of and uninfluenced by the Company. The Company confirms that on entering the share repurchase plans it had no material non-public</w:t>
      </w:r>
      <w:r>
        <w:rPr>
          <w:rFonts w:ascii="Arial" w:cs="Arial" w:eastAsia="Arial" w:hAnsi="Arial"/>
          <w:sz w:val="17"/>
          <w:szCs w:val="17"/>
          <w:u w:val="single" w:color="auto"/>
          <w:color w:val="auto"/>
        </w:rPr>
        <w:t>,</w:t>
      </w:r>
      <w:r>
        <w:rPr>
          <w:rFonts w:ascii="Arial" w:cs="Arial" w:eastAsia="Arial" w:hAnsi="Arial"/>
          <w:sz w:val="17"/>
          <w:szCs w:val="17"/>
          <w:color w:val="auto"/>
        </w:rPr>
        <w:t xml:space="preserve">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programs. In addition, acquisitions under the programs may be suspended or discontinued in certain circumstances in accordance with the agreed terms. Therefore, there can be no assurance as to the timing or number of shares that may be acquired under the programs.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16F. Changes in Registrant’s Certifying Accountant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See Item 10 “Exemptions from Corporate Governance Listing Requirements under the NASDAQ Marketplace Rules”.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item 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w:t>
      </w:r>
      <w:r>
        <w:rPr>
          <w:rFonts w:ascii="Arial" w:cs="Arial" w:eastAsia="Arial" w:hAnsi="Arial"/>
          <w:sz w:val="18"/>
          <w:szCs w:val="18"/>
          <w:b w:val="1"/>
          <w:bCs w:val="1"/>
          <w:i w:val="1"/>
          <w:iCs w:val="1"/>
          <w:color w:val="auto"/>
        </w:rPr>
        <w:t>.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Reference is made to pages 81 to 130 of this Form 20-F.</w:t>
      </w:r>
    </w:p>
    <w:p>
      <w:pPr>
        <w:spacing w:after="0" w:line="3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506" w:right="1440"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Financial Statements and Exhibits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of ICON plc and subsidiaries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at December 31, 2015 and December 31, 2014</w:t>
      </w:r>
    </w:p>
    <w:p>
      <w:pPr>
        <w:spacing w:after="0" w:line="245" w:lineRule="exact"/>
        <w:rPr>
          <w:sz w:val="20"/>
          <w:szCs w:val="20"/>
          <w:color w:val="auto"/>
        </w:rPr>
      </w:pPr>
    </w:p>
    <w:p>
      <w:pPr>
        <w:ind w:right="1680"/>
        <w:spacing w:after="0" w:line="673" w:lineRule="auto"/>
        <w:rPr>
          <w:sz w:val="20"/>
          <w:szCs w:val="20"/>
          <w:color w:val="auto"/>
        </w:rPr>
      </w:pPr>
      <w:r>
        <w:rPr>
          <w:rFonts w:ascii="Arial" w:cs="Arial" w:eastAsia="Arial" w:hAnsi="Arial"/>
          <w:sz w:val="14"/>
          <w:szCs w:val="14"/>
          <w:color w:val="auto"/>
        </w:rPr>
        <w:t>Consolidated Statements of Operations for the years ended December 31, 2015, December 31, 2014 and December 31, 2013 Consolidated Statements of Comprehensive Income for the years ended December 31, 2015, December 31, 2014 and December 31, 2013</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Consolidated Statements of Shareholders’ Equity and Comprehensive Income for the years ended December 31, 2015, December 31, 2014 and December 31, 2013</w:t>
      </w:r>
    </w:p>
    <w:p>
      <w:pPr>
        <w:spacing w:after="0" w:line="206" w:lineRule="exact"/>
        <w:rPr>
          <w:sz w:val="20"/>
          <w:szCs w:val="20"/>
          <w:color w:val="auto"/>
        </w:rPr>
      </w:pPr>
    </w:p>
    <w:p>
      <w:pPr>
        <w:ind w:right="2540"/>
        <w:spacing w:after="0" w:line="543" w:lineRule="auto"/>
        <w:rPr>
          <w:sz w:val="20"/>
          <w:szCs w:val="20"/>
          <w:color w:val="auto"/>
        </w:rPr>
      </w:pPr>
      <w:r>
        <w:rPr>
          <w:rFonts w:ascii="Arial" w:cs="Arial" w:eastAsia="Arial" w:hAnsi="Arial"/>
          <w:sz w:val="18"/>
          <w:szCs w:val="18"/>
          <w:color w:val="auto"/>
        </w:rPr>
        <w:t>Consolidated Statements of Cash Flows for the years ended December 31, 2015, December 31, 2014 and December 31, 2013 Notes to the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Exhibits of ICON plc and subsidiaries</w:t>
      </w:r>
    </w:p>
    <w:p>
      <w:pPr>
        <w:spacing w:after="0" w:line="200" w:lineRule="exact"/>
        <w:rPr>
          <w:sz w:val="20"/>
          <w:szCs w:val="20"/>
          <w:color w:val="auto"/>
        </w:rPr>
      </w:pPr>
    </w:p>
    <w:p>
      <w:pPr>
        <w:spacing w:after="0" w:line="263"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1120" w:type="dxa"/>
            <w:vAlign w:val="bottom"/>
          </w:tcPr>
          <w:p>
            <w:pPr>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24"/>
        </w:trPr>
        <w:tc>
          <w:tcPr>
            <w:tcW w:w="1120" w:type="dxa"/>
            <w:vAlign w:val="bottom"/>
          </w:tcPr>
          <w:p>
            <w:pPr>
              <w:spacing w:after="0"/>
              <w:rPr>
                <w:sz w:val="20"/>
                <w:szCs w:val="20"/>
                <w:color w:val="auto"/>
              </w:rPr>
            </w:pPr>
            <w:r>
              <w:rPr>
                <w:rFonts w:ascii="Arial" w:cs="Arial" w:eastAsia="Arial" w:hAnsi="Arial"/>
                <w:sz w:val="18"/>
                <w:szCs w:val="18"/>
                <w:color w:val="auto"/>
              </w:rPr>
              <w:t>Number</w:t>
            </w:r>
          </w:p>
        </w:tc>
        <w:tc>
          <w:tcPr>
            <w:tcW w:w="9800" w:type="dxa"/>
            <w:vAlign w:val="bottom"/>
          </w:tcPr>
          <w:p>
            <w:pPr>
              <w:ind w:left="720"/>
              <w:spacing w:after="0"/>
              <w:rPr>
                <w:sz w:val="20"/>
                <w:szCs w:val="20"/>
                <w:color w:val="auto"/>
              </w:rPr>
            </w:pPr>
            <w:r>
              <w:rPr>
                <w:rFonts w:ascii="Arial" w:cs="Arial" w:eastAsia="Arial" w:hAnsi="Arial"/>
                <w:sz w:val="18"/>
                <w:szCs w:val="18"/>
                <w:color w:val="auto"/>
              </w:rPr>
              <w:t>Title</w:t>
            </w:r>
          </w:p>
        </w:tc>
      </w:tr>
      <w:tr>
        <w:trPr>
          <w:trHeight w:val="414"/>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9800" w:type="dxa"/>
            <w:vAlign w:val="bottom"/>
          </w:tcPr>
          <w:p>
            <w:pPr>
              <w:ind w:left="540"/>
              <w:spacing w:after="0"/>
              <w:rPr>
                <w:sz w:val="20"/>
                <w:szCs w:val="20"/>
                <w:color w:val="auto"/>
              </w:rPr>
            </w:pPr>
            <w:r>
              <w:rPr>
                <w:rFonts w:ascii="Arial" w:cs="Arial" w:eastAsia="Arial" w:hAnsi="Arial"/>
                <w:sz w:val="18"/>
                <w:szCs w:val="18"/>
                <w:color w:val="auto"/>
                <w:w w:val="90"/>
              </w:rPr>
              <w:t>Description of the Memorandum and Articles of Association of the Company (incorporated by reference to exhibit 3.1 to the Form</w:t>
            </w:r>
          </w:p>
        </w:tc>
      </w:tr>
      <w:tr>
        <w:trPr>
          <w:trHeight w:val="224"/>
        </w:trPr>
        <w:tc>
          <w:tcPr>
            <w:tcW w:w="1120" w:type="dxa"/>
            <w:vAlign w:val="bottom"/>
          </w:tcPr>
          <w:p>
            <w:pPr>
              <w:spacing w:after="0"/>
              <w:rPr>
                <w:sz w:val="19"/>
                <w:szCs w:val="19"/>
                <w:color w:val="auto"/>
              </w:rPr>
            </w:pPr>
          </w:p>
        </w:tc>
        <w:tc>
          <w:tcPr>
            <w:tcW w:w="9800" w:type="dxa"/>
            <w:vAlign w:val="bottom"/>
          </w:tcPr>
          <w:p>
            <w:pPr>
              <w:ind w:left="540"/>
              <w:spacing w:after="0"/>
              <w:rPr>
                <w:sz w:val="20"/>
                <w:szCs w:val="20"/>
                <w:color w:val="auto"/>
              </w:rPr>
            </w:pPr>
            <w:r>
              <w:rPr>
                <w:rFonts w:ascii="Arial" w:cs="Arial" w:eastAsia="Arial" w:hAnsi="Arial"/>
                <w:sz w:val="18"/>
                <w:szCs w:val="18"/>
                <w:color w:val="auto"/>
              </w:rPr>
              <w:t>20F (File No. 333-08704) filed on March 6, 2013).</w:t>
            </w:r>
          </w:p>
        </w:tc>
      </w:tr>
      <w:tr>
        <w:trPr>
          <w:trHeight w:val="425"/>
        </w:trPr>
        <w:tc>
          <w:tcPr>
            <w:tcW w:w="1120" w:type="dxa"/>
            <w:vAlign w:val="bottom"/>
          </w:tcPr>
          <w:p>
            <w:pPr>
              <w:spacing w:after="0"/>
              <w:rPr>
                <w:sz w:val="20"/>
                <w:szCs w:val="20"/>
                <w:color w:val="auto"/>
              </w:rPr>
            </w:pPr>
            <w:r>
              <w:rPr>
                <w:rFonts w:ascii="Arial" w:cs="Arial" w:eastAsia="Arial" w:hAnsi="Arial"/>
                <w:sz w:val="18"/>
                <w:szCs w:val="18"/>
                <w:color w:val="auto"/>
              </w:rPr>
              <w:t>12.1*</w:t>
            </w:r>
          </w:p>
        </w:tc>
        <w:tc>
          <w:tcPr>
            <w:tcW w:w="9800" w:type="dxa"/>
            <w:vAlign w:val="bottom"/>
          </w:tcPr>
          <w:p>
            <w:pPr>
              <w:ind w:left="540"/>
              <w:spacing w:after="0"/>
              <w:rPr>
                <w:sz w:val="20"/>
                <w:szCs w:val="20"/>
                <w:color w:val="auto"/>
              </w:rPr>
            </w:pPr>
            <w:r>
              <w:rPr>
                <w:rFonts w:ascii="Arial" w:cs="Arial" w:eastAsia="Arial" w:hAnsi="Arial"/>
                <w:sz w:val="18"/>
                <w:szCs w:val="18"/>
                <w:color w:val="auto"/>
              </w:rPr>
              <w:t>Section 302 certifications.</w:t>
            </w:r>
          </w:p>
        </w:tc>
      </w:tr>
      <w:tr>
        <w:trPr>
          <w:trHeight w:val="425"/>
        </w:trPr>
        <w:tc>
          <w:tcPr>
            <w:tcW w:w="1120" w:type="dxa"/>
            <w:vAlign w:val="bottom"/>
          </w:tcPr>
          <w:p>
            <w:pPr>
              <w:spacing w:after="0"/>
              <w:rPr>
                <w:sz w:val="20"/>
                <w:szCs w:val="20"/>
                <w:color w:val="auto"/>
              </w:rPr>
            </w:pPr>
            <w:r>
              <w:rPr>
                <w:rFonts w:ascii="Arial" w:cs="Arial" w:eastAsia="Arial" w:hAnsi="Arial"/>
                <w:sz w:val="18"/>
                <w:szCs w:val="18"/>
                <w:color w:val="auto"/>
              </w:rPr>
              <w:t>12.2*</w:t>
            </w:r>
          </w:p>
        </w:tc>
        <w:tc>
          <w:tcPr>
            <w:tcW w:w="9800" w:type="dxa"/>
            <w:vAlign w:val="bottom"/>
          </w:tcPr>
          <w:p>
            <w:pPr>
              <w:ind w:left="540"/>
              <w:spacing w:after="0"/>
              <w:rPr>
                <w:sz w:val="20"/>
                <w:szCs w:val="20"/>
                <w:color w:val="auto"/>
              </w:rPr>
            </w:pPr>
            <w:r>
              <w:rPr>
                <w:rFonts w:ascii="Arial" w:cs="Arial" w:eastAsia="Arial" w:hAnsi="Arial"/>
                <w:sz w:val="18"/>
                <w:szCs w:val="18"/>
                <w:color w:val="auto"/>
              </w:rPr>
              <w:t>Section 906 certifications.</w:t>
            </w:r>
          </w:p>
        </w:tc>
      </w:tr>
      <w:tr>
        <w:trPr>
          <w:trHeight w:val="425"/>
        </w:trPr>
        <w:tc>
          <w:tcPr>
            <w:tcW w:w="1120" w:type="dxa"/>
            <w:vAlign w:val="bottom"/>
          </w:tcPr>
          <w:p>
            <w:pPr>
              <w:spacing w:after="0"/>
              <w:rPr>
                <w:sz w:val="20"/>
                <w:szCs w:val="20"/>
                <w:color w:val="auto"/>
              </w:rPr>
            </w:pPr>
            <w:r>
              <w:rPr>
                <w:rFonts w:ascii="Arial" w:cs="Arial" w:eastAsia="Arial" w:hAnsi="Arial"/>
                <w:sz w:val="18"/>
                <w:szCs w:val="18"/>
                <w:color w:val="auto"/>
              </w:rPr>
              <w:t>21.1</w:t>
            </w:r>
          </w:p>
        </w:tc>
        <w:tc>
          <w:tcPr>
            <w:tcW w:w="9800" w:type="dxa"/>
            <w:vAlign w:val="bottom"/>
          </w:tcPr>
          <w:p>
            <w:pPr>
              <w:ind w:left="54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425"/>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9800" w:type="dxa"/>
            <w:vAlign w:val="bottom"/>
          </w:tcPr>
          <w:p>
            <w:pPr>
              <w:ind w:left="54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425"/>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9800" w:type="dxa"/>
            <w:vAlign w:val="bottom"/>
          </w:tcPr>
          <w:p>
            <w:pPr>
              <w:ind w:left="540"/>
              <w:spacing w:after="0"/>
              <w:rPr>
                <w:sz w:val="20"/>
                <w:szCs w:val="20"/>
                <w:color w:val="auto"/>
              </w:rPr>
            </w:pPr>
            <w:r>
              <w:rPr>
                <w:rFonts w:ascii="Arial" w:cs="Arial" w:eastAsia="Arial" w:hAnsi="Arial"/>
                <w:sz w:val="18"/>
                <w:szCs w:val="18"/>
                <w:color w:val="auto"/>
              </w:rPr>
              <w:t>Interactive Data Files (XBRL – Related Documents)</w:t>
            </w:r>
          </w:p>
        </w:tc>
      </w:tr>
    </w:tbl>
    <w:p>
      <w:pPr>
        <w:spacing w:after="0" w:line="228" w:lineRule="exact"/>
        <w:rPr>
          <w:sz w:val="20"/>
          <w:szCs w:val="20"/>
          <w:color w:val="auto"/>
        </w:rPr>
      </w:pPr>
    </w:p>
    <w:p>
      <w:pPr>
        <w:ind w:left="580" w:hanging="574"/>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100"/>
          </w:cols>
          <w:pgMar w:left="240" w:top="507" w:right="5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Securities Exchange Act of 1934.</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 2015. In making this assessment, we used the criteria set forth by the Committee of Sponsoring Organizations of the Treadway Commission (COSO) in Internal Control – Integrated Framework 2013. Based upon the assessment performed, we determined that, as of December 31, 2015 the Company’s internal control over financial reporting was effective. In addition, there have been no changes in the Company’s internal control over financial reporting during 2015 that have materially affected, or are reasonably likely to affect materially, the Group’s internal control over financial reporting.</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KPMG, which has audited the consolidated financial statements of the Company for the year ended December 31, 2015, has also audited the effectiveness of the Company’s internal control over financial reporting under Auditing Standard No. 5 of the Public Company Accounting Oversight Board (United States) and their report is included at page 83.</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83" w:name="page84"/>
    <w:bookmarkEnd w:id="83"/>
    <w:p>
      <w:pPr>
        <w:ind w:right="2880" w:firstLine="2832"/>
        <w:spacing w:after="0" w:line="266" w:lineRule="auto"/>
        <w:rPr>
          <w:sz w:val="20"/>
          <w:szCs w:val="20"/>
          <w:color w:val="auto"/>
        </w:rPr>
      </w:pPr>
      <w:r>
        <w:rPr>
          <w:rFonts w:ascii="Arial" w:cs="Arial" w:eastAsia="Arial" w:hAnsi="Arial"/>
          <w:sz w:val="18"/>
          <w:szCs w:val="18"/>
          <w:color w:val="auto"/>
        </w:rPr>
        <w:t>REPORT OF INDEPENDENT REGISTERED PUBLIC ACCOUNTING FIRM The Directors and Shareholders of ICON plc:</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audited the accompanying consolidated balance sheets of ICON plc and subsidiaries (“the Company”) as of December 31, 2015 and 2014 and the related consolidated statements of operations, comprehensive income, shareholders’ equity and comprehensive income, and cash flows for each of the years in the three-year period ended December 31, 2015. These consolidated financial statements are the responsibility of the Company's management. Our responsibility is to express an opinion on these consolidated financial statements based on our audits.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ICON plc and subsidiaries as of December 31, 2015 and 2014 and the results of their operations and their cash flows for each of the years in the three-year period ended December 31, 2015, in conformity with U.S. generally accepted accounting principles.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ICON plc’s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w:t>
      </w:r>
      <w:r>
        <w:rPr>
          <w:rFonts w:ascii="Arial" w:cs="Arial" w:eastAsia="Arial" w:hAnsi="Arial"/>
          <w:sz w:val="18"/>
          <w:szCs w:val="18"/>
          <w:color w:val="auto"/>
          <w:highlight w:val="white"/>
        </w:rPr>
        <w:t>March 23, 2016</w:t>
      </w:r>
      <w:r>
        <w:rPr>
          <w:rFonts w:ascii="Arial" w:cs="Arial" w:eastAsia="Arial" w:hAnsi="Arial"/>
          <w:sz w:val="18"/>
          <w:szCs w:val="18"/>
          <w:color w:val="auto"/>
        </w:rPr>
        <w:t xml:space="preserve"> expressed an unqualified opinion on the effectiveness of the Company’s internal control over financial reporting.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Shareholders of ICON plc:</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have audited ICON plc’s internal control over financial reporting as of December 31, 2015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ICON plc’s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In our opinion, ICON plc maintained, in all material respects, effective internal control over financial reporting as of December 31, 2015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consolidated balance sheets of ICON plc and subsidiaries as of December 31, 2015 and 2014 and the related consolidated statements of operations, shareholders’ equity and comprehensive income, and cash flows for each of the years in the three-year period ended December 31, 2015 and our report dated </w:t>
      </w:r>
      <w:r>
        <w:rPr>
          <w:rFonts w:ascii="Arial" w:cs="Arial" w:eastAsia="Arial" w:hAnsi="Arial"/>
          <w:sz w:val="18"/>
          <w:szCs w:val="18"/>
          <w:color w:val="auto"/>
          <w:highlight w:val="white"/>
        </w:rPr>
        <w:t>March 23, 2016</w:t>
      </w:r>
      <w:r>
        <w:rPr>
          <w:rFonts w:ascii="Arial" w:cs="Arial" w:eastAsia="Arial" w:hAnsi="Arial"/>
          <w:sz w:val="18"/>
          <w:szCs w:val="18"/>
          <w:color w:val="auto"/>
        </w:rPr>
        <w:t xml:space="preserve"> expressed an unqualified opinion on those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1"/>
              <w:spacing w:after="0" w:line="189"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1"/>
              <w:spacing w:after="0" w:line="189" w:lineRule="exact"/>
              <w:rPr>
                <w:sz w:val="20"/>
                <w:szCs w:val="20"/>
                <w:color w:val="auto"/>
              </w:rPr>
            </w:pPr>
            <w:r>
              <w:rPr>
                <w:rFonts w:ascii="Arial" w:cs="Arial" w:eastAsia="Arial" w:hAnsi="Arial"/>
                <w:sz w:val="18"/>
                <w:szCs w:val="18"/>
                <w:b w:val="1"/>
                <w:bCs w:val="1"/>
                <w:color w:val="auto"/>
                <w:w w:val="87"/>
              </w:rPr>
              <w:t>December 31,</w:t>
            </w:r>
          </w:p>
        </w:tc>
      </w:tr>
      <w:tr>
        <w:trPr>
          <w:trHeight w:val="213"/>
        </w:trPr>
        <w:tc>
          <w:tcPr>
            <w:tcW w:w="8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19"/>
        </w:trPr>
        <w:tc>
          <w:tcPr>
            <w:tcW w:w="87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24"/>
        </w:trPr>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103,911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118,900</w:t>
            </w:r>
          </w:p>
        </w:tc>
      </w:tr>
      <w:tr>
        <w:trPr>
          <w:trHeight w:val="213"/>
        </w:trPr>
        <w:tc>
          <w:tcPr>
            <w:tcW w:w="8740" w:type="dxa"/>
            <w:vAlign w:val="bottom"/>
          </w:tcPr>
          <w:p>
            <w:pPr>
              <w:ind w:left="280"/>
              <w:spacing w:after="0"/>
              <w:rPr>
                <w:sz w:val="20"/>
                <w:szCs w:val="20"/>
                <w:color w:val="auto"/>
              </w:rPr>
            </w:pPr>
            <w:r>
              <w:rPr>
                <w:rFonts w:ascii="Arial" w:cs="Arial" w:eastAsia="Arial" w:hAnsi="Arial"/>
                <w:sz w:val="18"/>
                <w:szCs w:val="18"/>
                <w:color w:val="auto"/>
              </w:rPr>
              <w:t>Short term investments - available for sale (Note 3)</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85,990</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97,100</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409,165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370,956</w:t>
            </w:r>
          </w:p>
        </w:tc>
      </w:tr>
      <w:tr>
        <w:trPr>
          <w:trHeight w:val="213"/>
        </w:trPr>
        <w:tc>
          <w:tcPr>
            <w:tcW w:w="8740" w:type="dxa"/>
            <w:vAlign w:val="bottom"/>
          </w:tcPr>
          <w:p>
            <w:pPr>
              <w:ind w:left="280"/>
              <w:spacing w:after="0"/>
              <w:rPr>
                <w:sz w:val="20"/>
                <w:szCs w:val="20"/>
                <w:color w:val="auto"/>
              </w:rPr>
            </w:pPr>
            <w:r>
              <w:rPr>
                <w:rFonts w:ascii="Arial" w:cs="Arial" w:eastAsia="Arial" w:hAnsi="Arial"/>
                <w:sz w:val="18"/>
                <w:szCs w:val="18"/>
                <w:color w:val="auto"/>
              </w:rPr>
              <w:t>Unbilled revenue</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173,649</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146,163</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30,935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17,491</w:t>
            </w:r>
          </w:p>
        </w:tc>
      </w:tr>
      <w:tr>
        <w:trPr>
          <w:trHeight w:val="213"/>
        </w:trPr>
        <w:tc>
          <w:tcPr>
            <w:tcW w:w="8740" w:type="dxa"/>
            <w:vAlign w:val="bottom"/>
          </w:tcPr>
          <w:p>
            <w:pPr>
              <w:ind w:left="280"/>
              <w:spacing w:after="0"/>
              <w:rPr>
                <w:sz w:val="20"/>
                <w:szCs w:val="20"/>
                <w:color w:val="auto"/>
              </w:rPr>
            </w:pPr>
            <w:r>
              <w:rPr>
                <w:rFonts w:ascii="Arial" w:cs="Arial" w:eastAsia="Arial" w:hAnsi="Arial"/>
                <w:sz w:val="18"/>
                <w:szCs w:val="18"/>
                <w:color w:val="auto"/>
              </w:rPr>
              <w:t>Deferred tax asset (Note 13)</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24,716</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Prepayments and other current 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37,822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28,465</w:t>
            </w:r>
          </w:p>
        </w:tc>
      </w:tr>
      <w:tr>
        <w:trPr>
          <w:trHeight w:val="219"/>
        </w:trPr>
        <w:tc>
          <w:tcPr>
            <w:tcW w:w="87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Income taxes receivable (Note 13)</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22,961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15,716</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864,433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819,507</w:t>
            </w:r>
          </w:p>
        </w:tc>
      </w:tr>
      <w:tr>
        <w:trPr>
          <w:trHeight w:val="213"/>
        </w:trPr>
        <w:tc>
          <w:tcPr>
            <w:tcW w:w="874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 (Note 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150,218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148,185</w:t>
            </w:r>
          </w:p>
        </w:tc>
      </w:tr>
      <w:tr>
        <w:trPr>
          <w:trHeight w:val="213"/>
        </w:trPr>
        <w:tc>
          <w:tcPr>
            <w:tcW w:w="8740" w:type="dxa"/>
            <w:vAlign w:val="bottom"/>
          </w:tcPr>
          <w:p>
            <w:pPr>
              <w:ind w:left="280"/>
              <w:spacing w:after="0"/>
              <w:rPr>
                <w:sz w:val="20"/>
                <w:szCs w:val="20"/>
                <w:color w:val="auto"/>
              </w:rPr>
            </w:pPr>
            <w:r>
              <w:rPr>
                <w:rFonts w:ascii="Arial" w:cs="Arial" w:eastAsia="Arial" w:hAnsi="Arial"/>
                <w:sz w:val="18"/>
                <w:szCs w:val="18"/>
                <w:color w:val="auto"/>
              </w:rPr>
              <w:t>Goodwill (Note 4)</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588,434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463,324</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Non-current other 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11,591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11,583</w:t>
            </w:r>
          </w:p>
        </w:tc>
      </w:tr>
      <w:tr>
        <w:trPr>
          <w:trHeight w:val="213"/>
        </w:trPr>
        <w:tc>
          <w:tcPr>
            <w:tcW w:w="8740" w:type="dxa"/>
            <w:vAlign w:val="bottom"/>
          </w:tcPr>
          <w:p>
            <w:pPr>
              <w:ind w:left="280"/>
              <w:spacing w:after="0"/>
              <w:rPr>
                <w:sz w:val="20"/>
                <w:szCs w:val="20"/>
                <w:color w:val="auto"/>
              </w:rPr>
            </w:pPr>
            <w:r>
              <w:rPr>
                <w:rFonts w:ascii="Arial" w:cs="Arial" w:eastAsia="Arial" w:hAnsi="Arial"/>
                <w:sz w:val="18"/>
                <w:szCs w:val="18"/>
                <w:color w:val="auto"/>
              </w:rPr>
              <w:t>Non-current income taxes receivable (Note 13)</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11,362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15,060</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Non-current deferred tax asset (Note 13)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26,738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21,472</w:t>
            </w:r>
          </w:p>
        </w:tc>
      </w:tr>
      <w:tr>
        <w:trPr>
          <w:trHeight w:val="219"/>
        </w:trPr>
        <w:tc>
          <w:tcPr>
            <w:tcW w:w="87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Intangible assets (Note 5)</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66,127</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49,719</w:t>
            </w:r>
          </w:p>
        </w:tc>
      </w:tr>
      <w:tr>
        <w:trPr>
          <w:trHeight w:val="253"/>
        </w:trPr>
        <w:tc>
          <w:tcPr>
            <w:tcW w:w="8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1,718,903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1,528,850</w:t>
            </w:r>
          </w:p>
        </w:tc>
      </w:tr>
      <w:tr>
        <w:trPr>
          <w:trHeight w:val="206"/>
        </w:trPr>
        <w:tc>
          <w:tcPr>
            <w:tcW w:w="8740" w:type="dxa"/>
            <w:vAlign w:val="bottom"/>
          </w:tcPr>
          <w:p>
            <w:pPr>
              <w:spacing w:after="0" w:line="20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3"/>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7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7,021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2,793</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on account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318,697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280,097</w:t>
            </w:r>
          </w:p>
        </w:tc>
      </w:tr>
      <w:tr>
        <w:trPr>
          <w:trHeight w:val="213"/>
        </w:trPr>
        <w:tc>
          <w:tcPr>
            <w:tcW w:w="8740" w:type="dxa"/>
            <w:vAlign w:val="bottom"/>
          </w:tcPr>
          <w:p>
            <w:pPr>
              <w:ind w:left="280"/>
              <w:spacing w:after="0"/>
              <w:rPr>
                <w:sz w:val="20"/>
                <w:szCs w:val="20"/>
                <w:color w:val="auto"/>
              </w:rPr>
            </w:pPr>
            <w:r>
              <w:rPr>
                <w:rFonts w:ascii="Arial" w:cs="Arial" w:eastAsia="Arial" w:hAnsi="Arial"/>
                <w:sz w:val="18"/>
                <w:szCs w:val="18"/>
                <w:color w:val="auto"/>
              </w:rPr>
              <w:t>Other liabilities (Note 7)</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231,879</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251,091</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tax liability (Note 13)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r>
      <w:tr>
        <w:trPr>
          <w:trHeight w:val="219"/>
        </w:trPr>
        <w:tc>
          <w:tcPr>
            <w:tcW w:w="87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Income taxes payable (Note 13)</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14,203</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4,149</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571,800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538,359</w:t>
            </w:r>
          </w:p>
        </w:tc>
      </w:tr>
      <w:tr>
        <w:trPr>
          <w:trHeight w:val="213"/>
        </w:trPr>
        <w:tc>
          <w:tcPr>
            <w:tcW w:w="874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Non-current bank credit lines and loan facilities (Note 20)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8740" w:type="dxa"/>
            <w:vAlign w:val="bottom"/>
          </w:tcPr>
          <w:p>
            <w:pPr>
              <w:ind w:left="280"/>
              <w:spacing w:after="0"/>
              <w:rPr>
                <w:sz w:val="20"/>
                <w:szCs w:val="20"/>
                <w:color w:val="auto"/>
              </w:rPr>
            </w:pPr>
            <w:r>
              <w:rPr>
                <w:rFonts w:ascii="Arial" w:cs="Arial" w:eastAsia="Arial" w:hAnsi="Arial"/>
                <w:sz w:val="18"/>
                <w:szCs w:val="18"/>
                <w:color w:val="auto"/>
              </w:rPr>
              <w:t>Non-current other liabilities (Note 8)</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12,224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13,179</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Non-current government grants (Note 11)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r>
      <w:tr>
        <w:trPr>
          <w:trHeight w:val="213"/>
        </w:trPr>
        <w:tc>
          <w:tcPr>
            <w:tcW w:w="8740" w:type="dxa"/>
            <w:vAlign w:val="bottom"/>
          </w:tcPr>
          <w:p>
            <w:pPr>
              <w:ind w:left="280"/>
              <w:spacing w:after="0"/>
              <w:rPr>
                <w:sz w:val="20"/>
                <w:szCs w:val="20"/>
                <w:color w:val="auto"/>
              </w:rPr>
            </w:pPr>
            <w:r>
              <w:rPr>
                <w:rFonts w:ascii="Arial" w:cs="Arial" w:eastAsia="Arial" w:hAnsi="Arial"/>
                <w:sz w:val="18"/>
                <w:szCs w:val="18"/>
                <w:color w:val="auto"/>
              </w:rPr>
              <w:t>Non-current income taxes payable (Note 13)</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16,180</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12,389</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Non-current deferred tax liability (Note 13)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4,644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13,601</w:t>
            </w:r>
          </w:p>
        </w:tc>
      </w:tr>
      <w:tr>
        <w:trPr>
          <w:trHeight w:val="213"/>
        </w:trPr>
        <w:tc>
          <w:tcPr>
            <w:tcW w:w="874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0"/>
        </w:trPr>
        <w:tc>
          <w:tcPr>
            <w:tcW w:w="87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Ordinary shares, par value 6 euro cents per share;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5"/>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100,000,000 shares authorized, (Note 12)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0"/>
        </w:trPr>
        <w:tc>
          <w:tcPr>
            <w:tcW w:w="8740" w:type="dxa"/>
            <w:vAlign w:val="bottom"/>
          </w:tcPr>
          <w:p>
            <w:pPr>
              <w:ind w:left="280"/>
              <w:spacing w:after="0" w:line="201" w:lineRule="exact"/>
              <w:rPr>
                <w:sz w:val="20"/>
                <w:szCs w:val="20"/>
                <w:color w:val="auto"/>
              </w:rPr>
            </w:pPr>
            <w:r>
              <w:rPr>
                <w:rFonts w:ascii="Arial" w:cs="Arial" w:eastAsia="Arial" w:hAnsi="Arial"/>
                <w:sz w:val="18"/>
                <w:szCs w:val="18"/>
                <w:color w:val="auto"/>
                <w:w w:val="91"/>
              </w:rPr>
              <w:t>54,958,912 shares issued and outstanding at December 31, 2015 and 60,106,780 shares issued and outstanding at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4"/>
        </w:trPr>
        <w:tc>
          <w:tcPr>
            <w:tcW w:w="8740" w:type="dxa"/>
            <w:vAlign w:val="bottom"/>
          </w:tcPr>
          <w:p>
            <w:pPr>
              <w:ind w:left="280"/>
              <w:spacing w:after="0"/>
              <w:rPr>
                <w:sz w:val="20"/>
                <w:szCs w:val="20"/>
                <w:color w:val="auto"/>
              </w:rPr>
            </w:pPr>
            <w:r>
              <w:rPr>
                <w:rFonts w:ascii="Arial" w:cs="Arial" w:eastAsia="Arial" w:hAnsi="Arial"/>
                <w:sz w:val="18"/>
                <w:szCs w:val="18"/>
                <w:color w:val="auto"/>
              </w:rPr>
              <w:t>December 31, 2014.</w:t>
            </w:r>
          </w:p>
        </w:tc>
        <w:tc>
          <w:tcPr>
            <w:tcW w:w="16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4,679</w:t>
            </w:r>
          </w:p>
        </w:tc>
        <w:tc>
          <w:tcPr>
            <w:tcW w:w="18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5,037</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383,395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327,234</w:t>
            </w:r>
          </w:p>
        </w:tc>
      </w:tr>
      <w:tr>
        <w:trPr>
          <w:trHeight w:val="213"/>
        </w:trPr>
        <w:tc>
          <w:tcPr>
            <w:tcW w:w="8740" w:type="dxa"/>
            <w:vAlign w:val="bottom"/>
          </w:tcPr>
          <w:p>
            <w:pPr>
              <w:ind w:left="280"/>
              <w:spacing w:after="0"/>
              <w:rPr>
                <w:sz w:val="20"/>
                <w:szCs w:val="20"/>
                <w:color w:val="auto"/>
              </w:rPr>
            </w:pPr>
            <w:r>
              <w:rPr>
                <w:rFonts w:ascii="Arial" w:cs="Arial" w:eastAsia="Arial" w:hAnsi="Arial"/>
                <w:sz w:val="18"/>
                <w:szCs w:val="18"/>
                <w:color w:val="auto"/>
              </w:rPr>
              <w:t>Capital redemption reserve (Note 12 (a))</w:t>
            </w:r>
          </w:p>
        </w:tc>
        <w:tc>
          <w:tcPr>
            <w:tcW w:w="1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305</w:t>
            </w:r>
          </w:p>
        </w:tc>
      </w:tr>
      <w:tr>
        <w:trPr>
          <w:trHeight w:val="213"/>
        </w:trPr>
        <w:tc>
          <w:tcPr>
            <w:tcW w:w="8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(Note 19)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(37,555)</w:t>
            </w:r>
          </w:p>
        </w:tc>
      </w:tr>
      <w:tr>
        <w:trPr>
          <w:trHeight w:val="219"/>
        </w:trPr>
        <w:tc>
          <w:tcPr>
            <w:tcW w:w="87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435,943</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655,185</w:t>
            </w:r>
          </w:p>
        </w:tc>
      </w:tr>
      <w:tr>
        <w:trPr>
          <w:trHeight w:val="219"/>
        </w:trPr>
        <w:tc>
          <w:tcPr>
            <w:tcW w:w="8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763,096</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950,206</w:t>
            </w:r>
          </w:p>
        </w:tc>
      </w:tr>
      <w:tr>
        <w:trPr>
          <w:trHeight w:val="213"/>
        </w:trPr>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1,718,903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1,528,850</w:t>
            </w:r>
          </w:p>
        </w:tc>
      </w:tr>
      <w:tr>
        <w:trPr>
          <w:trHeight w:val="20"/>
        </w:trPr>
        <w:tc>
          <w:tcPr>
            <w:tcW w:w="89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900" w:type="dxa"/>
            <w:vAlign w:val="bottom"/>
            <w:gridSpan w:val="2"/>
          </w:tcPr>
          <w:p>
            <w:pPr>
              <w:ind w:left="262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586"/>
        </w:trPr>
        <w:tc>
          <w:tcPr>
            <w:tcW w:w="8740" w:type="dxa"/>
            <w:vAlign w:val="bottom"/>
          </w:tcPr>
          <w:p>
            <w:pPr>
              <w:ind w:left="562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87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91"/>
              <w:spacing w:after="0" w:line="189" w:lineRule="exact"/>
              <w:rPr>
                <w:sz w:val="20"/>
                <w:szCs w:val="20"/>
                <w:color w:val="auto"/>
              </w:rPr>
            </w:pPr>
            <w:r>
              <w:rPr>
                <w:rFonts w:ascii="Arial" w:cs="Arial" w:eastAsia="Arial" w:hAnsi="Arial"/>
                <w:sz w:val="18"/>
                <w:szCs w:val="18"/>
                <w:b w:val="1"/>
                <w:bCs w:val="1"/>
                <w:color w:val="auto"/>
                <w:w w:val="90"/>
              </w:rPr>
              <w:t>Year Ended</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30"/>
        </w:trPr>
        <w:tc>
          <w:tcPr>
            <w:tcW w:w="5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5"/>
        </w:trPr>
        <w:tc>
          <w:tcPr>
            <w:tcW w:w="5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4"/>
                <w:szCs w:val="24"/>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433"/>
        </w:trPr>
        <w:tc>
          <w:tcPr>
            <w:tcW w:w="5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center"/>
              <w:ind w:right="131"/>
              <w:spacing w:after="0"/>
              <w:rPr>
                <w:sz w:val="20"/>
                <w:szCs w:val="20"/>
                <w:color w:val="auto"/>
              </w:rPr>
            </w:pPr>
            <w:r>
              <w:rPr>
                <w:rFonts w:ascii="Arial" w:cs="Arial" w:eastAsia="Arial" w:hAnsi="Arial"/>
                <w:sz w:val="18"/>
                <w:szCs w:val="18"/>
                <w:b w:val="1"/>
                <w:bCs w:val="1"/>
                <w:color w:val="auto"/>
                <w:w w:val="87"/>
              </w:rPr>
              <w:t>(in thousands, except share and per share data)</w:t>
            </w:r>
          </w:p>
        </w:tc>
      </w:tr>
      <w:tr>
        <w:trPr>
          <w:trHeight w:val="213"/>
        </w:trPr>
        <w:tc>
          <w:tcPr>
            <w:tcW w:w="5760" w:type="dxa"/>
            <w:vAlign w:val="bottom"/>
          </w:tcPr>
          <w:p>
            <w:pPr>
              <w:spacing w:after="0"/>
              <w:rPr>
                <w:sz w:val="20"/>
                <w:szCs w:val="20"/>
                <w:color w:val="auto"/>
              </w:rPr>
            </w:pPr>
            <w:r>
              <w:rPr>
                <w:rFonts w:ascii="Arial" w:cs="Arial" w:eastAsia="Arial" w:hAnsi="Arial"/>
                <w:sz w:val="18"/>
                <w:szCs w:val="18"/>
                <w:color w:val="auto"/>
              </w:rPr>
              <w:t>Revenue:</w:t>
            </w: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revenue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2,161,618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2,030,286</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1,784,345</w:t>
            </w:r>
          </w:p>
        </w:tc>
      </w:tr>
      <w:tr>
        <w:trPr>
          <w:trHeight w:val="219"/>
        </w:trPr>
        <w:tc>
          <w:tcPr>
            <w:tcW w:w="5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Reimbursable expenses</w:t>
            </w:r>
          </w:p>
        </w:tc>
        <w:tc>
          <w:tcPr>
            <w:tcW w:w="1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(586,640)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(526,970)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(448,287)</w:t>
            </w:r>
          </w:p>
        </w:tc>
      </w:tr>
      <w:tr>
        <w:trPr>
          <w:trHeight w:val="213"/>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revenue</w:t>
            </w: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1,574,978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1,503,316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1,336,058</w:t>
            </w:r>
          </w:p>
        </w:tc>
      </w:tr>
      <w:tr>
        <w:trPr>
          <w:trHeight w:val="425"/>
        </w:trPr>
        <w:tc>
          <w:tcPr>
            <w:tcW w:w="5760" w:type="dxa"/>
            <w:vAlign w:val="bottom"/>
          </w:tcPr>
          <w:p>
            <w:pPr>
              <w:spacing w:after="0"/>
              <w:rPr>
                <w:sz w:val="20"/>
                <w:szCs w:val="20"/>
                <w:color w:val="auto"/>
              </w:rPr>
            </w:pPr>
            <w:r>
              <w:rPr>
                <w:rFonts w:ascii="Arial" w:cs="Arial" w:eastAsia="Arial" w:hAnsi="Arial"/>
                <w:sz w:val="18"/>
                <w:szCs w:val="18"/>
                <w:color w:val="auto"/>
              </w:rPr>
              <w:t>Costs and expenses:</w:t>
            </w: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3"/>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 costs</w:t>
            </w: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908,979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903,167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845,413</w:t>
            </w:r>
          </w:p>
        </w:tc>
      </w:tr>
      <w:tr>
        <w:trPr>
          <w:trHeight w:val="213"/>
        </w:trPr>
        <w:tc>
          <w:tcPr>
            <w:tcW w:w="576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326,786</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336,461</w:t>
            </w:r>
          </w:p>
        </w:tc>
        <w:tc>
          <w:tcPr>
            <w:tcW w:w="3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313,931</w:t>
            </w:r>
          </w:p>
        </w:tc>
      </w:tr>
      <w:tr>
        <w:trPr>
          <w:trHeight w:val="213"/>
        </w:trPr>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57,677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52,542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46,514</w:t>
            </w:r>
          </w:p>
        </w:tc>
      </w:tr>
      <w:tr>
        <w:trPr>
          <w:trHeight w:val="219"/>
        </w:trPr>
        <w:tc>
          <w:tcPr>
            <w:tcW w:w="57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Restructuring and other items, net (Note 14)</w:t>
            </w:r>
          </w:p>
        </w:tc>
        <w:tc>
          <w:tcPr>
            <w:tcW w:w="1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8,796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9,033</w:t>
            </w:r>
          </w:p>
        </w:tc>
      </w:tr>
      <w:tr>
        <w:trPr>
          <w:trHeight w:val="219"/>
        </w:trPr>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1,293,442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1,300,966</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1,214,891</w:t>
            </w:r>
          </w:p>
        </w:tc>
      </w:tr>
      <w:tr>
        <w:trPr>
          <w:trHeight w:val="213"/>
        </w:trPr>
        <w:tc>
          <w:tcPr>
            <w:tcW w:w="5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281,536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202,350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121,167</w:t>
            </w:r>
          </w:p>
        </w:tc>
      </w:tr>
      <w:tr>
        <w:trPr>
          <w:trHeight w:val="213"/>
        </w:trPr>
        <w:tc>
          <w:tcPr>
            <w:tcW w:w="5760" w:type="dxa"/>
            <w:vAlign w:val="bottom"/>
          </w:tcPr>
          <w:p>
            <w:pPr>
              <w:spacing w:after="0"/>
              <w:rPr>
                <w:sz w:val="20"/>
                <w:szCs w:val="20"/>
                <w:color w:val="auto"/>
              </w:rPr>
            </w:pPr>
            <w:r>
              <w:rPr>
                <w:rFonts w:ascii="Arial" w:cs="Arial" w:eastAsia="Arial" w:hAnsi="Arial"/>
                <w:sz w:val="18"/>
                <w:szCs w:val="18"/>
                <w:color w:val="auto"/>
              </w:rPr>
              <w:t>Interest income</w:t>
            </w:r>
          </w:p>
        </w:tc>
        <w:tc>
          <w:tcPr>
            <w:tcW w:w="180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1,306</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1,151</w:t>
            </w:r>
          </w:p>
        </w:tc>
        <w:tc>
          <w:tcPr>
            <w:tcW w:w="3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986</w:t>
            </w:r>
          </w:p>
        </w:tc>
      </w:tr>
      <w:tr>
        <w:trPr>
          <w:trHeight w:val="219"/>
        </w:trPr>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13"/>
        </w:trPr>
        <w:tc>
          <w:tcPr>
            <w:tcW w:w="5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278,850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202,716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120,865</w:t>
            </w:r>
          </w:p>
        </w:tc>
      </w:tr>
      <w:tr>
        <w:trPr>
          <w:trHeight w:val="219"/>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 (Note 13)</w:t>
            </w:r>
          </w:p>
        </w:tc>
        <w:tc>
          <w:tcPr>
            <w:tcW w:w="1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(18,053)</w:t>
            </w:r>
          </w:p>
        </w:tc>
      </w:tr>
      <w:tr>
        <w:trPr>
          <w:trHeight w:val="213"/>
        </w:trPr>
        <w:tc>
          <w:tcPr>
            <w:tcW w:w="57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239,539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172,468</w:t>
            </w:r>
          </w:p>
        </w:tc>
        <w:tc>
          <w:tcPr>
            <w:tcW w:w="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102,812</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6"/>
        </w:trPr>
        <w:tc>
          <w:tcPr>
            <w:tcW w:w="57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8"/>
                <w:szCs w:val="18"/>
                <w:color w:val="auto"/>
              </w:rPr>
              <w:t>Net income per ordinary share:</w:t>
            </w: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3"/>
        </w:trPr>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r>
      <w:tr>
        <w:trPr>
          <w:trHeight w:val="206"/>
        </w:trPr>
        <w:tc>
          <w:tcPr>
            <w:tcW w:w="5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3"/>
        </w:trPr>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2.73</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r>
      <w:tr>
        <w:trPr>
          <w:trHeight w:val="206"/>
        </w:trPr>
        <w:tc>
          <w:tcPr>
            <w:tcW w:w="5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(Note 2 (u))</w:t>
            </w:r>
          </w:p>
        </w:tc>
        <w:tc>
          <w:tcPr>
            <w:tcW w:w="1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58,746,935</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61,496,115</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60,907,274</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6"/>
        </w:trPr>
        <w:tc>
          <w:tcPr>
            <w:tcW w:w="57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(Note 2 (u))</w:t>
            </w:r>
          </w:p>
        </w:tc>
        <w:tc>
          <w:tcPr>
            <w:tcW w:w="1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60,290,033</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63,131,417</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62,253,251</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91"/>
              <w:spacing w:after="0"/>
              <w:rPr>
                <w:sz w:val="20"/>
                <w:szCs w:val="20"/>
                <w:color w:val="auto"/>
              </w:rPr>
            </w:pPr>
            <w:r>
              <w:rPr>
                <w:rFonts w:ascii="Arial" w:cs="Arial" w:eastAsia="Arial" w:hAnsi="Arial"/>
                <w:sz w:val="18"/>
                <w:szCs w:val="18"/>
                <w:b w:val="1"/>
                <w:bCs w:val="1"/>
                <w:color w:val="auto"/>
                <w:w w:val="90"/>
              </w:rPr>
              <w:t>Year Ended</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3"/>
        </w:trPr>
        <w:tc>
          <w:tcPr>
            <w:tcW w:w="5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5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2013</w:t>
            </w:r>
          </w:p>
        </w:tc>
      </w:tr>
      <w:tr>
        <w:trPr>
          <w:trHeight w:val="387"/>
        </w:trPr>
        <w:tc>
          <w:tcPr>
            <w:tcW w:w="5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7"/>
              </w:rPr>
              <w:t>(in thousands, except share and per share data)</w:t>
            </w:r>
          </w:p>
        </w:tc>
      </w:tr>
      <w:tr>
        <w:trPr>
          <w:trHeight w:val="232"/>
        </w:trPr>
        <w:tc>
          <w:tcPr>
            <w:tcW w:w="5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1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239,539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172,468</w:t>
            </w:r>
          </w:p>
        </w:tc>
        <w:tc>
          <w:tcPr>
            <w:tcW w:w="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102,812</w:t>
            </w:r>
          </w:p>
        </w:tc>
      </w:tr>
      <w:tr>
        <w:trPr>
          <w:trHeight w:val="213"/>
        </w:trPr>
        <w:tc>
          <w:tcPr>
            <w:tcW w:w="55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(35,105)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(45,038)</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10,725</w:t>
            </w:r>
          </w:p>
        </w:tc>
      </w:tr>
      <w:tr>
        <w:trPr>
          <w:trHeight w:val="213"/>
        </w:trPr>
        <w:tc>
          <w:tcPr>
            <w:tcW w:w="5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Currency impact of long-term funding</w:t>
            </w:r>
          </w:p>
        </w:tc>
        <w:tc>
          <w:tcPr>
            <w:tcW w:w="20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7,342</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9,806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w:t>
            </w:r>
          </w:p>
        </w:tc>
      </w:tr>
      <w:tr>
        <w:trPr>
          <w:trHeight w:val="213"/>
        </w:trPr>
        <w:tc>
          <w:tcPr>
            <w:tcW w:w="5580" w:type="dxa"/>
            <w:vAlign w:val="bottom"/>
          </w:tcPr>
          <w:p>
            <w:pPr>
              <w:spacing w:after="0"/>
              <w:rPr>
                <w:sz w:val="20"/>
                <w:szCs w:val="20"/>
                <w:color w:val="auto"/>
              </w:rPr>
            </w:pPr>
            <w:r>
              <w:rPr>
                <w:rFonts w:ascii="Arial" w:cs="Arial" w:eastAsia="Arial" w:hAnsi="Arial"/>
                <w:sz w:val="18"/>
                <w:szCs w:val="18"/>
                <w:color w:val="auto"/>
              </w:rPr>
              <w:t>Tax on currency impact of long term funding</w:t>
            </w:r>
          </w:p>
        </w:tc>
        <w:tc>
          <w:tcPr>
            <w:tcW w:w="2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1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Unrealized capital (loss)/gain – investments</w:t>
            </w:r>
          </w:p>
        </w:tc>
        <w:tc>
          <w:tcPr>
            <w:tcW w:w="20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r>
      <w:tr>
        <w:trPr>
          <w:trHeight w:val="213"/>
        </w:trPr>
        <w:tc>
          <w:tcPr>
            <w:tcW w:w="5580" w:type="dxa"/>
            <w:vAlign w:val="bottom"/>
          </w:tcPr>
          <w:p>
            <w:pPr>
              <w:spacing w:after="0"/>
              <w:rPr>
                <w:sz w:val="20"/>
                <w:szCs w:val="20"/>
                <w:color w:val="auto"/>
              </w:rPr>
            </w:pPr>
            <w:r>
              <w:rPr>
                <w:rFonts w:ascii="Arial" w:cs="Arial" w:eastAsia="Arial" w:hAnsi="Arial"/>
                <w:sz w:val="18"/>
                <w:szCs w:val="18"/>
                <w:color w:val="auto"/>
              </w:rPr>
              <w:t>Actuarial gain/(loss) on defined benefit pension plan</w:t>
            </w:r>
          </w:p>
        </w:tc>
        <w:tc>
          <w:tcPr>
            <w:tcW w:w="20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2,693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(4,125)</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1,383</w:t>
            </w:r>
          </w:p>
        </w:tc>
      </w:tr>
      <w:tr>
        <w:trPr>
          <w:trHeight w:val="219"/>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on interest rate hedge</w:t>
            </w:r>
          </w:p>
        </w:tc>
        <w:tc>
          <w:tcPr>
            <w:tcW w:w="20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4,617</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5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3"/>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215,458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132,953</w:t>
            </w:r>
          </w:p>
        </w:tc>
        <w:tc>
          <w:tcPr>
            <w:tcW w:w="4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113,548</w:t>
            </w: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700" w:type="dxa"/>
            <w:vAlign w:val="bottom"/>
            <w:gridSpan w:val="6"/>
          </w:tcPr>
          <w:p>
            <w:pPr>
              <w:jc w:val="right"/>
              <w:ind w:right="11"/>
              <w:spacing w:after="0"/>
              <w:rPr>
                <w:sz w:val="20"/>
                <w:szCs w:val="20"/>
                <w:color w:val="auto"/>
              </w:rPr>
            </w:pPr>
            <w:r>
              <w:rPr>
                <w:rFonts w:ascii="Arial" w:cs="Arial" w:eastAsia="Arial" w:hAnsi="Arial"/>
                <w:sz w:val="18"/>
                <w:szCs w:val="18"/>
                <w:b w:val="1"/>
                <w:bCs w:val="1"/>
                <w:color w:val="auto"/>
                <w:w w:val="87"/>
              </w:rPr>
              <w:t>(in thousands, except share and per share data)</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7"/>
        </w:trPr>
        <w:tc>
          <w:tcPr>
            <w:tcW w:w="2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91"/>
              </w:rPr>
              <w:t>Accumulated</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3"/>
        </w:trPr>
        <w:tc>
          <w:tcPr>
            <w:tcW w:w="2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w w:val="95"/>
              </w:rPr>
              <w:t>Additional</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3"/>
        </w:trPr>
        <w:tc>
          <w:tcPr>
            <w:tcW w:w="2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Paid-in</w:t>
            </w:r>
          </w:p>
        </w:tc>
        <w:tc>
          <w:tcPr>
            <w:tcW w:w="120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Redemption</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2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b w:val="1"/>
                <w:bCs w:val="1"/>
                <w:color w:val="auto"/>
              </w:rPr>
              <w:t>Retained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2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Shares</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Capital</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Reserve</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Income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Earnings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1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2012</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60,287,498</w:t>
            </w:r>
          </w:p>
        </w:tc>
        <w:tc>
          <w:tcPr>
            <w:tcW w:w="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237,217</w:t>
            </w:r>
          </w:p>
        </w:tc>
        <w:tc>
          <w:tcPr>
            <w:tcW w:w="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(8,776)</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520,967</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754,575</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102,812</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102,812</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10,725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10,725</w:t>
            </w:r>
          </w:p>
        </w:tc>
      </w:tr>
      <w:tr>
        <w:trPr>
          <w:trHeight w:val="200"/>
        </w:trPr>
        <w:tc>
          <w:tcPr>
            <w:tcW w:w="2800" w:type="dxa"/>
            <w:vAlign w:val="bottom"/>
          </w:tcPr>
          <w:p>
            <w:pPr>
              <w:spacing w:after="0" w:line="201" w:lineRule="exact"/>
              <w:rPr>
                <w:sz w:val="20"/>
                <w:szCs w:val="20"/>
                <w:color w:val="auto"/>
              </w:rPr>
            </w:pPr>
            <w:r>
              <w:rPr>
                <w:rFonts w:ascii="Arial" w:cs="Arial" w:eastAsia="Arial" w:hAnsi="Arial"/>
                <w:sz w:val="18"/>
                <w:szCs w:val="18"/>
                <w:color w:val="auto"/>
              </w:rPr>
              <w:t>Currency impact of long-term</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funding</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(1,046)</w:t>
            </w:r>
          </w:p>
        </w:tc>
        <w:tc>
          <w:tcPr>
            <w:tcW w:w="280" w:type="dxa"/>
            <w:vAlign w:val="bottom"/>
          </w:tcPr>
          <w:p>
            <w:pPr>
              <w:spacing w:after="0"/>
              <w:rPr>
                <w:sz w:val="19"/>
                <w:szCs w:val="19"/>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01"/>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Tax on currency impact of long-term</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5"/>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0"/>
        </w:trPr>
        <w:tc>
          <w:tcPr>
            <w:tcW w:w="2800" w:type="dxa"/>
            <w:vAlign w:val="bottom"/>
          </w:tcPr>
          <w:p>
            <w:pPr>
              <w:spacing w:after="0" w:line="201" w:lineRule="exact"/>
              <w:rPr>
                <w:sz w:val="20"/>
                <w:szCs w:val="20"/>
                <w:color w:val="auto"/>
              </w:rPr>
            </w:pPr>
            <w:r>
              <w:rPr>
                <w:rFonts w:ascii="Arial" w:cs="Arial" w:eastAsia="Arial" w:hAnsi="Arial"/>
                <w:sz w:val="18"/>
                <w:szCs w:val="18"/>
                <w:color w:val="auto"/>
              </w:rPr>
              <w:t>Unrealized capital gain -</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investments</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9"/>
                <w:szCs w:val="19"/>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01"/>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Actuarial gain on defined benefit</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2"/>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plan</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1,383</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1,383</w:t>
            </w: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113,548</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1,249,759</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26,888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26,989</w:t>
            </w: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 based compensation expense</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13,882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13,882</w:t>
            </w: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Share issue costs</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0"/>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tax benefit on exercise of</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2"/>
        </w:trPr>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1,651</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1,651</w:t>
            </w:r>
          </w:p>
        </w:tc>
      </w:tr>
      <w:tr>
        <w:trPr>
          <w:trHeight w:val="21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2013</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61,587,257</w:t>
            </w:r>
          </w:p>
        </w:tc>
        <w:tc>
          <w:tcPr>
            <w:tcW w:w="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5,168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279,572</w:t>
            </w:r>
          </w:p>
        </w:tc>
        <w:tc>
          <w:tcPr>
            <w:tcW w:w="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1,960</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623,779</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910,579</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172,468</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172,468</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(45,038)</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(45,038)</w:t>
            </w:r>
          </w:p>
        </w:tc>
      </w:tr>
      <w:tr>
        <w:trPr>
          <w:trHeight w:val="200"/>
        </w:trPr>
        <w:tc>
          <w:tcPr>
            <w:tcW w:w="2800" w:type="dxa"/>
            <w:vAlign w:val="bottom"/>
          </w:tcPr>
          <w:p>
            <w:pPr>
              <w:spacing w:after="0" w:line="201" w:lineRule="exact"/>
              <w:rPr>
                <w:sz w:val="20"/>
                <w:szCs w:val="20"/>
                <w:color w:val="auto"/>
              </w:rPr>
            </w:pPr>
            <w:r>
              <w:rPr>
                <w:rFonts w:ascii="Arial" w:cs="Arial" w:eastAsia="Arial" w:hAnsi="Arial"/>
                <w:sz w:val="18"/>
                <w:szCs w:val="18"/>
                <w:color w:val="auto"/>
              </w:rPr>
              <w:t>Currency impact of long-term</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funding</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9,806</w:t>
            </w:r>
          </w:p>
        </w:tc>
        <w:tc>
          <w:tcPr>
            <w:tcW w:w="280" w:type="dxa"/>
            <w:vAlign w:val="bottom"/>
          </w:tcPr>
          <w:p>
            <w:pPr>
              <w:spacing w:after="0"/>
              <w:rPr>
                <w:sz w:val="19"/>
                <w:szCs w:val="19"/>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9,806</w:t>
            </w:r>
          </w:p>
        </w:tc>
      </w:tr>
      <w:tr>
        <w:trPr>
          <w:trHeight w:val="201"/>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5"/>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term funding</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00"/>
        </w:trPr>
        <w:tc>
          <w:tcPr>
            <w:tcW w:w="2800" w:type="dxa"/>
            <w:vAlign w:val="bottom"/>
          </w:tcPr>
          <w:p>
            <w:pPr>
              <w:spacing w:after="0" w:line="201" w:lineRule="exact"/>
              <w:rPr>
                <w:sz w:val="20"/>
                <w:szCs w:val="20"/>
                <w:color w:val="auto"/>
              </w:rPr>
            </w:pPr>
            <w:r>
              <w:rPr>
                <w:rFonts w:ascii="Arial" w:cs="Arial" w:eastAsia="Arial" w:hAnsi="Arial"/>
                <w:sz w:val="18"/>
                <w:szCs w:val="18"/>
                <w:color w:val="auto"/>
              </w:rPr>
              <w:t>Unrealized capital gain -</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investments</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01"/>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Actuarial gain on defined benefit</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2"/>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plan</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132,953</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926,407</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22,182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22,256</w:t>
            </w: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233,726</w:t>
            </w:r>
          </w:p>
        </w:tc>
        <w:tc>
          <w:tcPr>
            <w:tcW w:w="38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 based compensation expense</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23,078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23,078</w:t>
            </w: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Share issue costs</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(2,640,610)</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(140,030)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(140,030)</w:t>
            </w:r>
          </w:p>
        </w:tc>
      </w:tr>
      <w:tr>
        <w:trPr>
          <w:trHeight w:val="213"/>
        </w:trPr>
        <w:tc>
          <w:tcPr>
            <w:tcW w:w="280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(1,032)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00"/>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tax benefit on exercise of</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2"/>
        </w:trPr>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2,404</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2,404</w:t>
            </w:r>
          </w:p>
        </w:tc>
      </w:tr>
      <w:tr>
        <w:trPr>
          <w:trHeight w:val="425"/>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 2014</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60,106,780</w:t>
            </w:r>
          </w:p>
        </w:tc>
        <w:tc>
          <w:tcPr>
            <w:tcW w:w="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327,234</w:t>
            </w:r>
          </w:p>
        </w:tc>
        <w:tc>
          <w:tcPr>
            <w:tcW w:w="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(37,555)</w:t>
            </w:r>
          </w:p>
        </w:tc>
        <w:tc>
          <w:tcPr>
            <w:tcW w:w="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655,185</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950,206</w:t>
            </w: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90"/>
        </w:trPr>
        <w:tc>
          <w:tcPr>
            <w:tcW w:w="2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511"/>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7"/>
        </w:trPr>
        <w:tc>
          <w:tcPr>
            <w:tcW w:w="28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AND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91"/>
              </w:rPr>
              <w:t>Accumulated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3"/>
        </w:trPr>
        <w:tc>
          <w:tcPr>
            <w:tcW w:w="2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w w:val="95"/>
              </w:rPr>
              <w:t>Additional</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3"/>
        </w:trPr>
        <w:tc>
          <w:tcPr>
            <w:tcW w:w="2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Paid-in</w:t>
            </w:r>
          </w:p>
        </w:tc>
        <w:tc>
          <w:tcPr>
            <w:tcW w:w="120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Redemption</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2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b w:val="1"/>
                <w:bCs w:val="1"/>
                <w:color w:val="auto"/>
              </w:rPr>
              <w:t>Retained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28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Shares</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Capital</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Reserve</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Income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Earnings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19"/>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60,106,780</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5,037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327,234</w:t>
            </w:r>
          </w:p>
        </w:tc>
        <w:tc>
          <w:tcPr>
            <w:tcW w:w="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655,185</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950,206</w:t>
            </w:r>
          </w:p>
        </w:tc>
      </w:tr>
      <w:tr>
        <w:trPr>
          <w:trHeight w:val="213"/>
        </w:trPr>
        <w:tc>
          <w:tcPr>
            <w:tcW w:w="2820" w:type="dxa"/>
            <w:vAlign w:val="bottom"/>
          </w:tcPr>
          <w:p>
            <w:pPr>
              <w:spacing w:after="0"/>
              <w:rPr>
                <w:sz w:val="20"/>
                <w:szCs w:val="20"/>
                <w:color w:val="auto"/>
              </w:rPr>
            </w:pPr>
            <w:r>
              <w:rPr>
                <w:rFonts w:ascii="Arial" w:cs="Arial" w:eastAsia="Arial" w:hAnsi="Arial"/>
                <w:sz w:val="18"/>
                <w:szCs w:val="18"/>
                <w:color w:val="auto"/>
              </w:rPr>
              <w:t>Comprehensive Income:</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239,539</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239,539</w:t>
            </w:r>
          </w:p>
        </w:tc>
      </w:tr>
      <w:tr>
        <w:trPr>
          <w:trHeight w:val="213"/>
        </w:trPr>
        <w:tc>
          <w:tcPr>
            <w:tcW w:w="28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(35,105)</w:t>
            </w:r>
          </w:p>
        </w:tc>
        <w:tc>
          <w:tcPr>
            <w:tcW w:w="2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(35,105)</w:t>
            </w:r>
          </w:p>
        </w:tc>
      </w:tr>
      <w:tr>
        <w:trPr>
          <w:trHeight w:val="200"/>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impact of long-term</w:t>
            </w: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5"/>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7,342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7,342</w:t>
            </w:r>
          </w:p>
        </w:tc>
      </w:tr>
      <w:tr>
        <w:trPr>
          <w:trHeight w:val="200"/>
        </w:trPr>
        <w:tc>
          <w:tcPr>
            <w:tcW w:w="2820" w:type="dxa"/>
            <w:vAlign w:val="bottom"/>
          </w:tcPr>
          <w:p>
            <w:pPr>
              <w:spacing w:after="0" w:line="201" w:lineRule="exact"/>
              <w:rPr>
                <w:sz w:val="20"/>
                <w:szCs w:val="20"/>
                <w:color w:val="auto"/>
              </w:rPr>
            </w:pPr>
            <w:r>
              <w:rPr>
                <w:rFonts w:ascii="Arial" w:cs="Arial" w:eastAsia="Arial" w:hAnsi="Arial"/>
                <w:sz w:val="18"/>
                <w:szCs w:val="18"/>
                <w:color w:val="auto"/>
                <w:w w:val="97"/>
              </w:rPr>
              <w:t>Tax on currency impact of long-term</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funding</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(3,574)</w:t>
            </w:r>
          </w:p>
        </w:tc>
        <w:tc>
          <w:tcPr>
            <w:tcW w:w="280" w:type="dxa"/>
            <w:vAlign w:val="bottom"/>
          </w:tcPr>
          <w:p>
            <w:pPr>
              <w:spacing w:after="0"/>
              <w:rPr>
                <w:sz w:val="19"/>
                <w:szCs w:val="19"/>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(3,574)</w:t>
            </w:r>
          </w:p>
        </w:tc>
      </w:tr>
      <w:tr>
        <w:trPr>
          <w:trHeight w:val="21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5"/>
              </w:rPr>
              <w:t>Unrealized capital loss - investments</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0"/>
        </w:trPr>
        <w:tc>
          <w:tcPr>
            <w:tcW w:w="2820" w:type="dxa"/>
            <w:vAlign w:val="bottom"/>
          </w:tcPr>
          <w:p>
            <w:pPr>
              <w:spacing w:after="0" w:line="201" w:lineRule="exact"/>
              <w:rPr>
                <w:sz w:val="20"/>
                <w:szCs w:val="20"/>
                <w:color w:val="auto"/>
              </w:rPr>
            </w:pPr>
            <w:r>
              <w:rPr>
                <w:rFonts w:ascii="Arial" w:cs="Arial" w:eastAsia="Arial" w:hAnsi="Arial"/>
                <w:sz w:val="18"/>
                <w:szCs w:val="18"/>
                <w:color w:val="auto"/>
              </w:rPr>
              <w:t>Actuarial gain on defined benefit</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pension plan</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2,693</w:t>
            </w:r>
          </w:p>
        </w:tc>
        <w:tc>
          <w:tcPr>
            <w:tcW w:w="280" w:type="dxa"/>
            <w:vAlign w:val="bottom"/>
          </w:tcPr>
          <w:p>
            <w:pPr>
              <w:spacing w:after="0"/>
              <w:rPr>
                <w:sz w:val="19"/>
                <w:szCs w:val="19"/>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2,693</w:t>
            </w:r>
          </w:p>
        </w:tc>
      </w:tr>
      <w:tr>
        <w:trPr>
          <w:trHeight w:val="220"/>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interest rate hedge</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4,617</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4,617</w:t>
            </w:r>
          </w:p>
        </w:tc>
      </w:tr>
      <w:tr>
        <w:trPr>
          <w:trHeight w:val="213"/>
        </w:trPr>
        <w:tc>
          <w:tcPr>
            <w:tcW w:w="28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215,458</w:t>
            </w:r>
          </w:p>
        </w:tc>
      </w:tr>
      <w:tr>
        <w:trPr>
          <w:trHeight w:val="21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773,753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20,929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20,981</w:t>
            </w:r>
          </w:p>
        </w:tc>
      </w:tr>
      <w:tr>
        <w:trPr>
          <w:trHeight w:val="200"/>
        </w:trPr>
        <w:tc>
          <w:tcPr>
            <w:tcW w:w="2820" w:type="dxa"/>
            <w:vAlign w:val="bottom"/>
          </w:tcPr>
          <w:p>
            <w:pPr>
              <w:spacing w:after="0" w:line="201" w:lineRule="exact"/>
              <w:rPr>
                <w:sz w:val="20"/>
                <w:szCs w:val="20"/>
                <w:color w:val="auto"/>
              </w:rPr>
            </w:pPr>
            <w:r>
              <w:rPr>
                <w:rFonts w:ascii="Arial" w:cs="Arial" w:eastAsia="Arial" w:hAnsi="Arial"/>
                <w:sz w:val="18"/>
                <w:szCs w:val="18"/>
                <w:color w:val="auto"/>
                <w:w w:val="93"/>
              </w:rPr>
              <w:t>Issue of restricted/performance share</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units</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276,860</w:t>
            </w:r>
          </w:p>
        </w:tc>
        <w:tc>
          <w:tcPr>
            <w:tcW w:w="34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1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 based compensation expense</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33,317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33,317</w:t>
            </w:r>
          </w:p>
        </w:tc>
      </w:tr>
      <w:tr>
        <w:trPr>
          <w:trHeight w:val="213"/>
        </w:trPr>
        <w:tc>
          <w:tcPr>
            <w:tcW w:w="2820" w:type="dxa"/>
            <w:vAlign w:val="bottom"/>
          </w:tcPr>
          <w:p>
            <w:pPr>
              <w:spacing w:after="0"/>
              <w:rPr>
                <w:sz w:val="20"/>
                <w:szCs w:val="20"/>
                <w:color w:val="auto"/>
              </w:rPr>
            </w:pPr>
            <w:r>
              <w:rPr>
                <w:rFonts w:ascii="Arial" w:cs="Arial" w:eastAsia="Arial" w:hAnsi="Arial"/>
                <w:sz w:val="18"/>
                <w:szCs w:val="18"/>
                <w:color w:val="auto"/>
              </w:rPr>
              <w:t>Share issue costs</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(6,198,481)</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(457,892)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(457,892)</w:t>
            </w:r>
          </w:p>
        </w:tc>
      </w:tr>
      <w:tr>
        <w:trPr>
          <w:trHeight w:val="213"/>
        </w:trPr>
        <w:tc>
          <w:tcPr>
            <w:tcW w:w="282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00"/>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tax benefit on exercise of</w:t>
            </w: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2"/>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1,905</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1,905</w:t>
            </w:r>
          </w:p>
        </w:tc>
      </w:tr>
      <w:tr>
        <w:trPr>
          <w:trHeight w:val="213"/>
        </w:trPr>
        <w:tc>
          <w:tcPr>
            <w:tcW w:w="2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3"/>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54,958,912</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4,679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383,395</w:t>
            </w:r>
          </w:p>
        </w:tc>
        <w:tc>
          <w:tcPr>
            <w:tcW w:w="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715</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(61,636)</w:t>
            </w: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435,943</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763,096</w:t>
            </w: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w w:val="89"/>
              </w:rPr>
              <w:t>December 31</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239,539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172,468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102,812</w:t>
            </w:r>
          </w:p>
        </w:tc>
        <w:tc>
          <w:tcPr>
            <w:tcW w:w="0" w:type="dxa"/>
            <w:vAlign w:val="bottom"/>
          </w:tcPr>
          <w:p>
            <w:pPr>
              <w:spacing w:after="0"/>
              <w:rPr>
                <w:sz w:val="1"/>
                <w:szCs w:val="1"/>
                <w:color w:val="auto"/>
              </w:rPr>
            </w:pPr>
          </w:p>
        </w:tc>
      </w:tr>
      <w:tr>
        <w:trPr>
          <w:trHeight w:val="200"/>
        </w:trPr>
        <w:tc>
          <w:tcPr>
            <w:tcW w:w="500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w:t>
            </w:r>
          </w:p>
        </w:tc>
        <w:tc>
          <w:tcPr>
            <w:tcW w:w="2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00" w:type="dxa"/>
            <w:vAlign w:val="bottom"/>
          </w:tcPr>
          <w:p>
            <w:pPr>
              <w:spacing w:after="0"/>
              <w:rPr>
                <w:sz w:val="20"/>
                <w:szCs w:val="20"/>
                <w:color w:val="auto"/>
              </w:rPr>
            </w:pPr>
            <w:r>
              <w:rPr>
                <w:rFonts w:ascii="Arial" w:cs="Arial" w:eastAsia="Arial" w:hAnsi="Arial"/>
                <w:sz w:val="18"/>
                <w:szCs w:val="18"/>
                <w:color w:val="auto"/>
              </w:rPr>
              <w:t>provided by operating activities:</w:t>
            </w:r>
          </w:p>
        </w:tc>
        <w:tc>
          <w:tcPr>
            <w:tcW w:w="2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3"/>
        </w:trPr>
        <w:tc>
          <w:tcPr>
            <w:tcW w:w="5000" w:type="dxa"/>
            <w:vAlign w:val="bottom"/>
          </w:tcPr>
          <w:p>
            <w:pPr>
              <w:ind w:left="400"/>
              <w:spacing w:after="0"/>
              <w:rPr>
                <w:sz w:val="20"/>
                <w:szCs w:val="20"/>
                <w:color w:val="auto"/>
              </w:rPr>
            </w:pPr>
            <w:r>
              <w:rPr>
                <w:rFonts w:ascii="Arial" w:cs="Arial" w:eastAsia="Arial" w:hAnsi="Arial"/>
                <w:sz w:val="18"/>
                <w:szCs w:val="18"/>
                <w:color w:val="auto"/>
              </w:rPr>
              <w:t>Depreciation expense</w:t>
            </w: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40,210</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42,200</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38,975</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17,467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10,342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Amortization of government grants</w:t>
            </w: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gain on interest rate hedge</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Stock compensation expense</w:t>
            </w: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33,317</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22,742</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14,220</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taxes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3,157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accounts receivable</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(37,538)</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Increase in unbilled revenue</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(29,281)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(13,671)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other receivables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Increase in prepayments and other current assets</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(8,631)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other non current assets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Increase/(decrease) in payments on account</w:t>
            </w: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34,644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(47,548)</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76,066</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(Decrease)/increase in other current liabilities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15,111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43,291</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Increase in other non current liabilities</w:t>
            </w: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6,378</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1,283</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Increase/(decrease) in income taxes payable</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3,021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Increase/(decrease) in accounts payable</w:t>
            </w:r>
          </w:p>
        </w:tc>
        <w:tc>
          <w:tcPr>
            <w:tcW w:w="2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3,124</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(11,006)</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279,531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169,948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221,227</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 of property, plant and equipment</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(29,488)</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Purchase of subsidiary undertakings and acquisition costs</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(166,292)</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(124,301)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(93,553)</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acquired with subsidiary undertaking</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3,527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Sale of short term investments</w:t>
            </w: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25,250</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102,565</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109,795</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Purchase of short term investments</w:t>
            </w:r>
          </w:p>
        </w:tc>
        <w:tc>
          <w:tcPr>
            <w:tcW w:w="2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(61,328)</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(172,168)</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(204,772)</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(112,316)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(184,375)</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Drawdown of credit lines and facilities</w:t>
            </w: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851,500</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Repayment of credit lines and facilities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(501,500)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Proceeds from the exercise of equity compensation</w:t>
            </w: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20,999</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22,274</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26,993</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 issuance costs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Excess tax benefit on exercise of equity compensation</w:t>
            </w:r>
          </w:p>
        </w:tc>
        <w:tc>
          <w:tcPr>
            <w:tcW w:w="25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1,905</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2,404</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 of ordinary shares</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(457,892)</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Share repurchase costs</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(1,032)</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Receipt of government grant</w:t>
            </w:r>
          </w:p>
        </w:tc>
        <w:tc>
          <w:tcPr>
            <w:tcW w:w="2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3"/>
        </w:trPr>
        <w:tc>
          <w:tcPr>
            <w:tcW w:w="5000" w:type="dxa"/>
            <w:vAlign w:val="bottom"/>
          </w:tcPr>
          <w:p>
            <w:pPr>
              <w:ind w:left="280"/>
              <w:spacing w:after="0"/>
              <w:rPr>
                <w:sz w:val="20"/>
                <w:szCs w:val="20"/>
                <w:color w:val="auto"/>
              </w:rPr>
            </w:pPr>
            <w:r>
              <w:rPr>
                <w:rFonts w:ascii="Arial" w:cs="Arial" w:eastAsia="Arial" w:hAnsi="Arial"/>
                <w:sz w:val="18"/>
                <w:szCs w:val="18"/>
                <w:color w:val="auto"/>
              </w:rPr>
              <w:t>Repayment of government grant</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Proceeds from interest rate hedge</w:t>
            </w:r>
          </w:p>
        </w:tc>
        <w:tc>
          <w:tcPr>
            <w:tcW w:w="2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4,658</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(81,386)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(116,404)</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28,799</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exchange rate movements on cash</w:t>
            </w:r>
          </w:p>
        </w:tc>
        <w:tc>
          <w:tcPr>
            <w:tcW w:w="2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2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(14,989)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(63,619)</w:t>
            </w: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68,472</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118,900</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182,519</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114,047</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103,911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118,900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182,519</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000" w:type="dxa"/>
            <w:vAlign w:val="bottom"/>
          </w:tcPr>
          <w:p>
            <w:pPr>
              <w:spacing w:after="0"/>
              <w:rPr>
                <w:sz w:val="24"/>
                <w:szCs w:val="24"/>
                <w:color w:val="auto"/>
              </w:rPr>
            </w:pPr>
          </w:p>
        </w:tc>
        <w:tc>
          <w:tcPr>
            <w:tcW w:w="2540" w:type="dxa"/>
            <w:vAlign w:val="bottom"/>
          </w:tcPr>
          <w:p>
            <w:pPr>
              <w:jc w:val="right"/>
              <w:ind w:right="1651"/>
              <w:spacing w:after="0"/>
              <w:rPr>
                <w:sz w:val="20"/>
                <w:szCs w:val="20"/>
                <w:color w:val="auto"/>
              </w:rPr>
            </w:pPr>
            <w:r>
              <w:rPr>
                <w:rFonts w:ascii="Arial" w:cs="Arial" w:eastAsia="Arial" w:hAnsi="Arial"/>
                <w:sz w:val="18"/>
                <w:szCs w:val="18"/>
                <w:color w:val="auto"/>
              </w:rPr>
              <w:t>89</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0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ICON plc and its subsidiaries (“the Company” or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vision is to be the Global CRO partner of choice in drug development by delivering best in class information, solutions and performance in clinical and outcomes research.</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2015 we had approximately 11,900 employees, in 90 locations in 37 countries. During the year ended December 31, 2015, we derived approximately 41.3%, 48.3% and 10.4% of our net revenue in the United States, Europe and Rest of World, respectively.</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011- 353-1- 291-2000.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accounting policies noted below were applied in the preparation of the accompanying financial statements of the Company and are in conformity with accounting principles generally accepted in the United States.</w:t>
      </w:r>
    </w:p>
    <w:p>
      <w:pPr>
        <w:spacing w:after="0" w:line="206" w:lineRule="exact"/>
        <w:rPr>
          <w:sz w:val="20"/>
          <w:szCs w:val="20"/>
          <w:color w:val="auto"/>
        </w:rPr>
      </w:pPr>
    </w:p>
    <w:p>
      <w:pPr>
        <w:ind w:left="700" w:hanging="69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200" w:lineRule="exact"/>
        <w:rPr>
          <w:sz w:val="20"/>
          <w:szCs w:val="20"/>
          <w:color w:val="auto"/>
        </w:rPr>
      </w:pPr>
    </w:p>
    <w:p>
      <w:pPr>
        <w:spacing w:after="0" w:line="254" w:lineRule="exact"/>
        <w:rPr>
          <w:sz w:val="20"/>
          <w:szCs w:val="20"/>
          <w:color w:val="auto"/>
        </w:rPr>
      </w:pPr>
    </w:p>
    <w:p>
      <w:pPr>
        <w:ind w:left="700" w:hanging="694"/>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principle management estimates and judgments used in preparing the financial statements relate to revenue recognition, taxation, goodwill and business combinations.</w:t>
      </w:r>
    </w:p>
    <w:p>
      <w:pPr>
        <w:spacing w:after="0" w:line="200" w:lineRule="exact"/>
        <w:rPr>
          <w:sz w:val="20"/>
          <w:szCs w:val="20"/>
          <w:color w:val="auto"/>
        </w:rPr>
      </w:pPr>
    </w:p>
    <w:p>
      <w:pPr>
        <w:spacing w:after="0" w:line="227" w:lineRule="exact"/>
        <w:rPr>
          <w:sz w:val="20"/>
          <w:szCs w:val="20"/>
          <w:color w:val="auto"/>
        </w:rPr>
      </w:pPr>
    </w:p>
    <w:p>
      <w:pPr>
        <w:ind w:left="740" w:hanging="689"/>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primarily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Contracts range in duration from a number of months to several years. Revenue for services, as rendered, is recognized only after persuasive evidence of an arrangement exists, the sales price is fixed or determinable and collectability is reasonably assured.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92" w:name="page93"/>
    <w:bookmarkEnd w:id="92"/>
    <w:p>
      <w:pPr>
        <w:jc w:val="both"/>
        <w:spacing w:after="0" w:line="283"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Company may routinely adjust time estimates, the Company’s estimates and assumptions historically have been accurate in all material respects in the aggregate. Where revenue is recognized on the unit of delivery method, the basis applied is the number of units completed as a percentage of the total number of contractual units.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Biometrics revenue is recognized on a fee-for-service method as each unit of data is prepared on the basis of the number of units completed in a period as a percentage of the total number of contracted units. Imaging revenue is recognized on a fee-for-service basis recognizing revenue for each image completed. Consulting revenue is recognized on a fee-for-service basis as each hour of the related service is performed. Contract staffing revenue is recognized on a fee-for-service basis, over the time the related service is performed, or in the case of permanent placement, once the candidate has been placed with the client. Informatics revenue is recognized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Laboratory service revenue is recognized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recognized on the basis of the number of deliverable units completed in the period.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Contracts generally contain provisions for renegotiation in the event of changes in the scope, nature, duration, or volume of services of the contract.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Renegotiated amounts are recognized as revenue by revision to the total contract value arising as a result of an authorised customer change order.</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difference between the amount of revenue recognized and the amount billed on a particular contract is included in the balance sheet as unbilled revenue or payments on account. Normally, amounts become billable upon the achievement of certain milestones, for example, target patient enrolment rates, clinical testing sites initiated or case report forms completed. Once the milestone target is reached, amounts become billable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the event of contract termination, if the value of work performed and recognized as revenue is greater than aggregate milestone billings at the date of termination, cancellation clauses usually ensure that the Company is paid for all work performed to the termination date.</w:t>
      </w:r>
    </w:p>
    <w:p>
      <w:pPr>
        <w:spacing w:after="0" w:line="206" w:lineRule="exact"/>
        <w:rPr>
          <w:sz w:val="20"/>
          <w:szCs w:val="20"/>
          <w:color w:val="auto"/>
        </w:rPr>
      </w:pPr>
    </w:p>
    <w:p>
      <w:pPr>
        <w:ind w:left="700" w:hanging="694"/>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Reimbursable expenses</w:t>
      </w:r>
    </w:p>
    <w:p>
      <w:pPr>
        <w:spacing w:after="0" w:line="245"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3" w:name="page94"/>
    <w:bookmarkEnd w:id="93"/>
    <w:p>
      <w:pPr>
        <w:ind w:left="700" w:hanging="69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 costs</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206" w:lineRule="exact"/>
        <w:rPr>
          <w:sz w:val="20"/>
          <w:szCs w:val="20"/>
          <w:color w:val="auto"/>
        </w:rPr>
      </w:pPr>
    </w:p>
    <w:p>
      <w:pPr>
        <w:ind w:left="660" w:hanging="654"/>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24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All costs associated with advertising and promotion are expensed as incurred. The advertising and promotion expense was $4,513,750, $3,563,900 and $5,195,120 for the years ended December 31, 2015, December 31, 2014 and December 31, 2013 respectively.</w:t>
      </w:r>
    </w:p>
    <w:p>
      <w:pPr>
        <w:spacing w:after="0" w:line="206" w:lineRule="exact"/>
        <w:rPr>
          <w:sz w:val="20"/>
          <w:szCs w:val="20"/>
          <w:color w:val="auto"/>
        </w:rPr>
      </w:pPr>
    </w:p>
    <w:p>
      <w:pPr>
        <w:ind w:left="700" w:hanging="69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Foreign currencies and translation of subsidiaries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Amounts credited or charged to the statement of operations for the years ended December 31, 2015, December 31, 2014 and December 31, 2013 were as follows:</w:t>
      </w:r>
    </w:p>
    <w:p>
      <w:pPr>
        <w:spacing w:after="0" w:line="182"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Year ended</w:t>
      </w:r>
    </w:p>
    <w:p>
      <w:pPr>
        <w:spacing w:after="0" w:line="23"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December 31,</w:t>
      </w:r>
    </w:p>
    <w:p>
      <w:pPr>
        <w:spacing w:after="0" w:line="6"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ind w:left="8240"/>
        <w:spacing w:after="0"/>
        <w:tabs>
          <w:tab w:leader="none" w:pos="9600" w:val="left"/>
          <w:tab w:leader="none" w:pos="1094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6"/>
          <w:szCs w:val="16"/>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303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8525" cy="303530"/>
                    </a:xfrm>
                    <a:prstGeom prst="rect">
                      <a:avLst/>
                    </a:prstGeom>
                    <a:noFill/>
                  </pic:spPr>
                </pic:pic>
              </a:graphicData>
            </a:graphic>
          </wp:anchor>
        </w:drawing>
      </w:r>
    </w:p>
    <w:p>
      <w:pPr>
        <w:spacing w:after="0" w:line="187" w:lineRule="exact"/>
        <w:rPr>
          <w:sz w:val="20"/>
          <w:szCs w:val="20"/>
          <w:color w:val="auto"/>
        </w:rPr>
      </w:pPr>
    </w:p>
    <w:p>
      <w:pPr>
        <w:spacing w:after="0"/>
        <w:tabs>
          <w:tab w:leader="none" w:pos="7420" w:val="left"/>
          <w:tab w:leader="none" w:pos="8120" w:val="left"/>
          <w:tab w:leader="none" w:pos="8820" w:val="left"/>
          <w:tab w:leader="none" w:pos="9500" w:val="left"/>
          <w:tab w:leader="none" w:pos="10160" w:val="left"/>
          <w:tab w:leader="none" w:pos="10840" w:val="left"/>
        </w:tabs>
        <w:rPr>
          <w:sz w:val="20"/>
          <w:szCs w:val="20"/>
          <w:color w:val="auto"/>
        </w:rPr>
      </w:pPr>
      <w:r>
        <w:rPr>
          <w:rFonts w:ascii="Arial" w:cs="Arial" w:eastAsia="Arial" w:hAnsi="Arial"/>
          <w:sz w:val="18"/>
          <w:szCs w:val="18"/>
          <w:color w:val="auto"/>
        </w:rPr>
        <w:t>Amounts (credited)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(3,608)</w:t>
        <w:tab/>
        <w:t>$</w:t>
      </w:r>
      <w:r>
        <w:rPr>
          <w:sz w:val="20"/>
          <w:szCs w:val="20"/>
          <w:color w:val="auto"/>
        </w:rPr>
        <w:tab/>
      </w:r>
      <w:r>
        <w:rPr>
          <w:rFonts w:ascii="Arial" w:cs="Arial" w:eastAsia="Arial" w:hAnsi="Arial"/>
          <w:sz w:val="18"/>
          <w:szCs w:val="18"/>
          <w:color w:val="auto"/>
        </w:rPr>
        <w:t>(5,942)</w:t>
        <w:tab/>
        <w:t>$</w:t>
      </w:r>
      <w:r>
        <w:rPr>
          <w:sz w:val="20"/>
          <w:szCs w:val="20"/>
          <w:color w:val="auto"/>
        </w:rPr>
        <w:tab/>
      </w:r>
      <w:r>
        <w:rPr>
          <w:rFonts w:ascii="Arial" w:cs="Arial" w:eastAsia="Arial" w:hAnsi="Arial"/>
          <w:sz w:val="16"/>
          <w:szCs w:val="16"/>
          <w:color w:val="auto"/>
        </w:rPr>
        <w:t>(1,233)</w:t>
      </w:r>
    </w:p>
    <w:p>
      <w:pPr>
        <w:spacing w:after="0" w:line="298"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financial statements of subsidiaries with other functional currencies are translated at period end rates for the balance sheet and average rates for the statement of operations. Translation gains and losses arising are reported as a movement on accumulated other comprehensive income.</w:t>
      </w:r>
    </w:p>
    <w:p>
      <w:pPr>
        <w:spacing w:after="0" w:line="184" w:lineRule="exact"/>
        <w:rPr>
          <w:sz w:val="20"/>
          <w:szCs w:val="20"/>
          <w:color w:val="auto"/>
        </w:rPr>
      </w:pPr>
    </w:p>
    <w:p>
      <w:pPr>
        <w:ind w:left="700" w:hanging="69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Disclosure about fair value of financial instruments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material class of financial instrument:</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cash equivalents, unbilled revenue, other receivables, short term investments, prepayments and other current assets, accounts receivable, accounts payable, investigator payments, payments on account, accrued liabilities, accrued bonuses and income taxes payable have carrying amounts that approximate fair value due to the short term maturities of these instruments. Other liabilities’ carrying amounts approximate fair value based on net present value of estimated future cash flows.</w:t>
      </w:r>
    </w:p>
    <w:p>
      <w:pPr>
        <w:spacing w:after="0" w:line="217" w:lineRule="exact"/>
        <w:rPr>
          <w:sz w:val="20"/>
          <w:szCs w:val="20"/>
          <w:color w:val="auto"/>
        </w:rPr>
      </w:pPr>
    </w:p>
    <w:p>
      <w:pPr>
        <w:ind w:left="700" w:hanging="649"/>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this contingent consideration.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4" w:name="page95"/>
    <w:bookmarkEnd w:id="94"/>
    <w:p>
      <w:pPr>
        <w:jc w:val="both"/>
        <w:spacing w:after="0" w:line="251" w:lineRule="auto"/>
        <w:rPr>
          <w:sz w:val="20"/>
          <w:szCs w:val="20"/>
          <w:color w:val="auto"/>
        </w:rPr>
      </w:pPr>
      <w:r>
        <w:rPr>
          <w:rFonts w:ascii="Arial" w:cs="Arial" w:eastAsia="Arial" w:hAnsi="Arial"/>
          <w:sz w:val="18"/>
          <w:szCs w:val="18"/>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w:t>
      </w:r>
    </w:p>
    <w:p>
      <w:pPr>
        <w:spacing w:after="0" w:line="220" w:lineRule="exact"/>
        <w:rPr>
          <w:sz w:val="20"/>
          <w:szCs w:val="20"/>
          <w:color w:val="auto"/>
        </w:rPr>
      </w:pPr>
    </w:p>
    <w:p>
      <w:pPr>
        <w:ind w:left="700" w:hanging="649"/>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Goodwill and Impairment</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No impairment was recognized as a result of the impairment testing carried out for the years ended December 31, 2015, December 31, 2014 and December 31, 2013.</w:t>
      </w:r>
    </w:p>
    <w:p>
      <w:pPr>
        <w:spacing w:after="0" w:line="211" w:lineRule="exact"/>
        <w:rPr>
          <w:sz w:val="20"/>
          <w:szCs w:val="20"/>
          <w:color w:val="auto"/>
        </w:rPr>
      </w:pPr>
    </w:p>
    <w:p>
      <w:pPr>
        <w:ind w:left="700" w:hanging="694"/>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amortized on a straight line basis over their estimated useful life.</w:t>
      </w:r>
    </w:p>
    <w:p>
      <w:pPr>
        <w:spacing w:after="0" w:line="245" w:lineRule="exact"/>
        <w:rPr>
          <w:sz w:val="20"/>
          <w:szCs w:val="20"/>
          <w:color w:val="auto"/>
        </w:rPr>
      </w:pPr>
    </w:p>
    <w:p>
      <w:pPr>
        <w:ind w:left="660" w:hanging="654"/>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206" w:lineRule="exact"/>
        <w:rPr>
          <w:sz w:val="20"/>
          <w:szCs w:val="20"/>
          <w:color w:val="auto"/>
        </w:rPr>
      </w:pPr>
    </w:p>
    <w:p>
      <w:pPr>
        <w:ind w:left="740" w:hanging="734"/>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Short term investments - available for sale</w:t>
      </w:r>
    </w:p>
    <w:p>
      <w:pPr>
        <w:spacing w:after="0" w:line="24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Company classifies short-term investments as available for sale in accordance with the terms of FASB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Realized gains and losses are determined using specific identification. The investments are reported at fair value, with unrealized gains or losses</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in a separate component of shareholders’ equity. Any differences between the cost and fair value of the investments are represented by accrued interest.</w:t>
      </w:r>
    </w:p>
    <w:p>
      <w:pPr>
        <w:spacing w:after="0" w:line="180" w:lineRule="exact"/>
        <w:rPr>
          <w:sz w:val="20"/>
          <w:szCs w:val="20"/>
          <w:color w:val="auto"/>
        </w:rPr>
      </w:pPr>
    </w:p>
    <w:p>
      <w:pPr>
        <w:ind w:left="700" w:hanging="694"/>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Inventory</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Inventory is valued at the lower of cost and market value and after provisions for obsolescence. Cost of inventories comprises the purchase price and attributable costs, less trade discounts. At December 31, 2015 the carrying value of inventory, included within prepayments and other current assets on the balance sheet, was $1.8 million (2014: $1.7 million).</w:t>
      </w:r>
    </w:p>
    <w:p>
      <w:pPr>
        <w:spacing w:after="0" w:line="215" w:lineRule="exact"/>
        <w:rPr>
          <w:sz w:val="20"/>
          <w:szCs w:val="20"/>
          <w:color w:val="auto"/>
        </w:rPr>
      </w:pPr>
    </w:p>
    <w:p>
      <w:pPr>
        <w:ind w:left="700" w:hanging="69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540" w:type="dxa"/>
            <w:vAlign w:val="bottom"/>
            <w:gridSpan w:val="3"/>
          </w:tcPr>
          <w:p>
            <w:pPr>
              <w:ind w:left="5580"/>
              <w:spacing w:after="0"/>
              <w:rPr>
                <w:sz w:val="20"/>
                <w:szCs w:val="20"/>
                <w:color w:val="auto"/>
              </w:rPr>
            </w:pPr>
            <w:r>
              <w:rPr>
                <w:rFonts w:ascii="Arial" w:cs="Arial" w:eastAsia="Arial" w:hAnsi="Arial"/>
                <w:sz w:val="18"/>
                <w:szCs w:val="18"/>
                <w:color w:val="auto"/>
              </w:rPr>
              <w:t>Years</w:t>
            </w: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558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89"/>
              </w:rPr>
              <w:t>40</w:t>
            </w:r>
          </w:p>
        </w:tc>
        <w:tc>
          <w:tcPr>
            <w:tcW w:w="56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5980" w:type="dxa"/>
            <w:vAlign w:val="bottom"/>
            <w:gridSpan w:val="2"/>
          </w:tcPr>
          <w:p>
            <w:pPr>
              <w:jc w:val="center"/>
              <w:ind w:left="5571"/>
              <w:spacing w:after="0"/>
              <w:rPr>
                <w:sz w:val="20"/>
                <w:szCs w:val="20"/>
                <w:color w:val="auto"/>
              </w:rPr>
            </w:pPr>
            <w:r>
              <w:rPr>
                <w:rFonts w:ascii="Arial" w:cs="Arial" w:eastAsia="Arial" w:hAnsi="Arial"/>
                <w:sz w:val="18"/>
                <w:szCs w:val="18"/>
                <w:color w:val="auto"/>
                <w:w w:val="92"/>
              </w:rPr>
              <w:t>2-8</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5980" w:type="dxa"/>
            <w:vAlign w:val="bottom"/>
            <w:gridSpan w:val="2"/>
            <w:shd w:val="clear" w:color="auto" w:fill="CCEEFF"/>
          </w:tcPr>
          <w:p>
            <w:pPr>
              <w:jc w:val="center"/>
              <w:ind w:left="5591"/>
              <w:spacing w:after="0"/>
              <w:rPr>
                <w:sz w:val="20"/>
                <w:szCs w:val="20"/>
                <w:color w:val="auto"/>
              </w:rPr>
            </w:pPr>
            <w:r>
              <w:rPr>
                <w:rFonts w:ascii="Arial" w:cs="Arial" w:eastAsia="Arial" w:hAnsi="Arial"/>
                <w:sz w:val="18"/>
                <w:szCs w:val="18"/>
                <w:color w:val="auto"/>
                <w:w w:val="99"/>
              </w:rPr>
              <w:t>8</w:t>
            </w:r>
          </w:p>
        </w:tc>
        <w:tc>
          <w:tcPr>
            <w:tcW w:w="5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Laboratory equipment</w:t>
            </w:r>
          </w:p>
        </w:tc>
        <w:tc>
          <w:tcPr>
            <w:tcW w:w="5980" w:type="dxa"/>
            <w:vAlign w:val="bottom"/>
            <w:gridSpan w:val="2"/>
          </w:tcPr>
          <w:p>
            <w:pPr>
              <w:jc w:val="center"/>
              <w:ind w:left="5591"/>
              <w:spacing w:after="0"/>
              <w:rPr>
                <w:sz w:val="20"/>
                <w:szCs w:val="20"/>
                <w:color w:val="auto"/>
              </w:rPr>
            </w:pPr>
            <w:r>
              <w:rPr>
                <w:rFonts w:ascii="Arial" w:cs="Arial" w:eastAsia="Arial" w:hAnsi="Arial"/>
                <w:sz w:val="18"/>
                <w:szCs w:val="18"/>
                <w:color w:val="auto"/>
                <w:w w:val="99"/>
              </w:rPr>
              <w:t>5</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5980" w:type="dxa"/>
            <w:vAlign w:val="bottom"/>
            <w:gridSpan w:val="2"/>
            <w:shd w:val="clear" w:color="auto" w:fill="CCEEFF"/>
          </w:tcPr>
          <w:p>
            <w:pPr>
              <w:jc w:val="center"/>
              <w:ind w:left="5591"/>
              <w:spacing w:after="0"/>
              <w:rPr>
                <w:sz w:val="20"/>
                <w:szCs w:val="20"/>
                <w:color w:val="auto"/>
              </w:rPr>
            </w:pPr>
            <w:r>
              <w:rPr>
                <w:rFonts w:ascii="Arial" w:cs="Arial" w:eastAsia="Arial" w:hAnsi="Arial"/>
                <w:sz w:val="18"/>
                <w:szCs w:val="18"/>
                <w:color w:val="auto"/>
                <w:w w:val="99"/>
              </w:rPr>
              <w:t>5</w:t>
            </w:r>
          </w:p>
        </w:tc>
        <w:tc>
          <w:tcPr>
            <w:tcW w:w="5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597"/>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580" w:type="dxa"/>
            <w:vAlign w:val="bottom"/>
          </w:tcPr>
          <w:p>
            <w:pPr>
              <w:jc w:val="right"/>
              <w:ind w:right="4011"/>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7"/>
        </w:trPr>
        <w:tc>
          <w:tcPr>
            <w:tcW w:w="58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Leasehold improvements are amortized using the straight-line method over the estimated useful life of the asset or the lease term, whichever is shorter.</w:t>
      </w:r>
    </w:p>
    <w:p>
      <w:pPr>
        <w:spacing w:after="0" w:line="256" w:lineRule="exact"/>
        <w:rPr>
          <w:sz w:val="20"/>
          <w:szCs w:val="20"/>
          <w:color w:val="auto"/>
        </w:rPr>
      </w:pPr>
    </w:p>
    <w:p>
      <w:pPr>
        <w:ind w:left="700" w:hanging="694"/>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Leased assets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Costs in respect of operating leases are charged to the statement of operations on a straight line basis over the lease term.</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215" w:lineRule="exact"/>
        <w:rPr>
          <w:sz w:val="20"/>
          <w:szCs w:val="20"/>
          <w:color w:val="auto"/>
        </w:rPr>
      </w:pPr>
    </w:p>
    <w:p>
      <w:pPr>
        <w:ind w:left="700" w:hanging="694"/>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November 21, 2015 FASB issued ASU 2015-17 on the balance sheet classification of deferred taxes. The new standard requires that all deferred taxes are presented as noncurrent in a classified statement of financial position. The new guidance is effective for public business entities for annual periods beginning after December 15, 2016 and for nonpublic business entities for annual periods beginning after December 15, 2017. Early adoption is available for all entities for any set of financial statements that had not been released as at November 21, 2015 with an option to apply on either a prospective or a retrospective basis. The Company has elected for early adoption of ASU 2015 – 17 on a prospective basis for all financial statements issued after November 21, 2015. The effect of this is that all deferred tax assets and liabilities are classified as noncurrent assets and liabilities in the December 31, 2015 balance sheet. As ASU 2015-17 is being adopted on a prospective basis there is no impact on prior period financial statements.</w:t>
      </w:r>
    </w:p>
    <w:p>
      <w:pPr>
        <w:spacing w:after="0" w:line="211" w:lineRule="exact"/>
        <w:rPr>
          <w:sz w:val="20"/>
          <w:szCs w:val="20"/>
          <w:color w:val="auto"/>
        </w:rPr>
      </w:pPr>
    </w:p>
    <w:p>
      <w:pPr>
        <w:ind w:left="720" w:hanging="66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Government grants received relating to capital expenditures are shown as deferred income and credited to income on a basis consistent with the depreciation policy of the relevant assets. Grants relating to categories of operating expenditures are credited to income in the period in which the expenditure to which they relate is charged.</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198" w:lineRule="exact"/>
        <w:rPr>
          <w:sz w:val="20"/>
          <w:szCs w:val="20"/>
          <w:color w:val="auto"/>
        </w:rPr>
      </w:pPr>
    </w:p>
    <w:p>
      <w:pPr>
        <w:ind w:left="680" w:hanging="674"/>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Research and development credits</w:t>
      </w:r>
    </w:p>
    <w:p>
      <w:pPr>
        <w:spacing w:after="0" w:line="24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6" w:name="page97"/>
    <w:bookmarkEnd w:id="96"/>
    <w:p>
      <w:pPr>
        <w:ind w:left="700" w:hanging="649"/>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operates, through a subsidiary, a defined benefit plan for certain of its United Kingdom employees. The Company accounts for the costs of this plan using actuarial models required by FASB ASC 715-30 and the plan is presented in accordance with the requirements of FASB ASC 715-60 </w:t>
      </w:r>
      <w:r>
        <w:rPr>
          <w:rFonts w:ascii="Arial" w:cs="Arial" w:eastAsia="Arial" w:hAnsi="Arial"/>
          <w:sz w:val="18"/>
          <w:szCs w:val="18"/>
          <w:i w:val="1"/>
          <w:iCs w:val="1"/>
          <w:color w:val="auto"/>
        </w:rPr>
        <w:t>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 – Other Post retirement</w:t>
      </w:r>
      <w:r>
        <w:rPr>
          <w:rFonts w:ascii="Arial" w:cs="Arial" w:eastAsia="Arial" w:hAnsi="Arial"/>
          <w:sz w:val="18"/>
          <w:szCs w:val="18"/>
          <w:color w:val="auto"/>
        </w:rPr>
        <w:t>.</w:t>
      </w:r>
    </w:p>
    <w:p>
      <w:pPr>
        <w:spacing w:after="0" w:line="215" w:lineRule="exact"/>
        <w:rPr>
          <w:sz w:val="20"/>
          <w:szCs w:val="20"/>
          <w:color w:val="auto"/>
        </w:rPr>
      </w:pPr>
    </w:p>
    <w:p>
      <w:pPr>
        <w:ind w:left="700" w:hanging="694"/>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Net income per ordinary share</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480" w:type="dxa"/>
            <w:vAlign w:val="bottom"/>
          </w:tcPr>
          <w:p>
            <w:pPr>
              <w:jc w:val="right"/>
              <w:ind w:right="191"/>
              <w:spacing w:after="0"/>
              <w:rPr>
                <w:sz w:val="20"/>
                <w:szCs w:val="20"/>
                <w:color w:val="auto"/>
              </w:rPr>
            </w:pPr>
            <w:r>
              <w:rPr>
                <w:rFonts w:ascii="Arial" w:cs="Arial" w:eastAsia="Arial" w:hAnsi="Arial"/>
                <w:sz w:val="18"/>
                <w:szCs w:val="18"/>
                <w:b w:val="1"/>
                <w:bCs w:val="1"/>
                <w:color w:val="auto"/>
              </w:rPr>
              <w:t>2015</w:t>
            </w:r>
          </w:p>
        </w:tc>
        <w:tc>
          <w:tcPr>
            <w:tcW w:w="1560" w:type="dxa"/>
            <w:vAlign w:val="bottom"/>
          </w:tcPr>
          <w:p>
            <w:pPr>
              <w:jc w:val="right"/>
              <w:ind w:right="371"/>
              <w:spacing w:after="0"/>
              <w:rPr>
                <w:sz w:val="20"/>
                <w:szCs w:val="20"/>
                <w:color w:val="auto"/>
              </w:rPr>
            </w:pPr>
            <w:r>
              <w:rPr>
                <w:rFonts w:ascii="Arial" w:cs="Arial" w:eastAsia="Arial" w:hAnsi="Arial"/>
                <w:sz w:val="18"/>
                <w:szCs w:val="18"/>
                <w:b w:val="1"/>
                <w:bCs w:val="1"/>
                <w:color w:val="auto"/>
              </w:rPr>
              <w:t>2014</w:t>
            </w: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13"/>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Weighted average number of ordinary shares outstanding for basic net income per ordinary share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58,746,935</w:t>
            </w:r>
          </w:p>
        </w:tc>
        <w:tc>
          <w:tcPr>
            <w:tcW w:w="1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61,496,115</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60,907,274</w:t>
            </w:r>
          </w:p>
        </w:tc>
      </w:tr>
      <w:tr>
        <w:trPr>
          <w:trHeight w:val="219"/>
        </w:trPr>
        <w:tc>
          <w:tcPr>
            <w:tcW w:w="7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dilutive share options outstanding</w:t>
            </w:r>
          </w:p>
        </w:tc>
        <w:tc>
          <w:tcPr>
            <w:tcW w:w="14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1,543,098</w:t>
            </w:r>
          </w:p>
        </w:tc>
        <w:tc>
          <w:tcPr>
            <w:tcW w:w="15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1,635,302</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1,345,977</w:t>
            </w:r>
          </w:p>
        </w:tc>
      </w:tr>
      <w:tr>
        <w:trPr>
          <w:trHeight w:val="253"/>
        </w:trPr>
        <w:tc>
          <w:tcPr>
            <w:tcW w:w="74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3"/>
              </w:rPr>
              <w:t>Weighted average number of ordinary shares outstanding for diluted net income per ordinary share</w:t>
            </w:r>
          </w:p>
        </w:tc>
        <w:tc>
          <w:tcPr>
            <w:tcW w:w="14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60,290,033</w:t>
            </w:r>
          </w:p>
        </w:tc>
        <w:tc>
          <w:tcPr>
            <w:tcW w:w="15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63,131,417</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62,253,251</w:t>
            </w:r>
          </w:p>
        </w:tc>
      </w:tr>
      <w:tr>
        <w:trPr>
          <w:trHeight w:val="444"/>
        </w:trPr>
        <w:tc>
          <w:tcPr>
            <w:tcW w:w="460" w:type="dxa"/>
            <w:vAlign w:val="bottom"/>
          </w:tcPr>
          <w:p>
            <w:pPr>
              <w:spacing w:after="0"/>
              <w:rPr>
                <w:sz w:val="20"/>
                <w:szCs w:val="20"/>
                <w:color w:val="auto"/>
              </w:rPr>
            </w:pPr>
            <w:r>
              <w:rPr>
                <w:rFonts w:ascii="Arial" w:cs="Arial" w:eastAsia="Arial" w:hAnsi="Arial"/>
                <w:sz w:val="18"/>
                <w:szCs w:val="18"/>
                <w:color w:val="auto"/>
              </w:rPr>
              <w:t>(v)</w:t>
            </w:r>
          </w:p>
        </w:tc>
        <w:tc>
          <w:tcPr>
            <w:tcW w:w="694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2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Company accounts for its share options, restricted share units (“RSU’s”) and performance share units (“PSU’s”) in accordance with the provisions of FASB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Share-based compensation expense for equity-settled awards made to employees and Directors is measured and recognized based on estimated grant date fair values. These equity-settled awards include employee share options, RSU’s and PSU’s.</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215" w:lineRule="exact"/>
        <w:rPr>
          <w:sz w:val="20"/>
          <w:szCs w:val="20"/>
          <w:color w:val="auto"/>
        </w:rPr>
      </w:pPr>
    </w:p>
    <w:p>
      <w:pPr>
        <w:ind w:left="740" w:hanging="734"/>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of the asset or fair value less selling costs.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7" w:name="page98"/>
    <w:bookmarkEnd w:id="97"/>
    <w:p>
      <w:pPr>
        <w:ind w:left="700" w:hanging="69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Derivative financial instruments</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enter into transactions in the normal course of business using various financial instruments in order to hedge against exposures to fluctuating exchange and interest rates. We use derivative financial instruments to reduce exposure to fluctuations in interest rates. A derivative is a financial instrument or other contract whose value changes in response to some underlying variable, which has an initial net investment smaller than would be required for other instruments that have a similar response to the variable and that will be settled at a future date. We do not enter into derivative financial instruments for trading or speculative purposes. We did not hold any interest rate swap contracts or forward currency contracts at December 31, 2015, December 31, 2014 or December 31, 2013.</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accounting policies for derivative financial instruments are based on whether they meet the criteria for designation as cash flow or fair value hedges. A designated hedge of the exposure to variability in the future cash flows of an asset or a liability, or of a forecasted transaction, is referred to as a cash flow hedge. A designated hedge of the exposure to changes in fair value of an asset or a liability is referred to as a fair value hedge. The criteria for designating a derivative as a hedge include the assessment of the instrument’s effectiveness in risk reduction, matching of the derivative instrument to its underlying transaction, and the probability that the underlying transaction will occur. For derivatives with cash flow hedge accounting designation, we report the gain or loss from the effective portion of the hedge as a component of Other Comprehensive Income and reclassify it into earnings in the same period or periods in which the hedged transaction affects earnings, and within the same income statement line item as the impact of the hedged transaction. For derivatives with fair value hedge accounting designation, we recognize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Consolidated Statement of Operations.</w:t>
      </w:r>
    </w:p>
    <w:p>
      <w:pPr>
        <w:spacing w:after="0" w:line="215" w:lineRule="exact"/>
        <w:rPr>
          <w:sz w:val="20"/>
          <w:szCs w:val="20"/>
          <w:color w:val="auto"/>
        </w:rPr>
      </w:pPr>
    </w:p>
    <w:p>
      <w:pPr>
        <w:ind w:left="700" w:hanging="694"/>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Financing costs and gain on interest rate hedge</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interest rate in respect of the Senior Notes is fixed at 3.64% for the five year term of the agreement. The associated interest cost is recognized in interest expense in the period since drawdown in December 2015.</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5 2015, the Company entered into an interest rate hedge in respect of the planned issuance of the Senior Notes in December 2015. The interest rate hedge matured on November 17, 2015 when the interest rate on the Senior Notes was fixed. The interest rate hedge was effective in accordance with Financial Accounting Standards Board (“FASB”) ASC 815, “Derivatives and Hedging”. The cash proceeds ($4.6 million), representing the realized gain on the interest rate hedge were received on maturity in November 2015 and are recorded within Other Comprehensive Income. The realized gain will be amortized to the income statement, net against interest payable, over the period of the Senior Notes.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Deferred financing costs (including issue costs relating to the Senior Notes) are reported at cost less accumulated amortization and the related amortization expense is included in interest expense, in our consolidated statement of income.</w:t>
      </w:r>
    </w:p>
    <w:p>
      <w:pPr>
        <w:spacing w:after="0" w:line="206" w:lineRule="exact"/>
        <w:rPr>
          <w:sz w:val="20"/>
          <w:szCs w:val="20"/>
          <w:color w:val="auto"/>
        </w:rPr>
      </w:pPr>
    </w:p>
    <w:p>
      <w:pPr>
        <w:ind w:left="740" w:hanging="689"/>
        <w:spacing w:after="0"/>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Reclassifications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consolidated financial statements have been reclassified where necessary to conform to the current year presentation.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b w:val="1"/>
                <w:bCs w:val="1"/>
                <w:color w:val="auto"/>
              </w:rPr>
              <w:t>3. Short term investments - available for sale</w:t>
            </w:r>
          </w:p>
        </w:tc>
        <w:tc>
          <w:tcPr>
            <w:tcW w:w="2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5"/>
        </w:trPr>
        <w:tc>
          <w:tcPr>
            <w:tcW w:w="5880" w:type="dxa"/>
            <w:vAlign w:val="bottom"/>
          </w:tcPr>
          <w:p>
            <w:pPr>
              <w:spacing w:after="0"/>
              <w:rPr>
                <w:sz w:val="24"/>
                <w:szCs w:val="24"/>
                <w:color w:val="auto"/>
              </w:rPr>
            </w:pPr>
          </w:p>
        </w:tc>
        <w:tc>
          <w:tcPr>
            <w:tcW w:w="372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95"/>
              </w:rPr>
              <w:t>December 31,</w:t>
            </w:r>
          </w:p>
        </w:tc>
      </w:tr>
      <w:tr>
        <w:trPr>
          <w:trHeight w:val="213"/>
        </w:trPr>
        <w:tc>
          <w:tcPr>
            <w:tcW w:w="5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r>
      <w:tr>
        <w:trPr>
          <w:trHeight w:val="230"/>
        </w:trPr>
        <w:tc>
          <w:tcPr>
            <w:tcW w:w="58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r>
      <w:tr>
        <w:trPr>
          <w:trHeight w:val="214"/>
        </w:trPr>
        <w:tc>
          <w:tcPr>
            <w:tcW w:w="5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At start of year</w:t>
            </w:r>
          </w:p>
        </w:tc>
        <w:tc>
          <w:tcPr>
            <w:tcW w:w="2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97,100</w:t>
            </w:r>
          </w:p>
        </w:tc>
        <w:tc>
          <w:tcPr>
            <w:tcW w:w="5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5"/>
              </w:rPr>
              <w:t>138,317</w:t>
            </w:r>
          </w:p>
        </w:tc>
      </w:tr>
      <w:tr>
        <w:trPr>
          <w:trHeight w:val="213"/>
        </w:trPr>
        <w:tc>
          <w:tcPr>
            <w:tcW w:w="5880" w:type="dxa"/>
            <w:vAlign w:val="bottom"/>
          </w:tcPr>
          <w:p>
            <w:pPr>
              <w:spacing w:after="0"/>
              <w:rPr>
                <w:sz w:val="20"/>
                <w:szCs w:val="20"/>
                <w:color w:val="auto"/>
              </w:rPr>
            </w:pPr>
            <w:r>
              <w:rPr>
                <w:rFonts w:ascii="Arial" w:cs="Arial" w:eastAsia="Arial" w:hAnsi="Arial"/>
                <w:sz w:val="18"/>
                <w:szCs w:val="18"/>
                <w:color w:val="auto"/>
              </w:rPr>
              <w:t>Additions</w:t>
            </w:r>
          </w:p>
        </w:tc>
        <w:tc>
          <w:tcPr>
            <w:tcW w:w="280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14,194</w:t>
            </w:r>
          </w:p>
        </w:tc>
        <w:tc>
          <w:tcPr>
            <w:tcW w:w="50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61,328</w:t>
            </w:r>
          </w:p>
        </w:tc>
      </w:tr>
      <w:tr>
        <w:trPr>
          <w:trHeight w:val="213"/>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8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(102,565)</w:t>
            </w:r>
          </w:p>
        </w:tc>
      </w:tr>
      <w:tr>
        <w:trPr>
          <w:trHeight w:val="219"/>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capital (loss)/gain – investments</w:t>
            </w:r>
          </w:p>
        </w:tc>
        <w:tc>
          <w:tcPr>
            <w:tcW w:w="2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r>
      <w:tr>
        <w:trPr>
          <w:trHeight w:val="465"/>
        </w:trPr>
        <w:tc>
          <w:tcPr>
            <w:tcW w:w="5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end of year</w:t>
            </w:r>
          </w:p>
        </w:tc>
        <w:tc>
          <w:tcPr>
            <w:tcW w:w="28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85,990</w:t>
            </w:r>
          </w:p>
        </w:tc>
        <w:tc>
          <w:tcPr>
            <w:tcW w:w="5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97,100</w:t>
            </w:r>
          </w:p>
        </w:tc>
      </w:tr>
    </w:tbl>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classifies its short term investments as available for sale. Short term investments comprise highly liquid investments with maturities of greater than three months and minimum “A-” rated fixed and floating rate securities. Short term investments at December 31, 2015 have an average maturity of 1.35 years compared to 1.7 years at December 31, 2014. The investments are reported at fair value with unrealized gains or losses reported in a separate component of shareholders’ equity. Any differences between the cost and fair value of investments are represented by accrued interest. The fair value of short term investments are represented by level 1 fair value measurements – quoted prices in active markets for identical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b w:val="1"/>
                <w:bCs w:val="1"/>
                <w:color w:val="auto"/>
              </w:rPr>
              <w:t>4. Goodwill</w:t>
            </w:r>
          </w:p>
        </w:tc>
        <w:tc>
          <w:tcPr>
            <w:tcW w:w="2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6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0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6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Opening goodwill</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463,324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357,523</w:t>
            </w:r>
          </w:p>
        </w:tc>
      </w:tr>
      <w:tr>
        <w:trPr>
          <w:trHeight w:val="213"/>
        </w:trPr>
        <w:tc>
          <w:tcPr>
            <w:tcW w:w="6020" w:type="dxa"/>
            <w:vAlign w:val="bottom"/>
          </w:tcPr>
          <w:p>
            <w:pPr>
              <w:spacing w:after="0"/>
              <w:rPr>
                <w:sz w:val="20"/>
                <w:szCs w:val="20"/>
                <w:color w:val="auto"/>
              </w:rPr>
            </w:pPr>
            <w:r>
              <w:rPr>
                <w:rFonts w:ascii="Arial" w:cs="Arial" w:eastAsia="Arial" w:hAnsi="Arial"/>
                <w:sz w:val="18"/>
                <w:szCs w:val="18"/>
                <w:color w:val="auto"/>
              </w:rPr>
              <w:t>Current year acquisitions (note 4 (a) and (b))</w:t>
            </w:r>
          </w:p>
        </w:tc>
        <w:tc>
          <w:tcPr>
            <w:tcW w:w="28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133,123</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121,209</w:t>
            </w:r>
          </w:p>
        </w:tc>
      </w:tr>
      <w:tr>
        <w:trPr>
          <w:trHeight w:val="21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 (note 4(c))</w:t>
            </w:r>
          </w:p>
        </w:tc>
        <w:tc>
          <w:tcPr>
            <w:tcW w:w="2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4,418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9"/>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28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(15,408)</w:t>
            </w:r>
          </w:p>
        </w:tc>
      </w:tr>
      <w:tr>
        <w:trPr>
          <w:trHeight w:val="253"/>
        </w:trPr>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goodwill</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588,434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463,324</w:t>
            </w:r>
          </w:p>
        </w:tc>
      </w:tr>
    </w:tbl>
    <w:p>
      <w:pPr>
        <w:spacing w:after="0" w:line="22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Company has made a number of strategic acquisitions since inception to enhance its capabilities and experience in certain areas of the clinical development process. Goodwill arising on acquisition represents the excess of the cost of acquired entities over the net amounts assigned to assets acquired and liabilities assumed. Goodwill primarily comprises of the acquired workforce in place which does not qualify for recognition as an asset apart from goodwill.</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acquired PMG and MediMedia Pharma Solutions during the year-ended December 31, 2015 resulting in recognition of goodwill of $41.0 million and $92.1 million (note 4(a) and note 4 (b)) respectively.</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tests goodwill annually for impairment or whenever events occur which may indicate impairment. The results of the Company’s goodwill impairment testing during the year ended December 31, 2015 provided no evidence of impairment and indicated the existence of sufficient headroom such that a reasonably possible change to the key assumptions used would be unlikely to result in an impairment of the related goodwill.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Acquisitions of PMG</w:t>
      </w: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4, 2015 the Company acquired PMG for cash consideration of $53.7 million. The Company also made certain payments on behalf of PMG totalling $9.9 million. PMG is an integrated network of 48 clinical research sites in North Carolina, South Carolina, Tennessee and Illinois.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healthcare institutions and community physical practices. The acquisition agreement provides for working capital targets to be achieved by PMG within 90 days of acquisition.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99" w:name="page100"/>
    <w:bookmarkEnd w:id="99"/>
    <w:p>
      <w:pPr>
        <w:ind w:right="40"/>
        <w:spacing w:after="0" w:line="256" w:lineRule="auto"/>
        <w:rPr>
          <w:sz w:val="20"/>
          <w:szCs w:val="20"/>
          <w:color w:val="auto"/>
        </w:rPr>
      </w:pPr>
      <w:r>
        <w:rPr>
          <w:rFonts w:ascii="Arial" w:cs="Arial" w:eastAsia="Arial" w:hAnsi="Arial"/>
          <w:sz w:val="18"/>
          <w:szCs w:val="18"/>
          <w:color w:val="auto"/>
        </w:rPr>
        <w:t xml:space="preserve">The acquisition of PMG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w w:val="91"/>
              </w:rPr>
              <w:t>December 4,</w:t>
            </w:r>
          </w:p>
        </w:tc>
      </w:tr>
      <w:tr>
        <w:trPr>
          <w:trHeight w:val="213"/>
        </w:trPr>
        <w:tc>
          <w:tcPr>
            <w:tcW w:w="6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r>
      <w:tr>
        <w:trPr>
          <w:trHeight w:val="230"/>
        </w:trPr>
        <w:tc>
          <w:tcPr>
            <w:tcW w:w="6400" w:type="dxa"/>
            <w:vAlign w:val="bottom"/>
          </w:tcPr>
          <w:p>
            <w:pPr>
              <w:spacing w:after="0"/>
              <w:rPr>
                <w:sz w:val="20"/>
                <w:szCs w:val="20"/>
                <w:color w:val="auto"/>
              </w:rPr>
            </w:pPr>
          </w:p>
        </w:tc>
        <w:tc>
          <w:tcPr>
            <w:tcW w:w="50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9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712</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41,039</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Intangible asset**</w:t>
            </w:r>
          </w:p>
        </w:tc>
        <w:tc>
          <w:tcPr>
            <w:tcW w:w="39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10,259</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12,997</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9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1,329</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13"/>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39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58"/>
        </w:trPr>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9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63,541</w:t>
            </w:r>
          </w:p>
        </w:tc>
      </w:tr>
      <w:tr>
        <w:trPr>
          <w:trHeight w:val="232"/>
        </w:trPr>
        <w:tc>
          <w:tcPr>
            <w:tcW w:w="64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9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53,681</w:t>
            </w:r>
          </w:p>
        </w:tc>
      </w:tr>
      <w:tr>
        <w:trPr>
          <w:trHeight w:val="219"/>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 assumed</w:t>
            </w:r>
          </w:p>
        </w:tc>
        <w:tc>
          <w:tcPr>
            <w:tcW w:w="39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9,860</w:t>
            </w:r>
          </w:p>
        </w:tc>
      </w:tr>
      <w:tr>
        <w:trPr>
          <w:trHeight w:val="253"/>
        </w:trPr>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cash outflows</w:t>
            </w:r>
          </w:p>
        </w:tc>
        <w:tc>
          <w:tcPr>
            <w:tcW w:w="39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63,541</w:t>
            </w:r>
          </w:p>
        </w:tc>
      </w:tr>
    </w:tbl>
    <w:p>
      <w:pPr>
        <w:ind w:right="460"/>
        <w:spacing w:after="0" w:line="276" w:lineRule="auto"/>
        <w:rPr>
          <w:sz w:val="20"/>
          <w:szCs w:val="20"/>
          <w:color w:val="auto"/>
        </w:rPr>
      </w:pPr>
      <w:r>
        <w:rPr>
          <w:rFonts w:ascii="Arial" w:cs="Arial" w:eastAsia="Arial" w:hAnsi="Arial"/>
          <w:sz w:val="16"/>
          <w:szCs w:val="16"/>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has estimated a separate intangible asset (in respect of customer lists acquired) of $10.3 million. This assessment is under review and will be finalized within 12 months of the date of acquisition.</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proforma effect of the PMG acquisition if completed on January 1, 2015 would have resulted in net revenue, net income and earnings per share for the fiscal years ended December 31, 2015 and December 31, 2014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gridSpan w:val="3"/>
          </w:tcPr>
          <w:p>
            <w:pPr>
              <w:jc w:val="center"/>
              <w:ind w:right="211"/>
              <w:spacing w:after="0"/>
              <w:rPr>
                <w:sz w:val="20"/>
                <w:szCs w:val="20"/>
                <w:color w:val="auto"/>
              </w:rPr>
            </w:pPr>
            <w:r>
              <w:rPr>
                <w:rFonts w:ascii="Arial" w:cs="Arial" w:eastAsia="Arial" w:hAnsi="Arial"/>
                <w:sz w:val="18"/>
                <w:szCs w:val="18"/>
                <w:b w:val="1"/>
                <w:bCs w:val="1"/>
                <w:color w:val="auto"/>
                <w:w w:val="88"/>
              </w:rPr>
              <w:t>Year Ended</w:t>
            </w:r>
          </w:p>
        </w:tc>
      </w:tr>
      <w:tr>
        <w:trPr>
          <w:trHeight w:val="213"/>
        </w:trPr>
        <w:tc>
          <w:tcPr>
            <w:tcW w:w="49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gridSpan w:val="3"/>
          </w:tcPr>
          <w:p>
            <w:pPr>
              <w:jc w:val="center"/>
              <w:ind w:right="211"/>
              <w:spacing w:after="0"/>
              <w:rPr>
                <w:sz w:val="20"/>
                <w:szCs w:val="20"/>
                <w:color w:val="auto"/>
              </w:rPr>
            </w:pPr>
            <w:r>
              <w:rPr>
                <w:rFonts w:ascii="Arial" w:cs="Arial" w:eastAsia="Arial" w:hAnsi="Arial"/>
                <w:sz w:val="18"/>
                <w:szCs w:val="18"/>
                <w:b w:val="1"/>
                <w:bCs w:val="1"/>
                <w:color w:val="auto"/>
                <w:w w:val="88"/>
              </w:rPr>
              <w:t>December 31,</w:t>
            </w:r>
          </w:p>
        </w:tc>
      </w:tr>
      <w:tr>
        <w:trPr>
          <w:trHeight w:val="213"/>
        </w:trPr>
        <w:tc>
          <w:tcPr>
            <w:tcW w:w="49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49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40" w:type="dxa"/>
            <w:vAlign w:val="bottom"/>
            <w:gridSpan w:val="3"/>
          </w:tcPr>
          <w:p>
            <w:pPr>
              <w:jc w:val="center"/>
              <w:ind w:right="211"/>
              <w:spacing w:after="0"/>
              <w:rPr>
                <w:sz w:val="20"/>
                <w:szCs w:val="20"/>
                <w:color w:val="auto"/>
              </w:rPr>
            </w:pPr>
            <w:r>
              <w:rPr>
                <w:rFonts w:ascii="Arial" w:cs="Arial" w:eastAsia="Arial" w:hAnsi="Arial"/>
                <w:sz w:val="18"/>
                <w:szCs w:val="18"/>
                <w:b w:val="1"/>
                <w:bCs w:val="1"/>
                <w:color w:val="auto"/>
                <w:w w:val="87"/>
              </w:rPr>
              <w:t>(in thousands)</w:t>
            </w: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1,601,891</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1,527,685</w:t>
            </w: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3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243,004</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172,390</w:t>
            </w: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3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4.03</w:t>
            </w:r>
          </w:p>
        </w:tc>
        <w:tc>
          <w:tcPr>
            <w:tcW w:w="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Acquisitions of MediMedia Pharma Solutions</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27, 2015 the Company acquired MediMedia Pharma Solutions for cash consideration of $104.8 million (net of working capital adjustments of $3.9 million). In addition to the cash consideration, certain payments were made on behalf of MediMedia Pharma Solutions on completion totalling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provides for certain working capital targets to be achieved by MediMedia Pharma Solutions.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acquisition of MediMedia Pharma Solutions has been accounted for as a business combination in accordance with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provisional estimates of the fair values of the assets acquired and liabilities assumed: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w w:val="93"/>
              </w:rPr>
              <w:t>February 27,</w:t>
            </w:r>
          </w:p>
        </w:tc>
      </w:tr>
      <w:tr>
        <w:trPr>
          <w:trHeight w:val="213"/>
        </w:trPr>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r>
      <w:tr>
        <w:trPr>
          <w:trHeight w:val="230"/>
        </w:trPr>
        <w:tc>
          <w:tcPr>
            <w:tcW w:w="6400" w:type="dxa"/>
            <w:vAlign w:val="bottom"/>
          </w:tcPr>
          <w:p>
            <w:pPr>
              <w:spacing w:after="0"/>
              <w:rPr>
                <w:sz w:val="20"/>
                <w:szCs w:val="20"/>
                <w:color w:val="auto"/>
              </w:rPr>
            </w:pPr>
          </w:p>
        </w:tc>
        <w:tc>
          <w:tcPr>
            <w:tcW w:w="50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39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92,084</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3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22,752</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Order backlog</w:t>
            </w:r>
          </w:p>
        </w:tc>
        <w:tc>
          <w:tcPr>
            <w:tcW w:w="39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2,521</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5,240</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Unbilled Revenue</w:t>
            </w:r>
          </w:p>
        </w:tc>
        <w:tc>
          <w:tcPr>
            <w:tcW w:w="39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4,324</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Accounts payable</w:t>
            </w:r>
          </w:p>
        </w:tc>
        <w:tc>
          <w:tcPr>
            <w:tcW w:w="39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3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9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(2,171)</w:t>
            </w:r>
          </w:p>
        </w:tc>
      </w:tr>
      <w:tr>
        <w:trPr>
          <w:trHeight w:val="219"/>
        </w:trPr>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9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r>
      <w:tr>
        <w:trPr>
          <w:trHeight w:val="425"/>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116,002</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6"/>
        </w:trPr>
        <w:tc>
          <w:tcPr>
            <w:tcW w:w="64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108,717</w:t>
            </w:r>
          </w:p>
        </w:tc>
      </w:tr>
      <w:tr>
        <w:trPr>
          <w:trHeight w:val="219"/>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 assumed**</w:t>
            </w:r>
          </w:p>
        </w:tc>
        <w:tc>
          <w:tcPr>
            <w:tcW w:w="3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11,283</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cash outflows</w:t>
            </w:r>
          </w:p>
        </w:tc>
        <w:tc>
          <w:tcPr>
            <w:tcW w:w="3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120,000</w:t>
            </w:r>
          </w:p>
        </w:tc>
      </w:tr>
      <w:tr>
        <w:trPr>
          <w:trHeight w:val="219"/>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r>
      <w:tr>
        <w:trPr>
          <w:trHeight w:val="253"/>
        </w:trPr>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outflows</w:t>
            </w:r>
          </w:p>
        </w:tc>
        <w:tc>
          <w:tcPr>
            <w:tcW w:w="3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116,002</w:t>
            </w:r>
          </w:p>
        </w:tc>
      </w:tr>
    </w:tbl>
    <w:p>
      <w:pPr>
        <w:spacing w:after="0" w:line="200" w:lineRule="exact"/>
        <w:rPr>
          <w:sz w:val="20"/>
          <w:szCs w:val="20"/>
          <w:color w:val="auto"/>
        </w:rPr>
      </w:pPr>
    </w:p>
    <w:p>
      <w:pPr>
        <w:jc w:val="both"/>
        <w:ind w:left="440" w:hanging="434"/>
        <w:spacing w:after="0" w:line="284" w:lineRule="auto"/>
        <w:tabs>
          <w:tab w:leader="none" w:pos="4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 working</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medical affairs, commercial and brand development teams within the life science industry.</w:t>
      </w:r>
    </w:p>
    <w:p>
      <w:pPr>
        <w:spacing w:after="0" w:line="6" w:lineRule="exact"/>
        <w:rPr>
          <w:sz w:val="20"/>
          <w:szCs w:val="20"/>
          <w:color w:val="auto"/>
        </w:rPr>
      </w:pPr>
    </w:p>
    <w:p>
      <w:pPr>
        <w:ind w:left="440" w:hanging="434"/>
        <w:spacing w:after="0" w:line="253" w:lineRule="auto"/>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made at acquisition date of $11.3 million were in respect of certain one-time liabilities at the acquisition date which have subsequently been discharged.</w:t>
      </w:r>
    </w:p>
    <w:p>
      <w:pPr>
        <w:spacing w:after="0" w:line="217"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The proforma effect of the MediMedia Pharma Solutions acquisition if completed on January 1, 2015 would have resulted in net revenue, net income and earnings per share for the fiscal years ended December 31, 2015 and December 31, 2014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40" w:type="dxa"/>
            <w:vAlign w:val="bottom"/>
            <w:gridSpan w:val="3"/>
          </w:tcPr>
          <w:p>
            <w:pPr>
              <w:jc w:val="center"/>
              <w:ind w:right="211"/>
              <w:spacing w:after="0"/>
              <w:rPr>
                <w:sz w:val="20"/>
                <w:szCs w:val="20"/>
                <w:color w:val="auto"/>
              </w:rPr>
            </w:pPr>
            <w:r>
              <w:rPr>
                <w:rFonts w:ascii="Arial" w:cs="Arial" w:eastAsia="Arial" w:hAnsi="Arial"/>
                <w:sz w:val="18"/>
                <w:szCs w:val="18"/>
                <w:b w:val="1"/>
                <w:bCs w:val="1"/>
                <w:color w:val="auto"/>
                <w:w w:val="88"/>
              </w:rPr>
              <w:t>Year Ended</w:t>
            </w:r>
          </w:p>
        </w:tc>
        <w:tc>
          <w:tcPr>
            <w:tcW w:w="114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40" w:type="dxa"/>
            <w:vAlign w:val="bottom"/>
            <w:gridSpan w:val="3"/>
          </w:tcPr>
          <w:p>
            <w:pPr>
              <w:jc w:val="center"/>
              <w:ind w:right="211"/>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140" w:type="dxa"/>
            <w:vAlign w:val="bottom"/>
            <w:gridSpan w:val="3"/>
          </w:tcPr>
          <w:p>
            <w:pPr>
              <w:jc w:val="center"/>
              <w:ind w:right="211"/>
              <w:spacing w:after="0"/>
              <w:rPr>
                <w:sz w:val="20"/>
                <w:szCs w:val="20"/>
                <w:color w:val="auto"/>
              </w:rPr>
            </w:pPr>
            <w:r>
              <w:rPr>
                <w:rFonts w:ascii="Arial" w:cs="Arial" w:eastAsia="Arial" w:hAnsi="Arial"/>
                <w:sz w:val="18"/>
                <w:szCs w:val="18"/>
                <w:b w:val="1"/>
                <w:bCs w:val="1"/>
                <w:color w:val="auto"/>
                <w:w w:val="87"/>
              </w:rPr>
              <w:t>(in thousands)</w:t>
            </w:r>
          </w:p>
        </w:tc>
        <w:tc>
          <w:tcPr>
            <w:tcW w:w="1140" w:type="dxa"/>
            <w:vAlign w:val="bottom"/>
          </w:tcPr>
          <w:p>
            <w:pPr>
              <w:spacing w:after="0"/>
              <w:rPr>
                <w:sz w:val="20"/>
                <w:szCs w:val="20"/>
                <w:color w:val="auto"/>
              </w:rPr>
            </w:pPr>
          </w:p>
        </w:tc>
      </w:tr>
      <w:tr>
        <w:trPr>
          <w:trHeight w:val="21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1,581,816</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1,556,936</w:t>
            </w:r>
          </w:p>
        </w:tc>
        <w:tc>
          <w:tcPr>
            <w:tcW w:w="1140" w:type="dxa"/>
            <w:vAlign w:val="bottom"/>
          </w:tcPr>
          <w:p>
            <w:pPr>
              <w:spacing w:after="0"/>
              <w:rPr>
                <w:sz w:val="18"/>
                <w:szCs w:val="18"/>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44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239,361</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179,289</w:t>
            </w:r>
          </w:p>
        </w:tc>
        <w:tc>
          <w:tcPr>
            <w:tcW w:w="1140" w:type="dxa"/>
            <w:vAlign w:val="bottom"/>
          </w:tcPr>
          <w:p>
            <w:pPr>
              <w:spacing w:after="0"/>
              <w:rPr>
                <w:sz w:val="18"/>
                <w:szCs w:val="18"/>
                <w:color w:val="auto"/>
              </w:rPr>
            </w:pPr>
          </w:p>
        </w:tc>
      </w:tr>
      <w:tr>
        <w:trPr>
          <w:trHeight w:val="21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140" w:type="dxa"/>
            <w:vAlign w:val="bottom"/>
          </w:tcPr>
          <w:p>
            <w:pPr>
              <w:spacing w:after="0"/>
              <w:rPr>
                <w:sz w:val="18"/>
                <w:szCs w:val="18"/>
                <w:color w:val="auto"/>
              </w:rPr>
            </w:pPr>
          </w:p>
        </w:tc>
      </w:tr>
      <w:tr>
        <w:trPr>
          <w:trHeight w:val="213"/>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4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3.97</w:t>
            </w:r>
          </w:p>
        </w:tc>
        <w:tc>
          <w:tcPr>
            <w:tcW w:w="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c>
          <w:tcPr>
            <w:tcW w:w="1140" w:type="dxa"/>
            <w:vAlign w:val="bottom"/>
          </w:tcPr>
          <w:p>
            <w:pPr>
              <w:spacing w:after="0"/>
              <w:rPr>
                <w:sz w:val="18"/>
                <w:szCs w:val="18"/>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90"/>
        </w:trPr>
        <w:tc>
          <w:tcPr>
            <w:tcW w:w="3740" w:type="dxa"/>
            <w:vAlign w:val="bottom"/>
          </w:tcPr>
          <w:p>
            <w:pPr>
              <w:spacing w:after="0"/>
              <w:rPr>
                <w:sz w:val="24"/>
                <w:szCs w:val="24"/>
                <w:color w:val="auto"/>
              </w:rPr>
            </w:pPr>
          </w:p>
        </w:tc>
        <w:tc>
          <w:tcPr>
            <w:tcW w:w="4400" w:type="dxa"/>
            <w:vAlign w:val="bottom"/>
          </w:tcPr>
          <w:p>
            <w:pPr>
              <w:jc w:val="right"/>
              <w:ind w:right="2251"/>
              <w:spacing w:after="0"/>
              <w:rPr>
                <w:sz w:val="20"/>
                <w:szCs w:val="20"/>
                <w:color w:val="auto"/>
              </w:rPr>
            </w:pPr>
            <w:r>
              <w:rPr>
                <w:rFonts w:ascii="Arial" w:cs="Arial" w:eastAsia="Arial" w:hAnsi="Arial"/>
                <w:sz w:val="18"/>
                <w:szCs w:val="18"/>
                <w:color w:val="auto"/>
              </w:rPr>
              <w:t>99</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374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color w:val="auto"/>
        </w:rPr>
        <w:t>(c) Acquisitions of Aptiv Solutions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May 7, 2014 the Company acquired 100% of the common stock of Aptiv Solutions (“Aptiv”), a global biopharmaceutical and medical device development services company and leader in adaptive clinical trials for cash consideration of $143.5 million, including certain payments to be made on behalf of the company on completion totaling $22.4 million. The acquisition agreement provided for working capital targets to be achieved. On March 25, 2015, the Company received $1.9 million in respect of these targets on completion of the working capital review. Aptiv offers full-service clinical trial consulting and regulatory support for drugs, medical devices and diagnostics with a specific focus on strategies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acquisition of Aptiv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fair values of the assets acquired and the liabilities assumed: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May</w:t>
            </w:r>
          </w:p>
        </w:tc>
        <w:tc>
          <w:tcPr>
            <w:tcW w:w="0" w:type="dxa"/>
            <w:vAlign w:val="bottom"/>
          </w:tcPr>
          <w:p>
            <w:pPr>
              <w:spacing w:after="0"/>
              <w:rPr>
                <w:sz w:val="1"/>
                <w:szCs w:val="1"/>
                <w:color w:val="auto"/>
              </w:rPr>
            </w:pPr>
          </w:p>
        </w:tc>
      </w:tr>
      <w:tr>
        <w:trPr>
          <w:trHeight w:val="213"/>
        </w:trPr>
        <w:tc>
          <w:tcPr>
            <w:tcW w:w="64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p>
        </w:tc>
        <w:tc>
          <w:tcPr>
            <w:tcW w:w="5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41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125,627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Order backlog</w:t>
            </w:r>
          </w:p>
        </w:tc>
        <w:tc>
          <w:tcPr>
            <w:tcW w:w="41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Accounts receivable</w:t>
            </w:r>
          </w:p>
        </w:tc>
        <w:tc>
          <w:tcPr>
            <w:tcW w:w="41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4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41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Accounts payable</w:t>
            </w:r>
          </w:p>
        </w:tc>
        <w:tc>
          <w:tcPr>
            <w:tcW w:w="4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Payments on account</w:t>
            </w:r>
          </w:p>
        </w:tc>
        <w:tc>
          <w:tcPr>
            <w:tcW w:w="4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4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notes payable**</w:t>
            </w:r>
          </w:p>
        </w:tc>
        <w:tc>
          <w:tcPr>
            <w:tcW w:w="4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119,137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4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4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Adjustments to cash consideration**</w:t>
            </w:r>
          </w:p>
        </w:tc>
        <w:tc>
          <w:tcPr>
            <w:tcW w:w="4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purchase consideration</w:t>
            </w:r>
          </w:p>
        </w:tc>
        <w:tc>
          <w:tcPr>
            <w:tcW w:w="4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Goodwill related to the US portion of the business acquired is tax deductible.</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**Adjustments to cash consideration represent certain one-time liabilities (including loan notes) identified at the acquisition date which have subsequently been paid.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2" w:name="page103"/>
    <w:bookmarkEnd w:id="102"/>
    <w:p>
      <w:pPr>
        <w:jc w:val="both"/>
        <w:spacing w:after="0" w:line="266" w:lineRule="auto"/>
        <w:rPr>
          <w:sz w:val="20"/>
          <w:szCs w:val="20"/>
          <w:color w:val="auto"/>
        </w:rPr>
      </w:pPr>
      <w:r>
        <w:rPr>
          <w:rFonts w:ascii="Arial" w:cs="Arial" w:eastAsia="Arial" w:hAnsi="Arial"/>
          <w:sz w:val="18"/>
          <w:szCs w:val="18"/>
          <w:color w:val="auto"/>
        </w:rPr>
        <w:t>The proforma effect of the Aptiv Solutions acquisition if completed on January 1, 2013 would have resulted in net revenue, net income and earnings per share for the fiscal years ended December 31, 2013 and December 31, 2014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gridSpan w:val="3"/>
          </w:tcPr>
          <w:p>
            <w:pPr>
              <w:jc w:val="center"/>
              <w:ind w:right="211"/>
              <w:spacing w:after="0"/>
              <w:rPr>
                <w:sz w:val="20"/>
                <w:szCs w:val="20"/>
                <w:color w:val="auto"/>
              </w:rPr>
            </w:pPr>
            <w:r>
              <w:rPr>
                <w:rFonts w:ascii="Arial" w:cs="Arial" w:eastAsia="Arial" w:hAnsi="Arial"/>
                <w:sz w:val="18"/>
                <w:szCs w:val="18"/>
                <w:b w:val="1"/>
                <w:bCs w:val="1"/>
                <w:color w:val="auto"/>
                <w:w w:val="88"/>
              </w:rPr>
              <w:t>Year Ended</w:t>
            </w:r>
          </w:p>
        </w:tc>
      </w:tr>
      <w:tr>
        <w:trPr>
          <w:trHeight w:val="213"/>
        </w:trPr>
        <w:tc>
          <w:tcPr>
            <w:tcW w:w="49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gridSpan w:val="3"/>
          </w:tcPr>
          <w:p>
            <w:pPr>
              <w:jc w:val="center"/>
              <w:ind w:right="211"/>
              <w:spacing w:after="0"/>
              <w:rPr>
                <w:sz w:val="20"/>
                <w:szCs w:val="20"/>
                <w:color w:val="auto"/>
              </w:rPr>
            </w:pPr>
            <w:r>
              <w:rPr>
                <w:rFonts w:ascii="Arial" w:cs="Arial" w:eastAsia="Arial" w:hAnsi="Arial"/>
                <w:sz w:val="18"/>
                <w:szCs w:val="18"/>
                <w:b w:val="1"/>
                <w:bCs w:val="1"/>
                <w:color w:val="auto"/>
                <w:w w:val="88"/>
              </w:rPr>
              <w:t>December 31,</w:t>
            </w:r>
          </w:p>
        </w:tc>
      </w:tr>
      <w:tr>
        <w:trPr>
          <w:trHeight w:val="213"/>
        </w:trPr>
        <w:tc>
          <w:tcPr>
            <w:tcW w:w="49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49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40" w:type="dxa"/>
            <w:vAlign w:val="bottom"/>
            <w:gridSpan w:val="3"/>
          </w:tcPr>
          <w:p>
            <w:pPr>
              <w:jc w:val="center"/>
              <w:ind w:right="211"/>
              <w:spacing w:after="0"/>
              <w:rPr>
                <w:sz w:val="20"/>
                <w:szCs w:val="20"/>
                <w:color w:val="auto"/>
              </w:rPr>
            </w:pPr>
            <w:r>
              <w:rPr>
                <w:rFonts w:ascii="Arial" w:cs="Arial" w:eastAsia="Arial" w:hAnsi="Arial"/>
                <w:sz w:val="18"/>
                <w:szCs w:val="18"/>
                <w:b w:val="1"/>
                <w:bCs w:val="1"/>
                <w:color w:val="auto"/>
                <w:w w:val="87"/>
              </w:rPr>
              <w:t>(in thousands)</w:t>
            </w: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1,543,820</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1,451,682</w:t>
            </w: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3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172,508</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101,857</w:t>
            </w: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3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w:t>
            </w:r>
          </w:p>
        </w:tc>
        <w:tc>
          <w:tcPr>
            <w:tcW w:w="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Acquisition of Clinical Trial Services Division of Cross Country Healthcare, Inc.</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15, 2013 the Company acquired the clinical trial services division of Cross Country Healthcare Inc. for an initial cash consideration of $51.9 million.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have been combined with ICON’s functional service provision (“FSP”) division, DOCS, creating a leader in global resourcing and FSP, while AKOS has enhanced the services offered by ICON’s medical and safety services team.</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acquisition agreement also provided for certain working capital targets to be achieved by the clinical trial services division of Cross Country Healthcare, Inc on completion. In October 2013 the Company received $0.2 million on completion of this review.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of the clinical trial services division of Cross Country Healthcare, Inc has been accounted for as a business combination in accordance with</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FASB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following table summarizes the estimated fair values of the assets acquired and the liabilities assumed: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w w:val="93"/>
              </w:rPr>
              <w:t>February 15,</w:t>
            </w:r>
          </w:p>
        </w:tc>
      </w:tr>
      <w:tr>
        <w:trPr>
          <w:trHeight w:val="213"/>
        </w:trPr>
        <w:tc>
          <w:tcPr>
            <w:tcW w:w="65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6540" w:type="dxa"/>
            <w:vAlign w:val="bottom"/>
          </w:tcPr>
          <w:p>
            <w:pPr>
              <w:spacing w:after="0"/>
              <w:rPr>
                <w:sz w:val="20"/>
                <w:szCs w:val="20"/>
                <w:color w:val="auto"/>
              </w:rPr>
            </w:pPr>
          </w:p>
        </w:tc>
        <w:tc>
          <w:tcPr>
            <w:tcW w:w="48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r>
      <w:tr>
        <w:trPr>
          <w:trHeight w:val="213"/>
        </w:trPr>
        <w:tc>
          <w:tcPr>
            <w:tcW w:w="6540" w:type="dxa"/>
            <w:vAlign w:val="bottom"/>
          </w:tcPr>
          <w:p>
            <w:pPr>
              <w:spacing w:after="0"/>
              <w:rPr>
                <w:sz w:val="20"/>
                <w:szCs w:val="20"/>
                <w:color w:val="auto"/>
              </w:rPr>
            </w:pPr>
            <w:r>
              <w:rPr>
                <w:rFonts w:ascii="Arial" w:cs="Arial" w:eastAsia="Arial" w:hAnsi="Arial"/>
                <w:sz w:val="18"/>
                <w:szCs w:val="18"/>
                <w:color w:val="auto"/>
              </w:rPr>
              <w:t>Goodwill*</w:t>
            </w:r>
          </w:p>
        </w:tc>
        <w:tc>
          <w:tcPr>
            <w:tcW w:w="376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36,922</w:t>
            </w:r>
          </w:p>
        </w:tc>
      </w:tr>
      <w:tr>
        <w:trPr>
          <w:trHeight w:val="21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3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3,300</w:t>
            </w:r>
          </w:p>
        </w:tc>
      </w:tr>
      <w:tr>
        <w:trPr>
          <w:trHeight w:val="213"/>
        </w:trPr>
        <w:tc>
          <w:tcPr>
            <w:tcW w:w="65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376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1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r>
      <w:tr>
        <w:trPr>
          <w:trHeight w:val="213"/>
        </w:trPr>
        <w:tc>
          <w:tcPr>
            <w:tcW w:w="6540" w:type="dxa"/>
            <w:vAlign w:val="bottom"/>
          </w:tcPr>
          <w:p>
            <w:pPr>
              <w:spacing w:after="0"/>
              <w:rPr>
                <w:sz w:val="20"/>
                <w:szCs w:val="20"/>
                <w:color w:val="auto"/>
              </w:rPr>
            </w:pPr>
            <w:r>
              <w:rPr>
                <w:rFonts w:ascii="Arial" w:cs="Arial" w:eastAsia="Arial" w:hAnsi="Arial"/>
                <w:sz w:val="18"/>
                <w:szCs w:val="18"/>
                <w:color w:val="auto"/>
              </w:rPr>
              <w:t>Accounts receivable</w:t>
            </w:r>
          </w:p>
        </w:tc>
        <w:tc>
          <w:tcPr>
            <w:tcW w:w="376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9,200</w:t>
            </w:r>
          </w:p>
        </w:tc>
      </w:tr>
      <w:tr>
        <w:trPr>
          <w:trHeight w:val="21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2,128</w:t>
            </w:r>
          </w:p>
        </w:tc>
      </w:tr>
      <w:tr>
        <w:trPr>
          <w:trHeight w:val="213"/>
        </w:trPr>
        <w:tc>
          <w:tcPr>
            <w:tcW w:w="65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76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465</w:t>
            </w:r>
          </w:p>
        </w:tc>
      </w:tr>
      <w:tr>
        <w:trPr>
          <w:trHeight w:val="21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13"/>
        </w:trPr>
        <w:tc>
          <w:tcPr>
            <w:tcW w:w="6540" w:type="dxa"/>
            <w:vAlign w:val="bottom"/>
          </w:tcPr>
          <w:p>
            <w:pPr>
              <w:spacing w:after="0"/>
              <w:rPr>
                <w:sz w:val="20"/>
                <w:szCs w:val="20"/>
                <w:color w:val="auto"/>
              </w:rPr>
            </w:pPr>
            <w:r>
              <w:rPr>
                <w:rFonts w:ascii="Arial" w:cs="Arial" w:eastAsia="Arial" w:hAnsi="Arial"/>
                <w:sz w:val="18"/>
                <w:szCs w:val="18"/>
                <w:color w:val="auto"/>
              </w:rPr>
              <w:t>Other liabilities</w:t>
            </w:r>
          </w:p>
        </w:tc>
        <w:tc>
          <w:tcPr>
            <w:tcW w:w="3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(2,285)</w:t>
            </w:r>
          </w:p>
        </w:tc>
      </w:tr>
      <w:tr>
        <w:trPr>
          <w:trHeight w:val="219"/>
        </w:trPr>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37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425"/>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51,698</w:t>
            </w: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5"/>
        </w:trPr>
        <w:tc>
          <w:tcPr>
            <w:tcW w:w="6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51,897</w:t>
            </w:r>
          </w:p>
        </w:tc>
      </w:tr>
      <w:tr>
        <w:trPr>
          <w:trHeight w:val="219"/>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53"/>
        </w:trPr>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purchase consideration</w:t>
            </w:r>
          </w:p>
        </w:tc>
        <w:tc>
          <w:tcPr>
            <w:tcW w:w="3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51,698</w:t>
            </w:r>
          </w:p>
        </w:tc>
      </w:tr>
    </w:tbl>
    <w:p>
      <w:pPr>
        <w:spacing w:after="0" w:line="227" w:lineRule="exact"/>
        <w:rPr>
          <w:sz w:val="20"/>
          <w:szCs w:val="20"/>
          <w:color w:val="auto"/>
        </w:rPr>
      </w:pPr>
    </w:p>
    <w:p>
      <w:pPr>
        <w:ind w:right="40" w:firstLine="6"/>
        <w:spacing w:after="0" w:line="329" w:lineRule="auto"/>
        <w:tabs>
          <w:tab w:leader="none" w:pos="133" w:val="left"/>
        </w:tabs>
        <w:numPr>
          <w:ilvl w:val="0"/>
          <w:numId w:val="61"/>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the clinical research industry, thereby allowing the Company to enhance its capabilities in global resourcing and FSP and also medical and safety services. Goodwill related to the US portion of the business acquired is tax deductible.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3" w:name="page104"/>
    <w:bookmarkEnd w:id="103"/>
    <w:p>
      <w:pPr>
        <w:jc w:val="both"/>
        <w:spacing w:after="0" w:line="295" w:lineRule="auto"/>
        <w:rPr>
          <w:sz w:val="20"/>
          <w:szCs w:val="20"/>
          <w:color w:val="auto"/>
        </w:rPr>
      </w:pPr>
      <w:r>
        <w:rPr>
          <w:rFonts w:ascii="Arial" w:cs="Arial" w:eastAsia="Arial" w:hAnsi="Arial"/>
          <w:sz w:val="17"/>
          <w:szCs w:val="17"/>
          <w:color w:val="auto"/>
        </w:rPr>
        <w:t>The proforma effect of the clinical trial services division of Cross Country Healthcare, Inc acquisition if completed on January 1, 2012 would have resulted in net revenue, net income and earnings per share for the fiscal years ended December 31, 2012 and December 31, 2013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40" w:type="dxa"/>
            <w:vAlign w:val="bottom"/>
            <w:gridSpan w:val="3"/>
          </w:tcPr>
          <w:p>
            <w:pPr>
              <w:jc w:val="center"/>
              <w:ind w:right="111"/>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3"/>
        </w:trPr>
        <w:tc>
          <w:tcPr>
            <w:tcW w:w="5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40" w:type="dxa"/>
            <w:vAlign w:val="bottom"/>
            <w:gridSpan w:val="3"/>
          </w:tcPr>
          <w:p>
            <w:pPr>
              <w:jc w:val="center"/>
              <w:ind w:right="111"/>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3"/>
        </w:trPr>
        <w:tc>
          <w:tcPr>
            <w:tcW w:w="5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1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40" w:type="dxa"/>
            <w:vAlign w:val="bottom"/>
            <w:gridSpan w:val="3"/>
          </w:tcPr>
          <w:p>
            <w:pPr>
              <w:jc w:val="center"/>
              <w:ind w:right="111"/>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1,343,996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1,182,734</w:t>
            </w: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3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103,133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58,944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3"/>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3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83"/>
        </w:trPr>
        <w:tc>
          <w:tcPr>
            <w:tcW w:w="5120" w:type="dxa"/>
            <w:vAlign w:val="bottom"/>
          </w:tcPr>
          <w:p>
            <w:pPr>
              <w:spacing w:after="0"/>
              <w:rPr>
                <w:sz w:val="20"/>
                <w:szCs w:val="20"/>
                <w:color w:val="auto"/>
              </w:rPr>
            </w:pPr>
            <w:r>
              <w:rPr>
                <w:rFonts w:ascii="Arial" w:cs="Arial" w:eastAsia="Arial" w:hAnsi="Arial"/>
                <w:sz w:val="18"/>
                <w:szCs w:val="18"/>
                <w:b w:val="1"/>
                <w:bCs w:val="1"/>
                <w:color w:val="auto"/>
              </w:rPr>
              <w:t>5. Intangible Assets</w:t>
            </w:r>
          </w:p>
        </w:tc>
        <w:tc>
          <w:tcPr>
            <w:tcW w:w="3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5"/>
        </w:trPr>
        <w:tc>
          <w:tcPr>
            <w:tcW w:w="5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40" w:type="dxa"/>
            <w:vAlign w:val="bottom"/>
            <w:gridSpan w:val="3"/>
          </w:tcPr>
          <w:p>
            <w:pPr>
              <w:jc w:val="right"/>
              <w:ind w:right="131"/>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w w:val="92"/>
              </w:rPr>
              <w:t>December 31,</w:t>
            </w:r>
          </w:p>
        </w:tc>
      </w:tr>
      <w:tr>
        <w:trPr>
          <w:trHeight w:val="213"/>
        </w:trPr>
        <w:tc>
          <w:tcPr>
            <w:tcW w:w="5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512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3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ind w:left="200"/>
              <w:spacing w:after="0"/>
              <w:rPr>
                <w:sz w:val="20"/>
                <w:szCs w:val="20"/>
                <w:color w:val="auto"/>
              </w:rPr>
            </w:pPr>
            <w:r>
              <w:rPr>
                <w:rFonts w:ascii="Arial" w:cs="Arial" w:eastAsia="Arial" w:hAnsi="Arial"/>
                <w:sz w:val="18"/>
                <w:szCs w:val="18"/>
                <w:b w:val="1"/>
                <w:bCs w:val="1"/>
                <w:color w:val="auto"/>
                <w:w w:val="91"/>
              </w:rPr>
              <w:t>(in thousands)</w:t>
            </w:r>
          </w:p>
        </w:tc>
        <w:tc>
          <w:tcPr>
            <w:tcW w:w="740" w:type="dxa"/>
            <w:vAlign w:val="bottom"/>
          </w:tcPr>
          <w:p>
            <w:pPr>
              <w:spacing w:after="0"/>
              <w:rPr>
                <w:sz w:val="20"/>
                <w:szCs w:val="20"/>
                <w:color w:val="auto"/>
              </w:rPr>
            </w:pP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acquired</w:t>
            </w:r>
          </w:p>
        </w:tc>
        <w:tc>
          <w:tcPr>
            <w:tcW w:w="30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90,541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36,130</w:t>
            </w: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Technology asset acquired</w:t>
            </w:r>
          </w:p>
        </w:tc>
        <w:tc>
          <w:tcPr>
            <w:tcW w:w="3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11,169</w:t>
            </w: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Order backlog</w:t>
            </w:r>
          </w:p>
        </w:tc>
        <w:tc>
          <w:tcPr>
            <w:tcW w:w="3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13,592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3,171</w:t>
            </w: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Tradenames acquired</w:t>
            </w:r>
          </w:p>
        </w:tc>
        <w:tc>
          <w:tcPr>
            <w:tcW w:w="3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1,357</w:t>
            </w: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Volunteer list acquired</w:t>
            </w:r>
          </w:p>
        </w:tc>
        <w:tc>
          <w:tcPr>
            <w:tcW w:w="3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Non-compete arrangements</w:t>
            </w:r>
          </w:p>
        </w:tc>
        <w:tc>
          <w:tcPr>
            <w:tcW w:w="3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489</w:t>
            </w: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Aptiv intangible asset</w:t>
            </w:r>
          </w:p>
        </w:tc>
        <w:tc>
          <w:tcPr>
            <w:tcW w:w="3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30,037</w:t>
            </w:r>
          </w:p>
        </w:tc>
      </w:tr>
      <w:tr>
        <w:trPr>
          <w:trHeight w:val="219"/>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(5,092)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r>
      <w:tr>
        <w:trPr>
          <w:trHeight w:val="21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5"/>
              </w:rPr>
              <w:t>113,381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80,909</w:t>
            </w: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(49,587)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(32,120)</w:t>
            </w:r>
          </w:p>
        </w:tc>
      </w:tr>
      <w:tr>
        <w:trPr>
          <w:trHeight w:val="219"/>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0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r>
      <w:tr>
        <w:trPr>
          <w:trHeight w:val="425"/>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book value</w:t>
            </w:r>
          </w:p>
        </w:tc>
        <w:tc>
          <w:tcPr>
            <w:tcW w:w="30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66,127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49,719</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4, 2015 the Company acquired PMG, an integrated network of 48 clinical research sites in North Carolina, South Carolina, Tennessee and Illinois. The site network includes wholly owned facilities and dedicated clinical research sites. PMG conducts clinical trials in all major therapeutic areas and has particular expertise in vaccine, gastroenterology, cardiovascular, neurology and endocrinology studies. The value of certain customer relationships identified of $10.3 million is being amortized over approximately 6 years, the estimated period of benefit. $170,000 has been amortized in the period since the date of acquisition.</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February 27, 2015 the Company acquired MediMedia Pharma Solutions.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value of certain customer relationships and order backlog identified of $22.8 million and $2.5 million respectively are being amortized over approximately 7 years and 1 year, the estimated period of benefit. $4.8 million has been amortized in the period since the date of acquisition.</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May 7, 2014 the Company acquired Aptiv Solutions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The value of certain customer relationships and order backlog identified of $21.4 million and $7.9 million respectively are being amortized over approximately 7 years and 3 years, the estimated period of benefit. $9,484,000 has been amortized in the period since the date of acquisition.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4" w:name="page105"/>
    <w:bookmarkEnd w:id="104"/>
    <w:p>
      <w:pPr>
        <w:jc w:val="both"/>
        <w:spacing w:after="0" w:line="251" w:lineRule="auto"/>
        <w:rPr>
          <w:sz w:val="20"/>
          <w:szCs w:val="20"/>
          <w:color w:val="auto"/>
        </w:rPr>
      </w:pPr>
      <w:r>
        <w:rPr>
          <w:rFonts w:ascii="Arial" w:cs="Arial" w:eastAsia="Arial" w:hAnsi="Arial"/>
          <w:sz w:val="18"/>
          <w:szCs w:val="18"/>
          <w:color w:val="auto"/>
        </w:rPr>
        <w:t>On February 15, 2013 the Company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(“FSP”). The value of certain customer relationships and order backlog identified of $3.3 million and $0.6 million respectively are being amortized over approximately 3 years and 1 year, the estimated period of benefit. $3,763,000 has been amortized in the period since the date of acquisition.</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28, 2012 the Company acquired PriceSpective, a strategy consulting company. The value of certain customer relationships identified of $10.2 million is being amortized over approximately 10 years, the estimated period of benefit. The value of order backlog and certain non-compete arrangements identified of $0.4 million and $0.4 million respectively are being amortized over approximately 0.8 and 3 years, the estimated period of benefit. $4,720,000 has been amortized in the period since the date of acquisition.</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15, 2012 the Company acquired BeijingWits Medical, a Chinese CRO. The value of certain customer relationships and order backlog identified of $1.8 million and $0.4 million respectively are being amortized over approximately 10 and 4 years, the estimated period of benefit. The value of certain non-compete arrangements identified of $0.01 million are being amortized over approximately 5 years, the estimated period of benefit. $1,136,000 has been amortized in the period since the date of acquisition.</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14, 2011 the Company acquired Firecrest Clinical Limited, a provider of technology solutions that boost investigator site performance and study management. The value of certain technology assets and customer relationships identified of $11.2 million and $5.2 million respectively are being amortized over approximately 7.5 years, the estimated period of benefit. The value of the Firecrest tradename and order backlog identified of $1.4 million and $1.2 million respectively are being amortized over approximately 4.5 and 1.2 years, the estimated period of benefit. $11,103,000 has been amortized in the period since the date of acquisition.</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14, 2011 the Company acquired Oxford Outcomes Limited, an international health outcomes consultancy business. The value of certain customer relationships and order backlog identified of $6.6 million and $0.6 million respectively are being amortized over approximately 6.5 and 2 years, the estimated period of benefit. $5,795,000 has been amortized in the period since the date of acquisition.</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14, 2008 the Company acquired Prevalere Life Sciences, a US provider of bioanalytical and immunoassay laboratory services. The value of certain customer relationships identified of $7.4 million is being amortized over periods ranging from approximately 7 to 11 years, the estimated period of the benefit. $5,792,000 has been amortized in the period since the date of acquisition.</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11, 2008 the Company acquired Healthcare Discoveries, a US provider of Phase I clinical trial services. The value of certain client relationships identified of $1.6 million is being amortized over periods ranging from approximately 2 to 9 years, the estimated periods of benefit. The value of certain volunteer lists identified of $1.3 million is being amortized over approximately 6 years, the estimated period of benefit. $2,812,000 has been amortized in the period since the date of acquisition.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Future intangible asset amortization expense for the years ended December 31, 2016 to December 31, 2020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Year ended</w:t>
            </w:r>
          </w:p>
        </w:tc>
      </w:tr>
      <w:tr>
        <w:trPr>
          <w:trHeight w:val="213"/>
        </w:trPr>
        <w:tc>
          <w:tcPr>
            <w:tcW w:w="29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30"/>
        </w:trPr>
        <w:tc>
          <w:tcPr>
            <w:tcW w:w="2980" w:type="dxa"/>
            <w:vAlign w:val="bottom"/>
          </w:tcPr>
          <w:p>
            <w:pPr>
              <w:spacing w:after="0"/>
              <w:rPr>
                <w:sz w:val="20"/>
                <w:szCs w:val="20"/>
                <w:color w:val="auto"/>
              </w:rPr>
            </w:pPr>
          </w:p>
        </w:tc>
        <w:tc>
          <w:tcPr>
            <w:tcW w:w="844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2980" w:type="dxa"/>
            <w:vAlign w:val="bottom"/>
            <w:shd w:val="clear" w:color="auto" w:fill="CCEEFF"/>
          </w:tcPr>
          <w:p>
            <w:pPr>
              <w:jc w:val="right"/>
              <w:ind w:right="2531"/>
              <w:spacing w:after="0"/>
              <w:rPr>
                <w:sz w:val="20"/>
                <w:szCs w:val="20"/>
                <w:color w:val="auto"/>
              </w:rPr>
            </w:pPr>
            <w:r>
              <w:rPr>
                <w:rFonts w:ascii="Arial" w:cs="Arial" w:eastAsia="Arial" w:hAnsi="Arial"/>
                <w:sz w:val="18"/>
                <w:szCs w:val="18"/>
                <w:color w:val="auto"/>
                <w:w w:val="84"/>
              </w:rPr>
              <w:t>2016</w:t>
            </w:r>
          </w:p>
        </w:tc>
        <w:tc>
          <w:tcPr>
            <w:tcW w:w="7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15,599</w:t>
            </w:r>
          </w:p>
        </w:tc>
      </w:tr>
      <w:tr>
        <w:trPr>
          <w:trHeight w:val="213"/>
        </w:trPr>
        <w:tc>
          <w:tcPr>
            <w:tcW w:w="2980" w:type="dxa"/>
            <w:vAlign w:val="bottom"/>
          </w:tcPr>
          <w:p>
            <w:pPr>
              <w:jc w:val="right"/>
              <w:ind w:right="2531"/>
              <w:spacing w:after="0"/>
              <w:rPr>
                <w:sz w:val="20"/>
                <w:szCs w:val="20"/>
                <w:color w:val="auto"/>
              </w:rPr>
            </w:pPr>
            <w:r>
              <w:rPr>
                <w:rFonts w:ascii="Arial" w:cs="Arial" w:eastAsia="Arial" w:hAnsi="Arial"/>
                <w:sz w:val="18"/>
                <w:szCs w:val="18"/>
                <w:color w:val="auto"/>
                <w:w w:val="84"/>
              </w:rPr>
              <w:t>2017</w:t>
            </w:r>
          </w:p>
        </w:tc>
        <w:tc>
          <w:tcPr>
            <w:tcW w:w="7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12,451</w:t>
            </w:r>
          </w:p>
        </w:tc>
      </w:tr>
      <w:tr>
        <w:trPr>
          <w:trHeight w:val="213"/>
        </w:trPr>
        <w:tc>
          <w:tcPr>
            <w:tcW w:w="2980" w:type="dxa"/>
            <w:vAlign w:val="bottom"/>
            <w:shd w:val="clear" w:color="auto" w:fill="CCEEFF"/>
          </w:tcPr>
          <w:p>
            <w:pPr>
              <w:jc w:val="right"/>
              <w:ind w:right="2531"/>
              <w:spacing w:after="0"/>
              <w:rPr>
                <w:sz w:val="20"/>
                <w:szCs w:val="20"/>
                <w:color w:val="auto"/>
              </w:rPr>
            </w:pPr>
            <w:r>
              <w:rPr>
                <w:rFonts w:ascii="Arial" w:cs="Arial" w:eastAsia="Arial" w:hAnsi="Arial"/>
                <w:sz w:val="18"/>
                <w:szCs w:val="18"/>
                <w:color w:val="auto"/>
                <w:w w:val="84"/>
              </w:rPr>
              <w:t>2018</w:t>
            </w:r>
          </w:p>
        </w:tc>
        <w:tc>
          <w:tcPr>
            <w:tcW w:w="7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11,034</w:t>
            </w:r>
          </w:p>
        </w:tc>
      </w:tr>
      <w:tr>
        <w:trPr>
          <w:trHeight w:val="213"/>
        </w:trPr>
        <w:tc>
          <w:tcPr>
            <w:tcW w:w="2980" w:type="dxa"/>
            <w:vAlign w:val="bottom"/>
          </w:tcPr>
          <w:p>
            <w:pPr>
              <w:jc w:val="right"/>
              <w:ind w:right="2531"/>
              <w:spacing w:after="0"/>
              <w:rPr>
                <w:sz w:val="20"/>
                <w:szCs w:val="20"/>
                <w:color w:val="auto"/>
              </w:rPr>
            </w:pPr>
            <w:r>
              <w:rPr>
                <w:rFonts w:ascii="Arial" w:cs="Arial" w:eastAsia="Arial" w:hAnsi="Arial"/>
                <w:sz w:val="18"/>
                <w:szCs w:val="18"/>
                <w:color w:val="auto"/>
                <w:w w:val="84"/>
              </w:rPr>
              <w:t>2019</w:t>
            </w:r>
          </w:p>
        </w:tc>
        <w:tc>
          <w:tcPr>
            <w:tcW w:w="7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9,494</w:t>
            </w:r>
          </w:p>
        </w:tc>
      </w:tr>
      <w:tr>
        <w:trPr>
          <w:trHeight w:val="219"/>
        </w:trPr>
        <w:tc>
          <w:tcPr>
            <w:tcW w:w="2980" w:type="dxa"/>
            <w:vAlign w:val="bottom"/>
            <w:tcBorders>
              <w:bottom w:val="single" w:sz="8" w:color="auto"/>
            </w:tcBorders>
            <w:shd w:val="clear" w:color="auto" w:fill="CCEEFF"/>
          </w:tcPr>
          <w:p>
            <w:pPr>
              <w:jc w:val="right"/>
              <w:ind w:right="2531"/>
              <w:spacing w:after="0"/>
              <w:rPr>
                <w:sz w:val="20"/>
                <w:szCs w:val="20"/>
                <w:color w:val="auto"/>
              </w:rPr>
            </w:pPr>
            <w:r>
              <w:rPr>
                <w:rFonts w:ascii="Arial" w:cs="Arial" w:eastAsia="Arial" w:hAnsi="Arial"/>
                <w:sz w:val="18"/>
                <w:szCs w:val="18"/>
                <w:color w:val="auto"/>
                <w:w w:val="84"/>
              </w:rPr>
              <w:t>2020</w:t>
            </w:r>
          </w:p>
        </w:tc>
        <w:tc>
          <w:tcPr>
            <w:tcW w:w="7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9,215</w:t>
            </w:r>
          </w:p>
        </w:tc>
      </w:tr>
      <w:tr>
        <w:trPr>
          <w:trHeight w:val="213"/>
        </w:trPr>
        <w:tc>
          <w:tcPr>
            <w:tcW w:w="298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57,793</w:t>
            </w: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90"/>
        </w:trPr>
        <w:tc>
          <w:tcPr>
            <w:tcW w:w="2980" w:type="dxa"/>
            <w:vAlign w:val="bottom"/>
          </w:tcPr>
          <w:p>
            <w:pPr>
              <w:spacing w:after="0"/>
              <w:rPr>
                <w:sz w:val="24"/>
                <w:szCs w:val="24"/>
                <w:color w:val="auto"/>
              </w:rPr>
            </w:pPr>
          </w:p>
        </w:tc>
        <w:tc>
          <w:tcPr>
            <w:tcW w:w="7300" w:type="dxa"/>
            <w:vAlign w:val="bottom"/>
          </w:tcPr>
          <w:p>
            <w:pPr>
              <w:jc w:val="right"/>
              <w:ind w:right="4351"/>
              <w:spacing w:after="0"/>
              <w:rPr>
                <w:sz w:val="20"/>
                <w:szCs w:val="20"/>
                <w:color w:val="auto"/>
              </w:rPr>
            </w:pPr>
            <w:r>
              <w:rPr>
                <w:rFonts w:ascii="Arial" w:cs="Arial" w:eastAsia="Arial" w:hAnsi="Arial"/>
                <w:sz w:val="18"/>
                <w:szCs w:val="18"/>
                <w:color w:val="auto"/>
              </w:rPr>
              <w:t>103</w:t>
            </w:r>
          </w:p>
        </w:tc>
        <w:tc>
          <w:tcPr>
            <w:tcW w:w="1140" w:type="dxa"/>
            <w:vAlign w:val="bottom"/>
          </w:tcPr>
          <w:p>
            <w:pPr>
              <w:spacing w:after="0"/>
              <w:rPr>
                <w:sz w:val="24"/>
                <w:szCs w:val="24"/>
                <w:color w:val="auto"/>
              </w:rPr>
            </w:pPr>
          </w:p>
        </w:tc>
      </w:tr>
      <w:tr>
        <w:trPr>
          <w:trHeight w:val="117"/>
        </w:trPr>
        <w:tc>
          <w:tcPr>
            <w:tcW w:w="2980" w:type="dxa"/>
            <w:vAlign w:val="bottom"/>
            <w:tcBorders>
              <w:bottom w:val="single" w:sz="8" w:color="808080"/>
            </w:tcBorders>
          </w:tcPr>
          <w:p>
            <w:pPr>
              <w:spacing w:after="0"/>
              <w:rPr>
                <w:sz w:val="10"/>
                <w:szCs w:val="10"/>
                <w:color w:val="auto"/>
              </w:rPr>
            </w:pPr>
          </w:p>
        </w:tc>
        <w:tc>
          <w:tcPr>
            <w:tcW w:w="73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8"/>
                <w:szCs w:val="18"/>
                <w:color w:val="auto"/>
              </w:rPr>
              <w:t>Land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3,464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3,464</w:t>
            </w:r>
          </w:p>
        </w:tc>
      </w:tr>
      <w:tr>
        <w:trPr>
          <w:trHeight w:val="21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80,861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88,580</w:t>
            </w:r>
          </w:p>
        </w:tc>
      </w:tr>
      <w:tr>
        <w:trPr>
          <w:trHeight w:val="213"/>
        </w:trPr>
        <w:tc>
          <w:tcPr>
            <w:tcW w:w="88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282,909</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247,980</w:t>
            </w:r>
          </w:p>
        </w:tc>
      </w:tr>
      <w:tr>
        <w:trPr>
          <w:trHeight w:val="21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65,152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64,690</w:t>
            </w:r>
          </w:p>
        </w:tc>
      </w:tr>
      <w:tr>
        <w:trPr>
          <w:trHeight w:val="213"/>
        </w:trPr>
        <w:tc>
          <w:tcPr>
            <w:tcW w:w="8800" w:type="dxa"/>
            <w:vAlign w:val="bottom"/>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31,098</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23,599</w:t>
            </w:r>
          </w:p>
        </w:tc>
      </w:tr>
      <w:tr>
        <w:trPr>
          <w:trHeight w:val="21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20,647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19,516</w:t>
            </w:r>
          </w:p>
        </w:tc>
      </w:tr>
      <w:tr>
        <w:trPr>
          <w:trHeight w:val="219"/>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Motor vehicles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r>
      <w:tr>
        <w:trPr>
          <w:trHeight w:val="213"/>
        </w:trPr>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484,178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447,876</w:t>
            </w:r>
          </w:p>
        </w:tc>
      </w:tr>
      <w:tr>
        <w:trPr>
          <w:trHeight w:val="219"/>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 and asset write offs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(333,960)</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(299,691)</w:t>
            </w:r>
          </w:p>
        </w:tc>
      </w:tr>
      <w:tr>
        <w:trPr>
          <w:trHeight w:val="213"/>
        </w:trPr>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150,218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148,185</w:t>
            </w:r>
          </w:p>
        </w:tc>
      </w:tr>
      <w:tr>
        <w:trPr>
          <w:trHeight w:val="20"/>
        </w:trPr>
        <w:tc>
          <w:tcPr>
            <w:tcW w:w="8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4"/>
        </w:trPr>
        <w:tc>
          <w:tcPr>
            <w:tcW w:w="8800" w:type="dxa"/>
            <w:vAlign w:val="bottom"/>
          </w:tcPr>
          <w:p>
            <w:pPr>
              <w:spacing w:after="0"/>
              <w:rPr>
                <w:sz w:val="20"/>
                <w:szCs w:val="20"/>
                <w:color w:val="auto"/>
              </w:rPr>
            </w:pPr>
            <w:r>
              <w:rPr>
                <w:rFonts w:ascii="Arial" w:cs="Arial" w:eastAsia="Arial" w:hAnsi="Arial"/>
                <w:sz w:val="18"/>
                <w:szCs w:val="18"/>
                <w:b w:val="1"/>
                <w:bCs w:val="1"/>
                <w:color w:val="auto"/>
              </w:rPr>
              <w:t>7. Other Liabilities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159,339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167,362</w:t>
            </w:r>
          </w:p>
        </w:tc>
      </w:tr>
      <w:tr>
        <w:trPr>
          <w:trHeight w:val="213"/>
        </w:trPr>
        <w:tc>
          <w:tcPr>
            <w:tcW w:w="8800" w:type="dxa"/>
            <w:vAlign w:val="bottom"/>
          </w:tcPr>
          <w:p>
            <w:pPr>
              <w:spacing w:after="0"/>
              <w:rPr>
                <w:sz w:val="20"/>
                <w:szCs w:val="20"/>
                <w:color w:val="auto"/>
              </w:rPr>
            </w:pPr>
            <w:r>
              <w:rPr>
                <w:rFonts w:ascii="Arial" w:cs="Arial" w:eastAsia="Arial" w:hAnsi="Arial"/>
                <w:sz w:val="18"/>
                <w:szCs w:val="18"/>
                <w:color w:val="auto"/>
              </w:rPr>
              <w:t>Facility related liabilities</w:t>
            </w:r>
          </w:p>
        </w:tc>
        <w:tc>
          <w:tcPr>
            <w:tcW w:w="1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22,517</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19,862</w:t>
            </w:r>
          </w:p>
        </w:tc>
      </w:tr>
      <w:tr>
        <w:trPr>
          <w:trHeight w:val="21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General overhead liabilities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29,257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33,422</w:t>
            </w:r>
          </w:p>
        </w:tc>
      </w:tr>
      <w:tr>
        <w:trPr>
          <w:trHeight w:val="213"/>
        </w:trPr>
        <w:tc>
          <w:tcPr>
            <w:tcW w:w="880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18,607</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26,631</w:t>
            </w:r>
          </w:p>
        </w:tc>
      </w:tr>
      <w:tr>
        <w:trPr>
          <w:trHeight w:val="21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Short term government grants (note 11)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19"/>
        </w:trPr>
        <w:tc>
          <w:tcPr>
            <w:tcW w:w="8800" w:type="dxa"/>
            <w:vAlign w:val="bottom"/>
          </w:tcPr>
          <w:p>
            <w:pPr>
              <w:spacing w:after="0"/>
              <w:rPr>
                <w:sz w:val="20"/>
                <w:szCs w:val="20"/>
                <w:color w:val="auto"/>
              </w:rPr>
            </w:pPr>
            <w:r>
              <w:rPr>
                <w:rFonts w:ascii="Arial" w:cs="Arial" w:eastAsia="Arial" w:hAnsi="Arial"/>
                <w:sz w:val="18"/>
                <w:szCs w:val="18"/>
                <w:color w:val="auto"/>
              </w:rPr>
              <w:t>Restructuring and other items (note 14)</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2,116</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3,704</w:t>
            </w:r>
          </w:p>
        </w:tc>
      </w:tr>
      <w:tr>
        <w:trPr>
          <w:trHeight w:val="253"/>
        </w:trPr>
        <w:tc>
          <w:tcPr>
            <w:tcW w:w="88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231,879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251,091</w:t>
            </w:r>
          </w:p>
        </w:tc>
      </w:tr>
      <w:tr>
        <w:trPr>
          <w:trHeight w:val="444"/>
        </w:trPr>
        <w:tc>
          <w:tcPr>
            <w:tcW w:w="8800" w:type="dxa"/>
            <w:vAlign w:val="bottom"/>
          </w:tcPr>
          <w:p>
            <w:pPr>
              <w:spacing w:after="0"/>
              <w:rPr>
                <w:sz w:val="20"/>
                <w:szCs w:val="20"/>
                <w:color w:val="auto"/>
              </w:rPr>
            </w:pPr>
            <w:r>
              <w:rPr>
                <w:rFonts w:ascii="Arial" w:cs="Arial" w:eastAsia="Arial" w:hAnsi="Arial"/>
                <w:sz w:val="18"/>
                <w:szCs w:val="18"/>
                <w:b w:val="1"/>
                <w:bCs w:val="1"/>
                <w:color w:val="auto"/>
              </w:rPr>
              <w:t>8. Other Non-Current Liabilities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 (note 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3,187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1,059</w:t>
            </w:r>
          </w:p>
        </w:tc>
      </w:tr>
      <w:tr>
        <w:trPr>
          <w:trHeight w:val="213"/>
        </w:trPr>
        <w:tc>
          <w:tcPr>
            <w:tcW w:w="8800" w:type="dxa"/>
            <w:vAlign w:val="bottom"/>
          </w:tcPr>
          <w:p>
            <w:pPr>
              <w:spacing w:after="0"/>
              <w:rPr>
                <w:sz w:val="20"/>
                <w:szCs w:val="20"/>
                <w:color w:val="auto"/>
              </w:rPr>
            </w:pPr>
            <w:r>
              <w:rPr>
                <w:rFonts w:ascii="Arial" w:cs="Arial" w:eastAsia="Arial" w:hAnsi="Arial"/>
                <w:sz w:val="18"/>
                <w:szCs w:val="18"/>
                <w:color w:val="auto"/>
              </w:rPr>
              <w:t>Defined benefit pension obligations, net (note 9)</w:t>
            </w:r>
          </w:p>
        </w:tc>
        <w:tc>
          <w:tcPr>
            <w:tcW w:w="1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4,002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7,466</w:t>
            </w:r>
          </w:p>
        </w:tc>
      </w:tr>
      <w:tr>
        <w:trPr>
          <w:trHeight w:val="219"/>
        </w:trPr>
        <w:tc>
          <w:tcPr>
            <w:tcW w:w="8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5,035</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4,654</w:t>
            </w:r>
          </w:p>
        </w:tc>
      </w:tr>
      <w:tr>
        <w:trPr>
          <w:trHeight w:val="213"/>
        </w:trPr>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88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12,224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13,179</w:t>
            </w:r>
          </w:p>
        </w:tc>
      </w:tr>
    </w:tbl>
    <w:p>
      <w:pPr>
        <w:jc w:val="both"/>
        <w:ind w:right="60"/>
        <w:spacing w:after="0" w:line="251" w:lineRule="auto"/>
        <w:rPr>
          <w:sz w:val="20"/>
          <w:szCs w:val="20"/>
          <w:color w:val="auto"/>
        </w:rPr>
      </w:pPr>
      <w:r>
        <w:rPr>
          <w:rFonts w:ascii="Arial" w:cs="Arial" w:eastAsia="Arial" w:hAnsi="Arial"/>
          <w:sz w:val="18"/>
          <w:szCs w:val="18"/>
          <w:color w:val="auto"/>
        </w:rPr>
        <w:t>*An amount of $764,000 was included within other liabilities in respect of the Company’s Swiss pension plan at December 31, 2014. The total pension liability recorded at December 31, 2014 was $1,823,000.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9. Employee Benefits</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6% of the participant's annual compensation. Contributions to the plan are recorded, as an expense in the Consolidated Statement of Operations. Contributions for the years ended December 31, 2013, December 31, 2014 and December 31, 2015 were $20,293,000, $22,582,000 and $21,874,000 respectively.</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December 31, 2013, December 31, 2014 and December 31, 2015 were $9,816,000, $10,514,000 and $12,802,000 respectively.</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One of the Company’s subsidiaries,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2015, December 31, 2014 and December 31, 2013, consist of units held in independently administered funds. The pension costs of this plan are presented in the following tables in accordance with the requirements of ASC 715-60, </w:t>
      </w:r>
      <w:r>
        <w:rPr>
          <w:rFonts w:ascii="Arial" w:cs="Arial" w:eastAsia="Arial" w:hAnsi="Arial"/>
          <w:sz w:val="18"/>
          <w:szCs w:val="18"/>
          <w:i w:val="1"/>
          <w:iCs w:val="1"/>
          <w:color w:val="auto"/>
        </w:rPr>
        <w:t>Defined Benefit Plans – Other Postretirement</w:t>
      </w:r>
      <w:r>
        <w:rPr>
          <w:rFonts w:ascii="Arial" w:cs="Arial" w:eastAsia="Arial" w:hAnsi="Arial"/>
          <w:sz w:val="18"/>
          <w:szCs w:val="18"/>
          <w:color w:val="auto"/>
        </w:rPr>
        <w:t>. The plan has been closed to new entrants with effect from July 1,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20"/>
                <w:szCs w:val="20"/>
                <w:color w:val="auto"/>
              </w:rPr>
            </w:pPr>
            <w:r>
              <w:rPr>
                <w:rFonts w:ascii="Arial" w:cs="Arial" w:eastAsia="Arial" w:hAnsi="Arial"/>
                <w:sz w:val="18"/>
                <w:szCs w:val="18"/>
                <w:b w:val="1"/>
                <w:bCs w:val="1"/>
                <w:color w:val="auto"/>
              </w:rPr>
              <w:t>Change in benefit obligation</w:t>
            </w:r>
          </w:p>
        </w:tc>
        <w:tc>
          <w:tcPr>
            <w:tcW w:w="30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5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58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32,875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24,958</w:t>
            </w:r>
          </w:p>
        </w:tc>
      </w:tr>
      <w:tr>
        <w:trPr>
          <w:trHeight w:val="213"/>
        </w:trPr>
        <w:tc>
          <w:tcPr>
            <w:tcW w:w="5840" w:type="dxa"/>
            <w:vAlign w:val="bottom"/>
          </w:tcPr>
          <w:p>
            <w:pPr>
              <w:spacing w:after="0"/>
              <w:rPr>
                <w:sz w:val="20"/>
                <w:szCs w:val="20"/>
                <w:color w:val="auto"/>
              </w:rPr>
            </w:pPr>
            <w:r>
              <w:rPr>
                <w:rFonts w:ascii="Arial" w:cs="Arial" w:eastAsia="Arial" w:hAnsi="Arial"/>
                <w:sz w:val="18"/>
                <w:szCs w:val="18"/>
                <w:color w:val="auto"/>
              </w:rPr>
              <w:t>Service cost</w:t>
            </w:r>
          </w:p>
        </w:tc>
        <w:tc>
          <w:tcPr>
            <w:tcW w:w="30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1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0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1,140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1,235</w:t>
            </w:r>
          </w:p>
        </w:tc>
      </w:tr>
      <w:tr>
        <w:trPr>
          <w:trHeight w:val="213"/>
        </w:trPr>
        <w:tc>
          <w:tcPr>
            <w:tcW w:w="584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30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1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Plan curtailments</w:t>
            </w:r>
          </w:p>
        </w:tc>
        <w:tc>
          <w:tcPr>
            <w:tcW w:w="30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r>
      <w:tr>
        <w:trPr>
          <w:trHeight w:val="213"/>
        </w:trPr>
        <w:tc>
          <w:tcPr>
            <w:tcW w:w="5840" w:type="dxa"/>
            <w:vAlign w:val="bottom"/>
          </w:tcPr>
          <w:p>
            <w:pPr>
              <w:spacing w:after="0"/>
              <w:rPr>
                <w:sz w:val="20"/>
                <w:szCs w:val="20"/>
                <w:color w:val="auto"/>
              </w:rPr>
            </w:pPr>
            <w:r>
              <w:rPr>
                <w:rFonts w:ascii="Arial" w:cs="Arial" w:eastAsia="Arial" w:hAnsi="Arial"/>
                <w:sz w:val="18"/>
                <w:szCs w:val="18"/>
                <w:color w:val="auto"/>
              </w:rPr>
              <w:t>Benefits paid</w:t>
            </w:r>
          </w:p>
        </w:tc>
        <w:tc>
          <w:tcPr>
            <w:tcW w:w="30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Actuarial (gain)/loss</w:t>
            </w:r>
          </w:p>
        </w:tc>
        <w:tc>
          <w:tcPr>
            <w:tcW w:w="30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8,270</w:t>
            </w:r>
          </w:p>
        </w:tc>
      </w:tr>
      <w:tr>
        <w:trPr>
          <w:trHeight w:val="219"/>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rate changes</w:t>
            </w:r>
          </w:p>
        </w:tc>
        <w:tc>
          <w:tcPr>
            <w:tcW w:w="30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r>
      <w:tr>
        <w:trPr>
          <w:trHeight w:val="465"/>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27,369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32,875</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29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0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6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25,409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21,422</w:t>
            </w:r>
          </w:p>
        </w:tc>
      </w:tr>
      <w:tr>
        <w:trPr>
          <w:trHeight w:val="213"/>
        </w:trPr>
        <w:tc>
          <w:tcPr>
            <w:tcW w:w="60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9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5,424</w:t>
            </w:r>
          </w:p>
        </w:tc>
      </w:tr>
      <w:tr>
        <w:trPr>
          <w:trHeight w:val="21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13"/>
        </w:trPr>
        <w:tc>
          <w:tcPr>
            <w:tcW w:w="60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9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1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9"/>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rate changes</w:t>
            </w:r>
          </w:p>
        </w:tc>
        <w:tc>
          <w:tcPr>
            <w:tcW w:w="2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r>
      <w:tr>
        <w:trPr>
          <w:trHeight w:val="465"/>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2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23,367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25,409</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20"/>
                <w:szCs w:val="20"/>
                <w:color w:val="auto"/>
              </w:rPr>
            </w:pPr>
            <w:r>
              <w:rPr>
                <w:rFonts w:ascii="Arial" w:cs="Arial" w:eastAsia="Arial" w:hAnsi="Arial"/>
                <w:sz w:val="18"/>
                <w:szCs w:val="18"/>
                <w:b w:val="1"/>
                <w:bCs w:val="1"/>
                <w:color w:val="auto"/>
              </w:rPr>
              <w:t>Funded status</w:t>
            </w:r>
          </w:p>
        </w:tc>
        <w:tc>
          <w:tcPr>
            <w:tcW w:w="32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57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57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(32,875)</w:t>
            </w:r>
          </w:p>
        </w:tc>
      </w:tr>
      <w:tr>
        <w:trPr>
          <w:trHeight w:val="219"/>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3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23,367</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25,409</w:t>
            </w:r>
          </w:p>
        </w:tc>
      </w:tr>
      <w:tr>
        <w:trPr>
          <w:trHeight w:val="465"/>
        </w:trPr>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Funded status</w:t>
            </w:r>
          </w:p>
        </w:tc>
        <w:tc>
          <w:tcPr>
            <w:tcW w:w="3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(7,466)</w:t>
            </w:r>
          </w:p>
        </w:tc>
      </w:tr>
      <w:tr>
        <w:trPr>
          <w:trHeight w:val="206"/>
        </w:trPr>
        <w:tc>
          <w:tcPr>
            <w:tcW w:w="57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3"/>
        </w:trPr>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other liabilities (note 8)</w:t>
            </w:r>
          </w:p>
        </w:tc>
        <w:tc>
          <w:tcPr>
            <w:tcW w:w="3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(7,466)</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recorded in the consolidated statement of operations as components of the net periodic benefit cost: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48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48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Interest cost</w:t>
            </w:r>
          </w:p>
        </w:tc>
        <w:tc>
          <w:tcPr>
            <w:tcW w:w="27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1,235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1,005</w:t>
            </w:r>
          </w:p>
        </w:tc>
      </w:tr>
      <w:tr>
        <w:trPr>
          <w:trHeight w:val="21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13"/>
        </w:trPr>
        <w:tc>
          <w:tcPr>
            <w:tcW w:w="480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27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19"/>
        </w:trPr>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Curtailment loss</w:t>
            </w:r>
          </w:p>
        </w:tc>
        <w:tc>
          <w:tcPr>
            <w:tcW w:w="2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425"/>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periodic benefit cost</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781</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403</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assumptions were used at the commencement of the year in determining the net periodic pension benefit cost for the years ended December 31, 2013, December 31, 2014 and December 31, 2015:</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660" w:type="dxa"/>
            <w:vAlign w:val="bottom"/>
          </w:tcPr>
          <w:p>
            <w:pPr>
              <w:jc w:val="right"/>
              <w:ind w:right="151"/>
              <w:spacing w:after="0"/>
              <w:rPr>
                <w:sz w:val="20"/>
                <w:szCs w:val="20"/>
                <w:color w:val="auto"/>
              </w:rPr>
            </w:pPr>
            <w:r>
              <w:rPr>
                <w:rFonts w:ascii="Arial" w:cs="Arial" w:eastAsia="Arial" w:hAnsi="Arial"/>
                <w:sz w:val="18"/>
                <w:szCs w:val="18"/>
                <w:b w:val="1"/>
                <w:bCs w:val="1"/>
                <w:color w:val="auto"/>
              </w:rPr>
              <w:t>December 31,</w:t>
            </w:r>
          </w:p>
        </w:tc>
        <w:tc>
          <w:tcPr>
            <w:tcW w:w="1400" w:type="dxa"/>
            <w:vAlign w:val="bottom"/>
          </w:tcPr>
          <w:p>
            <w:pPr>
              <w:jc w:val="right"/>
              <w:ind w:right="171"/>
              <w:spacing w:after="0"/>
              <w:rPr>
                <w:sz w:val="20"/>
                <w:szCs w:val="20"/>
                <w:color w:val="auto"/>
              </w:rPr>
            </w:pPr>
            <w:r>
              <w:rPr>
                <w:rFonts w:ascii="Arial" w:cs="Arial" w:eastAsia="Arial" w:hAnsi="Arial"/>
                <w:sz w:val="18"/>
                <w:szCs w:val="18"/>
                <w:b w:val="1"/>
                <w:bCs w:val="1"/>
                <w:color w:val="auto"/>
                <w:w w:val="95"/>
              </w:rPr>
              <w:t>December 31,</w:t>
            </w:r>
          </w:p>
        </w:tc>
        <w:tc>
          <w:tcPr>
            <w:tcW w:w="1300" w:type="dxa"/>
            <w:vAlign w:val="bottom"/>
          </w:tcPr>
          <w:p>
            <w:pPr>
              <w:jc w:val="right"/>
              <w:ind w:right="71"/>
              <w:spacing w:after="0"/>
              <w:rPr>
                <w:sz w:val="20"/>
                <w:szCs w:val="20"/>
                <w:color w:val="auto"/>
              </w:rPr>
            </w:pPr>
            <w:r>
              <w:rPr>
                <w:rFonts w:ascii="Arial" w:cs="Arial" w:eastAsia="Arial" w:hAnsi="Arial"/>
                <w:sz w:val="18"/>
                <w:szCs w:val="18"/>
                <w:b w:val="1"/>
                <w:bCs w:val="1"/>
                <w:color w:val="auto"/>
                <w:w w:val="95"/>
              </w:rPr>
              <w:t>December 31,</w:t>
            </w:r>
          </w:p>
        </w:tc>
      </w:tr>
      <w:tr>
        <w:trPr>
          <w:trHeight w:val="230"/>
        </w:trPr>
        <w:tc>
          <w:tcPr>
            <w:tcW w:w="5060" w:type="dxa"/>
            <w:vAlign w:val="bottom"/>
          </w:tcPr>
          <w:p>
            <w:pPr>
              <w:spacing w:after="0"/>
              <w:rPr>
                <w:sz w:val="20"/>
                <w:szCs w:val="20"/>
                <w:color w:val="auto"/>
              </w:rPr>
            </w:pPr>
          </w:p>
        </w:tc>
        <w:tc>
          <w:tcPr>
            <w:tcW w:w="3660" w:type="dxa"/>
            <w:vAlign w:val="bottom"/>
          </w:tcPr>
          <w:p>
            <w:pPr>
              <w:jc w:val="right"/>
              <w:ind w:right="151"/>
              <w:spacing w:after="0"/>
              <w:rPr>
                <w:sz w:val="20"/>
                <w:szCs w:val="20"/>
                <w:color w:val="auto"/>
              </w:rPr>
            </w:pPr>
            <w:r>
              <w:rPr>
                <w:rFonts w:ascii="Arial" w:cs="Arial" w:eastAsia="Arial" w:hAnsi="Arial"/>
                <w:sz w:val="18"/>
                <w:szCs w:val="18"/>
                <w:b w:val="1"/>
                <w:bCs w:val="1"/>
                <w:color w:val="auto"/>
              </w:rPr>
              <w:t>2015</w:t>
            </w:r>
          </w:p>
        </w:tc>
        <w:tc>
          <w:tcPr>
            <w:tcW w:w="1400" w:type="dxa"/>
            <w:vAlign w:val="bottom"/>
          </w:tcPr>
          <w:p>
            <w:pPr>
              <w:jc w:val="right"/>
              <w:ind w:right="171"/>
              <w:spacing w:after="0"/>
              <w:rPr>
                <w:sz w:val="20"/>
                <w:szCs w:val="20"/>
                <w:color w:val="auto"/>
              </w:rPr>
            </w:pPr>
            <w:r>
              <w:rPr>
                <w:rFonts w:ascii="Arial" w:cs="Arial" w:eastAsia="Arial" w:hAnsi="Arial"/>
                <w:sz w:val="18"/>
                <w:szCs w:val="18"/>
                <w:b w:val="1"/>
                <w:bCs w:val="1"/>
                <w:color w:val="auto"/>
              </w:rPr>
              <w:t>2014</w:t>
            </w:r>
          </w:p>
        </w:tc>
        <w:tc>
          <w:tcPr>
            <w:tcW w:w="1300" w:type="dxa"/>
            <w:vAlign w:val="bottom"/>
          </w:tcPr>
          <w:p>
            <w:pPr>
              <w:jc w:val="right"/>
              <w:ind w:right="71"/>
              <w:spacing w:after="0"/>
              <w:rPr>
                <w:sz w:val="20"/>
                <w:szCs w:val="20"/>
                <w:color w:val="auto"/>
              </w:rPr>
            </w:pPr>
            <w:r>
              <w:rPr>
                <w:rFonts w:ascii="Arial" w:cs="Arial" w:eastAsia="Arial" w:hAnsi="Arial"/>
                <w:sz w:val="18"/>
                <w:szCs w:val="18"/>
                <w:b w:val="1"/>
                <w:bCs w:val="1"/>
                <w:color w:val="auto"/>
              </w:rPr>
              <w:t>2013</w:t>
            </w:r>
          </w:p>
        </w:tc>
      </w:tr>
      <w:tr>
        <w:trPr>
          <w:trHeight w:val="21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3"/>
        </w:trPr>
        <w:tc>
          <w:tcPr>
            <w:tcW w:w="50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366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3"/>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rate of return on plan assets</w:t>
            </w:r>
          </w:p>
        </w:tc>
        <w:tc>
          <w:tcPr>
            <w:tcW w:w="3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120" w:type="dxa"/>
            <w:vAlign w:val="bottom"/>
          </w:tcPr>
          <w:p>
            <w:pPr>
              <w:spacing w:after="0"/>
              <w:rPr>
                <w:sz w:val="18"/>
                <w:szCs w:val="18"/>
                <w:color w:val="auto"/>
              </w:rPr>
            </w:pPr>
          </w:p>
        </w:tc>
        <w:tc>
          <w:tcPr>
            <w:tcW w:w="2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December 31, December 31,</w:t>
            </w:r>
          </w:p>
        </w:tc>
        <w:tc>
          <w:tcPr>
            <w:tcW w:w="14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5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20" w:type="dxa"/>
            <w:vAlign w:val="bottom"/>
            <w:gridSpan w:val="2"/>
          </w:tcPr>
          <w:p>
            <w:pPr>
              <w:jc w:val="right"/>
              <w:ind w:right="191"/>
              <w:spacing w:after="0"/>
              <w:rPr>
                <w:sz w:val="20"/>
                <w:szCs w:val="20"/>
                <w:color w:val="auto"/>
              </w:rPr>
            </w:pPr>
            <w:r>
              <w:rPr>
                <w:rFonts w:ascii="Arial" w:cs="Arial" w:eastAsia="Arial" w:hAnsi="Arial"/>
                <w:sz w:val="18"/>
                <w:szCs w:val="18"/>
                <w:b w:val="1"/>
                <w:bCs w:val="1"/>
                <w:color w:val="auto"/>
              </w:rPr>
              <w:t>2015</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5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Actuarial (gain)/loss - benefit obligation</w:t>
            </w:r>
          </w:p>
        </w:tc>
        <w:tc>
          <w:tcPr>
            <w:tcW w:w="2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r>
      <w:tr>
        <w:trPr>
          <w:trHeight w:val="213"/>
        </w:trPr>
        <w:tc>
          <w:tcPr>
            <w:tcW w:w="5600" w:type="dxa"/>
            <w:vAlign w:val="bottom"/>
          </w:tcPr>
          <w:p>
            <w:pPr>
              <w:spacing w:after="0"/>
              <w:rPr>
                <w:sz w:val="20"/>
                <w:szCs w:val="20"/>
                <w:color w:val="auto"/>
              </w:rPr>
            </w:pPr>
            <w:r>
              <w:rPr>
                <w:rFonts w:ascii="Arial" w:cs="Arial" w:eastAsia="Arial" w:hAnsi="Arial"/>
                <w:sz w:val="18"/>
                <w:szCs w:val="18"/>
                <w:color w:val="auto"/>
              </w:rPr>
              <w:t>Actuarial loss/(gain) – plan assets</w:t>
            </w:r>
          </w:p>
        </w:tc>
        <w:tc>
          <w:tcPr>
            <w:tcW w:w="212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384</w:t>
            </w:r>
          </w:p>
        </w:tc>
        <w:tc>
          <w:tcPr>
            <w:tcW w:w="5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(4,125)</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(1,933)</w:t>
            </w:r>
          </w:p>
        </w:tc>
      </w:tr>
      <w:tr>
        <w:trPr>
          <w:trHeight w:val="21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recognized in net periodic benefit cost</w:t>
            </w:r>
          </w:p>
        </w:tc>
        <w:tc>
          <w:tcPr>
            <w:tcW w:w="2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425"/>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estimated net gain and prior service cost for the defined benefit pension plan that will be amortized from accumulated other comprehensive income into net periodic benefit cost over the next year are $nil and $nil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accumulated other comprehensive income that have not yet been recognized as components of net periodic benefit cost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34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31,</w:t>
            </w:r>
          </w:p>
        </w:tc>
        <w:tc>
          <w:tcPr>
            <w:tcW w:w="3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31,</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31,</w:t>
            </w:r>
          </w:p>
        </w:tc>
      </w:tr>
      <w:tr>
        <w:trPr>
          <w:trHeight w:val="213"/>
        </w:trPr>
        <w:tc>
          <w:tcPr>
            <w:tcW w:w="34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34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9"/>
              </w:rPr>
              <w:t>(in thousands)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0"/>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4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2,281</w:t>
            </w:r>
          </w:p>
        </w:tc>
        <w:tc>
          <w:tcPr>
            <w:tcW w:w="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6,113</w:t>
            </w:r>
          </w:p>
        </w:tc>
        <w:tc>
          <w:tcPr>
            <w:tcW w:w="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1,988</w:t>
            </w:r>
          </w:p>
        </w:tc>
      </w:tr>
      <w:tr>
        <w:trPr>
          <w:trHeight w:val="425"/>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2,281</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6,113</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1,988</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90"/>
        </w:trPr>
        <w:tc>
          <w:tcPr>
            <w:tcW w:w="3400" w:type="dxa"/>
            <w:vAlign w:val="bottom"/>
          </w:tcPr>
          <w:p>
            <w:pPr>
              <w:spacing w:after="0"/>
              <w:rPr>
                <w:sz w:val="24"/>
                <w:szCs w:val="24"/>
                <w:color w:val="auto"/>
              </w:rPr>
            </w:pPr>
          </w:p>
        </w:tc>
        <w:tc>
          <w:tcPr>
            <w:tcW w:w="4280" w:type="dxa"/>
            <w:vAlign w:val="bottom"/>
          </w:tcPr>
          <w:p>
            <w:pPr>
              <w:jc w:val="right"/>
              <w:ind w:right="1751"/>
              <w:spacing w:after="0"/>
              <w:rPr>
                <w:sz w:val="20"/>
                <w:szCs w:val="20"/>
                <w:color w:val="auto"/>
              </w:rPr>
            </w:pPr>
            <w:r>
              <w:rPr>
                <w:rFonts w:ascii="Arial" w:cs="Arial" w:eastAsia="Arial" w:hAnsi="Arial"/>
                <w:sz w:val="18"/>
                <w:szCs w:val="18"/>
                <w:color w:val="auto"/>
              </w:rPr>
              <w:t>106</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7"/>
        </w:trPr>
        <w:tc>
          <w:tcPr>
            <w:tcW w:w="340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color w:val="auto"/>
              </w:rPr>
              <w:t>Benefit Obligation</w:t>
            </w:r>
          </w:p>
        </w:tc>
        <w:tc>
          <w:tcPr>
            <w:tcW w:w="19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52"/>
        </w:trPr>
        <w:tc>
          <w:tcPr>
            <w:tcW w:w="7660" w:type="dxa"/>
            <w:vAlign w:val="bottom"/>
          </w:tcPr>
          <w:p>
            <w:pPr>
              <w:spacing w:after="0"/>
              <w:rPr>
                <w:sz w:val="20"/>
                <w:szCs w:val="20"/>
                <w:color w:val="auto"/>
              </w:rPr>
            </w:pPr>
            <w:r>
              <w:rPr>
                <w:rFonts w:ascii="Arial" w:cs="Arial" w:eastAsia="Arial" w:hAnsi="Arial"/>
                <w:sz w:val="18"/>
                <w:szCs w:val="18"/>
                <w:color w:val="auto"/>
                <w:w w:val="98"/>
              </w:rPr>
              <w:t>The following assumptions were used in determining the benefit obligation at December 31, 2015:</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5"/>
        </w:trPr>
        <w:tc>
          <w:tcPr>
            <w:tcW w:w="7660" w:type="dxa"/>
            <w:vAlign w:val="bottom"/>
          </w:tcPr>
          <w:p>
            <w:pPr>
              <w:spacing w:after="0"/>
              <w:rPr>
                <w:sz w:val="24"/>
                <w:szCs w:val="24"/>
                <w:color w:val="auto"/>
              </w:rPr>
            </w:pPr>
          </w:p>
        </w:tc>
        <w:tc>
          <w:tcPr>
            <w:tcW w:w="1920" w:type="dxa"/>
            <w:vAlign w:val="bottom"/>
          </w:tcPr>
          <w:p>
            <w:pPr>
              <w:jc w:val="right"/>
              <w:ind w:right="151"/>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jc w:val="right"/>
              <w:ind w:right="71"/>
              <w:spacing w:after="0"/>
              <w:rPr>
                <w:sz w:val="20"/>
                <w:szCs w:val="20"/>
                <w:color w:val="auto"/>
              </w:rPr>
            </w:pPr>
            <w:r>
              <w:rPr>
                <w:rFonts w:ascii="Arial" w:cs="Arial" w:eastAsia="Arial" w:hAnsi="Arial"/>
                <w:sz w:val="18"/>
                <w:szCs w:val="18"/>
                <w:b w:val="1"/>
                <w:bCs w:val="1"/>
                <w:color w:val="auto"/>
                <w:w w:val="93"/>
              </w:rPr>
              <w:t>December 31,</w:t>
            </w:r>
          </w:p>
        </w:tc>
      </w:tr>
      <w:tr>
        <w:trPr>
          <w:trHeight w:val="230"/>
        </w:trPr>
        <w:tc>
          <w:tcPr>
            <w:tcW w:w="7660" w:type="dxa"/>
            <w:vAlign w:val="bottom"/>
          </w:tcPr>
          <w:p>
            <w:pPr>
              <w:spacing w:after="0"/>
              <w:rPr>
                <w:sz w:val="20"/>
                <w:szCs w:val="20"/>
                <w:color w:val="auto"/>
              </w:rPr>
            </w:pPr>
          </w:p>
        </w:tc>
        <w:tc>
          <w:tcPr>
            <w:tcW w:w="1920" w:type="dxa"/>
            <w:vAlign w:val="bottom"/>
          </w:tcPr>
          <w:p>
            <w:pPr>
              <w:jc w:val="right"/>
              <w:ind w:right="151"/>
              <w:spacing w:after="0"/>
              <w:rPr>
                <w:sz w:val="20"/>
                <w:szCs w:val="20"/>
                <w:color w:val="auto"/>
              </w:rPr>
            </w:pPr>
            <w:r>
              <w:rPr>
                <w:rFonts w:ascii="Arial" w:cs="Arial" w:eastAsia="Arial" w:hAnsi="Arial"/>
                <w:sz w:val="18"/>
                <w:szCs w:val="18"/>
                <w:b w:val="1"/>
                <w:bCs w:val="1"/>
                <w:color w:val="auto"/>
              </w:rPr>
              <w:t>2015</w:t>
            </w:r>
          </w:p>
        </w:tc>
        <w:tc>
          <w:tcPr>
            <w:tcW w:w="1280" w:type="dxa"/>
            <w:vAlign w:val="bottom"/>
          </w:tcPr>
          <w:p>
            <w:pPr>
              <w:jc w:val="right"/>
              <w:ind w:right="71"/>
              <w:spacing w:after="0"/>
              <w:rPr>
                <w:sz w:val="20"/>
                <w:szCs w:val="20"/>
                <w:color w:val="auto"/>
              </w:rPr>
            </w:pPr>
            <w:r>
              <w:rPr>
                <w:rFonts w:ascii="Arial" w:cs="Arial" w:eastAsia="Arial" w:hAnsi="Arial"/>
                <w:sz w:val="18"/>
                <w:szCs w:val="18"/>
                <w:b w:val="1"/>
                <w:bCs w:val="1"/>
                <w:color w:val="auto"/>
              </w:rPr>
              <w:t>2014</w:t>
            </w:r>
          </w:p>
        </w:tc>
      </w:tr>
      <w:tr>
        <w:trPr>
          <w:trHeight w:val="213"/>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compensation increase</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discount rate is determined by reference to UK long dated government and corporate bond yields at the balance sheet date. This is represented by the iboxx corporate bond over 15 year index plus 30 basis points.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assets of the scheme are invested with Legal and General and held in a combination of the Active Corporate Bond over 10 Year fund, Gilt, and Index Linked Gilt funds. The overall investment strategy is that approximately 70% of investments are in government bonds (both fixed interest and index linked) and approximately 30% of investments are held in corporate bonds. There is no self-investment in employer related assets. The expected long-term rate of return on assets at December 31, 2015 of 3.0% was calculated as the value of the fund after application of a market value reduction factor. The expected long term rates of return on different asset classes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5300" w:type="dxa"/>
            <w:vAlign w:val="bottom"/>
          </w:tcPr>
          <w:p>
            <w:pPr>
              <w:jc w:val="right"/>
              <w:ind w:right="71"/>
              <w:spacing w:after="0"/>
              <w:rPr>
                <w:sz w:val="20"/>
                <w:szCs w:val="20"/>
                <w:color w:val="auto"/>
              </w:rPr>
            </w:pPr>
            <w:r>
              <w:rPr>
                <w:rFonts w:ascii="Arial" w:cs="Arial" w:eastAsia="Arial" w:hAnsi="Arial"/>
                <w:sz w:val="18"/>
                <w:szCs w:val="18"/>
                <w:b w:val="1"/>
                <w:bCs w:val="1"/>
                <w:color w:val="auto"/>
              </w:rPr>
              <w:t>Expected</w:t>
            </w:r>
          </w:p>
        </w:tc>
      </w:tr>
      <w:tr>
        <w:trPr>
          <w:trHeight w:val="213"/>
        </w:trPr>
        <w:tc>
          <w:tcPr>
            <w:tcW w:w="5560" w:type="dxa"/>
            <w:vAlign w:val="bottom"/>
          </w:tcPr>
          <w:p>
            <w:pPr>
              <w:spacing w:after="0"/>
              <w:rPr>
                <w:sz w:val="18"/>
                <w:szCs w:val="18"/>
                <w:color w:val="auto"/>
              </w:rPr>
            </w:pPr>
          </w:p>
        </w:tc>
        <w:tc>
          <w:tcPr>
            <w:tcW w:w="5300" w:type="dxa"/>
            <w:vAlign w:val="bottom"/>
          </w:tcPr>
          <w:p>
            <w:pPr>
              <w:jc w:val="right"/>
              <w:ind w:right="71"/>
              <w:spacing w:after="0"/>
              <w:rPr>
                <w:sz w:val="20"/>
                <w:szCs w:val="20"/>
                <w:color w:val="auto"/>
              </w:rPr>
            </w:pPr>
            <w:r>
              <w:rPr>
                <w:rFonts w:ascii="Arial" w:cs="Arial" w:eastAsia="Arial" w:hAnsi="Arial"/>
                <w:sz w:val="18"/>
                <w:szCs w:val="18"/>
                <w:b w:val="1"/>
                <w:bCs w:val="1"/>
                <w:color w:val="auto"/>
              </w:rPr>
              <w:t>long-term</w:t>
            </w:r>
          </w:p>
        </w:tc>
      </w:tr>
      <w:tr>
        <w:trPr>
          <w:trHeight w:val="213"/>
        </w:trPr>
        <w:tc>
          <w:tcPr>
            <w:tcW w:w="556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5300" w:type="dxa"/>
            <w:vAlign w:val="bottom"/>
          </w:tcPr>
          <w:p>
            <w:pPr>
              <w:jc w:val="right"/>
              <w:ind w:right="71"/>
              <w:spacing w:after="0"/>
              <w:rPr>
                <w:sz w:val="20"/>
                <w:szCs w:val="20"/>
                <w:color w:val="auto"/>
              </w:rPr>
            </w:pPr>
            <w:r>
              <w:rPr>
                <w:rFonts w:ascii="Arial" w:cs="Arial" w:eastAsia="Arial" w:hAnsi="Arial"/>
                <w:sz w:val="18"/>
                <w:szCs w:val="18"/>
                <w:b w:val="1"/>
                <w:bCs w:val="1"/>
                <w:color w:val="auto"/>
              </w:rPr>
              <w:t>return per</w:t>
            </w:r>
          </w:p>
        </w:tc>
      </w:tr>
      <w:tr>
        <w:trPr>
          <w:trHeight w:val="230"/>
        </w:trPr>
        <w:tc>
          <w:tcPr>
            <w:tcW w:w="5560" w:type="dxa"/>
            <w:vAlign w:val="bottom"/>
          </w:tcPr>
          <w:p>
            <w:pPr>
              <w:spacing w:after="0"/>
              <w:rPr>
                <w:sz w:val="20"/>
                <w:szCs w:val="20"/>
                <w:color w:val="auto"/>
              </w:rPr>
            </w:pPr>
          </w:p>
        </w:tc>
        <w:tc>
          <w:tcPr>
            <w:tcW w:w="5300" w:type="dxa"/>
            <w:vAlign w:val="bottom"/>
          </w:tcPr>
          <w:p>
            <w:pPr>
              <w:jc w:val="right"/>
              <w:ind w:right="71"/>
              <w:spacing w:after="0"/>
              <w:rPr>
                <w:sz w:val="20"/>
                <w:szCs w:val="20"/>
                <w:color w:val="auto"/>
              </w:rPr>
            </w:pPr>
            <w:r>
              <w:rPr>
                <w:rFonts w:ascii="Arial" w:cs="Arial" w:eastAsia="Arial" w:hAnsi="Arial"/>
                <w:sz w:val="18"/>
                <w:szCs w:val="18"/>
                <w:b w:val="1"/>
                <w:bCs w:val="1"/>
                <w:color w:val="auto"/>
              </w:rPr>
              <w:t>annum</w:t>
            </w:r>
          </w:p>
        </w:tc>
      </w:tr>
      <w:tr>
        <w:trPr>
          <w:trHeight w:val="21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5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4"/>
        </w:trPr>
        <w:tc>
          <w:tcPr>
            <w:tcW w:w="5560" w:type="dxa"/>
            <w:vAlign w:val="bottom"/>
          </w:tcPr>
          <w:p>
            <w:pPr>
              <w:spacing w:after="0"/>
              <w:rPr>
                <w:sz w:val="20"/>
                <w:szCs w:val="20"/>
                <w:color w:val="auto"/>
              </w:rPr>
            </w:pPr>
            <w:r>
              <w:rPr>
                <w:rFonts w:ascii="Arial" w:cs="Arial" w:eastAsia="Arial" w:hAnsi="Arial"/>
                <w:sz w:val="18"/>
                <w:szCs w:val="18"/>
                <w:color w:val="auto"/>
              </w:rPr>
              <w:t>Gilts</w:t>
            </w:r>
          </w:p>
        </w:tc>
        <w:tc>
          <w:tcPr>
            <w:tcW w:w="53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long-term expected return on corporate bonds and gilts (fixed interest and index linked) is determined by reference to bond yields and gilt yields at the balance sheet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80" w:type="dxa"/>
            <w:vAlign w:val="bottom"/>
          </w:tcPr>
          <w:p>
            <w:pPr>
              <w:spacing w:after="0"/>
              <w:rPr>
                <w:sz w:val="20"/>
                <w:szCs w:val="20"/>
                <w:color w:val="auto"/>
              </w:rPr>
            </w:pPr>
            <w:r>
              <w:rPr>
                <w:rFonts w:ascii="Arial" w:cs="Arial" w:eastAsia="Arial" w:hAnsi="Arial"/>
                <w:sz w:val="18"/>
                <w:szCs w:val="18"/>
                <w:color w:val="auto"/>
              </w:rPr>
              <w:t>The underlying asset split of the fund is shown below.</w:t>
            </w:r>
          </w:p>
        </w:tc>
        <w:tc>
          <w:tcPr>
            <w:tcW w:w="35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35"/>
        </w:trPr>
        <w:tc>
          <w:tcPr>
            <w:tcW w:w="608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3500" w:type="dxa"/>
            <w:vAlign w:val="bottom"/>
          </w:tcPr>
          <w:p>
            <w:pPr>
              <w:jc w:val="right"/>
              <w:ind w:right="151"/>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jc w:val="right"/>
              <w:ind w:right="71"/>
              <w:spacing w:after="0"/>
              <w:rPr>
                <w:sz w:val="20"/>
                <w:szCs w:val="20"/>
                <w:color w:val="auto"/>
              </w:rPr>
            </w:pPr>
            <w:r>
              <w:rPr>
                <w:rFonts w:ascii="Arial" w:cs="Arial" w:eastAsia="Arial" w:hAnsi="Arial"/>
                <w:sz w:val="18"/>
                <w:szCs w:val="18"/>
                <w:b w:val="1"/>
                <w:bCs w:val="1"/>
                <w:color w:val="auto"/>
                <w:w w:val="93"/>
              </w:rPr>
              <w:t>December 31,</w:t>
            </w:r>
          </w:p>
        </w:tc>
      </w:tr>
      <w:tr>
        <w:trPr>
          <w:trHeight w:val="230"/>
        </w:trPr>
        <w:tc>
          <w:tcPr>
            <w:tcW w:w="6080" w:type="dxa"/>
            <w:vAlign w:val="bottom"/>
          </w:tcPr>
          <w:p>
            <w:pPr>
              <w:spacing w:after="0"/>
              <w:rPr>
                <w:sz w:val="20"/>
                <w:szCs w:val="20"/>
                <w:color w:val="auto"/>
              </w:rPr>
            </w:pPr>
          </w:p>
        </w:tc>
        <w:tc>
          <w:tcPr>
            <w:tcW w:w="3500" w:type="dxa"/>
            <w:vAlign w:val="bottom"/>
          </w:tcPr>
          <w:p>
            <w:pPr>
              <w:jc w:val="right"/>
              <w:ind w:right="151"/>
              <w:spacing w:after="0"/>
              <w:rPr>
                <w:sz w:val="20"/>
                <w:szCs w:val="20"/>
                <w:color w:val="auto"/>
              </w:rPr>
            </w:pPr>
            <w:r>
              <w:rPr>
                <w:rFonts w:ascii="Arial" w:cs="Arial" w:eastAsia="Arial" w:hAnsi="Arial"/>
                <w:sz w:val="18"/>
                <w:szCs w:val="18"/>
                <w:b w:val="1"/>
                <w:bCs w:val="1"/>
                <w:color w:val="auto"/>
              </w:rPr>
              <w:t>2015</w:t>
            </w:r>
          </w:p>
        </w:tc>
        <w:tc>
          <w:tcPr>
            <w:tcW w:w="1280" w:type="dxa"/>
            <w:vAlign w:val="bottom"/>
          </w:tcPr>
          <w:p>
            <w:pPr>
              <w:jc w:val="right"/>
              <w:ind w:right="71"/>
              <w:spacing w:after="0"/>
              <w:rPr>
                <w:sz w:val="20"/>
                <w:szCs w:val="20"/>
                <w:color w:val="auto"/>
              </w:rPr>
            </w:pPr>
            <w:r>
              <w:rPr>
                <w:rFonts w:ascii="Arial" w:cs="Arial" w:eastAsia="Arial" w:hAnsi="Arial"/>
                <w:sz w:val="18"/>
                <w:szCs w:val="18"/>
                <w:b w:val="1"/>
                <w:bCs w:val="1"/>
                <w:color w:val="auto"/>
              </w:rPr>
              <w:t>2014</w:t>
            </w:r>
          </w:p>
        </w:tc>
      </w:tr>
      <w:tr>
        <w:trPr>
          <w:trHeight w:val="21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9"/>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Gilts</w:t>
            </w:r>
          </w:p>
        </w:tc>
        <w:tc>
          <w:tcPr>
            <w:tcW w:w="3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53"/>
        </w:trPr>
        <w:tc>
          <w:tcPr>
            <w:tcW w:w="6080" w:type="dxa"/>
            <w:vAlign w:val="bottom"/>
            <w:tcBorders>
              <w:bottom w:val="single" w:sz="8" w:color="auto"/>
            </w:tcBorders>
            <w:shd w:val="clear" w:color="auto" w:fill="CCEEFF"/>
          </w:tcPr>
          <w:p>
            <w:pPr>
              <w:spacing w:after="0"/>
              <w:rPr>
                <w:sz w:val="21"/>
                <w:szCs w:val="21"/>
                <w:color w:val="auto"/>
              </w:rPr>
            </w:pPr>
          </w:p>
        </w:tc>
        <w:tc>
          <w:tcPr>
            <w:tcW w:w="3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51" w:lineRule="auto"/>
        <w:rPr>
          <w:sz w:val="20"/>
          <w:szCs w:val="20"/>
          <w:color w:val="auto"/>
        </w:rPr>
      </w:pPr>
      <w:r>
        <w:rPr>
          <w:rFonts w:ascii="Arial" w:cs="Arial" w:eastAsia="Arial" w:hAnsi="Arial"/>
          <w:sz w:val="18"/>
          <w:szCs w:val="18"/>
          <w:color w:val="auto"/>
        </w:rPr>
        <w:t>Applying the above expected long term rates of return to the asset distribution at December 31, 2015, gives rise to an expected overall rate of return of scheme assets of approximately 3.0% per annum.</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Plan Asset Fair Value Measurements</w:t>
            </w:r>
          </w:p>
        </w:tc>
        <w:tc>
          <w:tcPr>
            <w:tcW w:w="4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35"/>
        </w:trPr>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560" w:type="dxa"/>
            <w:vAlign w:val="bottom"/>
            <w:gridSpan w:val="4"/>
          </w:tcPr>
          <w:p>
            <w:pPr>
              <w:jc w:val="center"/>
              <w:ind w:left="3751"/>
              <w:spacing w:after="0"/>
              <w:rPr>
                <w:sz w:val="20"/>
                <w:szCs w:val="20"/>
                <w:color w:val="auto"/>
              </w:rPr>
            </w:pPr>
            <w:r>
              <w:rPr>
                <w:rFonts w:ascii="Arial" w:cs="Arial" w:eastAsia="Arial" w:hAnsi="Arial"/>
                <w:sz w:val="18"/>
                <w:szCs w:val="18"/>
                <w:b w:val="1"/>
                <w:bCs w:val="1"/>
                <w:color w:val="auto"/>
                <w:w w:val="90"/>
              </w:rPr>
              <w:t>Quoted Prices in Active Markets</w:t>
            </w:r>
          </w:p>
        </w:tc>
      </w:tr>
      <w:tr>
        <w:trPr>
          <w:trHeight w:val="213"/>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900" w:type="dxa"/>
            <w:vAlign w:val="bottom"/>
            <w:gridSpan w:val="2"/>
          </w:tcPr>
          <w:p>
            <w:pPr>
              <w:jc w:val="center"/>
              <w:ind w:left="331"/>
              <w:spacing w:after="0"/>
              <w:rPr>
                <w:sz w:val="20"/>
                <w:szCs w:val="20"/>
                <w:color w:val="auto"/>
              </w:rPr>
            </w:pPr>
            <w:r>
              <w:rPr>
                <w:rFonts w:ascii="Arial" w:cs="Arial" w:eastAsia="Arial" w:hAnsi="Arial"/>
                <w:sz w:val="18"/>
                <w:szCs w:val="18"/>
                <w:b w:val="1"/>
                <w:bCs w:val="1"/>
                <w:color w:val="auto"/>
                <w:w w:val="86"/>
              </w:rPr>
              <w:t>for Identical Assets</w:t>
            </w:r>
          </w:p>
        </w:tc>
        <w:tc>
          <w:tcPr>
            <w:tcW w:w="620" w:type="dxa"/>
            <w:vAlign w:val="bottom"/>
          </w:tcPr>
          <w:p>
            <w:pPr>
              <w:spacing w:after="0"/>
              <w:rPr>
                <w:sz w:val="18"/>
                <w:szCs w:val="18"/>
                <w:color w:val="auto"/>
              </w:rPr>
            </w:pPr>
          </w:p>
        </w:tc>
      </w:tr>
      <w:tr>
        <w:trPr>
          <w:trHeight w:val="213"/>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900" w:type="dxa"/>
            <w:vAlign w:val="bottom"/>
            <w:gridSpan w:val="2"/>
          </w:tcPr>
          <w:p>
            <w:pPr>
              <w:jc w:val="center"/>
              <w:ind w:left="331"/>
              <w:spacing w:after="0"/>
              <w:rPr>
                <w:sz w:val="20"/>
                <w:szCs w:val="20"/>
                <w:color w:val="auto"/>
              </w:rPr>
            </w:pPr>
            <w:r>
              <w:rPr>
                <w:rFonts w:ascii="Arial" w:cs="Arial" w:eastAsia="Arial" w:hAnsi="Arial"/>
                <w:sz w:val="18"/>
                <w:szCs w:val="18"/>
                <w:b w:val="1"/>
                <w:bCs w:val="1"/>
                <w:color w:val="auto"/>
                <w:w w:val="91"/>
              </w:rPr>
              <w:t>Level 1</w:t>
            </w:r>
          </w:p>
        </w:tc>
        <w:tc>
          <w:tcPr>
            <w:tcW w:w="620" w:type="dxa"/>
            <w:vAlign w:val="bottom"/>
          </w:tcPr>
          <w:p>
            <w:pPr>
              <w:spacing w:after="0"/>
              <w:rPr>
                <w:sz w:val="18"/>
                <w:szCs w:val="18"/>
                <w:color w:val="auto"/>
              </w:rPr>
            </w:pPr>
          </w:p>
        </w:tc>
      </w:tr>
      <w:tr>
        <w:trPr>
          <w:trHeight w:val="213"/>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900" w:type="dxa"/>
            <w:vAlign w:val="bottom"/>
            <w:gridSpan w:val="2"/>
          </w:tcPr>
          <w:p>
            <w:pPr>
              <w:jc w:val="center"/>
              <w:ind w:left="331"/>
              <w:spacing w:after="0"/>
              <w:rPr>
                <w:sz w:val="20"/>
                <w:szCs w:val="20"/>
                <w:color w:val="auto"/>
              </w:rPr>
            </w:pPr>
            <w:r>
              <w:rPr>
                <w:rFonts w:ascii="Arial" w:cs="Arial" w:eastAsia="Arial" w:hAnsi="Arial"/>
                <w:sz w:val="18"/>
                <w:szCs w:val="18"/>
                <w:b w:val="1"/>
                <w:bCs w:val="1"/>
                <w:color w:val="auto"/>
                <w:w w:val="87"/>
              </w:rPr>
              <w:t>(in thousands)</w:t>
            </w:r>
          </w:p>
        </w:tc>
        <w:tc>
          <w:tcPr>
            <w:tcW w:w="620" w:type="dxa"/>
            <w:vAlign w:val="bottom"/>
          </w:tcPr>
          <w:p>
            <w:pPr>
              <w:spacing w:after="0"/>
              <w:rPr>
                <w:sz w:val="18"/>
                <w:szCs w:val="18"/>
                <w:color w:val="auto"/>
              </w:rPr>
            </w:pPr>
          </w:p>
        </w:tc>
      </w:tr>
      <w:tr>
        <w:trPr>
          <w:trHeight w:val="213"/>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December 31,</w:t>
            </w:r>
          </w:p>
        </w:tc>
      </w:tr>
      <w:tr>
        <w:trPr>
          <w:trHeight w:val="219"/>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2015</w:t>
            </w:r>
          </w:p>
        </w:tc>
        <w:tc>
          <w:tcPr>
            <w:tcW w:w="720" w:type="dxa"/>
            <w:vAlign w:val="bottom"/>
          </w:tcPr>
          <w:p>
            <w:pPr>
              <w:spacing w:after="0"/>
              <w:rPr>
                <w:sz w:val="19"/>
                <w:szCs w:val="19"/>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185"/>
        </w:trPr>
        <w:tc>
          <w:tcPr>
            <w:tcW w:w="4860" w:type="dxa"/>
            <w:vAlign w:val="bottom"/>
            <w:gridSpan w:val="3"/>
          </w:tcPr>
          <w:p>
            <w:pPr>
              <w:spacing w:after="0" w:line="185" w:lineRule="exact"/>
              <w:rPr>
                <w:sz w:val="20"/>
                <w:szCs w:val="20"/>
                <w:color w:val="auto"/>
              </w:rPr>
            </w:pPr>
            <w:r>
              <w:rPr>
                <w:rFonts w:ascii="Arial" w:cs="Arial" w:eastAsia="Arial" w:hAnsi="Arial"/>
                <w:sz w:val="18"/>
                <w:szCs w:val="18"/>
                <w:color w:val="auto"/>
              </w:rPr>
              <w:t>Cash</w:t>
            </w:r>
          </w:p>
        </w:tc>
        <w:tc>
          <w:tcPr>
            <w:tcW w:w="404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line="185" w:lineRule="exact"/>
              <w:rPr>
                <w:sz w:val="20"/>
                <w:szCs w:val="20"/>
                <w:color w:val="auto"/>
              </w:rPr>
            </w:pPr>
            <w:r>
              <w:rPr>
                <w:rFonts w:ascii="Arial" w:cs="Arial" w:eastAsia="Arial" w:hAnsi="Arial"/>
                <w:sz w:val="18"/>
                <w:szCs w:val="18"/>
                <w:color w:val="auto"/>
              </w:rPr>
              <w:t>3</w:t>
            </w:r>
          </w:p>
        </w:tc>
        <w:tc>
          <w:tcPr>
            <w:tcW w:w="720" w:type="dxa"/>
            <w:vAlign w:val="bottom"/>
          </w:tcPr>
          <w:p>
            <w:pPr>
              <w:jc w:val="right"/>
              <w:ind w:right="431"/>
              <w:spacing w:after="0" w:line="185"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line="185" w:lineRule="exact"/>
              <w:rPr>
                <w:sz w:val="20"/>
                <w:szCs w:val="20"/>
                <w:color w:val="auto"/>
              </w:rPr>
            </w:pPr>
            <w:r>
              <w:rPr>
                <w:rFonts w:ascii="Arial" w:cs="Arial" w:eastAsia="Arial" w:hAnsi="Arial"/>
                <w:sz w:val="18"/>
                <w:szCs w:val="18"/>
                <w:color w:val="auto"/>
              </w:rPr>
              <w:t>16</w:t>
            </w:r>
          </w:p>
        </w:tc>
      </w:tr>
      <w:tr>
        <w:trPr>
          <w:trHeight w:val="20"/>
        </w:trPr>
        <w:tc>
          <w:tcPr>
            <w:tcW w:w="3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05"/>
        </w:trPr>
        <w:tc>
          <w:tcPr>
            <w:tcW w:w="486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
        </w:trPr>
        <w:tc>
          <w:tcPr>
            <w:tcW w:w="3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3"/>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and General Active Corporate Bond – Over 10 Year</w:t>
            </w:r>
          </w:p>
        </w:tc>
        <w:tc>
          <w:tcPr>
            <w:tcW w:w="40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6,256</w:t>
            </w: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6,560</w:t>
            </w:r>
          </w:p>
        </w:tc>
      </w:tr>
      <w:tr>
        <w:trPr>
          <w:trHeight w:val="213"/>
        </w:trPr>
        <w:tc>
          <w:tcPr>
            <w:tcW w:w="4860" w:type="dxa"/>
            <w:vAlign w:val="bottom"/>
            <w:gridSpan w:val="3"/>
          </w:tcPr>
          <w:p>
            <w:pPr>
              <w:spacing w:after="0"/>
              <w:rPr>
                <w:sz w:val="20"/>
                <w:szCs w:val="20"/>
                <w:color w:val="auto"/>
              </w:rPr>
            </w:pPr>
            <w:r>
              <w:rPr>
                <w:rFonts w:ascii="Arial" w:cs="Arial" w:eastAsia="Arial" w:hAnsi="Arial"/>
                <w:sz w:val="18"/>
                <w:szCs w:val="18"/>
                <w:color w:val="auto"/>
              </w:rPr>
              <w:t>Legal and General Gilt Funds</w:t>
            </w:r>
          </w:p>
        </w:tc>
        <w:tc>
          <w:tcPr>
            <w:tcW w:w="404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6,528</w:t>
            </w:r>
          </w:p>
        </w:tc>
        <w:tc>
          <w:tcPr>
            <w:tcW w:w="7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6,977</w:t>
            </w:r>
          </w:p>
        </w:tc>
      </w:tr>
      <w:tr>
        <w:trPr>
          <w:trHeight w:val="219"/>
        </w:trPr>
        <w:tc>
          <w:tcPr>
            <w:tcW w:w="48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Legal and General Index Linked Gilt Funds</w:t>
            </w:r>
          </w:p>
        </w:tc>
        <w:tc>
          <w:tcPr>
            <w:tcW w:w="40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10,580</w:t>
            </w:r>
          </w:p>
        </w:tc>
        <w:tc>
          <w:tcPr>
            <w:tcW w:w="7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11,856</w:t>
            </w:r>
          </w:p>
        </w:tc>
      </w:tr>
      <w:tr>
        <w:trPr>
          <w:trHeight w:val="213"/>
        </w:trPr>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23,367</w:t>
            </w:r>
          </w:p>
        </w:tc>
        <w:tc>
          <w:tcPr>
            <w:tcW w:w="7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25,409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590"/>
        </w:trPr>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40" w:type="dxa"/>
            <w:vAlign w:val="bottom"/>
          </w:tcPr>
          <w:p>
            <w:pPr>
              <w:jc w:val="right"/>
              <w:ind w:right="2971"/>
              <w:spacing w:after="0"/>
              <w:rPr>
                <w:sz w:val="20"/>
                <w:szCs w:val="20"/>
                <w:color w:val="auto"/>
              </w:rPr>
            </w:pPr>
            <w:r>
              <w:rPr>
                <w:rFonts w:ascii="Arial" w:cs="Arial" w:eastAsia="Arial" w:hAnsi="Arial"/>
                <w:sz w:val="18"/>
                <w:szCs w:val="18"/>
                <w:color w:val="auto"/>
              </w:rPr>
              <w:t>107</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7"/>
        </w:trPr>
        <w:tc>
          <w:tcPr>
            <w:tcW w:w="3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8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52"/>
        </w:trPr>
        <w:tc>
          <w:tcPr>
            <w:tcW w:w="8740" w:type="dxa"/>
            <w:vAlign w:val="bottom"/>
          </w:tcPr>
          <w:p>
            <w:pPr>
              <w:spacing w:after="0"/>
              <w:rPr>
                <w:sz w:val="20"/>
                <w:szCs w:val="20"/>
                <w:color w:val="auto"/>
              </w:rPr>
            </w:pPr>
            <w:r>
              <w:rPr>
                <w:rFonts w:ascii="Arial" w:cs="Arial" w:eastAsia="Arial" w:hAnsi="Arial"/>
                <w:sz w:val="18"/>
                <w:szCs w:val="18"/>
                <w:color w:val="auto"/>
              </w:rPr>
              <w:t>The Company expects to contribute $0.1 million to its pension fund in the year ending December 31, 2016.</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2"/>
        </w:trPr>
        <w:tc>
          <w:tcPr>
            <w:tcW w:w="8740" w:type="dxa"/>
            <w:vAlign w:val="bottom"/>
          </w:tcPr>
          <w:p>
            <w:pPr>
              <w:spacing w:after="0"/>
              <w:rPr>
                <w:sz w:val="20"/>
                <w:szCs w:val="20"/>
                <w:color w:val="auto"/>
              </w:rPr>
            </w:pPr>
            <w:r>
              <w:rPr>
                <w:rFonts w:ascii="Arial" w:cs="Arial" w:eastAsia="Arial" w:hAnsi="Arial"/>
                <w:sz w:val="18"/>
                <w:szCs w:val="18"/>
                <w:color w:val="auto"/>
                <w:w w:val="93"/>
              </w:rPr>
              <w:t>The following annual benefit payments, which reflect expected future service as appropriate, are expected to be paid.</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5"/>
        </w:trPr>
        <w:tc>
          <w:tcPr>
            <w:tcW w:w="8740" w:type="dxa"/>
            <w:vAlign w:val="bottom"/>
          </w:tcPr>
          <w:p>
            <w:pPr>
              <w:spacing w:after="0"/>
              <w:rPr>
                <w:sz w:val="24"/>
                <w:szCs w:val="24"/>
                <w:color w:val="auto"/>
              </w:rPr>
            </w:pPr>
          </w:p>
        </w:tc>
        <w:tc>
          <w:tcPr>
            <w:tcW w:w="900" w:type="dxa"/>
            <w:vAlign w:val="bottom"/>
          </w:tcPr>
          <w:p>
            <w:pPr>
              <w:ind w:left="420"/>
              <w:spacing w:after="0"/>
              <w:rPr>
                <w:sz w:val="20"/>
                <w:szCs w:val="20"/>
                <w:color w:val="auto"/>
              </w:rPr>
            </w:pPr>
            <w:r>
              <w:rPr>
                <w:rFonts w:ascii="Arial" w:cs="Arial" w:eastAsia="Arial" w:hAnsi="Arial"/>
                <w:sz w:val="18"/>
                <w:szCs w:val="18"/>
                <w:b w:val="1"/>
                <w:bCs w:val="1"/>
                <w:color w:val="auto"/>
              </w:rPr>
              <w:t>(in</w:t>
            </w:r>
          </w:p>
        </w:tc>
        <w:tc>
          <w:tcPr>
            <w:tcW w:w="640" w:type="dxa"/>
            <w:vAlign w:val="bottom"/>
          </w:tcPr>
          <w:p>
            <w:pPr>
              <w:spacing w:after="0"/>
              <w:rPr>
                <w:sz w:val="24"/>
                <w:szCs w:val="24"/>
                <w:color w:val="auto"/>
              </w:rPr>
            </w:pPr>
          </w:p>
        </w:tc>
      </w:tr>
      <w:tr>
        <w:trPr>
          <w:trHeight w:val="230"/>
        </w:trPr>
        <w:tc>
          <w:tcPr>
            <w:tcW w:w="8740" w:type="dxa"/>
            <w:vAlign w:val="bottom"/>
          </w:tcPr>
          <w:p>
            <w:pPr>
              <w:spacing w:after="0"/>
              <w:rPr>
                <w:sz w:val="19"/>
                <w:szCs w:val="19"/>
                <w:color w:val="auto"/>
              </w:rPr>
            </w:pPr>
          </w:p>
        </w:tc>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thousands)</w:t>
            </w:r>
          </w:p>
        </w:tc>
      </w:tr>
      <w:tr>
        <w:trPr>
          <w:trHeight w:val="214"/>
        </w:trPr>
        <w:tc>
          <w:tcPr>
            <w:tcW w:w="8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3"/>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13"/>
        </w:trPr>
        <w:tc>
          <w:tcPr>
            <w:tcW w:w="8740" w:type="dxa"/>
            <w:vAlign w:val="bottom"/>
          </w:tcPr>
          <w:p>
            <w:pPr>
              <w:spacing w:after="0"/>
              <w:rPr>
                <w:sz w:val="20"/>
                <w:szCs w:val="20"/>
                <w:color w:val="auto"/>
              </w:rPr>
            </w:pPr>
            <w:r>
              <w:rPr>
                <w:rFonts w:ascii="Arial" w:cs="Arial" w:eastAsia="Arial" w:hAnsi="Arial"/>
                <w:sz w:val="18"/>
                <w:szCs w:val="18"/>
                <w:color w:val="auto"/>
              </w:rPr>
              <w:t>2017</w:t>
            </w:r>
          </w:p>
        </w:tc>
        <w:tc>
          <w:tcPr>
            <w:tcW w:w="9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13"/>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13"/>
        </w:trPr>
        <w:tc>
          <w:tcPr>
            <w:tcW w:w="8740" w:type="dxa"/>
            <w:vAlign w:val="bottom"/>
          </w:tcPr>
          <w:p>
            <w:pPr>
              <w:spacing w:after="0"/>
              <w:rPr>
                <w:sz w:val="20"/>
                <w:szCs w:val="20"/>
                <w:color w:val="auto"/>
              </w:rPr>
            </w:pPr>
            <w:r>
              <w:rPr>
                <w:rFonts w:ascii="Arial" w:cs="Arial" w:eastAsia="Arial" w:hAnsi="Arial"/>
                <w:sz w:val="18"/>
                <w:szCs w:val="18"/>
                <w:color w:val="auto"/>
              </w:rPr>
              <w:t>2019</w:t>
            </w:r>
          </w:p>
        </w:tc>
        <w:tc>
          <w:tcPr>
            <w:tcW w:w="9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72</w:t>
            </w:r>
          </w:p>
        </w:tc>
      </w:tr>
      <w:tr>
        <w:trPr>
          <w:trHeight w:val="213"/>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13"/>
        </w:trPr>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2021 - 2025</w:t>
            </w:r>
          </w:p>
        </w:tc>
        <w:tc>
          <w:tcPr>
            <w:tcW w:w="9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376</w:t>
            </w:r>
          </w:p>
        </w:tc>
      </w:tr>
      <w:tr>
        <w:trPr>
          <w:trHeight w:val="20"/>
        </w:trPr>
        <w:tc>
          <w:tcPr>
            <w:tcW w:w="8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On May 7, 2014 the Company acquired 100% of the common stock of Aptiv Solutions (“Aptiv”). The acquisition of Aptiv was accounted for as a business combination in accordance with FASB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December 31, 2015 and December 31, 2014 consist of units held in independently administered funds. The pension costs of this plan are presented in the following tables in accordance with the requirements of ASC 715-60, </w:t>
      </w:r>
      <w:r>
        <w:rPr>
          <w:rFonts w:ascii="Arial" w:cs="Arial" w:eastAsia="Arial" w:hAnsi="Arial"/>
          <w:sz w:val="17"/>
          <w:szCs w:val="17"/>
          <w:i w:val="1"/>
          <w:iCs w:val="1"/>
          <w:color w:val="auto"/>
        </w:rPr>
        <w:t>Defined Benefit Plans – Other Postretirement</w:t>
      </w:r>
      <w:r>
        <w:rPr>
          <w:rFonts w:ascii="Arial" w:cs="Arial" w:eastAsia="Arial" w:hAnsi="Arial"/>
          <w:sz w:val="17"/>
          <w:szCs w:val="17"/>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20"/>
                <w:szCs w:val="20"/>
                <w:color w:val="auto"/>
              </w:rPr>
            </w:pPr>
            <w:r>
              <w:rPr>
                <w:rFonts w:ascii="Arial" w:cs="Arial" w:eastAsia="Arial" w:hAnsi="Arial"/>
                <w:sz w:val="18"/>
                <w:szCs w:val="18"/>
                <w:b w:val="1"/>
                <w:bCs w:val="1"/>
                <w:color w:val="auto"/>
              </w:rPr>
              <w:t>Change in benefit obligation</w:t>
            </w:r>
          </w:p>
        </w:tc>
        <w:tc>
          <w:tcPr>
            <w:tcW w:w="704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 31,</w:t>
            </w:r>
          </w:p>
        </w:tc>
      </w:tr>
      <w:tr>
        <w:trPr>
          <w:trHeight w:val="213"/>
        </w:trPr>
        <w:tc>
          <w:tcPr>
            <w:tcW w:w="4380" w:type="dxa"/>
            <w:vAlign w:val="bottom"/>
          </w:tcPr>
          <w:p>
            <w:pPr>
              <w:spacing w:after="0"/>
              <w:rPr>
                <w:sz w:val="18"/>
                <w:szCs w:val="18"/>
                <w:color w:val="auto"/>
              </w:rPr>
            </w:pPr>
          </w:p>
        </w:tc>
        <w:tc>
          <w:tcPr>
            <w:tcW w:w="704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r>
      <w:tr>
        <w:trPr>
          <w:trHeight w:val="230"/>
        </w:trPr>
        <w:tc>
          <w:tcPr>
            <w:tcW w:w="4380" w:type="dxa"/>
            <w:vAlign w:val="bottom"/>
          </w:tcPr>
          <w:p>
            <w:pPr>
              <w:spacing w:after="0"/>
              <w:rPr>
                <w:sz w:val="19"/>
                <w:szCs w:val="19"/>
                <w:color w:val="auto"/>
              </w:rPr>
            </w:pPr>
          </w:p>
        </w:tc>
        <w:tc>
          <w:tcPr>
            <w:tcW w:w="7040" w:type="dxa"/>
            <w:vAlign w:val="bottom"/>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4380" w:type="dxa"/>
            <w:vAlign w:val="bottom"/>
          </w:tcPr>
          <w:p>
            <w:pPr>
              <w:spacing w:after="0"/>
              <w:rPr>
                <w:sz w:val="18"/>
                <w:szCs w:val="18"/>
                <w:color w:val="auto"/>
              </w:rPr>
            </w:pPr>
          </w:p>
        </w:tc>
        <w:tc>
          <w:tcPr>
            <w:tcW w:w="7040" w:type="dxa"/>
            <w:vAlign w:val="bottom"/>
          </w:tcPr>
          <w:p>
            <w:pPr>
              <w:spacing w:after="0"/>
              <w:rPr>
                <w:sz w:val="18"/>
                <w:szCs w:val="18"/>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7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8,884</w:t>
            </w: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Service cost</w:t>
            </w:r>
          </w:p>
        </w:tc>
        <w:tc>
          <w:tcPr>
            <w:tcW w:w="7040" w:type="dxa"/>
            <w:vAlign w:val="bottom"/>
          </w:tcPr>
          <w:p>
            <w:pPr>
              <w:jc w:val="right"/>
              <w:ind w:right="11"/>
              <w:spacing w:after="0"/>
              <w:rPr>
                <w:sz w:val="20"/>
                <w:szCs w:val="20"/>
                <w:color w:val="auto"/>
              </w:rPr>
            </w:pPr>
            <w:r>
              <w:rPr>
                <w:rFonts w:ascii="Arial" w:cs="Arial" w:eastAsia="Arial" w:hAnsi="Arial"/>
                <w:sz w:val="18"/>
                <w:szCs w:val="18"/>
                <w:color w:val="auto"/>
              </w:rPr>
              <w:t>618</w:t>
            </w: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Actuarial loss</w:t>
            </w:r>
          </w:p>
        </w:tc>
        <w:tc>
          <w:tcPr>
            <w:tcW w:w="7040" w:type="dxa"/>
            <w:vAlign w:val="bottom"/>
          </w:tcPr>
          <w:p>
            <w:pPr>
              <w:jc w:val="right"/>
              <w:ind w:right="11"/>
              <w:spacing w:after="0"/>
              <w:rPr>
                <w:sz w:val="20"/>
                <w:szCs w:val="20"/>
                <w:color w:val="auto"/>
              </w:rPr>
            </w:pPr>
            <w:r>
              <w:rPr>
                <w:rFonts w:ascii="Arial" w:cs="Arial" w:eastAsia="Arial" w:hAnsi="Arial"/>
                <w:sz w:val="18"/>
                <w:szCs w:val="18"/>
                <w:color w:val="auto"/>
              </w:rPr>
              <w:t>81</w:t>
            </w:r>
          </w:p>
        </w:tc>
      </w:tr>
      <w:tr>
        <w:trPr>
          <w:trHeight w:val="219"/>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exchange rate changes</w:t>
            </w:r>
          </w:p>
        </w:tc>
        <w:tc>
          <w:tcPr>
            <w:tcW w:w="7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425"/>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7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8,537</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r>
      <w:tr>
        <w:trPr>
          <w:trHeight w:val="444"/>
        </w:trPr>
        <w:tc>
          <w:tcPr>
            <w:tcW w:w="438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7040" w:type="dxa"/>
            <w:vAlign w:val="bottom"/>
          </w:tcPr>
          <w:p>
            <w:pPr>
              <w:spacing w:after="0"/>
              <w:rPr>
                <w:sz w:val="24"/>
                <w:szCs w:val="24"/>
                <w:color w:val="auto"/>
              </w:rPr>
            </w:pPr>
          </w:p>
        </w:tc>
      </w:tr>
      <w:tr>
        <w:trPr>
          <w:trHeight w:val="426"/>
        </w:trPr>
        <w:tc>
          <w:tcPr>
            <w:tcW w:w="438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7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7,061</w:t>
            </w: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040" w:type="dxa"/>
            <w:vAlign w:val="bottom"/>
          </w:tcPr>
          <w:p>
            <w:pPr>
              <w:jc w:val="right"/>
              <w:ind w:right="11"/>
              <w:spacing w:after="0"/>
              <w:rPr>
                <w:sz w:val="20"/>
                <w:szCs w:val="20"/>
                <w:color w:val="auto"/>
              </w:rPr>
            </w:pPr>
            <w:r>
              <w:rPr>
                <w:rFonts w:ascii="Arial" w:cs="Arial" w:eastAsia="Arial" w:hAnsi="Arial"/>
                <w:sz w:val="18"/>
                <w:szCs w:val="18"/>
                <w:color w:val="auto"/>
              </w:rPr>
              <w:t>93</w:t>
            </w: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7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Scheme contributions</w:t>
            </w:r>
          </w:p>
        </w:tc>
        <w:tc>
          <w:tcPr>
            <w:tcW w:w="7040" w:type="dxa"/>
            <w:vAlign w:val="bottom"/>
          </w:tcPr>
          <w:p>
            <w:pPr>
              <w:jc w:val="right"/>
              <w:ind w:right="11"/>
              <w:spacing w:after="0"/>
              <w:rPr>
                <w:sz w:val="20"/>
                <w:szCs w:val="20"/>
                <w:color w:val="auto"/>
              </w:rPr>
            </w:pPr>
            <w:r>
              <w:rPr>
                <w:rFonts w:ascii="Arial" w:cs="Arial" w:eastAsia="Arial" w:hAnsi="Arial"/>
                <w:sz w:val="18"/>
                <w:szCs w:val="18"/>
                <w:color w:val="auto"/>
              </w:rPr>
              <w:t>194</w:t>
            </w: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7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Benefits paid</w:t>
            </w:r>
          </w:p>
        </w:tc>
        <w:tc>
          <w:tcPr>
            <w:tcW w:w="704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19"/>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exchange rate changes</w:t>
            </w:r>
          </w:p>
        </w:tc>
        <w:tc>
          <w:tcPr>
            <w:tcW w:w="7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425"/>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7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5,350</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7040" w:type="dxa"/>
            <w:vAlign w:val="bottom"/>
            <w:tcBorders>
              <w:bottom w:val="single" w:sz="8" w:color="auto"/>
            </w:tcBorders>
          </w:tcPr>
          <w:p>
            <w:pPr>
              <w:spacing w:after="0" w:line="20" w:lineRule="exact"/>
              <w:rPr>
                <w:sz w:val="1"/>
                <w:szCs w:val="1"/>
                <w:color w:val="auto"/>
              </w:rPr>
            </w:pPr>
          </w:p>
        </w:tc>
      </w:tr>
      <w:tr>
        <w:trPr>
          <w:trHeight w:val="590"/>
        </w:trPr>
        <w:tc>
          <w:tcPr>
            <w:tcW w:w="4380" w:type="dxa"/>
            <w:vAlign w:val="bottom"/>
          </w:tcPr>
          <w:p>
            <w:pPr>
              <w:spacing w:after="0"/>
              <w:rPr>
                <w:sz w:val="24"/>
                <w:szCs w:val="24"/>
                <w:color w:val="auto"/>
              </w:rPr>
            </w:pPr>
          </w:p>
        </w:tc>
        <w:tc>
          <w:tcPr>
            <w:tcW w:w="7040" w:type="dxa"/>
            <w:vAlign w:val="bottom"/>
          </w:tcPr>
          <w:p>
            <w:pPr>
              <w:jc w:val="right"/>
              <w:ind w:right="5491"/>
              <w:spacing w:after="0"/>
              <w:rPr>
                <w:sz w:val="20"/>
                <w:szCs w:val="20"/>
                <w:color w:val="auto"/>
              </w:rPr>
            </w:pPr>
            <w:r>
              <w:rPr>
                <w:rFonts w:ascii="Arial" w:cs="Arial" w:eastAsia="Arial" w:hAnsi="Arial"/>
                <w:sz w:val="18"/>
                <w:szCs w:val="18"/>
                <w:color w:val="auto"/>
              </w:rPr>
              <w:t>108</w:t>
            </w:r>
          </w:p>
        </w:tc>
      </w:tr>
      <w:tr>
        <w:trPr>
          <w:trHeight w:val="117"/>
        </w:trPr>
        <w:tc>
          <w:tcPr>
            <w:tcW w:w="4380" w:type="dxa"/>
            <w:vAlign w:val="bottom"/>
            <w:tcBorders>
              <w:bottom w:val="single" w:sz="8" w:color="808080"/>
            </w:tcBorders>
          </w:tcPr>
          <w:p>
            <w:pPr>
              <w:spacing w:after="0"/>
              <w:rPr>
                <w:sz w:val="10"/>
                <w:szCs w:val="10"/>
                <w:color w:val="auto"/>
              </w:rPr>
            </w:pPr>
          </w:p>
        </w:tc>
        <w:tc>
          <w:tcPr>
            <w:tcW w:w="7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20"/>
                <w:szCs w:val="20"/>
                <w:color w:val="auto"/>
              </w:rPr>
            </w:pPr>
            <w:r>
              <w:rPr>
                <w:rFonts w:ascii="Arial" w:cs="Arial" w:eastAsia="Arial" w:hAnsi="Arial"/>
                <w:sz w:val="18"/>
                <w:szCs w:val="18"/>
                <w:b w:val="1"/>
                <w:bCs w:val="1"/>
                <w:color w:val="auto"/>
              </w:rPr>
              <w:t>Funded status</w:t>
            </w:r>
          </w:p>
        </w:tc>
        <w:tc>
          <w:tcPr>
            <w:tcW w:w="38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r>
      <w:tr>
        <w:trPr>
          <w:trHeight w:val="213"/>
        </w:trPr>
        <w:tc>
          <w:tcPr>
            <w:tcW w:w="63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r>
      <w:tr>
        <w:trPr>
          <w:trHeight w:val="230"/>
        </w:trPr>
        <w:tc>
          <w:tcPr>
            <w:tcW w:w="6380" w:type="dxa"/>
            <w:vAlign w:val="bottom"/>
          </w:tcPr>
          <w:p>
            <w:pPr>
              <w:spacing w:after="0"/>
              <w:rPr>
                <w:sz w:val="20"/>
                <w:szCs w:val="20"/>
                <w:color w:val="auto"/>
              </w:rPr>
            </w:pPr>
          </w:p>
        </w:tc>
        <w:tc>
          <w:tcPr>
            <w:tcW w:w="504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8,537</w:t>
            </w:r>
          </w:p>
        </w:tc>
      </w:tr>
      <w:tr>
        <w:trPr>
          <w:trHeight w:val="219"/>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w:t>
            </w:r>
          </w:p>
        </w:tc>
        <w:tc>
          <w:tcPr>
            <w:tcW w:w="3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r>
      <w:tr>
        <w:trPr>
          <w:trHeight w:val="465"/>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Funded status</w:t>
            </w:r>
          </w:p>
        </w:tc>
        <w:tc>
          <w:tcPr>
            <w:tcW w:w="38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3,187</w:t>
            </w:r>
          </w:p>
        </w:tc>
      </w:tr>
      <w:tr>
        <w:trPr>
          <w:trHeight w:val="206"/>
        </w:trPr>
        <w:tc>
          <w:tcPr>
            <w:tcW w:w="63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3"/>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other liabilities (note 8)</w:t>
            </w:r>
          </w:p>
        </w:tc>
        <w:tc>
          <w:tcPr>
            <w:tcW w:w="38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3,187</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r>
      <w:tr>
        <w:trPr>
          <w:trHeight w:val="213"/>
        </w:trPr>
        <w:tc>
          <w:tcPr>
            <w:tcW w:w="61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r>
      <w:tr>
        <w:trPr>
          <w:trHeight w:val="230"/>
        </w:trPr>
        <w:tc>
          <w:tcPr>
            <w:tcW w:w="6160" w:type="dxa"/>
            <w:vAlign w:val="bottom"/>
          </w:tcPr>
          <w:p>
            <w:pPr>
              <w:spacing w:after="0"/>
              <w:rPr>
                <w:sz w:val="20"/>
                <w:szCs w:val="20"/>
                <w:color w:val="auto"/>
              </w:rPr>
            </w:pPr>
          </w:p>
        </w:tc>
        <w:tc>
          <w:tcPr>
            <w:tcW w:w="526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213"/>
        </w:trPr>
        <w:tc>
          <w:tcPr>
            <w:tcW w:w="6160" w:type="dxa"/>
            <w:vAlign w:val="bottom"/>
          </w:tcPr>
          <w:p>
            <w:pPr>
              <w:spacing w:after="0"/>
              <w:rPr>
                <w:sz w:val="20"/>
                <w:szCs w:val="20"/>
                <w:color w:val="auto"/>
              </w:rPr>
            </w:pPr>
            <w:r>
              <w:rPr>
                <w:rFonts w:ascii="Arial" w:cs="Arial" w:eastAsia="Arial" w:hAnsi="Arial"/>
                <w:sz w:val="18"/>
                <w:szCs w:val="18"/>
                <w:color w:val="auto"/>
              </w:rPr>
              <w:t>Interest cost</w:t>
            </w:r>
          </w:p>
        </w:tc>
        <w:tc>
          <w:tcPr>
            <w:tcW w:w="4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3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19"/>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 loss</w:t>
            </w:r>
          </w:p>
        </w:tc>
        <w:tc>
          <w:tcPr>
            <w:tcW w:w="4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r>
      <w:tr>
        <w:trPr>
          <w:trHeight w:val="465"/>
        </w:trPr>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periodic benefit cost</w:t>
            </w:r>
          </w:p>
        </w:tc>
        <w:tc>
          <w:tcPr>
            <w:tcW w:w="4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assumptions were used at the commencement of the year in determining the net periodic pension benefit cost for the year ended December 31, 2015: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4980" w:type="dxa"/>
            <w:vAlign w:val="bottom"/>
          </w:tcPr>
          <w:p>
            <w:pPr>
              <w:jc w:val="right"/>
              <w:ind w:right="71"/>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6440" w:type="dxa"/>
            <w:vAlign w:val="bottom"/>
          </w:tcPr>
          <w:p>
            <w:pPr>
              <w:spacing w:after="0"/>
              <w:rPr>
                <w:sz w:val="20"/>
                <w:szCs w:val="20"/>
                <w:color w:val="auto"/>
              </w:rPr>
            </w:pPr>
          </w:p>
        </w:tc>
        <w:tc>
          <w:tcPr>
            <w:tcW w:w="4980" w:type="dxa"/>
            <w:vAlign w:val="bottom"/>
          </w:tcPr>
          <w:p>
            <w:pPr>
              <w:jc w:val="right"/>
              <w:ind w:right="71"/>
              <w:spacing w:after="0"/>
              <w:rPr>
                <w:sz w:val="20"/>
                <w:szCs w:val="20"/>
                <w:color w:val="auto"/>
              </w:rPr>
            </w:pPr>
            <w:r>
              <w:rPr>
                <w:rFonts w:ascii="Arial" w:cs="Arial" w:eastAsia="Arial" w:hAnsi="Arial"/>
                <w:sz w:val="18"/>
                <w:szCs w:val="18"/>
                <w:b w:val="1"/>
                <w:bCs w:val="1"/>
                <w:color w:val="auto"/>
              </w:rPr>
              <w:t>2015</w:t>
            </w:r>
          </w:p>
        </w:tc>
      </w:tr>
      <w:tr>
        <w:trPr>
          <w:trHeight w:val="21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13"/>
        </w:trPr>
        <w:tc>
          <w:tcPr>
            <w:tcW w:w="644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4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3"/>
        </w:trPr>
        <w:tc>
          <w:tcPr>
            <w:tcW w:w="6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rate of return on plan assets</w:t>
            </w:r>
          </w:p>
        </w:tc>
        <w:tc>
          <w:tcPr>
            <w:tcW w:w="4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3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30"/>
        </w:trPr>
        <w:tc>
          <w:tcPr>
            <w:tcW w:w="70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r>
      <w:tr>
        <w:trPr>
          <w:trHeight w:val="213"/>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 benefit obligation</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13"/>
        </w:trPr>
        <w:tc>
          <w:tcPr>
            <w:tcW w:w="7080" w:type="dxa"/>
            <w:vAlign w:val="bottom"/>
          </w:tcPr>
          <w:p>
            <w:pPr>
              <w:spacing w:after="0"/>
              <w:rPr>
                <w:sz w:val="20"/>
                <w:szCs w:val="20"/>
                <w:color w:val="auto"/>
              </w:rPr>
            </w:pPr>
            <w:r>
              <w:rPr>
                <w:rFonts w:ascii="Arial" w:cs="Arial" w:eastAsia="Arial" w:hAnsi="Arial"/>
                <w:sz w:val="18"/>
                <w:szCs w:val="18"/>
                <w:color w:val="auto"/>
              </w:rPr>
              <w:t>Actuarial (gain) – plan assets</w:t>
            </w:r>
          </w:p>
        </w:tc>
        <w:tc>
          <w:tcPr>
            <w:tcW w:w="3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1,075</w:t>
            </w:r>
          </w:p>
        </w:tc>
      </w:tr>
      <w:tr>
        <w:trPr>
          <w:trHeight w:val="219"/>
        </w:trPr>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Prior service cost recognized in net periodic benefit cost</w:t>
            </w:r>
          </w:p>
        </w:tc>
        <w:tc>
          <w:tcPr>
            <w:tcW w:w="3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425"/>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1,139</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estimated net gain and prior service cost for the defined benefit pension plan that will be amortized from accumulated other comprehensive income into net periodic benefit cost over the next year are $nil and $nil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determining the benefit obligation at December 31,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5220" w:type="dxa"/>
            <w:vAlign w:val="bottom"/>
          </w:tcPr>
          <w:p>
            <w:pPr>
              <w:jc w:val="right"/>
              <w:ind w:right="71"/>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6200" w:type="dxa"/>
            <w:vAlign w:val="bottom"/>
          </w:tcPr>
          <w:p>
            <w:pPr>
              <w:spacing w:after="0"/>
              <w:rPr>
                <w:sz w:val="20"/>
                <w:szCs w:val="20"/>
                <w:color w:val="auto"/>
              </w:rPr>
            </w:pPr>
          </w:p>
        </w:tc>
        <w:tc>
          <w:tcPr>
            <w:tcW w:w="5220" w:type="dxa"/>
            <w:vAlign w:val="bottom"/>
          </w:tcPr>
          <w:p>
            <w:pPr>
              <w:jc w:val="right"/>
              <w:ind w:right="71"/>
              <w:spacing w:after="0"/>
              <w:rPr>
                <w:sz w:val="20"/>
                <w:szCs w:val="20"/>
                <w:color w:val="auto"/>
              </w:rPr>
            </w:pPr>
            <w:r>
              <w:rPr>
                <w:rFonts w:ascii="Arial" w:cs="Arial" w:eastAsia="Arial" w:hAnsi="Arial"/>
                <w:sz w:val="18"/>
                <w:szCs w:val="18"/>
                <w:b w:val="1"/>
                <w:bCs w:val="1"/>
                <w:color w:val="auto"/>
              </w:rPr>
              <w:t>2015</w:t>
            </w:r>
          </w:p>
        </w:tc>
      </w:tr>
      <w:tr>
        <w:trPr>
          <w:trHeight w:val="21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13"/>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compensation increase</w:t>
            </w:r>
          </w:p>
        </w:tc>
        <w:tc>
          <w:tcPr>
            <w:tcW w:w="5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 is determined by reference to Swiss long dated government and corporate bond yields at the balance sheet date.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Plan Assets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assets of the scheme are invested with Swiss Life and held in a combination of debt securities, equity securities and in real estate. There is no self-investment in employer related assets. The expected long term rates of return on different asset classes are as follows: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tcPr>
          <w:p>
            <w:pPr>
              <w:jc w:val="right"/>
              <w:ind w:right="111"/>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8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8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rPr>
              <w:t>2015</w:t>
            </w:r>
          </w:p>
        </w:tc>
      </w:tr>
      <w:tr>
        <w:trPr>
          <w:trHeight w:val="213"/>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6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3"/>
        </w:trPr>
        <w:tc>
          <w:tcPr>
            <w:tcW w:w="8480" w:type="dxa"/>
            <w:vAlign w:val="bottom"/>
          </w:tcPr>
          <w:p>
            <w:pPr>
              <w:spacing w:after="0"/>
              <w:rPr>
                <w:sz w:val="20"/>
                <w:szCs w:val="20"/>
                <w:color w:val="auto"/>
              </w:rPr>
            </w:pPr>
            <w:r>
              <w:rPr>
                <w:rFonts w:ascii="Arial" w:cs="Arial" w:eastAsia="Arial" w:hAnsi="Arial"/>
                <w:sz w:val="18"/>
                <w:szCs w:val="18"/>
                <w:color w:val="auto"/>
              </w:rPr>
              <w:t>Debt securities</w:t>
            </w:r>
          </w:p>
        </w:tc>
        <w:tc>
          <w:tcPr>
            <w:tcW w:w="560" w:type="dxa"/>
            <w:vAlign w:val="bottom"/>
          </w:tcPr>
          <w:p>
            <w:pPr>
              <w:spacing w:after="0"/>
              <w:rPr>
                <w:sz w:val="18"/>
                <w:szCs w:val="18"/>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3"/>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56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9"/>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r>
      <w:tr>
        <w:trPr>
          <w:trHeight w:val="253"/>
        </w:trPr>
        <w:tc>
          <w:tcPr>
            <w:tcW w:w="84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2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683"/>
        </w:trPr>
        <w:tc>
          <w:tcPr>
            <w:tcW w:w="84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2"/>
        </w:trPr>
        <w:tc>
          <w:tcPr>
            <w:tcW w:w="8480" w:type="dxa"/>
            <w:vAlign w:val="bottom"/>
          </w:tcPr>
          <w:p>
            <w:pPr>
              <w:spacing w:after="0"/>
              <w:rPr>
                <w:sz w:val="20"/>
                <w:szCs w:val="20"/>
                <w:color w:val="auto"/>
              </w:rPr>
            </w:pPr>
            <w:r>
              <w:rPr>
                <w:rFonts w:ascii="Arial" w:cs="Arial" w:eastAsia="Arial" w:hAnsi="Arial"/>
                <w:sz w:val="18"/>
                <w:szCs w:val="18"/>
                <w:color w:val="auto"/>
                <w:w w:val="99"/>
              </w:rPr>
              <w:t>The Company expects to contribute $0.2 million to its pension fund in the year ending December 31, 2016.</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2"/>
        </w:trPr>
        <w:tc>
          <w:tcPr>
            <w:tcW w:w="8480" w:type="dxa"/>
            <w:vAlign w:val="bottom"/>
          </w:tcPr>
          <w:p>
            <w:pPr>
              <w:spacing w:after="0"/>
              <w:rPr>
                <w:sz w:val="20"/>
                <w:szCs w:val="20"/>
                <w:color w:val="auto"/>
              </w:rPr>
            </w:pPr>
            <w:r>
              <w:rPr>
                <w:rFonts w:ascii="Arial" w:cs="Arial" w:eastAsia="Arial" w:hAnsi="Arial"/>
                <w:sz w:val="18"/>
                <w:szCs w:val="18"/>
                <w:color w:val="auto"/>
                <w:w w:val="90"/>
              </w:rPr>
              <w:t>The following annual benefit payments, which reflect expected future service as appropriate, are expected to be paid.</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5"/>
        </w:trPr>
        <w:tc>
          <w:tcPr>
            <w:tcW w:w="84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(in</w:t>
            </w: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0"/>
        </w:trPr>
        <w:tc>
          <w:tcPr>
            <w:tcW w:w="8480" w:type="dxa"/>
            <w:vAlign w:val="bottom"/>
          </w:tcPr>
          <w:p>
            <w:pPr>
              <w:spacing w:after="0"/>
              <w:rPr>
                <w:sz w:val="19"/>
                <w:szCs w:val="19"/>
                <w:color w:val="auto"/>
              </w:rPr>
            </w:pPr>
          </w:p>
        </w:tc>
        <w:tc>
          <w:tcPr>
            <w:tcW w:w="2940" w:type="dxa"/>
            <w:vAlign w:val="bottom"/>
            <w:gridSpan w:val="3"/>
          </w:tcPr>
          <w:p>
            <w:pPr>
              <w:ind w:left="180"/>
              <w:spacing w:after="0"/>
              <w:rPr>
                <w:sz w:val="20"/>
                <w:szCs w:val="20"/>
                <w:color w:val="auto"/>
              </w:rPr>
            </w:pPr>
            <w:r>
              <w:rPr>
                <w:rFonts w:ascii="Arial" w:cs="Arial" w:eastAsia="Arial" w:hAnsi="Arial"/>
                <w:sz w:val="18"/>
                <w:szCs w:val="18"/>
                <w:b w:val="1"/>
                <w:bCs w:val="1"/>
                <w:color w:val="auto"/>
              </w:rPr>
              <w:t>thousands)</w:t>
            </w:r>
          </w:p>
        </w:tc>
      </w:tr>
      <w:tr>
        <w:trPr>
          <w:trHeight w:val="214"/>
        </w:trPr>
        <w:tc>
          <w:tcPr>
            <w:tcW w:w="8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3"/>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720" w:type="dxa"/>
            <w:vAlign w:val="bottom"/>
          </w:tcPr>
          <w:p>
            <w:pPr>
              <w:spacing w:after="0"/>
              <w:rPr>
                <w:sz w:val="18"/>
                <w:szCs w:val="18"/>
                <w:color w:val="auto"/>
              </w:rPr>
            </w:pPr>
          </w:p>
        </w:tc>
      </w:tr>
      <w:tr>
        <w:trPr>
          <w:trHeight w:val="213"/>
        </w:trPr>
        <w:tc>
          <w:tcPr>
            <w:tcW w:w="8480" w:type="dxa"/>
            <w:vAlign w:val="bottom"/>
          </w:tcPr>
          <w:p>
            <w:pPr>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1720" w:type="dxa"/>
            <w:vAlign w:val="bottom"/>
          </w:tcPr>
          <w:p>
            <w:pPr>
              <w:spacing w:after="0"/>
              <w:rPr>
                <w:sz w:val="18"/>
                <w:szCs w:val="18"/>
                <w:color w:val="auto"/>
              </w:rPr>
            </w:pPr>
          </w:p>
        </w:tc>
      </w:tr>
      <w:tr>
        <w:trPr>
          <w:trHeight w:val="213"/>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720" w:type="dxa"/>
            <w:vAlign w:val="bottom"/>
          </w:tcPr>
          <w:p>
            <w:pPr>
              <w:spacing w:after="0"/>
              <w:rPr>
                <w:sz w:val="18"/>
                <w:szCs w:val="18"/>
                <w:color w:val="auto"/>
              </w:rPr>
            </w:pPr>
          </w:p>
        </w:tc>
      </w:tr>
      <w:tr>
        <w:trPr>
          <w:trHeight w:val="213"/>
        </w:trPr>
        <w:tc>
          <w:tcPr>
            <w:tcW w:w="8480" w:type="dxa"/>
            <w:vAlign w:val="bottom"/>
          </w:tcPr>
          <w:p>
            <w:pPr>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1720" w:type="dxa"/>
            <w:vAlign w:val="bottom"/>
          </w:tcPr>
          <w:p>
            <w:pPr>
              <w:spacing w:after="0"/>
              <w:rPr>
                <w:sz w:val="18"/>
                <w:szCs w:val="18"/>
                <w:color w:val="auto"/>
              </w:rPr>
            </w:pPr>
          </w:p>
        </w:tc>
      </w:tr>
      <w:tr>
        <w:trPr>
          <w:trHeight w:val="213"/>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720" w:type="dxa"/>
            <w:vAlign w:val="bottom"/>
          </w:tcPr>
          <w:p>
            <w:pPr>
              <w:spacing w:after="0"/>
              <w:rPr>
                <w:sz w:val="18"/>
                <w:szCs w:val="18"/>
                <w:color w:val="auto"/>
              </w:rPr>
            </w:pPr>
          </w:p>
        </w:tc>
      </w:tr>
      <w:tr>
        <w:trPr>
          <w:trHeight w:val="213"/>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2021 - 2025</w:t>
            </w: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720" w:type="dxa"/>
            <w:vAlign w:val="bottom"/>
          </w:tcPr>
          <w:p>
            <w:pPr>
              <w:spacing w:after="0"/>
              <w:rPr>
                <w:sz w:val="18"/>
                <w:szCs w:val="18"/>
                <w:color w:val="auto"/>
              </w:rPr>
            </w:pP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10. Equity Incentive Schemes and Stock Compensation Charges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2015 is eight years.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2015, December 31, 2014 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r>
      <w:tr>
        <w:trPr>
          <w:trHeight w:val="213"/>
        </w:trPr>
        <w:tc>
          <w:tcPr>
            <w:tcW w:w="4760" w:type="dxa"/>
            <w:vAlign w:val="bottom"/>
          </w:tcPr>
          <w:p>
            <w:pPr>
              <w:spacing w:after="0"/>
              <w:rPr>
                <w:sz w:val="18"/>
                <w:szCs w:val="18"/>
                <w:color w:val="auto"/>
              </w:rPr>
            </w:pPr>
          </w:p>
        </w:tc>
        <w:tc>
          <w:tcPr>
            <w:tcW w:w="2780" w:type="dxa"/>
            <w:vAlign w:val="bottom"/>
          </w:tcPr>
          <w:p>
            <w:pPr>
              <w:jc w:val="right"/>
              <w:ind w:right="231"/>
              <w:spacing w:after="0"/>
              <w:rPr>
                <w:sz w:val="20"/>
                <w:szCs w:val="20"/>
                <w:color w:val="auto"/>
              </w:rPr>
            </w:pPr>
            <w:r>
              <w:rPr>
                <w:rFonts w:ascii="Arial" w:cs="Arial" w:eastAsia="Arial" w:hAnsi="Arial"/>
                <w:sz w:val="18"/>
                <w:szCs w:val="18"/>
                <w:b w:val="1"/>
                <w:bCs w:val="1"/>
                <w:color w:val="auto"/>
              </w:rPr>
              <w:t>Options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Average Grant</w:t>
            </w:r>
          </w:p>
        </w:tc>
      </w:tr>
      <w:tr>
        <w:trPr>
          <w:trHeight w:val="213"/>
        </w:trPr>
        <w:tc>
          <w:tcPr>
            <w:tcW w:w="4760" w:type="dxa"/>
            <w:vAlign w:val="bottom"/>
          </w:tcPr>
          <w:p>
            <w:pPr>
              <w:spacing w:after="0"/>
              <w:rPr>
                <w:sz w:val="18"/>
                <w:szCs w:val="18"/>
                <w:color w:val="auto"/>
              </w:rPr>
            </w:pPr>
          </w:p>
        </w:tc>
        <w:tc>
          <w:tcPr>
            <w:tcW w:w="2780" w:type="dxa"/>
            <w:vAlign w:val="bottom"/>
          </w:tcPr>
          <w:p>
            <w:pPr>
              <w:jc w:val="right"/>
              <w:ind w:right="231"/>
              <w:spacing w:after="0"/>
              <w:rPr>
                <w:sz w:val="20"/>
                <w:szCs w:val="20"/>
                <w:color w:val="auto"/>
              </w:rPr>
            </w:pPr>
            <w:r>
              <w:rPr>
                <w:rFonts w:ascii="Arial" w:cs="Arial" w:eastAsia="Arial" w:hAnsi="Arial"/>
                <w:sz w:val="18"/>
                <w:szCs w:val="18"/>
                <w:b w:val="1"/>
                <w:bCs w:val="1"/>
                <w:color w:val="auto"/>
              </w:rPr>
              <w:t>Granted</w:t>
            </w: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Average</w:t>
            </w:r>
          </w:p>
        </w:tc>
        <w:tc>
          <w:tcPr>
            <w:tcW w:w="3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Date Fair</w:t>
            </w:r>
          </w:p>
        </w:tc>
      </w:tr>
      <w:tr>
        <w:trPr>
          <w:trHeight w:val="238"/>
        </w:trPr>
        <w:tc>
          <w:tcPr>
            <w:tcW w:w="47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Under Plans</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Shares</w:t>
            </w:r>
          </w:p>
        </w:tc>
        <w:tc>
          <w:tcPr>
            <w:tcW w:w="13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w w:val="97"/>
              </w:rPr>
              <w:t>Exercise Price</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Value</w:t>
            </w:r>
          </w:p>
        </w:tc>
      </w:tr>
      <w:tr>
        <w:trPr>
          <w:trHeight w:val="253"/>
        </w:trPr>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27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4,350,631</w:t>
            </w:r>
          </w:p>
        </w:tc>
        <w:tc>
          <w:tcPr>
            <w:tcW w:w="1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4,350,631</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23.01</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9.17</w:t>
            </w:r>
          </w:p>
        </w:tc>
      </w:tr>
      <w:tr>
        <w:trPr>
          <w:trHeight w:val="206"/>
        </w:trPr>
        <w:tc>
          <w:tcPr>
            <w:tcW w:w="4760" w:type="dxa"/>
            <w:vAlign w:val="bottom"/>
          </w:tcPr>
          <w:p>
            <w:pPr>
              <w:spacing w:after="0" w:line="206" w:lineRule="exact"/>
              <w:rPr>
                <w:sz w:val="20"/>
                <w:szCs w:val="20"/>
                <w:color w:val="auto"/>
              </w:rPr>
            </w:pPr>
            <w:r>
              <w:rPr>
                <w:rFonts w:ascii="Arial" w:cs="Arial" w:eastAsia="Arial" w:hAnsi="Arial"/>
                <w:sz w:val="18"/>
                <w:szCs w:val="18"/>
                <w:color w:val="auto"/>
              </w:rPr>
              <w:t>Granted</w:t>
            </w:r>
          </w:p>
        </w:tc>
        <w:tc>
          <w:tcPr>
            <w:tcW w:w="2780" w:type="dxa"/>
            <w:vAlign w:val="bottom"/>
          </w:tcPr>
          <w:p>
            <w:pPr>
              <w:jc w:val="right"/>
              <w:ind w:right="231"/>
              <w:spacing w:after="0" w:line="206" w:lineRule="exact"/>
              <w:rPr>
                <w:sz w:val="20"/>
                <w:szCs w:val="20"/>
                <w:color w:val="auto"/>
              </w:rPr>
            </w:pPr>
            <w:r>
              <w:rPr>
                <w:rFonts w:ascii="Arial" w:cs="Arial" w:eastAsia="Arial" w:hAnsi="Arial"/>
                <w:sz w:val="18"/>
                <w:szCs w:val="18"/>
                <w:color w:val="auto"/>
              </w:rPr>
              <w:t>264,950</w:t>
            </w:r>
          </w:p>
        </w:tc>
        <w:tc>
          <w:tcPr>
            <w:tcW w:w="1220" w:type="dxa"/>
            <w:vAlign w:val="bottom"/>
          </w:tcPr>
          <w:p>
            <w:pPr>
              <w:jc w:val="right"/>
              <w:ind w:right="51"/>
              <w:spacing w:after="0" w:line="206" w:lineRule="exact"/>
              <w:rPr>
                <w:sz w:val="20"/>
                <w:szCs w:val="20"/>
                <w:color w:val="auto"/>
              </w:rPr>
            </w:pPr>
            <w:r>
              <w:rPr>
                <w:rFonts w:ascii="Arial" w:cs="Arial" w:eastAsia="Arial" w:hAnsi="Arial"/>
                <w:sz w:val="18"/>
                <w:szCs w:val="18"/>
                <w:color w:val="auto"/>
              </w:rPr>
              <w:t>264,950</w:t>
            </w:r>
          </w:p>
        </w:tc>
        <w:tc>
          <w:tcPr>
            <w:tcW w:w="340" w:type="dxa"/>
            <w:vAlign w:val="bottom"/>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33.09</w:t>
            </w:r>
          </w:p>
        </w:tc>
        <w:tc>
          <w:tcPr>
            <w:tcW w:w="360" w:type="dxa"/>
            <w:vAlign w:val="bottom"/>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12.05</w:t>
            </w: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(1,249,759)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(1,249,759)</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r>
      <w:tr>
        <w:trPr>
          <w:trHeight w:val="21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(392,034)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(392,034)</w:t>
            </w:r>
          </w:p>
        </w:tc>
        <w:tc>
          <w:tcPr>
            <w:tcW w:w="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25.27</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10.02</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6"/>
        </w:trPr>
        <w:tc>
          <w:tcPr>
            <w:tcW w:w="476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31, 2013</w:t>
            </w:r>
          </w:p>
        </w:tc>
        <w:tc>
          <w:tcPr>
            <w:tcW w:w="2780" w:type="dxa"/>
            <w:vAlign w:val="bottom"/>
            <w:tcBorders>
              <w:bottom w:val="single" w:sz="8" w:color="auto"/>
            </w:tcBorders>
            <w:shd w:val="clear" w:color="auto" w:fill="CCEEFF"/>
          </w:tcPr>
          <w:p>
            <w:pPr>
              <w:jc w:val="right"/>
              <w:ind w:right="231"/>
              <w:spacing w:after="0" w:line="206" w:lineRule="exact"/>
              <w:rPr>
                <w:sz w:val="20"/>
                <w:szCs w:val="20"/>
                <w:color w:val="auto"/>
              </w:rPr>
            </w:pPr>
            <w:r>
              <w:rPr>
                <w:rFonts w:ascii="Arial" w:cs="Arial" w:eastAsia="Arial" w:hAnsi="Arial"/>
                <w:sz w:val="18"/>
                <w:szCs w:val="18"/>
                <w:color w:val="auto"/>
              </w:rPr>
              <w:t>2,973,788</w:t>
            </w:r>
          </w:p>
        </w:tc>
        <w:tc>
          <w:tcPr>
            <w:tcW w:w="122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2,973,788</w:t>
            </w:r>
          </w:p>
        </w:tc>
        <w:tc>
          <w:tcPr>
            <w:tcW w:w="340" w:type="dxa"/>
            <w:vAlign w:val="bottom"/>
            <w:tcBorders>
              <w:bottom w:val="single" w:sz="8" w:color="auto"/>
            </w:tcBorders>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24.20</w:t>
            </w:r>
          </w:p>
        </w:tc>
        <w:tc>
          <w:tcPr>
            <w:tcW w:w="360" w:type="dxa"/>
            <w:vAlign w:val="bottom"/>
            <w:tcBorders>
              <w:bottom w:val="single" w:sz="8" w:color="auto"/>
            </w:tcBorders>
            <w:shd w:val="clear" w:color="auto" w:fill="CCEEFF"/>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9.57</w:t>
            </w:r>
          </w:p>
        </w:tc>
      </w:tr>
      <w:tr>
        <w:trPr>
          <w:trHeight w:val="206"/>
        </w:trPr>
        <w:tc>
          <w:tcPr>
            <w:tcW w:w="4760" w:type="dxa"/>
            <w:vAlign w:val="bottom"/>
          </w:tcPr>
          <w:p>
            <w:pPr>
              <w:spacing w:after="0" w:line="206" w:lineRule="exact"/>
              <w:rPr>
                <w:sz w:val="20"/>
                <w:szCs w:val="20"/>
                <w:color w:val="auto"/>
              </w:rPr>
            </w:pPr>
            <w:r>
              <w:rPr>
                <w:rFonts w:ascii="Arial" w:cs="Arial" w:eastAsia="Arial" w:hAnsi="Arial"/>
                <w:sz w:val="18"/>
                <w:szCs w:val="18"/>
                <w:color w:val="auto"/>
              </w:rPr>
              <w:t>Granted</w:t>
            </w:r>
          </w:p>
        </w:tc>
        <w:tc>
          <w:tcPr>
            <w:tcW w:w="2780" w:type="dxa"/>
            <w:vAlign w:val="bottom"/>
          </w:tcPr>
          <w:p>
            <w:pPr>
              <w:jc w:val="right"/>
              <w:ind w:right="231"/>
              <w:spacing w:after="0" w:line="206" w:lineRule="exact"/>
              <w:rPr>
                <w:sz w:val="20"/>
                <w:szCs w:val="20"/>
                <w:color w:val="auto"/>
              </w:rPr>
            </w:pPr>
            <w:r>
              <w:rPr>
                <w:rFonts w:ascii="Arial" w:cs="Arial" w:eastAsia="Arial" w:hAnsi="Arial"/>
                <w:sz w:val="18"/>
                <w:szCs w:val="18"/>
                <w:color w:val="auto"/>
              </w:rPr>
              <w:t>366,985</w:t>
            </w:r>
          </w:p>
        </w:tc>
        <w:tc>
          <w:tcPr>
            <w:tcW w:w="1220" w:type="dxa"/>
            <w:vAlign w:val="bottom"/>
          </w:tcPr>
          <w:p>
            <w:pPr>
              <w:jc w:val="right"/>
              <w:ind w:right="51"/>
              <w:spacing w:after="0" w:line="206" w:lineRule="exact"/>
              <w:rPr>
                <w:sz w:val="20"/>
                <w:szCs w:val="20"/>
                <w:color w:val="auto"/>
              </w:rPr>
            </w:pPr>
            <w:r>
              <w:rPr>
                <w:rFonts w:ascii="Arial" w:cs="Arial" w:eastAsia="Arial" w:hAnsi="Arial"/>
                <w:sz w:val="18"/>
                <w:szCs w:val="18"/>
                <w:color w:val="auto"/>
              </w:rPr>
              <w:t>366,985</w:t>
            </w:r>
          </w:p>
        </w:tc>
        <w:tc>
          <w:tcPr>
            <w:tcW w:w="340" w:type="dxa"/>
            <w:vAlign w:val="bottom"/>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45.82</w:t>
            </w:r>
          </w:p>
        </w:tc>
        <w:tc>
          <w:tcPr>
            <w:tcW w:w="360" w:type="dxa"/>
            <w:vAlign w:val="bottom"/>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14.09</w:t>
            </w: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(926,407)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(926,407)</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24.02</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r>
      <w:tr>
        <w:trPr>
          <w:trHeight w:val="21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(186,666)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(186,666)</w:t>
            </w:r>
          </w:p>
        </w:tc>
        <w:tc>
          <w:tcPr>
            <w:tcW w:w="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22.17</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9.01</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6"/>
        </w:trPr>
        <w:tc>
          <w:tcPr>
            <w:tcW w:w="476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31, 2014</w:t>
            </w:r>
          </w:p>
        </w:tc>
        <w:tc>
          <w:tcPr>
            <w:tcW w:w="2780" w:type="dxa"/>
            <w:vAlign w:val="bottom"/>
            <w:tcBorders>
              <w:bottom w:val="single" w:sz="8" w:color="auto"/>
            </w:tcBorders>
            <w:shd w:val="clear" w:color="auto" w:fill="CCEEFF"/>
          </w:tcPr>
          <w:p>
            <w:pPr>
              <w:jc w:val="right"/>
              <w:ind w:right="231"/>
              <w:spacing w:after="0" w:line="206" w:lineRule="exact"/>
              <w:rPr>
                <w:sz w:val="20"/>
                <w:szCs w:val="20"/>
                <w:color w:val="auto"/>
              </w:rPr>
            </w:pPr>
            <w:r>
              <w:rPr>
                <w:rFonts w:ascii="Arial" w:cs="Arial" w:eastAsia="Arial" w:hAnsi="Arial"/>
                <w:sz w:val="18"/>
                <w:szCs w:val="18"/>
                <w:color w:val="auto"/>
              </w:rPr>
              <w:t>2,227,700</w:t>
            </w:r>
          </w:p>
        </w:tc>
        <w:tc>
          <w:tcPr>
            <w:tcW w:w="122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2,227,700</w:t>
            </w:r>
          </w:p>
        </w:tc>
        <w:tc>
          <w:tcPr>
            <w:tcW w:w="340" w:type="dxa"/>
            <w:vAlign w:val="bottom"/>
            <w:tcBorders>
              <w:bottom w:val="single" w:sz="8" w:color="auto"/>
            </w:tcBorders>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28.00</w:t>
            </w:r>
          </w:p>
        </w:tc>
        <w:tc>
          <w:tcPr>
            <w:tcW w:w="360" w:type="dxa"/>
            <w:vAlign w:val="bottom"/>
            <w:tcBorders>
              <w:bottom w:val="single" w:sz="8" w:color="auto"/>
            </w:tcBorders>
            <w:shd w:val="clear" w:color="auto" w:fill="CCEEFF"/>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10.40</w:t>
            </w:r>
          </w:p>
        </w:tc>
      </w:tr>
      <w:tr>
        <w:trPr>
          <w:trHeight w:val="206"/>
        </w:trPr>
        <w:tc>
          <w:tcPr>
            <w:tcW w:w="4760" w:type="dxa"/>
            <w:vAlign w:val="bottom"/>
          </w:tcPr>
          <w:p>
            <w:pPr>
              <w:spacing w:after="0" w:line="206" w:lineRule="exact"/>
              <w:rPr>
                <w:sz w:val="20"/>
                <w:szCs w:val="20"/>
                <w:color w:val="auto"/>
              </w:rPr>
            </w:pPr>
            <w:r>
              <w:rPr>
                <w:rFonts w:ascii="Arial" w:cs="Arial" w:eastAsia="Arial" w:hAnsi="Arial"/>
                <w:sz w:val="18"/>
                <w:szCs w:val="18"/>
                <w:color w:val="auto"/>
              </w:rPr>
              <w:t>Granted</w:t>
            </w:r>
          </w:p>
        </w:tc>
        <w:tc>
          <w:tcPr>
            <w:tcW w:w="2780" w:type="dxa"/>
            <w:vAlign w:val="bottom"/>
          </w:tcPr>
          <w:p>
            <w:pPr>
              <w:jc w:val="right"/>
              <w:ind w:right="231"/>
              <w:spacing w:after="0" w:line="206" w:lineRule="exact"/>
              <w:rPr>
                <w:sz w:val="20"/>
                <w:szCs w:val="20"/>
                <w:color w:val="auto"/>
              </w:rPr>
            </w:pPr>
            <w:r>
              <w:rPr>
                <w:rFonts w:ascii="Arial" w:cs="Arial" w:eastAsia="Arial" w:hAnsi="Arial"/>
                <w:sz w:val="18"/>
                <w:szCs w:val="18"/>
                <w:color w:val="auto"/>
              </w:rPr>
              <w:t>259,059</w:t>
            </w:r>
          </w:p>
        </w:tc>
        <w:tc>
          <w:tcPr>
            <w:tcW w:w="1220" w:type="dxa"/>
            <w:vAlign w:val="bottom"/>
          </w:tcPr>
          <w:p>
            <w:pPr>
              <w:jc w:val="right"/>
              <w:ind w:right="51"/>
              <w:spacing w:after="0" w:line="206" w:lineRule="exact"/>
              <w:rPr>
                <w:sz w:val="20"/>
                <w:szCs w:val="20"/>
                <w:color w:val="auto"/>
              </w:rPr>
            </w:pPr>
            <w:r>
              <w:rPr>
                <w:rFonts w:ascii="Arial" w:cs="Arial" w:eastAsia="Arial" w:hAnsi="Arial"/>
                <w:sz w:val="18"/>
                <w:szCs w:val="18"/>
                <w:color w:val="auto"/>
              </w:rPr>
              <w:t>259,059</w:t>
            </w:r>
          </w:p>
        </w:tc>
        <w:tc>
          <w:tcPr>
            <w:tcW w:w="340" w:type="dxa"/>
            <w:vAlign w:val="bottom"/>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68.25</w:t>
            </w:r>
          </w:p>
        </w:tc>
        <w:tc>
          <w:tcPr>
            <w:tcW w:w="360" w:type="dxa"/>
            <w:vAlign w:val="bottom"/>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line="206" w:lineRule="exact"/>
              <w:rPr>
                <w:sz w:val="20"/>
                <w:szCs w:val="20"/>
                <w:color w:val="auto"/>
              </w:rPr>
            </w:pPr>
            <w:r>
              <w:rPr>
                <w:rFonts w:ascii="Arial" w:cs="Arial" w:eastAsia="Arial" w:hAnsi="Arial"/>
                <w:sz w:val="18"/>
                <w:szCs w:val="18"/>
                <w:color w:val="auto"/>
              </w:rPr>
              <w:t>19.75</w:t>
            </w:r>
          </w:p>
        </w:tc>
      </w:tr>
      <w:tr>
        <w:trPr>
          <w:trHeight w:val="21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(773,753)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(773,753)</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27.13</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10.31</w:t>
            </w:r>
          </w:p>
        </w:tc>
      </w:tr>
      <w:tr>
        <w:trPr>
          <w:trHeight w:val="21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Cancelled</w:t>
            </w:r>
          </w:p>
        </w:tc>
        <w:tc>
          <w:tcPr>
            <w:tcW w:w="27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(86,424)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(86,424)</w:t>
            </w:r>
          </w:p>
        </w:tc>
        <w:tc>
          <w:tcPr>
            <w:tcW w:w="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27.32</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10.31</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6"/>
        </w:trPr>
        <w:tc>
          <w:tcPr>
            <w:tcW w:w="476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31, 2015</w:t>
            </w:r>
          </w:p>
        </w:tc>
        <w:tc>
          <w:tcPr>
            <w:tcW w:w="2780" w:type="dxa"/>
            <w:vAlign w:val="bottom"/>
            <w:tcBorders>
              <w:bottom w:val="single" w:sz="8" w:color="auto"/>
            </w:tcBorders>
            <w:shd w:val="clear" w:color="auto" w:fill="CCEEFF"/>
          </w:tcPr>
          <w:p>
            <w:pPr>
              <w:jc w:val="right"/>
              <w:ind w:right="231"/>
              <w:spacing w:after="0" w:line="206" w:lineRule="exact"/>
              <w:rPr>
                <w:sz w:val="20"/>
                <w:szCs w:val="20"/>
                <w:color w:val="auto"/>
              </w:rPr>
            </w:pPr>
            <w:r>
              <w:rPr>
                <w:rFonts w:ascii="Arial" w:cs="Arial" w:eastAsia="Arial" w:hAnsi="Arial"/>
                <w:sz w:val="18"/>
                <w:szCs w:val="18"/>
                <w:color w:val="auto"/>
              </w:rPr>
              <w:t>1,626,582</w:t>
            </w:r>
          </w:p>
        </w:tc>
        <w:tc>
          <w:tcPr>
            <w:tcW w:w="1220" w:type="dxa"/>
            <w:vAlign w:val="bottom"/>
            <w:tcBorders>
              <w:bottom w:val="single" w:sz="8" w:color="auto"/>
            </w:tcBorders>
            <w:shd w:val="clear" w:color="auto" w:fill="CCEEFF"/>
          </w:tcPr>
          <w:p>
            <w:pPr>
              <w:jc w:val="right"/>
              <w:ind w:right="51"/>
              <w:spacing w:after="0" w:line="206" w:lineRule="exact"/>
              <w:rPr>
                <w:sz w:val="20"/>
                <w:szCs w:val="20"/>
                <w:color w:val="auto"/>
              </w:rPr>
            </w:pPr>
            <w:r>
              <w:rPr>
                <w:rFonts w:ascii="Arial" w:cs="Arial" w:eastAsia="Arial" w:hAnsi="Arial"/>
                <w:sz w:val="18"/>
                <w:szCs w:val="18"/>
                <w:color w:val="auto"/>
              </w:rPr>
              <w:t>1,626,582</w:t>
            </w:r>
          </w:p>
        </w:tc>
        <w:tc>
          <w:tcPr>
            <w:tcW w:w="340" w:type="dxa"/>
            <w:vAlign w:val="bottom"/>
            <w:tcBorders>
              <w:bottom w:val="single" w:sz="8" w:color="auto"/>
            </w:tcBorders>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34.87</w:t>
            </w:r>
          </w:p>
        </w:tc>
        <w:tc>
          <w:tcPr>
            <w:tcW w:w="360" w:type="dxa"/>
            <w:vAlign w:val="bottom"/>
            <w:tcBorders>
              <w:bottom w:val="single" w:sz="8" w:color="auto"/>
            </w:tcBorders>
            <w:shd w:val="clear" w:color="auto" w:fill="CCEEFF"/>
          </w:tcPr>
          <w:p>
            <w:pPr>
              <w:ind w:left="100"/>
              <w:spacing w:after="0" w:line="20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11.94</w:t>
            </w:r>
          </w:p>
        </w:tc>
      </w:tr>
      <w:tr>
        <w:trPr>
          <w:trHeight w:val="418"/>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 and exercisable at December 31, 2015</w:t>
            </w:r>
          </w:p>
        </w:tc>
        <w:tc>
          <w:tcPr>
            <w:tcW w:w="27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657,729</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657,729</w:t>
            </w:r>
          </w:p>
        </w:tc>
        <w:tc>
          <w:tcPr>
            <w:tcW w:w="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24.15</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9.36</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weighted average remaining contractual life of options outstanding and options exercisable at December 31, 2015, was 4.76 years and 3.39 years respectively (2014: 4.58 years and 3.22 years respectively). 336,993 options are expected to vest during the year ended December 31, 2016 (494,951 options were expected to vest during the year ended December 31, 2015).</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intrinsic value of options exercised during the year ended December 31, 2015 amounted to $34.2 million. The intrinsic value of options outstanding and options exercisable at December 31, 2015 amounted to $69.7 million and $35.2 million respectively. Intrinsic value is calculated based on the market value versus strike price of the Company’s shares at the date of exercise.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60" w:type="dxa"/>
            <w:vAlign w:val="bottom"/>
          </w:tcPr>
          <w:p>
            <w:pPr>
              <w:spacing w:after="0"/>
              <w:rPr>
                <w:sz w:val="20"/>
                <w:szCs w:val="20"/>
                <w:color w:val="auto"/>
              </w:rPr>
            </w:pPr>
            <w:r>
              <w:rPr>
                <w:rFonts w:ascii="Arial" w:cs="Arial" w:eastAsia="Arial" w:hAnsi="Arial"/>
                <w:sz w:val="18"/>
                <w:szCs w:val="18"/>
                <w:color w:val="auto"/>
              </w:rPr>
              <w:t>Non-vested shares outstanding as at December 31, 2015 are as follows:</w:t>
            </w: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35"/>
        </w:trPr>
        <w:tc>
          <w:tcPr>
            <w:tcW w:w="6360" w:type="dxa"/>
            <w:vAlign w:val="bottom"/>
          </w:tcPr>
          <w:p>
            <w:pPr>
              <w:spacing w:after="0"/>
              <w:rPr>
                <w:sz w:val="24"/>
                <w:szCs w:val="24"/>
                <w:color w:val="auto"/>
              </w:rPr>
            </w:pPr>
          </w:p>
        </w:tc>
        <w:tc>
          <w:tcPr>
            <w:tcW w:w="2380" w:type="dxa"/>
            <w:vAlign w:val="bottom"/>
          </w:tcPr>
          <w:p>
            <w:pPr>
              <w:jc w:val="right"/>
              <w:ind w:right="51"/>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3"/>
        </w:trPr>
        <w:tc>
          <w:tcPr>
            <w:tcW w:w="6360" w:type="dxa"/>
            <w:vAlign w:val="bottom"/>
          </w:tcPr>
          <w:p>
            <w:pPr>
              <w:spacing w:after="0"/>
              <w:rPr>
                <w:sz w:val="18"/>
                <w:szCs w:val="18"/>
                <w:color w:val="auto"/>
              </w:rPr>
            </w:pPr>
          </w:p>
        </w:tc>
        <w:tc>
          <w:tcPr>
            <w:tcW w:w="2380" w:type="dxa"/>
            <w:vAlign w:val="bottom"/>
          </w:tcPr>
          <w:p>
            <w:pPr>
              <w:jc w:val="right"/>
              <w:ind w:right="51"/>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r>
      <w:tr>
        <w:trPr>
          <w:trHeight w:val="213"/>
        </w:trPr>
        <w:tc>
          <w:tcPr>
            <w:tcW w:w="6360" w:type="dxa"/>
            <w:vAlign w:val="bottom"/>
          </w:tcPr>
          <w:p>
            <w:pPr>
              <w:spacing w:after="0"/>
              <w:rPr>
                <w:sz w:val="18"/>
                <w:szCs w:val="18"/>
                <w:color w:val="auto"/>
              </w:rPr>
            </w:pPr>
          </w:p>
        </w:tc>
        <w:tc>
          <w:tcPr>
            <w:tcW w:w="2380" w:type="dxa"/>
            <w:vAlign w:val="bottom"/>
          </w:tcPr>
          <w:p>
            <w:pPr>
              <w:jc w:val="right"/>
              <w:ind w:right="51"/>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w w:val="91"/>
              </w:rPr>
              <w:t>Average Fair</w:t>
            </w:r>
          </w:p>
        </w:tc>
      </w:tr>
      <w:tr>
        <w:trPr>
          <w:trHeight w:val="230"/>
        </w:trPr>
        <w:tc>
          <w:tcPr>
            <w:tcW w:w="6360" w:type="dxa"/>
            <w:vAlign w:val="bottom"/>
          </w:tcPr>
          <w:p>
            <w:pPr>
              <w:spacing w:after="0"/>
              <w:rPr>
                <w:sz w:val="19"/>
                <w:szCs w:val="19"/>
                <w:color w:val="auto"/>
              </w:rPr>
            </w:pPr>
          </w:p>
        </w:tc>
        <w:tc>
          <w:tcPr>
            <w:tcW w:w="2380" w:type="dxa"/>
            <w:vAlign w:val="bottom"/>
          </w:tcPr>
          <w:p>
            <w:pPr>
              <w:jc w:val="right"/>
              <w:ind w:right="51"/>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9"/>
              </w:rPr>
              <w:t>Exercise Price</w:t>
            </w:r>
          </w:p>
        </w:tc>
        <w:tc>
          <w:tcPr>
            <w:tcW w:w="2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Value</w:t>
            </w:r>
          </w:p>
        </w:tc>
      </w:tr>
      <w:tr>
        <w:trPr>
          <w:trHeight w:val="214"/>
        </w:trPr>
        <w:tc>
          <w:tcPr>
            <w:tcW w:w="6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outstanding at December 31, 2014</w:t>
            </w:r>
          </w:p>
        </w:tc>
        <w:tc>
          <w:tcPr>
            <w:tcW w:w="2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1,203,150</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r>
      <w:tr>
        <w:trPr>
          <w:trHeight w:val="213"/>
        </w:trPr>
        <w:tc>
          <w:tcPr>
            <w:tcW w:w="6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3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259,059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19.75</w:t>
            </w:r>
          </w:p>
        </w:tc>
      </w:tr>
      <w:tr>
        <w:trPr>
          <w:trHeight w:val="213"/>
        </w:trPr>
        <w:tc>
          <w:tcPr>
            <w:tcW w:w="6360" w:type="dxa"/>
            <w:vAlign w:val="bottom"/>
          </w:tcPr>
          <w:p>
            <w:pPr>
              <w:spacing w:after="0"/>
              <w:rPr>
                <w:sz w:val="20"/>
                <w:szCs w:val="20"/>
                <w:color w:val="auto"/>
              </w:rPr>
            </w:pPr>
            <w:r>
              <w:rPr>
                <w:rFonts w:ascii="Arial" w:cs="Arial" w:eastAsia="Arial" w:hAnsi="Arial"/>
                <w:sz w:val="18"/>
                <w:szCs w:val="18"/>
                <w:color w:val="auto"/>
              </w:rPr>
              <w:t>Vested</w:t>
            </w:r>
          </w:p>
        </w:tc>
        <w:tc>
          <w:tcPr>
            <w:tcW w:w="2380" w:type="dxa"/>
            <w:vAlign w:val="bottom"/>
          </w:tcPr>
          <w:p>
            <w:pPr>
              <w:jc w:val="right"/>
              <w:spacing w:after="0"/>
              <w:rPr>
                <w:sz w:val="20"/>
                <w:szCs w:val="20"/>
                <w:color w:val="auto"/>
              </w:rPr>
            </w:pPr>
            <w:r>
              <w:rPr>
                <w:rFonts w:ascii="Arial" w:cs="Arial" w:eastAsia="Arial" w:hAnsi="Arial"/>
                <w:sz w:val="18"/>
                <w:szCs w:val="18"/>
                <w:color w:val="auto"/>
              </w:rPr>
              <w:t>(379,992)</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28.25</w:t>
            </w:r>
          </w:p>
        </w:tc>
        <w:tc>
          <w:tcPr>
            <w:tcW w:w="2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10.49</w:t>
            </w:r>
          </w:p>
        </w:tc>
      </w:tr>
      <w:tr>
        <w:trPr>
          <w:trHeight w:val="219"/>
        </w:trPr>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(113,364)</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9.50</w:t>
            </w:r>
          </w:p>
        </w:tc>
      </w:tr>
      <w:tr>
        <w:trPr>
          <w:trHeight w:val="213"/>
        </w:trPr>
        <w:tc>
          <w:tcPr>
            <w:tcW w:w="6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3"/>
        </w:trPr>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outstanding at December 31, 2015</w:t>
            </w:r>
          </w:p>
        </w:tc>
        <w:tc>
          <w:tcPr>
            <w:tcW w:w="2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968,853</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and exercisable share options: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t>The following table summarizes information concerning outstanding and exercisable share options as of December 31, 2015:</w:t>
      </w:r>
    </w:p>
    <w:p>
      <w:pPr>
        <w:sectPr>
          <w:pgSz w:w="11900" w:h="16838" w:orient="portrait"/>
          <w:cols w:equalWidth="0" w:num="1">
            <w:col w:w="11420"/>
          </w:cols>
          <w:pgMar w:left="240" w:top="513" w:right="239" w:bottom="1440" w:gutter="0" w:footer="0" w:header="0"/>
        </w:sect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00" w:type="dxa"/>
            <w:vAlign w:val="bottom"/>
            <w:gridSpan w:val="2"/>
          </w:tcPr>
          <w:p>
            <w:pPr>
              <w:jc w:val="right"/>
              <w:ind w:right="1031"/>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Pr>
          <w:p>
            <w:pPr>
              <w:spacing w:after="0"/>
              <w:rPr>
                <w:sz w:val="18"/>
                <w:szCs w:val="18"/>
                <w:color w:val="auto"/>
              </w:rPr>
            </w:pPr>
          </w:p>
        </w:tc>
      </w:tr>
      <w:tr>
        <w:trPr>
          <w:trHeight w:val="213"/>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b w:val="1"/>
                <w:bCs w:val="1"/>
                <w:color w:val="auto"/>
              </w:rPr>
              <w:t>Weighted Average</w:t>
            </w:r>
          </w:p>
        </w:tc>
        <w:tc>
          <w:tcPr>
            <w:tcW w:w="220" w:type="dxa"/>
            <w:vAlign w:val="bottom"/>
          </w:tcPr>
          <w:p>
            <w:pPr>
              <w:spacing w:after="0"/>
              <w:rPr>
                <w:sz w:val="18"/>
                <w:szCs w:val="18"/>
                <w:color w:val="auto"/>
              </w:rPr>
            </w:pPr>
          </w:p>
        </w:tc>
      </w:tr>
      <w:tr>
        <w:trPr>
          <w:trHeight w:val="213"/>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b w:val="1"/>
                <w:bCs w:val="1"/>
                <w:color w:val="auto"/>
              </w:rPr>
              <w:t>Remaining</w:t>
            </w:r>
          </w:p>
        </w:tc>
        <w:tc>
          <w:tcPr>
            <w:tcW w:w="220" w:type="dxa"/>
            <w:vAlign w:val="bottom"/>
          </w:tcPr>
          <w:p>
            <w:pPr>
              <w:spacing w:after="0"/>
              <w:rPr>
                <w:sz w:val="18"/>
                <w:szCs w:val="18"/>
                <w:color w:val="auto"/>
              </w:rPr>
            </w:pPr>
          </w:p>
        </w:tc>
      </w:tr>
      <w:tr>
        <w:trPr>
          <w:trHeight w:val="219"/>
        </w:trPr>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Range Exercise Price</w:t>
            </w:r>
          </w:p>
        </w:tc>
        <w:tc>
          <w:tcPr>
            <w:tcW w:w="1900" w:type="dxa"/>
            <w:vAlign w:val="bottom"/>
          </w:tcPr>
          <w:p>
            <w:pPr>
              <w:jc w:val="right"/>
              <w:ind w:right="171"/>
              <w:spacing w:after="0"/>
              <w:rPr>
                <w:sz w:val="20"/>
                <w:szCs w:val="20"/>
                <w:color w:val="auto"/>
              </w:rPr>
            </w:pPr>
            <w:r>
              <w:rPr>
                <w:rFonts w:ascii="Arial" w:cs="Arial" w:eastAsia="Arial" w:hAnsi="Arial"/>
                <w:sz w:val="18"/>
                <w:szCs w:val="18"/>
                <w:b w:val="1"/>
                <w:bCs w:val="1"/>
                <w:color w:val="auto"/>
              </w:rPr>
              <w:t>Number of Shares</w:t>
            </w:r>
          </w:p>
        </w:tc>
        <w:tc>
          <w:tcPr>
            <w:tcW w:w="1800" w:type="dxa"/>
            <w:vAlign w:val="bottom"/>
          </w:tcPr>
          <w:p>
            <w:pPr>
              <w:jc w:val="right"/>
              <w:ind w:right="71"/>
              <w:spacing w:after="0"/>
              <w:rPr>
                <w:sz w:val="20"/>
                <w:szCs w:val="20"/>
                <w:color w:val="auto"/>
              </w:rPr>
            </w:pPr>
            <w:r>
              <w:rPr>
                <w:rFonts w:ascii="Arial" w:cs="Arial" w:eastAsia="Arial" w:hAnsi="Arial"/>
                <w:sz w:val="18"/>
                <w:szCs w:val="18"/>
                <w:b w:val="1"/>
                <w:bCs w:val="1"/>
                <w:color w:val="auto"/>
              </w:rPr>
              <w:t>Contractual Life</w:t>
            </w:r>
          </w:p>
        </w:tc>
        <w:tc>
          <w:tcPr>
            <w:tcW w:w="220" w:type="dxa"/>
            <w:vAlign w:val="bottom"/>
          </w:tcPr>
          <w:p>
            <w:pPr>
              <w:spacing w:after="0"/>
              <w:rPr>
                <w:sz w:val="19"/>
                <w:szCs w:val="19"/>
                <w:color w:val="auto"/>
              </w:rPr>
            </w:pP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15.84</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50,000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16.80</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60,000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3.83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17.17</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12,000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3.85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18.98</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600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0.87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20.16</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400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2.88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20.28</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255,694</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3.17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20.59</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57,200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4.14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22.26</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61,755</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22.30</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250,939</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4.32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23.66</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7,890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4.58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24.46</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101,412</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2.18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26.20</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1,950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2.39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26.71</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4,450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4.86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29.45</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3,000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2.33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32.37</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179,603</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5.34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35.33</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1,350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36.22</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27,213</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5.47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37.90</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7,100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5.93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40.83</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105,992</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6.40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47.03</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71,670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6.18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48.67</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140,881</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6.21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51.35</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4,030</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6.61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66.47</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15,969</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7.39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66.97</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3,118</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7.46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68.39</w:t>
            </w:r>
          </w:p>
        </w:tc>
        <w:tc>
          <w:tcPr>
            <w:tcW w:w="1900" w:type="dxa"/>
            <w:vAlign w:val="bottom"/>
          </w:tcPr>
          <w:p>
            <w:pPr>
              <w:jc w:val="right"/>
              <w:ind w:right="171"/>
              <w:spacing w:after="0"/>
              <w:rPr>
                <w:sz w:val="20"/>
                <w:szCs w:val="20"/>
                <w:color w:val="auto"/>
              </w:rPr>
            </w:pPr>
            <w:r>
              <w:rPr>
                <w:rFonts w:ascii="Arial" w:cs="Arial" w:eastAsia="Arial" w:hAnsi="Arial"/>
                <w:sz w:val="18"/>
                <w:szCs w:val="18"/>
                <w:color w:val="auto"/>
              </w:rPr>
              <w:t>232,366</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7.22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-3374390</wp:posOffset>
            </wp:positionV>
            <wp:extent cx="7248525" cy="135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-3103880</wp:posOffset>
            </wp:positionV>
            <wp:extent cx="7248525" cy="135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-2834005</wp:posOffset>
            </wp:positionV>
            <wp:extent cx="7248525" cy="135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-2564130</wp:posOffset>
            </wp:positionV>
            <wp:extent cx="7248525" cy="135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-2293620</wp:posOffset>
            </wp:positionV>
            <wp:extent cx="7248525" cy="135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-2023745</wp:posOffset>
            </wp:positionV>
            <wp:extent cx="7248525" cy="135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-1753870</wp:posOffset>
            </wp:positionV>
            <wp:extent cx="7248525" cy="135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-1483995</wp:posOffset>
            </wp:positionV>
            <wp:extent cx="7248525" cy="135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-1213485</wp:posOffset>
            </wp:positionV>
            <wp:extent cx="7248525" cy="135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-943610</wp:posOffset>
            </wp:positionV>
            <wp:extent cx="7248525" cy="135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-673735</wp:posOffset>
            </wp:positionV>
            <wp:extent cx="7248525" cy="135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-403860</wp:posOffset>
            </wp:positionV>
            <wp:extent cx="7248525" cy="135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-133350</wp:posOffset>
            </wp:positionV>
            <wp:extent cx="7248525" cy="135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135890</wp:posOffset>
            </wp:positionV>
            <wp:extent cx="72485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19"/>
                <w:szCs w:val="19"/>
                <w:color w:val="auto"/>
              </w:rPr>
            </w:pPr>
          </w:p>
        </w:tc>
        <w:tc>
          <w:tcPr>
            <w:tcW w:w="3640" w:type="dxa"/>
            <w:vAlign w:val="bottom"/>
            <w:gridSpan w:val="3"/>
          </w:tcPr>
          <w:p>
            <w:pPr>
              <w:jc w:val="right"/>
              <w:ind w:right="971"/>
              <w:spacing w:after="0"/>
              <w:rPr>
                <w:sz w:val="20"/>
                <w:szCs w:val="20"/>
                <w:color w:val="auto"/>
              </w:rPr>
            </w:pPr>
            <w:r>
              <w:rPr>
                <w:rFonts w:ascii="Arial" w:cs="Arial" w:eastAsia="Arial" w:hAnsi="Arial"/>
                <w:sz w:val="18"/>
                <w:szCs w:val="18"/>
                <w:b w:val="1"/>
                <w:bCs w:val="1"/>
                <w:color w:val="auto"/>
              </w:rPr>
              <w:t>Options Exercisable</w:t>
            </w:r>
          </w:p>
        </w:tc>
      </w:tr>
      <w:tr>
        <w:trPr>
          <w:trHeight w:val="408"/>
        </w:trPr>
        <w:tc>
          <w:tcPr>
            <w:tcW w:w="1660" w:type="dxa"/>
            <w:vAlign w:val="bottom"/>
          </w:tcPr>
          <w:p>
            <w:pPr>
              <w:jc w:val="right"/>
              <w:ind w:right="191"/>
              <w:spacing w:after="0"/>
              <w:rPr>
                <w:sz w:val="20"/>
                <w:szCs w:val="20"/>
                <w:color w:val="auto"/>
              </w:rPr>
            </w:pPr>
            <w:r>
              <w:rPr>
                <w:rFonts w:ascii="Arial" w:cs="Arial" w:eastAsia="Arial" w:hAnsi="Arial"/>
                <w:sz w:val="18"/>
                <w:szCs w:val="18"/>
                <w:b w:val="1"/>
                <w:bCs w:val="1"/>
                <w:color w:val="auto"/>
                <w:w w:val="86"/>
              </w:rPr>
              <w:t>Weighted Average</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2"/>
              </w:rPr>
              <w:t>Weighted Average</w:t>
            </w:r>
          </w:p>
        </w:tc>
      </w:tr>
      <w:tr>
        <w:trPr>
          <w:trHeight w:val="219"/>
        </w:trPr>
        <w:tc>
          <w:tcPr>
            <w:tcW w:w="1660" w:type="dxa"/>
            <w:vAlign w:val="bottom"/>
          </w:tcPr>
          <w:p>
            <w:pPr>
              <w:jc w:val="right"/>
              <w:ind w:right="191"/>
              <w:spacing w:after="0"/>
              <w:rPr>
                <w:sz w:val="20"/>
                <w:szCs w:val="20"/>
                <w:color w:val="auto"/>
              </w:rPr>
            </w:pPr>
            <w:r>
              <w:rPr>
                <w:rFonts w:ascii="Arial" w:cs="Arial" w:eastAsia="Arial" w:hAnsi="Arial"/>
                <w:sz w:val="18"/>
                <w:szCs w:val="18"/>
                <w:b w:val="1"/>
                <w:bCs w:val="1"/>
                <w:color w:val="auto"/>
              </w:rPr>
              <w:t>Exercise Price</w:t>
            </w:r>
          </w:p>
        </w:tc>
        <w:tc>
          <w:tcPr>
            <w:tcW w:w="1820" w:type="dxa"/>
            <w:vAlign w:val="bottom"/>
          </w:tcPr>
          <w:p>
            <w:pPr>
              <w:jc w:val="right"/>
              <w:ind w:right="71"/>
              <w:spacing w:after="0"/>
              <w:rPr>
                <w:sz w:val="20"/>
                <w:szCs w:val="20"/>
                <w:color w:val="auto"/>
              </w:rPr>
            </w:pPr>
            <w:r>
              <w:rPr>
                <w:rFonts w:ascii="Arial" w:cs="Arial" w:eastAsia="Arial" w:hAnsi="Arial"/>
                <w:sz w:val="18"/>
                <w:szCs w:val="18"/>
                <w:b w:val="1"/>
                <w:bCs w:val="1"/>
                <w:color w:val="auto"/>
              </w:rPr>
              <w:t>Number of Shares</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Exercise Price</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15.84</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50,000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15.84</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16.80</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30,000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17.17</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6,000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17.17</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18.98</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600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18.98</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20.16</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400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20.28</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158,073</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20.59</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4,000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20.59</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22.26</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61,755</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22.26</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22.30</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109,894</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22.30</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23.66</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4,450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24.46</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101,412</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24.46</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26.20</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1,950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26.20</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26.71</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2,670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26.71</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29.45</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3,000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29.45</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32.37</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70,997</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32.37</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35.33</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1,350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35.33</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36.22</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7,908</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36.22</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37.90</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920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40.83</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20,468</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40.83</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47.03</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7,520</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47.03</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48.67</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13,556</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48.67</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51.35</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806</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51.35</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66.47</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66.47</w:t>
            </w:r>
          </w:p>
        </w:tc>
      </w:tr>
      <w:tr>
        <w:trPr>
          <w:trHeight w:val="213"/>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66.97</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66.97</w:t>
            </w:r>
          </w:p>
        </w:tc>
      </w:tr>
      <w:tr>
        <w:trPr>
          <w:trHeight w:val="224"/>
        </w:trPr>
        <w:tc>
          <w:tcPr>
            <w:tcW w:w="1660" w:type="dxa"/>
            <w:vAlign w:val="bottom"/>
          </w:tcPr>
          <w:p>
            <w:pPr>
              <w:jc w:val="right"/>
              <w:ind w:right="191"/>
              <w:spacing w:after="0"/>
              <w:rPr>
                <w:sz w:val="20"/>
                <w:szCs w:val="20"/>
                <w:color w:val="auto"/>
              </w:rPr>
            </w:pPr>
            <w:r>
              <w:rPr>
                <w:rFonts w:ascii="Arial" w:cs="Arial" w:eastAsia="Arial" w:hAnsi="Arial"/>
                <w:sz w:val="18"/>
                <w:szCs w:val="18"/>
                <w:color w:val="auto"/>
              </w:rPr>
              <w:t>68.39</w:t>
            </w: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68.39</w:t>
            </w:r>
          </w:p>
        </w:tc>
      </w:tr>
    </w:tbl>
    <w:p>
      <w:pPr>
        <w:spacing w:after="0" w:line="200" w:lineRule="exact"/>
        <w:rPr>
          <w:sz w:val="20"/>
          <w:szCs w:val="20"/>
          <w:color w:val="auto"/>
        </w:rPr>
      </w:pPr>
    </w:p>
    <w:p>
      <w:pPr>
        <w:sectPr>
          <w:pgSz w:w="11900" w:h="16838" w:orient="portrait"/>
          <w:cols w:equalWidth="0" w:num="2">
            <w:col w:w="5800" w:space="160"/>
            <w:col w:w="5460"/>
          </w:cols>
          <w:pgMar w:left="240" w:top="513" w:right="239" w:bottom="1440" w:gutter="0" w:footer="0" w:header="0"/>
          <w:type w:val="continuous"/>
        </w:sectPr>
      </w:pPr>
    </w:p>
    <w:p>
      <w:pPr>
        <w:spacing w:after="0" w:line="22" w:lineRule="exact"/>
        <w:rPr>
          <w:sz w:val="20"/>
          <w:szCs w:val="20"/>
          <w:color w:val="auto"/>
        </w:rPr>
      </w:pPr>
    </w:p>
    <w:p>
      <w:pPr>
        <w:spacing w:after="0"/>
        <w:tabs>
          <w:tab w:leader="none" w:pos="560" w:val="left"/>
          <w:tab w:leader="none" w:pos="2780" w:val="left"/>
          <w:tab w:leader="none" w:pos="5100" w:val="left"/>
          <w:tab w:leader="none" w:pos="5700" w:val="left"/>
          <w:tab w:leader="none" w:pos="6920" w:val="left"/>
          <w:tab w:leader="none" w:pos="8680" w:val="left"/>
          <w:tab w:leader="none" w:pos="9580" w:val="left"/>
          <w:tab w:leader="none" w:pos="108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15.84 - $68.39</w:t>
      </w:r>
      <w:r>
        <w:rPr>
          <w:sz w:val="20"/>
          <w:szCs w:val="20"/>
          <w:color w:val="auto"/>
        </w:rPr>
        <w:tab/>
      </w:r>
      <w:r>
        <w:rPr>
          <w:rFonts w:ascii="Arial" w:cs="Arial" w:eastAsia="Arial" w:hAnsi="Arial"/>
          <w:sz w:val="18"/>
          <w:szCs w:val="18"/>
          <w:b w:val="1"/>
          <w:bCs w:val="1"/>
          <w:color w:val="auto"/>
        </w:rPr>
        <w:t>1,626,582</w:t>
      </w:r>
      <w:r>
        <w:rPr>
          <w:sz w:val="20"/>
          <w:szCs w:val="20"/>
          <w:color w:val="auto"/>
        </w:rPr>
        <w:tab/>
      </w:r>
      <w:r>
        <w:rPr>
          <w:rFonts w:ascii="Arial" w:cs="Arial" w:eastAsia="Arial" w:hAnsi="Arial"/>
          <w:sz w:val="18"/>
          <w:szCs w:val="18"/>
          <w:b w:val="1"/>
          <w:bCs w:val="1"/>
          <w:color w:val="auto"/>
        </w:rPr>
        <w:t>4.76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34.87</w:t>
      </w:r>
      <w:r>
        <w:rPr>
          <w:sz w:val="20"/>
          <w:szCs w:val="20"/>
          <w:color w:val="auto"/>
        </w:rPr>
        <w:tab/>
      </w:r>
      <w:r>
        <w:rPr>
          <w:rFonts w:ascii="Arial" w:cs="Arial" w:eastAsia="Arial" w:hAnsi="Arial"/>
          <w:sz w:val="18"/>
          <w:szCs w:val="18"/>
          <w:b w:val="1"/>
          <w:bCs w:val="1"/>
          <w:color w:val="auto"/>
        </w:rPr>
        <w:t>657,729</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4"/>
          <w:szCs w:val="14"/>
          <w:b w:val="1"/>
          <w:bCs w:val="1"/>
          <w:color w:val="auto"/>
        </w:rPr>
        <w:t>24.15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48525" cy="151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8525" cy="151765"/>
                    </a:xfrm>
                    <a:prstGeom prst="rect">
                      <a:avLst/>
                    </a:prstGeom>
                    <a:noFill/>
                  </pic:spPr>
                </pic:pic>
              </a:graphicData>
            </a:graphic>
          </wp:anchor>
        </w:drawing>
      </w:r>
    </w:p>
    <w:p>
      <w:pPr>
        <w:spacing w:after="0" w:line="25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Options outstanding include both vested and unvested options as at December 31, 2015. Options exercisable represent options which have vested at December 31, 2015. From the date of grant, substantially all options vest over a five year period at 20% per annum.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15" w:name="page116"/>
    <w:bookmarkEnd w:id="115"/>
    <w:p>
      <w:pPr>
        <w:jc w:val="both"/>
        <w:spacing w:after="0" w:line="266" w:lineRule="auto"/>
        <w:rPr>
          <w:sz w:val="20"/>
          <w:szCs w:val="20"/>
          <w:color w:val="auto"/>
        </w:rPr>
      </w:pPr>
      <w:r>
        <w:rPr>
          <w:rFonts w:ascii="Arial" w:cs="Arial" w:eastAsia="Arial" w:hAnsi="Arial"/>
          <w:sz w:val="18"/>
          <w:szCs w:val="18"/>
          <w:color w:val="auto"/>
        </w:rPr>
        <w:t>The weighted average fair value of options granted during the years ended December 31, 2015, December 31, 2014 and December 31, 2013 was calculated using the Black-Scholes option pricing model. The weighted average fair values and assumptions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251"/>
              <w:spacing w:after="0"/>
              <w:rPr>
                <w:sz w:val="20"/>
                <w:szCs w:val="20"/>
                <w:color w:val="auto"/>
              </w:rPr>
            </w:pPr>
            <w:r>
              <w:rPr>
                <w:rFonts w:ascii="Arial" w:cs="Arial" w:eastAsia="Arial" w:hAnsi="Arial"/>
                <w:sz w:val="18"/>
                <w:szCs w:val="18"/>
                <w:b w:val="1"/>
                <w:bCs w:val="1"/>
                <w:color w:val="auto"/>
                <w:w w:val="88"/>
              </w:rPr>
              <w:t>Year Ended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3"/>
        </w:trPr>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18"/>
                <w:szCs w:val="18"/>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b w:val="1"/>
                <w:bCs w:val="1"/>
                <w:color w:val="auto"/>
                <w:w w:val="85"/>
              </w:rPr>
              <w:t>December 31,</w:t>
            </w:r>
          </w:p>
        </w:tc>
        <w:tc>
          <w:tcPr>
            <w:tcW w:w="14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w w:val="87"/>
              </w:rPr>
              <w:t>December 31,</w:t>
            </w:r>
          </w:p>
        </w:tc>
      </w:tr>
      <w:tr>
        <w:trPr>
          <w:trHeight w:val="230"/>
        </w:trPr>
        <w:tc>
          <w:tcPr>
            <w:tcW w:w="9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2013</w:t>
            </w:r>
          </w:p>
        </w:tc>
      </w:tr>
      <w:tr>
        <w:trPr>
          <w:trHeight w:val="214"/>
        </w:trPr>
        <w:tc>
          <w:tcPr>
            <w:tcW w:w="9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4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19.75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14.09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12.05</w:t>
            </w:r>
          </w:p>
        </w:tc>
      </w:tr>
      <w:tr>
        <w:trPr>
          <w:trHeight w:val="206"/>
        </w:trPr>
        <w:tc>
          <w:tcPr>
            <w:tcW w:w="9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73"/>
        </w:trPr>
        <w:tc>
          <w:tcPr>
            <w:tcW w:w="466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color w:val="auto"/>
              </w:rPr>
              <w:t>Assumptions:</w:t>
            </w:r>
          </w:p>
        </w:tc>
        <w:tc>
          <w:tcPr>
            <w:tcW w:w="27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40"/>
        </w:trPr>
        <w:tc>
          <w:tcPr>
            <w:tcW w:w="980" w:type="dxa"/>
            <w:vAlign w:val="bottom"/>
            <w:shd w:val="clear" w:color="auto" w:fill="000000"/>
          </w:tcPr>
          <w:p>
            <w:pPr>
              <w:spacing w:after="0"/>
              <w:rPr>
                <w:sz w:val="3"/>
                <w:szCs w:val="3"/>
                <w:color w:val="auto"/>
              </w:rPr>
            </w:pPr>
          </w:p>
        </w:tc>
        <w:tc>
          <w:tcPr>
            <w:tcW w:w="3680" w:type="dxa"/>
            <w:vAlign w:val="bottom"/>
            <w:shd w:val="clear" w:color="auto" w:fill="CCEEFF"/>
          </w:tcPr>
          <w:p>
            <w:pPr>
              <w:spacing w:after="0"/>
              <w:rPr>
                <w:sz w:val="3"/>
                <w:szCs w:val="3"/>
                <w:color w:val="auto"/>
              </w:rPr>
            </w:pPr>
          </w:p>
        </w:tc>
        <w:tc>
          <w:tcPr>
            <w:tcW w:w="27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3"/>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3"/>
        </w:trPr>
        <w:tc>
          <w:tcPr>
            <w:tcW w:w="46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53"/>
        </w:trPr>
        <w:tc>
          <w:tcPr>
            <w:tcW w:w="4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7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5.0 years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5.0 years</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5.0 years</w:t>
            </w:r>
          </w:p>
        </w:tc>
      </w:tr>
    </w:tbl>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year ended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RSU</w:t>
            </w:r>
          </w:p>
        </w:tc>
      </w:tr>
      <w:tr>
        <w:trPr>
          <w:trHeight w:val="213"/>
        </w:trPr>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Weighted</w:t>
            </w:r>
          </w:p>
        </w:tc>
      </w:tr>
      <w:tr>
        <w:trPr>
          <w:trHeight w:val="213"/>
        </w:trPr>
        <w:tc>
          <w:tcPr>
            <w:tcW w:w="302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PSU</w:t>
            </w:r>
          </w:p>
        </w:tc>
        <w:tc>
          <w:tcPr>
            <w:tcW w:w="300" w:type="dxa"/>
            <w:vAlign w:val="bottom"/>
          </w:tcPr>
          <w:p>
            <w:pPr>
              <w:spacing w:after="0"/>
              <w:rPr>
                <w:sz w:val="18"/>
                <w:szCs w:val="18"/>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PSU</w:t>
            </w: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b w:val="1"/>
                <w:bCs w:val="1"/>
                <w:color w:val="auto"/>
              </w:rPr>
              <w:t>RSU</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Average</w:t>
            </w:r>
          </w:p>
        </w:tc>
      </w:tr>
      <w:tr>
        <w:trPr>
          <w:trHeight w:val="213"/>
        </w:trPr>
        <w:tc>
          <w:tcPr>
            <w:tcW w:w="302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Weighted</w:t>
            </w: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Remaining</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Remaining</w:t>
            </w:r>
          </w:p>
        </w:tc>
      </w:tr>
      <w:tr>
        <w:trPr>
          <w:trHeight w:val="213"/>
        </w:trPr>
        <w:tc>
          <w:tcPr>
            <w:tcW w:w="302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Average</w:t>
            </w: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Contractual</w:t>
            </w:r>
          </w:p>
        </w:tc>
      </w:tr>
      <w:tr>
        <w:trPr>
          <w:trHeight w:val="230"/>
        </w:trPr>
        <w:tc>
          <w:tcPr>
            <w:tcW w:w="3020" w:type="dxa"/>
            <w:vAlign w:val="bottom"/>
          </w:tcPr>
          <w:p>
            <w:pPr>
              <w:spacing w:after="0"/>
              <w:rPr>
                <w:sz w:val="19"/>
                <w:szCs w:val="19"/>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Fair Value</w:t>
            </w:r>
          </w:p>
        </w:tc>
        <w:tc>
          <w:tcPr>
            <w:tcW w:w="1360" w:type="dxa"/>
            <w:vAlign w:val="bottom"/>
          </w:tcPr>
          <w:p>
            <w:pPr>
              <w:jc w:val="right"/>
              <w:ind w:right="111"/>
              <w:spacing w:after="0"/>
              <w:rPr>
                <w:sz w:val="20"/>
                <w:szCs w:val="20"/>
                <w:color w:val="auto"/>
              </w:rPr>
            </w:pPr>
            <w:r>
              <w:rPr>
                <w:rFonts w:ascii="Arial" w:cs="Arial" w:eastAsia="Arial" w:hAnsi="Arial"/>
                <w:sz w:val="18"/>
                <w:szCs w:val="18"/>
                <w:b w:val="1"/>
                <w:bCs w:val="1"/>
                <w:color w:val="auto"/>
              </w:rPr>
              <w:t>Life</w:t>
            </w:r>
          </w:p>
        </w:tc>
        <w:tc>
          <w:tcPr>
            <w:tcW w:w="1280" w:type="dxa"/>
            <w:vAlign w:val="bottom"/>
          </w:tcPr>
          <w:p>
            <w:pPr>
              <w:jc w:val="right"/>
              <w:ind w:right="31"/>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9"/>
                <w:szCs w:val="19"/>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Life</w:t>
            </w:r>
          </w:p>
        </w:tc>
      </w:tr>
      <w:tr>
        <w:trPr>
          <w:trHeight w:val="426"/>
        </w:trPr>
        <w:tc>
          <w:tcPr>
            <w:tcW w:w="3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6"/>
        </w:trPr>
        <w:tc>
          <w:tcPr>
            <w:tcW w:w="302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31, 2014</w:t>
            </w:r>
          </w:p>
        </w:tc>
        <w:tc>
          <w:tcPr>
            <w:tcW w:w="1620" w:type="dxa"/>
            <w:vAlign w:val="bottom"/>
            <w:tcBorders>
              <w:bottom w:val="single" w:sz="8" w:color="auto"/>
            </w:tcBorders>
            <w:shd w:val="clear" w:color="auto" w:fill="CCEEFF"/>
          </w:tcPr>
          <w:p>
            <w:pPr>
              <w:jc w:val="right"/>
              <w:ind w:right="71"/>
              <w:spacing w:after="0" w:line="206" w:lineRule="exact"/>
              <w:rPr>
                <w:sz w:val="20"/>
                <w:szCs w:val="20"/>
                <w:color w:val="auto"/>
              </w:rPr>
            </w:pPr>
            <w:r>
              <w:rPr>
                <w:rFonts w:ascii="Arial" w:cs="Arial" w:eastAsia="Arial" w:hAnsi="Arial"/>
                <w:sz w:val="18"/>
                <w:szCs w:val="18"/>
                <w:color w:val="auto"/>
              </w:rPr>
              <w:t>669,171</w:t>
            </w:r>
          </w:p>
        </w:tc>
        <w:tc>
          <w:tcPr>
            <w:tcW w:w="30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51"/>
              <w:spacing w:after="0" w:line="206" w:lineRule="exact"/>
              <w:rPr>
                <w:sz w:val="20"/>
                <w:szCs w:val="20"/>
                <w:color w:val="auto"/>
              </w:rPr>
            </w:pPr>
            <w:r>
              <w:rPr>
                <w:rFonts w:ascii="Arial" w:cs="Arial" w:eastAsia="Arial" w:hAnsi="Arial"/>
                <w:sz w:val="18"/>
                <w:szCs w:val="18"/>
                <w:color w:val="auto"/>
              </w:rPr>
              <w:t>39.78</w:t>
            </w:r>
          </w:p>
        </w:tc>
        <w:tc>
          <w:tcPr>
            <w:tcW w:w="1360" w:type="dxa"/>
            <w:vAlign w:val="bottom"/>
            <w:tcBorders>
              <w:bottom w:val="single" w:sz="8" w:color="auto"/>
            </w:tcBorders>
            <w:shd w:val="clear" w:color="auto" w:fill="CCEEFF"/>
          </w:tcPr>
          <w:p>
            <w:pPr>
              <w:jc w:val="right"/>
              <w:ind w:right="111"/>
              <w:spacing w:after="0" w:line="206" w:lineRule="exact"/>
              <w:rPr>
                <w:sz w:val="20"/>
                <w:szCs w:val="20"/>
                <w:color w:val="auto"/>
              </w:rPr>
            </w:pPr>
            <w:r>
              <w:rPr>
                <w:rFonts w:ascii="Arial" w:cs="Arial" w:eastAsia="Arial" w:hAnsi="Arial"/>
                <w:sz w:val="18"/>
                <w:szCs w:val="18"/>
                <w:color w:val="auto"/>
              </w:rPr>
              <w:t>1.77</w:t>
            </w:r>
          </w:p>
        </w:tc>
        <w:tc>
          <w:tcPr>
            <w:tcW w:w="128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1,038,996</w:t>
            </w:r>
          </w:p>
        </w:tc>
        <w:tc>
          <w:tcPr>
            <w:tcW w:w="300" w:type="dxa"/>
            <w:vAlign w:val="bottom"/>
            <w:tcBorders>
              <w:bottom w:val="single" w:sz="8" w:color="auto"/>
            </w:tcBorders>
            <w:shd w:val="clear" w:color="auto" w:fill="CCEEFF"/>
          </w:tcPr>
          <w:p>
            <w:pPr>
              <w:jc w:val="right"/>
              <w:ind w:right="31"/>
              <w:spacing w:after="0" w:line="20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1"/>
              <w:spacing w:after="0" w:line="206" w:lineRule="exact"/>
              <w:rPr>
                <w:sz w:val="20"/>
                <w:szCs w:val="20"/>
                <w:color w:val="auto"/>
              </w:rPr>
            </w:pPr>
            <w:r>
              <w:rPr>
                <w:rFonts w:ascii="Arial" w:cs="Arial" w:eastAsia="Arial" w:hAnsi="Arial"/>
                <w:sz w:val="18"/>
                <w:szCs w:val="18"/>
                <w:color w:val="auto"/>
              </w:rPr>
              <w:t>35.19</w:t>
            </w:r>
          </w:p>
        </w:tc>
        <w:tc>
          <w:tcPr>
            <w:tcW w:w="1240" w:type="dxa"/>
            <w:vAlign w:val="bottom"/>
            <w:tcBorders>
              <w:bottom w:val="single" w:sz="8" w:color="auto"/>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rPr>
              <w:t>1.67</w:t>
            </w:r>
          </w:p>
        </w:tc>
      </w:tr>
      <w:tr>
        <w:trPr>
          <w:trHeight w:val="206"/>
        </w:trPr>
        <w:tc>
          <w:tcPr>
            <w:tcW w:w="3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3"/>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259,110</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68.82</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389,542</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67.02</w:t>
            </w:r>
          </w:p>
        </w:tc>
        <w:tc>
          <w:tcPr>
            <w:tcW w:w="1240" w:type="dxa"/>
            <w:vAlign w:val="bottom"/>
            <w:shd w:val="clear" w:color="auto" w:fill="CCEEFF"/>
          </w:tcPr>
          <w:p>
            <w:pPr>
              <w:spacing w:after="0"/>
              <w:rPr>
                <w:sz w:val="18"/>
                <w:szCs w:val="18"/>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8"/>
                <w:szCs w:val="18"/>
                <w:color w:val="auto"/>
              </w:rPr>
              <w:t>Shares vested</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(7,990)</w:t>
            </w:r>
          </w:p>
        </w:tc>
        <w:tc>
          <w:tcPr>
            <w:tcW w:w="300" w:type="dxa"/>
            <w:vAlign w:val="bottom"/>
          </w:tcPr>
          <w:p>
            <w:pPr>
              <w:spacing w:after="0"/>
              <w:rPr>
                <w:sz w:val="18"/>
                <w:szCs w:val="18"/>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32.38</w:t>
            </w:r>
          </w:p>
        </w:tc>
        <w:tc>
          <w:tcPr>
            <w:tcW w:w="1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(268,870)</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26.06</w:t>
            </w:r>
          </w:p>
        </w:tc>
        <w:tc>
          <w:tcPr>
            <w:tcW w:w="1240" w:type="dxa"/>
            <w:vAlign w:val="bottom"/>
          </w:tcPr>
          <w:p>
            <w:pPr>
              <w:spacing w:after="0"/>
              <w:rPr>
                <w:sz w:val="18"/>
                <w:szCs w:val="18"/>
                <w:color w:val="auto"/>
              </w:rPr>
            </w:pPr>
          </w:p>
        </w:tc>
      </w:tr>
      <w:tr>
        <w:trPr>
          <w:trHeight w:val="219"/>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(18,518)</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46.82</w:t>
            </w:r>
          </w:p>
        </w:tc>
        <w:tc>
          <w:tcPr>
            <w:tcW w:w="1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(92,055)</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44.43</w:t>
            </w:r>
          </w:p>
        </w:tc>
        <w:tc>
          <w:tcPr>
            <w:tcW w:w="1240" w:type="dxa"/>
            <w:vAlign w:val="bottom"/>
            <w:tcBorders>
              <w:bottom w:val="single" w:sz="8" w:color="auto"/>
            </w:tcBorders>
            <w:shd w:val="clear" w:color="auto" w:fill="CCEEFF"/>
          </w:tcPr>
          <w:p>
            <w:pPr>
              <w:spacing w:after="0"/>
              <w:rPr>
                <w:sz w:val="19"/>
                <w:szCs w:val="19"/>
                <w:color w:val="auto"/>
              </w:rPr>
            </w:pPr>
          </w:p>
        </w:tc>
      </w:tr>
      <w:tr>
        <w:trPr>
          <w:trHeight w:val="213"/>
        </w:trPr>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901,773</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72.55</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2.49</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1,067,613</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48.30</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year ended December 31, 2015 totaled $7.0 million (2014: $4.9 million).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PSU’s vested for the year ended December 31, 2015 totaled $0.3 million. No PSU’s vested during 2014.</w:t>
      </w:r>
    </w:p>
    <w:p>
      <w:pPr>
        <w:spacing w:after="0" w:line="245"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The PSU’s vest based on service and specified EPS targets over the periods 2014 – 2016 and 2015 – 2017. Since 2013, 456,922 PSU’s (net of forfeitures and exercises) have been granted. Depending on the actual amount of EPS from 2013 to 2017, up to an additional 444,851 PSU’s may also be granted.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Income from operations for the year ended December 31, 2015 is stated after charging $33.3 million in respect of non-cash stock compensation expense. Non-cash stock compensation expense for the year ended December 31, 2015 has been allocated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b w:val="1"/>
                <w:bCs w:val="1"/>
                <w:color w:val="auto"/>
                <w:w w:val="92"/>
              </w:rPr>
              <w:t>Year ended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49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49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49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18,358</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7,835</w:t>
            </w:r>
          </w:p>
        </w:tc>
      </w:tr>
      <w:tr>
        <w:trPr>
          <w:trHeight w:val="213"/>
        </w:trPr>
        <w:tc>
          <w:tcPr>
            <w:tcW w:w="4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14,959</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10,211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6,385</w:t>
            </w:r>
          </w:p>
        </w:tc>
      </w:tr>
      <w:tr>
        <w:trPr>
          <w:trHeight w:val="465"/>
        </w:trPr>
        <w:tc>
          <w:tcPr>
            <w:tcW w:w="4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compensation costs</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33,317</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14,220</w:t>
            </w:r>
          </w:p>
        </w:tc>
      </w:tr>
    </w:tbl>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non-cash stock compensation expense not yet recognized at December 31, 2015 amounted to $61.9 million. The weighted average period over which this is expected to be recognized is 2.05 years. Total tax benefit recognized in additional paid in capital related to the non-cash compensation expense amounted to $1.9 million for the year ended December 31, 2015 (2014: $2.4 million, 2013: $1.7 million).</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income tax expense for the year ended December 31, 2015 reflects a net income tax benefit of $1.5 million in connection with stock compensation and the cash tax benefit realized in connection with stock options exercised during 2015 was $5.6 million. The income tax expense for the year ended 31 December 2014 reflects a net income tax benefit of $1.5 million in connection with stock compensation and the cash tax benefit realized in connection with stock options exercised during 2014 was $3.9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b w:val="1"/>
                <w:bCs w:val="1"/>
                <w:color w:val="auto"/>
              </w:rPr>
              <w:t>11. Government Grants</w:t>
            </w:r>
          </w:p>
        </w:tc>
        <w:tc>
          <w:tcPr>
            <w:tcW w:w="3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5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5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58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Received</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3,698</w:t>
            </w:r>
          </w:p>
        </w:tc>
      </w:tr>
      <w:tr>
        <w:trPr>
          <w:trHeight w:val="213"/>
        </w:trPr>
        <w:tc>
          <w:tcPr>
            <w:tcW w:w="58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0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(2,657)</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(2,710)</w:t>
            </w:r>
          </w:p>
        </w:tc>
      </w:tr>
      <w:tr>
        <w:trPr>
          <w:trHeight w:val="219"/>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translation adjustment</w:t>
            </w:r>
          </w:p>
        </w:tc>
        <w:tc>
          <w:tcPr>
            <w:tcW w:w="30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r>
      <w:tr>
        <w:trPr>
          <w:trHeight w:val="213"/>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government grants</w:t>
            </w:r>
          </w:p>
        </w:tc>
        <w:tc>
          <w:tcPr>
            <w:tcW w:w="306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1,226</w:t>
            </w:r>
          </w:p>
        </w:tc>
      </w:tr>
      <w:tr>
        <w:trPr>
          <w:trHeight w:val="219"/>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0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government grants</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1,116</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 A net charge of $53,000 was recorded in respect of government grants during the year ended December 31, 2015. Government grants amortized to the profit and loss account amounted to $213,000 for the year ended December 31, 2014. As at December 31, 2015 the Company had $0.7 million in restricted retained earnings, pursuant to the terms of grant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Capital</w:t>
      </w: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2015, 773,753 options were exercised by employees at an average exercise price of $27.13 per share for total proceeds of $21.0 million. During the year ended December 31, 2015, 268,870 ordinary shares were issued in respect of certain RSU’s and 7,990 ordinary shares were issued in respect of certain PSUs previously awarded by the Company.</w:t>
      </w:r>
    </w:p>
    <w:p>
      <w:pPr>
        <w:spacing w:after="0" w:line="21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During the year ended December 31, 2014, 926,407 options were exercised by employees at an average exercise price of $24.02 per share for total proceeds of $22.3 million. During the year ended December 31, 2014, 233,726 ordinary shares were issued in respect of certain RSU’s previously awarded by the Company.</w:t>
      </w:r>
    </w:p>
    <w:p>
      <w:pPr>
        <w:spacing w:after="0" w:line="160" w:lineRule="exact"/>
        <w:rPr>
          <w:sz w:val="20"/>
          <w:szCs w:val="20"/>
          <w:color w:val="auto"/>
        </w:rPr>
      </w:pPr>
    </w:p>
    <w:p>
      <w:pPr>
        <w:jc w:val="both"/>
        <w:spacing w:after="0" w:line="410" w:lineRule="auto"/>
        <w:rPr>
          <w:sz w:val="20"/>
          <w:szCs w:val="20"/>
          <w:color w:val="auto"/>
        </w:rPr>
      </w:pPr>
      <w:r>
        <w:rPr>
          <w:rFonts w:ascii="Arial" w:cs="Arial" w:eastAsia="Arial" w:hAnsi="Arial"/>
          <w:sz w:val="14"/>
          <w:szCs w:val="14"/>
          <w:color w:val="auto"/>
        </w:rPr>
        <w:t>During the year ended December 31, 2013, 1,249,759 options were exercised by employees at an average exercise price of $21.60 per share for total proceeds of $27.0 million. During the year ended December 31, 2013, 50,000 ordinary shares were issued in respect of certain RSU’s previously awarded by the Company.</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 Share Repurchase Program</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 2015 the Company commenced a buyback program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 for a total consideration of $57.9 million. All ordinary shares that were redeemed under the buyback program were cancelled in accordance with the Constitution of the Company and the nominal value of these shares transferred to a capital redemption reserve fund as required under Irish Company Law.</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July 31, 2015 the Company commenced a further buyback program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 for a total consideration of $400 million. All ordinary shares that were redeemed under the buyback program were cancelled in accordance with the Constitution of the Company and the nominal value of these shares transferred to a capital redemption reserve fund as required under Irish Company Law. The share buyback program was completed in December 2015, with a total of 6,198,481 ordinary shares redeemed during the year ended December 31, 2015 for total consideration of $457.9 million.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8" w:name="page119"/>
    <w:bookmarkEnd w:id="118"/>
    <w:p>
      <w:pPr>
        <w:jc w:val="both"/>
        <w:spacing w:after="0" w:line="256" w:lineRule="auto"/>
        <w:rPr>
          <w:sz w:val="20"/>
          <w:szCs w:val="20"/>
          <w:color w:val="auto"/>
        </w:rPr>
      </w:pPr>
      <w:r>
        <w:rPr>
          <w:rFonts w:ascii="Arial" w:cs="Arial" w:eastAsia="Arial" w:hAnsi="Arial"/>
          <w:sz w:val="18"/>
          <w:szCs w:val="18"/>
          <w:color w:val="auto"/>
        </w:rPr>
        <w:t>During the year ended December 31, 2014 2,640,610 ordinary shares were repurchased by the Company for a total consideration of $140.0 million. There were no share repurchases completed during 2013. All ordinary shares repurchased by the Company were cancelled, and the nominal value of these shares transferred to a capital redemption reserve fund as required under Irish Company Law.</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October 27, 2011 the Company announced its intention to commence a share repurchase program of up to $50 million. On November 22, 2011 the Company entered into two separate share repurchase plans of up to $10 million each, covering the periods November 23, 2011 to December 31, 2011 and January 1, 2012 to February 20, 2012 respectively. On February 21, 2012 the Company entered into a further share repurchase plan of up to $20 million, covering the period February 22, 2012 to April 22, 2012. On April 27, 2012 the Company entered into a fourth share repurchase plan of up to $20 million, covering the period April 27, 2012 to July 18, 2012. On July 30, 2012 the Company entered into a fifth share repurchase plan of up to $10 million, covering the period July 30, 2012 to October 26, 2012. On September 19, 2014 the Company announced that it had completed a $40 million redemption of the Company’s ordinary shares and that it had entered into a further program under which the Company can acquire up to an additional $100 million of its outstanding ordinary shares (by way of redemption), in accordance with United States securities laws through open market share acquisitions.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Company’s United States and Irish based subsidiaries file tax returns in the United States and Ireland respectively. Other foreign subsidiaries are taxed separately under the laws of their respective countries.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provision for income taxes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4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4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4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184,643</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143,889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80,914</w:t>
            </w:r>
          </w:p>
        </w:tc>
      </w:tr>
      <w:tr>
        <w:trPr>
          <w:trHeight w:val="213"/>
        </w:trPr>
        <w:tc>
          <w:tcPr>
            <w:tcW w:w="4280" w:type="dxa"/>
            <w:vAlign w:val="bottom"/>
          </w:tcPr>
          <w:p>
            <w:pPr>
              <w:spacing w:after="0"/>
              <w:rPr>
                <w:sz w:val="20"/>
                <w:szCs w:val="20"/>
                <w:color w:val="auto"/>
              </w:rPr>
            </w:pPr>
            <w:r>
              <w:rPr>
                <w:rFonts w:ascii="Arial" w:cs="Arial" w:eastAsia="Arial" w:hAnsi="Arial"/>
                <w:sz w:val="18"/>
                <w:szCs w:val="18"/>
                <w:color w:val="auto"/>
              </w:rPr>
              <w:t>United States</w:t>
            </w:r>
          </w:p>
        </w:tc>
        <w:tc>
          <w:tcPr>
            <w:tcW w:w="32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15,436</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6,966</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16,218</w:t>
            </w:r>
          </w:p>
        </w:tc>
      </w:tr>
      <w:tr>
        <w:trPr>
          <w:trHeight w:val="219"/>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78,771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51,861</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23,733</w:t>
            </w:r>
          </w:p>
        </w:tc>
      </w:tr>
      <w:tr>
        <w:trPr>
          <w:trHeight w:val="42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provision for income taxes</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278,850</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202,716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120,865</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90"/>
        </w:trPr>
        <w:tc>
          <w:tcPr>
            <w:tcW w:w="4280" w:type="dxa"/>
            <w:vAlign w:val="bottom"/>
          </w:tcPr>
          <w:p>
            <w:pPr>
              <w:spacing w:after="0"/>
              <w:rPr>
                <w:sz w:val="24"/>
                <w:szCs w:val="24"/>
                <w:color w:val="auto"/>
              </w:rPr>
            </w:pPr>
          </w:p>
        </w:tc>
        <w:tc>
          <w:tcPr>
            <w:tcW w:w="3260" w:type="dxa"/>
            <w:vAlign w:val="bottom"/>
          </w:tcPr>
          <w:p>
            <w:pPr>
              <w:jc w:val="right"/>
              <w:ind w:right="1611"/>
              <w:spacing w:after="0"/>
              <w:rPr>
                <w:sz w:val="20"/>
                <w:szCs w:val="20"/>
                <w:color w:val="auto"/>
              </w:rPr>
            </w:pPr>
            <w:r>
              <w:rPr>
                <w:rFonts w:ascii="Arial" w:cs="Arial" w:eastAsia="Arial" w:hAnsi="Arial"/>
                <w:sz w:val="18"/>
                <w:szCs w:val="18"/>
                <w:color w:val="auto"/>
              </w:rPr>
              <w:t>117</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428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4"/>
        </w:trPr>
        <w:tc>
          <w:tcPr>
            <w:tcW w:w="6960" w:type="dxa"/>
            <w:vAlign w:val="bottom"/>
            <w:gridSpan w:val="2"/>
          </w:tcPr>
          <w:p>
            <w:pPr>
              <w:spacing w:after="0"/>
              <w:rPr>
                <w:sz w:val="20"/>
                <w:szCs w:val="20"/>
                <w:color w:val="auto"/>
              </w:rPr>
            </w:pPr>
            <w:r>
              <w:rPr>
                <w:rFonts w:ascii="Arial" w:cs="Arial" w:eastAsia="Arial" w:hAnsi="Arial"/>
                <w:sz w:val="18"/>
                <w:szCs w:val="18"/>
                <w:color w:val="auto"/>
              </w:rPr>
              <w:t>The components of provision for income taxes are as follows:</w:t>
            </w: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19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b w:val="1"/>
                <w:bCs w:val="1"/>
                <w:color w:val="auto"/>
                <w:w w:val="88"/>
              </w:rPr>
              <w:t>Year ended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19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19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19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3"/>
        </w:trPr>
        <w:tc>
          <w:tcPr>
            <w:tcW w:w="196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8"/>
                <w:szCs w:val="18"/>
                <w:color w:val="auto"/>
                <w:w w:val="89"/>
              </w:rPr>
              <w:t>Provision for income taxes:</w:t>
            </w:r>
          </w:p>
        </w:tc>
        <w:tc>
          <w:tcPr>
            <w:tcW w:w="5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13"/>
        </w:trPr>
        <w:tc>
          <w:tcPr>
            <w:tcW w:w="6960" w:type="dxa"/>
            <w:vAlign w:val="bottom"/>
            <w:gridSpan w:val="2"/>
          </w:tcPr>
          <w:p>
            <w:pPr>
              <w:spacing w:after="0"/>
              <w:rPr>
                <w:sz w:val="20"/>
                <w:szCs w:val="20"/>
                <w:color w:val="auto"/>
              </w:rPr>
            </w:pPr>
            <w:r>
              <w:rPr>
                <w:rFonts w:ascii="Arial" w:cs="Arial" w:eastAsia="Arial" w:hAnsi="Arial"/>
                <w:sz w:val="18"/>
                <w:szCs w:val="18"/>
                <w:color w:val="auto"/>
              </w:rPr>
              <w:t>Current tax expense:</w:t>
            </w: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21,769</w:t>
            </w: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19,562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9,158</w:t>
            </w:r>
          </w:p>
        </w:tc>
      </w:tr>
      <w:tr>
        <w:trPr>
          <w:trHeight w:val="213"/>
        </w:trPr>
        <w:tc>
          <w:tcPr>
            <w:tcW w:w="6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684</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7,891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14,492</w:t>
            </w:r>
          </w:p>
        </w:tc>
      </w:tr>
      <w:tr>
        <w:trPr>
          <w:trHeight w:val="219"/>
        </w:trPr>
        <w:tc>
          <w:tcPr>
            <w:tcW w:w="6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13,701</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10,695</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4,876</w:t>
            </w:r>
          </w:p>
        </w:tc>
      </w:tr>
      <w:tr>
        <w:trPr>
          <w:trHeight w:val="425"/>
        </w:trPr>
        <w:tc>
          <w:tcPr>
            <w:tcW w:w="6960" w:type="dxa"/>
            <w:vAlign w:val="bottom"/>
            <w:gridSpan w:val="2"/>
          </w:tcPr>
          <w:p>
            <w:pPr>
              <w:spacing w:after="0"/>
              <w:rPr>
                <w:sz w:val="20"/>
                <w:szCs w:val="20"/>
                <w:color w:val="auto"/>
              </w:rPr>
            </w:pPr>
            <w:r>
              <w:rPr>
                <w:rFonts w:ascii="Arial" w:cs="Arial" w:eastAsia="Arial" w:hAnsi="Arial"/>
                <w:sz w:val="18"/>
                <w:szCs w:val="18"/>
                <w:color w:val="auto"/>
              </w:rPr>
              <w:t>Total current tax expense</w:t>
            </w:r>
          </w:p>
        </w:tc>
        <w:tc>
          <w:tcPr>
            <w:tcW w:w="58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36,154</w:t>
            </w:r>
          </w:p>
        </w:tc>
        <w:tc>
          <w:tcPr>
            <w:tcW w:w="180" w:type="dxa"/>
            <w:vAlign w:val="bottom"/>
          </w:tcPr>
          <w:p>
            <w:pPr>
              <w:spacing w:after="0"/>
              <w:rPr>
                <w:sz w:val="24"/>
                <w:szCs w:val="24"/>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38,148</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28,526</w:t>
            </w:r>
          </w:p>
        </w:tc>
      </w:tr>
      <w:tr>
        <w:trPr>
          <w:trHeight w:val="213"/>
        </w:trPr>
        <w:tc>
          <w:tcPr>
            <w:tcW w:w="19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960" w:type="dxa"/>
            <w:vAlign w:val="bottom"/>
            <w:gridSpan w:val="2"/>
          </w:tcPr>
          <w:p>
            <w:pPr>
              <w:spacing w:after="0"/>
              <w:rPr>
                <w:sz w:val="20"/>
                <w:szCs w:val="20"/>
                <w:color w:val="auto"/>
              </w:rPr>
            </w:pPr>
            <w:r>
              <w:rPr>
                <w:rFonts w:ascii="Arial" w:cs="Arial" w:eastAsia="Arial" w:hAnsi="Arial"/>
                <w:sz w:val="18"/>
                <w:szCs w:val="18"/>
                <w:color w:val="auto"/>
              </w:rPr>
              <w:t>Deferred tax expense/(benefit):</w:t>
            </w: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1,914</w:t>
            </w:r>
          </w:p>
        </w:tc>
      </w:tr>
      <w:tr>
        <w:trPr>
          <w:trHeight w:val="213"/>
        </w:trPr>
        <w:tc>
          <w:tcPr>
            <w:tcW w:w="69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5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2,896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(9,420)</w:t>
            </w:r>
          </w:p>
        </w:tc>
      </w:tr>
      <w:tr>
        <w:trPr>
          <w:trHeight w:val="219"/>
        </w:trPr>
        <w:tc>
          <w:tcPr>
            <w:tcW w:w="6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r>
      <w:tr>
        <w:trPr>
          <w:trHeight w:val="432"/>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deferred tax expense/(benefit)</w:t>
            </w:r>
          </w:p>
        </w:tc>
        <w:tc>
          <w:tcPr>
            <w:tcW w:w="5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3,157</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(10,473)</w:t>
            </w:r>
          </w:p>
        </w:tc>
      </w:tr>
      <w:tr>
        <w:trPr>
          <w:trHeight w:val="213"/>
        </w:trPr>
        <w:tc>
          <w:tcPr>
            <w:tcW w:w="19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39,311</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30,248</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18,053</w:t>
            </w: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6"/>
        </w:trPr>
        <w:tc>
          <w:tcPr>
            <w:tcW w:w="196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6960" w:type="dxa"/>
            <w:vAlign w:val="bottom"/>
            <w:gridSpan w:val="2"/>
          </w:tcPr>
          <w:p>
            <w:pPr>
              <w:spacing w:after="0"/>
              <w:rPr>
                <w:sz w:val="20"/>
                <w:szCs w:val="20"/>
                <w:color w:val="auto"/>
              </w:rPr>
            </w:pPr>
            <w:r>
              <w:rPr>
                <w:rFonts w:ascii="Arial" w:cs="Arial" w:eastAsia="Arial" w:hAnsi="Arial"/>
                <w:sz w:val="18"/>
                <w:szCs w:val="18"/>
                <w:color w:val="auto"/>
                <w:w w:val="94"/>
              </w:rPr>
              <w:t>Impact on shareholders equity and other comprehensive income of the tax consequence of :</w:t>
            </w: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 on stock compensation</w:t>
            </w: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19"/>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impact on long term funding</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3,574</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w:t>
            </w:r>
          </w:p>
        </w:tc>
      </w:tr>
      <w:tr>
        <w:trPr>
          <w:trHeight w:val="213"/>
        </w:trPr>
        <w:tc>
          <w:tcPr>
            <w:tcW w:w="19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40,980</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16,489</w:t>
            </w: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Ireland’s statutory income tax rate is 12.5%. The Company’s consolidated reported provision for income taxes differed from the amount that would result from applying the Irish statutory rate as set forth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b w:val="1"/>
                <w:bCs w:val="1"/>
                <w:color w:val="auto"/>
                <w:w w:val="88"/>
              </w:rPr>
              <w:t>Year ended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5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5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5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8"/>
              </w:rPr>
              <w:t>Taxes at Irish statutory rate of 12.5% (2014:12.5%; 2013:12.5%)</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34,856</w:t>
            </w: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15,108</w:t>
            </w: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Foreign and other income taxed at higher rates</w:t>
            </w:r>
          </w:p>
        </w:tc>
        <w:tc>
          <w:tcPr>
            <w:tcW w:w="24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4,614</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3,152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4,873</w:t>
            </w: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tax incentives</w:t>
            </w:r>
          </w:p>
        </w:tc>
        <w:tc>
          <w:tcPr>
            <w:tcW w:w="2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Movement in valuation allowance</w:t>
            </w:r>
          </w:p>
        </w:tc>
        <w:tc>
          <w:tcPr>
            <w:tcW w:w="2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2,389</w:t>
            </w: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Effects of change in tax rates</w:t>
            </w:r>
          </w:p>
        </w:tc>
        <w:tc>
          <w:tcPr>
            <w:tcW w:w="2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1,553</w:t>
            </w: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Increase/(decrease) in unrecognized tax benefits</w:t>
            </w:r>
          </w:p>
        </w:tc>
        <w:tc>
          <w:tcPr>
            <w:tcW w:w="24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5,085</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2,869</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(1,409)</w:t>
            </w: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Effects of permanent items</w:t>
            </w:r>
          </w:p>
        </w:tc>
        <w:tc>
          <w:tcPr>
            <w:tcW w:w="2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19"/>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465"/>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39,311</w:t>
            </w:r>
          </w:p>
        </w:tc>
        <w:tc>
          <w:tcPr>
            <w:tcW w:w="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30,248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18,053</w:t>
            </w:r>
          </w:p>
        </w:tc>
      </w:tr>
      <w:tr>
        <w:trPr>
          <w:trHeight w:val="590"/>
        </w:trPr>
        <w:tc>
          <w:tcPr>
            <w:tcW w:w="5100" w:type="dxa"/>
            <w:vAlign w:val="bottom"/>
          </w:tcPr>
          <w:p>
            <w:pPr>
              <w:spacing w:after="0"/>
              <w:rPr>
                <w:sz w:val="24"/>
                <w:szCs w:val="24"/>
                <w:color w:val="auto"/>
              </w:rPr>
            </w:pPr>
          </w:p>
        </w:tc>
        <w:tc>
          <w:tcPr>
            <w:tcW w:w="2440" w:type="dxa"/>
            <w:vAlign w:val="bottom"/>
          </w:tcPr>
          <w:p>
            <w:pPr>
              <w:jc w:val="right"/>
              <w:ind w:right="1611"/>
              <w:spacing w:after="0"/>
              <w:rPr>
                <w:sz w:val="20"/>
                <w:szCs w:val="20"/>
                <w:color w:val="auto"/>
              </w:rPr>
            </w:pPr>
            <w:r>
              <w:rPr>
                <w:rFonts w:ascii="Arial" w:cs="Arial" w:eastAsia="Arial" w:hAnsi="Arial"/>
                <w:sz w:val="18"/>
                <w:szCs w:val="18"/>
                <w:color w:val="auto"/>
              </w:rPr>
              <w:t>118</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510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color w:val="auto"/>
        </w:rPr>
        <w:t>The tax effects of temporary differences that give rise to significant portions of deferred tax assets and deferred tax liabilities are presented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11"/>
              <w:spacing w:after="0"/>
              <w:rPr>
                <w:sz w:val="20"/>
                <w:szCs w:val="20"/>
                <w:color w:val="auto"/>
              </w:rPr>
            </w:pPr>
            <w:r>
              <w:rPr>
                <w:rFonts w:ascii="Arial" w:cs="Arial" w:eastAsia="Arial" w:hAnsi="Arial"/>
                <w:sz w:val="18"/>
                <w:szCs w:val="18"/>
                <w:b w:val="1"/>
                <w:bCs w:val="1"/>
                <w:color w:val="auto"/>
                <w:w w:val="88"/>
              </w:rPr>
              <w:t>Year ended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13"/>
        </w:trPr>
        <w:tc>
          <w:tcPr>
            <w:tcW w:w="5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0"/>
        </w:trPr>
        <w:tc>
          <w:tcPr>
            <w:tcW w:w="530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0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2,665</w:t>
            </w: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13"/>
        </w:trPr>
        <w:tc>
          <w:tcPr>
            <w:tcW w:w="5300" w:type="dxa"/>
            <w:vAlign w:val="bottom"/>
          </w:tcPr>
          <w:p>
            <w:pPr>
              <w:spacing w:after="0"/>
              <w:rPr>
                <w:sz w:val="20"/>
                <w:szCs w:val="20"/>
                <w:color w:val="auto"/>
              </w:rPr>
            </w:pPr>
            <w:r>
              <w:rPr>
                <w:rFonts w:ascii="Arial" w:cs="Arial" w:eastAsia="Arial" w:hAnsi="Arial"/>
                <w:sz w:val="18"/>
                <w:szCs w:val="18"/>
                <w:color w:val="auto"/>
              </w:rPr>
              <w:t>Goodwill</w:t>
            </w:r>
          </w:p>
        </w:tc>
        <w:tc>
          <w:tcPr>
            <w:tcW w:w="2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21,571</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18,645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14,013</w:t>
            </w: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7,369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3,657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1,293</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1,947</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425"/>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 recognized</w:t>
            </w:r>
          </w:p>
        </w:tc>
        <w:tc>
          <w:tcPr>
            <w:tcW w:w="2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32,898</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28,519</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22,595</w:t>
            </w:r>
          </w:p>
        </w:tc>
        <w:tc>
          <w:tcPr>
            <w:tcW w:w="0" w:type="dxa"/>
            <w:vAlign w:val="bottom"/>
          </w:tcPr>
          <w:p>
            <w:pPr>
              <w:spacing w:after="0"/>
              <w:rPr>
                <w:sz w:val="1"/>
                <w:szCs w:val="1"/>
                <w:color w:val="auto"/>
              </w:rPr>
            </w:pPr>
          </w:p>
        </w:tc>
      </w:tr>
      <w:tr>
        <w:trPr>
          <w:trHeight w:val="213"/>
        </w:trPr>
        <w:tc>
          <w:tcPr>
            <w:tcW w:w="5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tcPr>
          <w:p>
            <w:pPr>
              <w:spacing w:after="0"/>
              <w:rPr>
                <w:sz w:val="20"/>
                <w:szCs w:val="20"/>
                <w:color w:val="auto"/>
              </w:rPr>
            </w:pPr>
            <w:r>
              <w:rPr>
                <w:rFonts w:ascii="Arial" w:cs="Arial" w:eastAsia="Arial" w:hAnsi="Arial"/>
                <w:sz w:val="18"/>
                <w:szCs w:val="18"/>
                <w:color w:val="auto"/>
              </w:rPr>
              <w:t>Operating loss and tax credits carryforwards</w:t>
            </w:r>
          </w:p>
        </w:tc>
        <w:tc>
          <w:tcPr>
            <w:tcW w:w="2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22,186</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30,586</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29,696</w:t>
            </w: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4,818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4,002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3"/>
        </w:trPr>
        <w:tc>
          <w:tcPr>
            <w:tcW w:w="530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2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29,473</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37,620</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30,136</w:t>
            </w: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2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12,959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8,717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13"/>
        </w:trPr>
        <w:tc>
          <w:tcPr>
            <w:tcW w:w="5300" w:type="dxa"/>
            <w:vAlign w:val="bottom"/>
          </w:tcPr>
          <w:p>
            <w:pPr>
              <w:spacing w:after="0"/>
              <w:rPr>
                <w:sz w:val="20"/>
                <w:szCs w:val="20"/>
                <w:color w:val="auto"/>
              </w:rPr>
            </w:pPr>
            <w:r>
              <w:rPr>
                <w:rFonts w:ascii="Arial" w:cs="Arial" w:eastAsia="Arial" w:hAnsi="Arial"/>
                <w:sz w:val="18"/>
                <w:szCs w:val="18"/>
                <w:color w:val="auto"/>
              </w:rPr>
              <w:t>Deferred compensation expense</w:t>
            </w:r>
          </w:p>
        </w:tc>
        <w:tc>
          <w:tcPr>
            <w:tcW w:w="2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2,174</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1,853</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566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1,244</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3"/>
        </w:trPr>
        <w:tc>
          <w:tcPr>
            <w:tcW w:w="53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24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72,176</w:t>
            </w:r>
          </w:p>
        </w:tc>
        <w:tc>
          <w:tcPr>
            <w:tcW w:w="1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84,022</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70,141</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allowance for deferred tax assets</w:t>
            </w:r>
          </w:p>
        </w:tc>
        <w:tc>
          <w:tcPr>
            <w:tcW w:w="2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(17,184)</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(23,145)</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24"/>
        </w:trPr>
        <w:tc>
          <w:tcPr>
            <w:tcW w:w="5300" w:type="dxa"/>
            <w:vAlign w:val="bottom"/>
          </w:tcPr>
          <w:p>
            <w:pPr>
              <w:spacing w:after="0"/>
              <w:rPr>
                <w:sz w:val="20"/>
                <w:szCs w:val="20"/>
                <w:color w:val="auto"/>
              </w:rPr>
            </w:pPr>
            <w:r>
              <w:rPr>
                <w:rFonts w:ascii="Arial" w:cs="Arial" w:eastAsia="Arial" w:hAnsi="Arial"/>
                <w:sz w:val="18"/>
                <w:szCs w:val="18"/>
                <w:color w:val="auto"/>
              </w:rPr>
              <w:t>Deferred tax assets recognized</w:t>
            </w:r>
          </w:p>
        </w:tc>
        <w:tc>
          <w:tcPr>
            <w:tcW w:w="2240" w:type="dxa"/>
            <w:vAlign w:val="bottom"/>
          </w:tcPr>
          <w:p>
            <w:pPr>
              <w:spacing w:after="0"/>
              <w:rPr>
                <w:sz w:val="19"/>
                <w:szCs w:val="19"/>
                <w:color w:val="auto"/>
              </w:rPr>
            </w:pPr>
          </w:p>
        </w:tc>
        <w:tc>
          <w:tcPr>
            <w:tcW w:w="1200" w:type="dxa"/>
            <w:vAlign w:val="bottom"/>
            <w:vMerge w:val="restart"/>
          </w:tcPr>
          <w:p>
            <w:pPr>
              <w:jc w:val="right"/>
              <w:ind w:right="51"/>
              <w:spacing w:after="0"/>
              <w:rPr>
                <w:sz w:val="20"/>
                <w:szCs w:val="20"/>
                <w:color w:val="auto"/>
              </w:rPr>
            </w:pPr>
            <w:r>
              <w:rPr>
                <w:rFonts w:ascii="Arial" w:cs="Arial" w:eastAsia="Arial" w:hAnsi="Arial"/>
                <w:sz w:val="18"/>
                <w:szCs w:val="18"/>
                <w:color w:val="auto"/>
              </w:rPr>
              <w:t>54,992</w:t>
            </w:r>
          </w:p>
        </w:tc>
        <w:tc>
          <w:tcPr>
            <w:tcW w:w="180" w:type="dxa"/>
            <w:vAlign w:val="bottom"/>
          </w:tcPr>
          <w:p>
            <w:pPr>
              <w:spacing w:after="0"/>
              <w:rPr>
                <w:sz w:val="19"/>
                <w:szCs w:val="19"/>
                <w:color w:val="auto"/>
              </w:rPr>
            </w:pPr>
          </w:p>
        </w:tc>
        <w:tc>
          <w:tcPr>
            <w:tcW w:w="1180" w:type="dxa"/>
            <w:vAlign w:val="bottom"/>
            <w:vMerge w:val="restart"/>
          </w:tcPr>
          <w:p>
            <w:pPr>
              <w:jc w:val="right"/>
              <w:ind w:right="31"/>
              <w:spacing w:after="0"/>
              <w:rPr>
                <w:sz w:val="20"/>
                <w:szCs w:val="20"/>
                <w:color w:val="auto"/>
              </w:rPr>
            </w:pPr>
            <w:r>
              <w:rPr>
                <w:rFonts w:ascii="Arial" w:cs="Arial" w:eastAsia="Arial" w:hAnsi="Arial"/>
                <w:sz w:val="18"/>
                <w:szCs w:val="18"/>
                <w:color w:val="auto"/>
              </w:rPr>
              <w:t>60,877</w:t>
            </w:r>
          </w:p>
        </w:tc>
        <w:tc>
          <w:tcPr>
            <w:tcW w:w="180" w:type="dxa"/>
            <w:vAlign w:val="bottom"/>
          </w:tcPr>
          <w:p>
            <w:pPr>
              <w:spacing w:after="0"/>
              <w:rPr>
                <w:sz w:val="19"/>
                <w:szCs w:val="19"/>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45,793</w:t>
            </w:r>
          </w:p>
        </w:tc>
        <w:tc>
          <w:tcPr>
            <w:tcW w:w="0" w:type="dxa"/>
            <w:vAlign w:val="bottom"/>
          </w:tcPr>
          <w:p>
            <w:pPr>
              <w:spacing w:after="0"/>
              <w:rPr>
                <w:sz w:val="1"/>
                <w:szCs w:val="1"/>
                <w:color w:val="auto"/>
              </w:rPr>
            </w:pPr>
          </w:p>
        </w:tc>
      </w:tr>
      <w:tr>
        <w:trPr>
          <w:trHeight w:val="208"/>
        </w:trPr>
        <w:tc>
          <w:tcPr>
            <w:tcW w:w="53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Overall net deferred tax asset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22,094</w:t>
            </w:r>
          </w:p>
        </w:tc>
        <w:tc>
          <w:tcPr>
            <w:tcW w:w="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32,358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Company early adopted the provisions of ASU 2015-17 which requires entities with a classified balance sheet to present all deferred tax assets and liabilities as noncurrent on the basis that it is a more useful presentation of the Company’s position. The prior period amounts were not retrospectively adjusted.</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 December 31, 2015 non-U.S subsidiaries had operating loss carryforwards for income tax purposes that may be carried forward indefinitely, available to offset against future taxable income, if any, of approximately $68.6 million (2014: $95.6 million). In addition at December 31, 2015 non-U.S subsidiaries had tax credit carryforwards for income tax purposes that may be carried forward indefinitely, available to offset against future tax liabilities, if any, of $5.9 million (2014: $3.6 million). At December 31, 2015 non-U.S. subsidiaries also had additional operating loss carry forwards of $6.3 million which are due to expire between 2016 and 2022.</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At December 31, 2015 U.S. subsidiaries had U.S. federal and state net operating loss (“NOL”) carry forwards of approximately $51.6million and $ 89.8million, respectively. These NOLs are available for offset against future taxable income and expire between 2016 and 2035. Of the $51.6 million U.S. federal NOLs, approximately $ 26.7 million is currently available for offset against future U.S. federal taxable income. Of the $51.6 million U.S. federal NOLs, approximately</w:t>
      </w:r>
    </w:p>
    <w:p>
      <w:pPr>
        <w:spacing w:after="0" w:line="1" w:lineRule="exact"/>
        <w:rPr>
          <w:sz w:val="20"/>
          <w:szCs w:val="20"/>
          <w:color w:val="auto"/>
        </w:rPr>
      </w:pPr>
    </w:p>
    <w:p>
      <w:pPr>
        <w:jc w:val="both"/>
        <w:ind w:firstLine="6"/>
        <w:spacing w:after="0" w:line="286" w:lineRule="auto"/>
        <w:tabs>
          <w:tab w:leader="none" w:pos="158" w:val="left"/>
        </w:tabs>
        <w:numPr>
          <w:ilvl w:val="0"/>
          <w:numId w:val="62"/>
        </w:numPr>
        <w:rPr>
          <w:rFonts w:ascii="Arial" w:cs="Arial" w:eastAsia="Arial" w:hAnsi="Arial"/>
          <w:sz w:val="16"/>
          <w:szCs w:val="16"/>
          <w:color w:val="auto"/>
        </w:rPr>
      </w:pPr>
      <w:r>
        <w:rPr>
          <w:rFonts w:ascii="Arial" w:cs="Arial" w:eastAsia="Arial" w:hAnsi="Arial"/>
          <w:sz w:val="16"/>
          <w:szCs w:val="16"/>
          <w:color w:val="auto"/>
        </w:rPr>
        <w:t>16.3million would be recorded in additional paid in capital upon utilization. Of the $89.8 million of state NOLs, approximately $ 17.3million would be recorded in additional paid in capital upon utilization. The subsidiary’s ability to use the U.S. federal and state NOL carry forwards is limited on an annual basis due to changes of ownership in 2000, 2010 and 2014, as defined by Section 382 of the Internal Revenue Code of 1986, as amended. Of the U.S. federal NOLs, $29.2 million are limited by Section 382. Of the $29.2 million of losses, the amount available during 2015 totaled $4.2 million. The remaining losses are available as follows: $4.2 million for the years 2016 – 2018, $2.9 million in 2019, $2.0M for the years 2020 – 2023 and $1.2 million in 2024.</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24"/>
        </w:trPr>
        <w:tc>
          <w:tcPr>
            <w:tcW w:w="9140" w:type="dxa"/>
            <w:vAlign w:val="bottom"/>
          </w:tcPr>
          <w:p>
            <w:pPr>
              <w:spacing w:after="0"/>
              <w:rPr>
                <w:sz w:val="20"/>
                <w:szCs w:val="20"/>
                <w:color w:val="auto"/>
              </w:rPr>
            </w:pPr>
            <w:r>
              <w:rPr>
                <w:rFonts w:ascii="Arial" w:cs="Arial" w:eastAsia="Arial" w:hAnsi="Arial"/>
                <w:sz w:val="18"/>
                <w:szCs w:val="18"/>
                <w:i w:val="1"/>
                <w:iCs w:val="1"/>
                <w:color w:val="auto"/>
              </w:rPr>
              <w:t>The expected expiry dates of these losses are as follows: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35"/>
        </w:trPr>
        <w:tc>
          <w:tcPr>
            <w:tcW w:w="9140" w:type="dxa"/>
            <w:vAlign w:val="bottom"/>
          </w:tcPr>
          <w:p>
            <w:pPr>
              <w:spacing w:after="0"/>
              <w:rPr>
                <w:sz w:val="24"/>
                <w:szCs w:val="24"/>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Federal</w:t>
            </w:r>
          </w:p>
        </w:tc>
        <w:tc>
          <w:tcPr>
            <w:tcW w:w="64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State</w:t>
            </w:r>
          </w:p>
        </w:tc>
      </w:tr>
      <w:tr>
        <w:trPr>
          <w:trHeight w:val="213"/>
        </w:trPr>
        <w:tc>
          <w:tcPr>
            <w:tcW w:w="914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NOL’s</w:t>
            </w:r>
          </w:p>
        </w:tc>
        <w:tc>
          <w:tcPr>
            <w:tcW w:w="6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NOL’s</w:t>
            </w:r>
          </w:p>
        </w:tc>
      </w:tr>
      <w:tr>
        <w:trPr>
          <w:trHeight w:val="230"/>
        </w:trPr>
        <w:tc>
          <w:tcPr>
            <w:tcW w:w="9140" w:type="dxa"/>
            <w:vAlign w:val="bottom"/>
          </w:tcPr>
          <w:p>
            <w:pPr>
              <w:spacing w:after="0"/>
              <w:rPr>
                <w:sz w:val="19"/>
                <w:szCs w:val="19"/>
                <w:color w:val="auto"/>
              </w:rPr>
            </w:pPr>
          </w:p>
        </w:tc>
        <w:tc>
          <w:tcPr>
            <w:tcW w:w="158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19"/>
                <w:szCs w:val="19"/>
                <w:color w:val="auto"/>
              </w:rPr>
            </w:pPr>
          </w:p>
        </w:tc>
      </w:tr>
      <w:tr>
        <w:trPr>
          <w:trHeight w:val="214"/>
        </w:trPr>
        <w:tc>
          <w:tcPr>
            <w:tcW w:w="9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3"/>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2016-2017</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3"/>
        </w:trPr>
        <w:tc>
          <w:tcPr>
            <w:tcW w:w="9140" w:type="dxa"/>
            <w:vAlign w:val="bottom"/>
          </w:tcPr>
          <w:p>
            <w:pPr>
              <w:spacing w:after="0"/>
              <w:rPr>
                <w:sz w:val="20"/>
                <w:szCs w:val="20"/>
                <w:color w:val="auto"/>
              </w:rPr>
            </w:pPr>
            <w:r>
              <w:rPr>
                <w:rFonts w:ascii="Arial" w:cs="Arial" w:eastAsia="Arial" w:hAnsi="Arial"/>
                <w:sz w:val="18"/>
                <w:szCs w:val="18"/>
                <w:color w:val="auto"/>
              </w:rPr>
              <w:t>2023-2033</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34,800</w:t>
            </w:r>
          </w:p>
        </w:tc>
        <w:tc>
          <w:tcPr>
            <w:tcW w:w="6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63,793</w:t>
            </w:r>
          </w:p>
        </w:tc>
      </w:tr>
      <w:tr>
        <w:trPr>
          <w:trHeight w:val="219"/>
        </w:trPr>
        <w:tc>
          <w:tcPr>
            <w:tcW w:w="9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2035</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16,252</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25,987</w:t>
            </w:r>
          </w:p>
        </w:tc>
      </w:tr>
      <w:tr>
        <w:trPr>
          <w:trHeight w:val="213"/>
        </w:trPr>
        <w:tc>
          <w:tcPr>
            <w:tcW w:w="9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3"/>
        </w:trPr>
        <w:tc>
          <w:tcPr>
            <w:tcW w:w="9140" w:type="dxa"/>
            <w:vAlign w:val="bottom"/>
            <w:tcBorders>
              <w:bottom w:val="single" w:sz="8" w:color="auto"/>
            </w:tcBorders>
            <w:shd w:val="clear" w:color="auto" w:fill="CCEEFF"/>
          </w:tcPr>
          <w:p>
            <w:pPr>
              <w:ind w:left="88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51,617</w:t>
            </w:r>
          </w:p>
        </w:tc>
        <w:tc>
          <w:tcPr>
            <w:tcW w:w="6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89,780</w:t>
            </w:r>
          </w:p>
        </w:tc>
      </w:tr>
    </w:tbl>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US subsidiaries have alternative minimum tax credit carry forwards of approximately $0.3 million that are available to reduce future U.S. federal regular income taxes, over an indefinite period. They also have general business credit carry forwards of approximately $0.3 million that are available to offset future U.S. federal income taxes.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valuation allowance at December 31, 2015 was approximately $17.2 million. The valuation allowance for deferred tax assets as of December 31, 2014 and December 31, 2013 was $23.1 million and $24.3 million respectively. The net change in the total valuation allowance was a decrease of $5.9 million during 2015 and a decrease of $1.2 million during 2014. Of the total decrease of $5.9 million in 2015, $4.1 million resulted in a current year income tax benefit with the remaining decrease of $1.8 million recognized in Other Comprehensive Income. Of the total decrease of $1.2 million in 2014, $2.0 million resulted in a current year income tax benefit offset by an increase of $0.8 million recognized in Other Comprehensive Income.</w:t>
      </w:r>
    </w:p>
    <w:p>
      <w:pPr>
        <w:spacing w:after="0" w:line="20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valuation allowances at December 31, 2015 and December 31, 2014 were primarily related to operating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making this assessment. In respect of deferred tax assets not subject to a valuation allowance, Management considers that it is more likely than not that these deferred tax assets will be realized on the basis that there will be sufficient reversals of deferred tax liabilities and taxable income in future periods. In 2014, in the UK, a change in commercial circumstances led to a change in judgment concerning the need for a valuation allowance on certain limited loss carryforwards; the release of the beginning-of-year valuation allowance resulted in a tax benefit of $3.1 million. During 2015, a UK subsidiary utilized losses for which a full beginning-of-year valuation allowance had been retained resulting in a tax benefit of $3.2 million.</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not recognized a deferred tax liability for the undistributed earnings of foreign subsidiaries that arose in 2015 and prior years as the Company considers these earnings to be indefinitely reinvested. It is not practicable to calculate the exact unrecognized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the event these earnings were ever remitted. In addition, withholding taxes applicable to remittances from foreign subsidiaries would not be expected to be material given Ireland’s tax treaty network and the EU parent subsidiary directive.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total unrecognized tax benefits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94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December 31,</w:t>
            </w:r>
          </w:p>
        </w:tc>
        <w:tc>
          <w:tcPr>
            <w:tcW w:w="130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97"/>
              </w:rPr>
              <w:t>December 31,</w:t>
            </w:r>
          </w:p>
        </w:tc>
        <w:tc>
          <w:tcPr>
            <w:tcW w:w="12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95"/>
              </w:rPr>
              <w:t>December 31,</w:t>
            </w:r>
          </w:p>
        </w:tc>
        <w:tc>
          <w:tcPr>
            <w:tcW w:w="560" w:type="dxa"/>
            <w:vAlign w:val="bottom"/>
          </w:tcPr>
          <w:p>
            <w:pPr>
              <w:spacing w:after="0"/>
              <w:rPr>
                <w:sz w:val="18"/>
                <w:szCs w:val="18"/>
                <w:color w:val="auto"/>
              </w:rPr>
            </w:pPr>
          </w:p>
        </w:tc>
      </w:tr>
      <w:tr>
        <w:trPr>
          <w:trHeight w:val="213"/>
        </w:trPr>
        <w:tc>
          <w:tcPr>
            <w:tcW w:w="4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(in thousands)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start of year</w:t>
            </w:r>
          </w:p>
        </w:tc>
        <w:tc>
          <w:tcPr>
            <w:tcW w:w="3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23,201</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5,780</w:t>
            </w:r>
          </w:p>
        </w:tc>
        <w:tc>
          <w:tcPr>
            <w:tcW w:w="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7,189</w:t>
            </w:r>
          </w:p>
        </w:tc>
        <w:tc>
          <w:tcPr>
            <w:tcW w:w="560" w:type="dxa"/>
            <w:vAlign w:val="bottom"/>
          </w:tcPr>
          <w:p>
            <w:pPr>
              <w:spacing w:after="0"/>
              <w:rPr>
                <w:sz w:val="18"/>
                <w:szCs w:val="18"/>
                <w:color w:val="auto"/>
              </w:rPr>
            </w:pPr>
          </w:p>
        </w:tc>
      </w:tr>
      <w:tr>
        <w:trPr>
          <w:trHeight w:val="213"/>
        </w:trPr>
        <w:tc>
          <w:tcPr>
            <w:tcW w:w="4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8"/>
                <w:szCs w:val="18"/>
                <w:color w:val="auto"/>
              </w:rPr>
              <w:t>Increase related to acquired tax positions</w:t>
            </w:r>
          </w:p>
        </w:tc>
        <w:tc>
          <w:tcPr>
            <w:tcW w:w="30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778</w:t>
            </w:r>
          </w:p>
        </w:tc>
        <w:tc>
          <w:tcPr>
            <w:tcW w:w="42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14,552</w:t>
            </w:r>
          </w:p>
        </w:tc>
        <w:tc>
          <w:tcPr>
            <w:tcW w:w="42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prior year tax positions</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1,482</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565</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30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w:t>
            </w:r>
          </w:p>
        </w:tc>
        <w:tc>
          <w:tcPr>
            <w:tcW w:w="560" w:type="dxa"/>
            <w:vAlign w:val="bottom"/>
          </w:tcPr>
          <w:p>
            <w:pPr>
              <w:spacing w:after="0"/>
              <w:rPr>
                <w:sz w:val="18"/>
                <w:szCs w:val="18"/>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3,063</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3,709</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2,269</w:t>
            </w:r>
          </w:p>
        </w:tc>
        <w:tc>
          <w:tcPr>
            <w:tcW w:w="560" w:type="dxa"/>
            <w:vAlign w:val="bottom"/>
          </w:tcPr>
          <w:p>
            <w:pPr>
              <w:spacing w:after="0"/>
              <w:rPr>
                <w:sz w:val="18"/>
                <w:szCs w:val="18"/>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8"/>
                <w:szCs w:val="18"/>
                <w:color w:val="auto"/>
              </w:rPr>
              <w:t>Settlements</w:t>
            </w:r>
          </w:p>
        </w:tc>
        <w:tc>
          <w:tcPr>
            <w:tcW w:w="30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(899)</w:t>
            </w:r>
          </w:p>
        </w:tc>
        <w:tc>
          <w:tcPr>
            <w:tcW w:w="560" w:type="dxa"/>
            <w:vAlign w:val="bottom"/>
          </w:tcPr>
          <w:p>
            <w:pPr>
              <w:spacing w:after="0"/>
              <w:rPr>
                <w:sz w:val="18"/>
                <w:szCs w:val="18"/>
                <w:color w:val="auto"/>
              </w:rPr>
            </w:pPr>
          </w:p>
        </w:tc>
      </w:tr>
      <w:tr>
        <w:trPr>
          <w:trHeight w:val="219"/>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30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560" w:type="dxa"/>
            <w:vAlign w:val="bottom"/>
          </w:tcPr>
          <w:p>
            <w:pPr>
              <w:spacing w:after="0"/>
              <w:rPr>
                <w:sz w:val="19"/>
                <w:szCs w:val="19"/>
                <w:color w:val="auto"/>
              </w:rPr>
            </w:pPr>
          </w:p>
        </w:tc>
      </w:tr>
      <w:tr>
        <w:trPr>
          <w:trHeight w:val="42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Unrecognized tax benefits at end of year</w:t>
            </w:r>
          </w:p>
        </w:tc>
        <w:tc>
          <w:tcPr>
            <w:tcW w:w="30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28,166</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23,201</w:t>
            </w:r>
          </w:p>
        </w:tc>
        <w:tc>
          <w:tcPr>
            <w:tcW w:w="4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5,780</w:t>
            </w:r>
          </w:p>
        </w:tc>
        <w:tc>
          <w:tcPr>
            <w:tcW w:w="560" w:type="dxa"/>
            <w:vAlign w:val="bottom"/>
          </w:tcPr>
          <w:p>
            <w:pPr>
              <w:spacing w:after="0"/>
              <w:rPr>
                <w:sz w:val="24"/>
                <w:szCs w:val="24"/>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90"/>
        </w:trPr>
        <w:tc>
          <w:tcPr>
            <w:tcW w:w="4360" w:type="dxa"/>
            <w:vAlign w:val="bottom"/>
          </w:tcPr>
          <w:p>
            <w:pPr>
              <w:spacing w:after="0"/>
              <w:rPr>
                <w:sz w:val="24"/>
                <w:szCs w:val="24"/>
                <w:color w:val="auto"/>
              </w:rPr>
            </w:pPr>
          </w:p>
        </w:tc>
        <w:tc>
          <w:tcPr>
            <w:tcW w:w="3060" w:type="dxa"/>
            <w:vAlign w:val="bottom"/>
          </w:tcPr>
          <w:p>
            <w:pPr>
              <w:jc w:val="right"/>
              <w:ind w:right="1491"/>
              <w:spacing w:after="0"/>
              <w:rPr>
                <w:sz w:val="20"/>
                <w:szCs w:val="20"/>
                <w:color w:val="auto"/>
              </w:rPr>
            </w:pPr>
            <w:r>
              <w:rPr>
                <w:rFonts w:ascii="Arial" w:cs="Arial" w:eastAsia="Arial" w:hAnsi="Arial"/>
                <w:sz w:val="18"/>
                <w:szCs w:val="18"/>
                <w:color w:val="auto"/>
              </w:rPr>
              <w:t>120</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7"/>
        </w:trPr>
        <w:tc>
          <w:tcPr>
            <w:tcW w:w="43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2" w:name="page123"/>
    <w:bookmarkEnd w:id="122"/>
    <w:p>
      <w:pPr>
        <w:jc w:val="both"/>
        <w:spacing w:after="0" w:line="295" w:lineRule="auto"/>
        <w:rPr>
          <w:sz w:val="20"/>
          <w:szCs w:val="20"/>
          <w:color w:val="auto"/>
        </w:rPr>
      </w:pPr>
      <w:r>
        <w:rPr>
          <w:rFonts w:ascii="Arial" w:cs="Arial" w:eastAsia="Arial" w:hAnsi="Arial"/>
          <w:sz w:val="17"/>
          <w:szCs w:val="17"/>
          <w:color w:val="auto"/>
        </w:rPr>
        <w:t>The relevant statute of limitations for unrecognized tax benefits totaling $3.8 million could potentially expire during 2016. $0.8 million of the increase during the year ended 31 December 2015 (2014: $14.5 million) reflects pre-acquisition tax positions taken by companies acquired during 2014.</w:t>
      </w:r>
    </w:p>
    <w:p>
      <w:pPr>
        <w:spacing w:after="0" w:line="18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Included in the balance of total unrecognized tax benefits at December 31, 2015 were potential benefits of $28.2 million, which if recognized, would affect the effective rate on income tax from continuing operations. The balance of total unrecognized tax benefits at December 31, 2014 and December 31, 2013 included potential benefits which, if recognized, would affect the effective rate of income tax from continuing operations of $23.2 million and $5.8 million respectively.</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Interest and penalties recognized as a net expense during the year ended December 31, 2015 amounted to $0.9 million (2014: net benefit of $0.2 million, 2013: net benefit of $0.2 million) and are included within the provision for income taxes. Total accrued interest and penalties as of December 31, 2015 and December 31, 2014 were $3.3 million and $2.4 million respectively and are included in closing income taxes payable at those dates.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major tax jurisdictions are the United States and Ireland. We may potentially be subjected to tax audits in both our major jurisdictions. In the United States tax periods open to audit include the years ended December 31, 2012, December 31, 2013, December 31, 2014 and December 31, 2015. In Ireland, tax periods open to audit include the years ended December 31, 2011, December 31, 2012, December 31, 2013, December 31, 2014 and December 31, 2015. During such audits, local tax authorities may challenge the positions taken by us in tax returns.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b w:val="1"/>
                <w:bCs w:val="1"/>
                <w:color w:val="auto"/>
              </w:rPr>
              <w:t>14. Restructuring and other items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2"/>
        </w:trPr>
        <w:tc>
          <w:tcPr>
            <w:tcW w:w="7120" w:type="dxa"/>
            <w:vAlign w:val="bottom"/>
          </w:tcPr>
          <w:p>
            <w:pPr>
              <w:spacing w:after="0"/>
              <w:rPr>
                <w:sz w:val="20"/>
                <w:szCs w:val="20"/>
                <w:color w:val="auto"/>
              </w:rPr>
            </w:pPr>
            <w:r>
              <w:rPr>
                <w:rFonts w:ascii="Arial" w:cs="Arial" w:eastAsia="Arial" w:hAnsi="Arial"/>
                <w:sz w:val="18"/>
                <w:szCs w:val="18"/>
                <w:color w:val="auto"/>
                <w:w w:val="93"/>
              </w:rPr>
              <w:t>Restructuring and other items recognized during the year ended December 31, 2015 comprise:</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7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712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7120" w:type="dxa"/>
            <w:vAlign w:val="bottom"/>
          </w:tcPr>
          <w:p>
            <w:pPr>
              <w:spacing w:after="0"/>
              <w:rPr>
                <w:sz w:val="18"/>
                <w:szCs w:val="18"/>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7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0"/>
        </w:trPr>
        <w:tc>
          <w:tcPr>
            <w:tcW w:w="7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9,033</w:t>
            </w:r>
          </w:p>
        </w:tc>
      </w:tr>
      <w:tr>
        <w:trPr>
          <w:trHeight w:val="425"/>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charge</w:t>
            </w: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9,033</w:t>
            </w: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We expect this to be paid by 2024.</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Onerous</w:t>
            </w:r>
          </w:p>
        </w:tc>
        <w:tc>
          <w:tcPr>
            <w:tcW w:w="2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Asset</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4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Lease</w:t>
            </w:r>
          </w:p>
        </w:tc>
        <w:tc>
          <w:tcPr>
            <w:tcW w:w="2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w w:val="96"/>
              </w:rPr>
              <w:t>Impairment</w:t>
            </w:r>
          </w:p>
        </w:tc>
        <w:tc>
          <w:tcPr>
            <w:tcW w:w="42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Total</w:t>
            </w:r>
          </w:p>
        </w:tc>
      </w:tr>
      <w:tr>
        <w:trPr>
          <w:trHeight w:val="230"/>
        </w:trPr>
        <w:tc>
          <w:tcPr>
            <w:tcW w:w="46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90"/>
              </w:rPr>
              <w:t>(in thousands)</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4"/>
        </w:trPr>
        <w:tc>
          <w:tcPr>
            <w:tcW w:w="4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recognized</w:t>
            </w:r>
          </w:p>
        </w:tc>
        <w:tc>
          <w:tcPr>
            <w:tcW w:w="26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5,629</w:t>
            </w:r>
          </w:p>
        </w:tc>
        <w:tc>
          <w:tcPr>
            <w:tcW w:w="4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8,796</w:t>
            </w:r>
          </w:p>
        </w:tc>
      </w:tr>
      <w:tr>
        <w:trPr>
          <w:trHeight w:val="224"/>
        </w:trPr>
        <w:tc>
          <w:tcPr>
            <w:tcW w:w="4680" w:type="dxa"/>
            <w:vAlign w:val="bottom"/>
          </w:tcPr>
          <w:p>
            <w:pPr>
              <w:spacing w:after="0"/>
              <w:rPr>
                <w:sz w:val="20"/>
                <w:szCs w:val="20"/>
                <w:color w:val="auto"/>
              </w:rPr>
            </w:pPr>
            <w:r>
              <w:rPr>
                <w:rFonts w:ascii="Arial" w:cs="Arial" w:eastAsia="Arial" w:hAnsi="Arial"/>
                <w:sz w:val="18"/>
                <w:szCs w:val="18"/>
                <w:color w:val="auto"/>
              </w:rPr>
              <w:t>Asset write-off</w:t>
            </w:r>
          </w:p>
        </w:tc>
        <w:tc>
          <w:tcPr>
            <w:tcW w:w="26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(5,629)</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(5,629)</w:t>
            </w:r>
          </w:p>
        </w:tc>
      </w:tr>
      <w:tr>
        <w:trPr>
          <w:trHeight w:val="208"/>
        </w:trPr>
        <w:tc>
          <w:tcPr>
            <w:tcW w:w="46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432"/>
        </w:trPr>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2014</w:t>
            </w:r>
          </w:p>
        </w:tc>
        <w:tc>
          <w:tcPr>
            <w:tcW w:w="26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3,167</w:t>
            </w:r>
          </w:p>
        </w:tc>
        <w:tc>
          <w:tcPr>
            <w:tcW w:w="2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3,167</w:t>
            </w:r>
          </w:p>
        </w:tc>
      </w:tr>
      <w:tr>
        <w:trPr>
          <w:trHeight w:val="219"/>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Utilized</w:t>
            </w:r>
          </w:p>
        </w:tc>
        <w:tc>
          <w:tcPr>
            <w:tcW w:w="2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r>
      <w:tr>
        <w:trPr>
          <w:trHeight w:val="253"/>
        </w:trPr>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2015</w:t>
            </w:r>
          </w:p>
        </w:tc>
        <w:tc>
          <w:tcPr>
            <w:tcW w:w="26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onerous lease obligation at December 31, 2015 is $2.0 million and is included within other liabilities.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Restructuring and other items of $9.0 million were recorded during the year ended December 31, 2013. During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 Details of the movement in this restructuring plan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Workforce</w:t>
            </w:r>
          </w:p>
        </w:tc>
        <w:tc>
          <w:tcPr>
            <w:tcW w:w="48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4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Consolidations</w:t>
            </w:r>
          </w:p>
        </w:tc>
        <w:tc>
          <w:tcPr>
            <w:tcW w:w="4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Total</w:t>
            </w:r>
          </w:p>
        </w:tc>
      </w:tr>
      <w:tr>
        <w:trPr>
          <w:trHeight w:val="230"/>
        </w:trPr>
        <w:tc>
          <w:tcPr>
            <w:tcW w:w="41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 thousands)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4"/>
        </w:trPr>
        <w:tc>
          <w:tcPr>
            <w:tcW w:w="41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recognized</w:t>
            </w:r>
          </w:p>
        </w:tc>
        <w:tc>
          <w:tcPr>
            <w:tcW w:w="3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3,903</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509</w:t>
            </w:r>
          </w:p>
        </w:tc>
        <w:tc>
          <w:tcPr>
            <w:tcW w:w="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4,412</w:t>
            </w:r>
          </w:p>
        </w:tc>
      </w:tr>
      <w:tr>
        <w:trPr>
          <w:trHeight w:val="219"/>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Q2 Plan - Initial provision recognized</w:t>
            </w:r>
          </w:p>
        </w:tc>
        <w:tc>
          <w:tcPr>
            <w:tcW w:w="3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4,228</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393</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4,621</w:t>
            </w: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recognized</w:t>
            </w:r>
          </w:p>
        </w:tc>
        <w:tc>
          <w:tcPr>
            <w:tcW w:w="3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8,131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9,033</w:t>
            </w:r>
          </w:p>
        </w:tc>
      </w:tr>
      <w:tr>
        <w:trPr>
          <w:trHeight w:val="213"/>
        </w:trPr>
        <w:tc>
          <w:tcPr>
            <w:tcW w:w="4140" w:type="dxa"/>
            <w:vAlign w:val="bottom"/>
          </w:tcPr>
          <w:p>
            <w:pPr>
              <w:spacing w:after="0"/>
              <w:rPr>
                <w:sz w:val="20"/>
                <w:szCs w:val="20"/>
                <w:color w:val="auto"/>
              </w:rPr>
            </w:pPr>
            <w:r>
              <w:rPr>
                <w:rFonts w:ascii="Arial" w:cs="Arial" w:eastAsia="Arial" w:hAnsi="Arial"/>
                <w:sz w:val="18"/>
                <w:szCs w:val="18"/>
                <w:color w:val="auto"/>
              </w:rPr>
              <w:t>Cash payments</w:t>
            </w:r>
          </w:p>
        </w:tc>
        <w:tc>
          <w:tcPr>
            <w:tcW w:w="3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(6,544)</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(6,743)</w:t>
            </w: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Amounts released</w:t>
            </w:r>
          </w:p>
        </w:tc>
        <w:tc>
          <w:tcPr>
            <w:tcW w:w="3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9"/>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2013</w:t>
            </w:r>
          </w:p>
        </w:tc>
        <w:tc>
          <w:tcPr>
            <w:tcW w:w="3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1,491</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703</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2,194</w:t>
            </w:r>
          </w:p>
        </w:tc>
      </w:tr>
      <w:tr>
        <w:trPr>
          <w:trHeight w:val="213"/>
        </w:trPr>
        <w:tc>
          <w:tcPr>
            <w:tcW w:w="4140" w:type="dxa"/>
            <w:vAlign w:val="bottom"/>
          </w:tcPr>
          <w:p>
            <w:pPr>
              <w:spacing w:after="0"/>
              <w:rPr>
                <w:sz w:val="20"/>
                <w:szCs w:val="20"/>
                <w:color w:val="auto"/>
              </w:rPr>
            </w:pPr>
            <w:r>
              <w:rPr>
                <w:rFonts w:ascii="Arial" w:cs="Arial" w:eastAsia="Arial" w:hAnsi="Arial"/>
                <w:sz w:val="18"/>
                <w:szCs w:val="18"/>
                <w:color w:val="auto"/>
              </w:rPr>
              <w:t>Cash payments</w:t>
            </w:r>
          </w:p>
        </w:tc>
        <w:tc>
          <w:tcPr>
            <w:tcW w:w="3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(1,319)</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Amounts released</w:t>
            </w:r>
          </w:p>
        </w:tc>
        <w:tc>
          <w:tcPr>
            <w:tcW w:w="3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9"/>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2014</w:t>
            </w:r>
          </w:p>
        </w:tc>
        <w:tc>
          <w:tcPr>
            <w:tcW w:w="3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171</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r>
      <w:tr>
        <w:trPr>
          <w:trHeight w:val="219"/>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payments</w:t>
            </w:r>
          </w:p>
        </w:tc>
        <w:tc>
          <w:tcPr>
            <w:tcW w:w="3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19"/>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Amounts released</w:t>
            </w:r>
          </w:p>
        </w:tc>
        <w:tc>
          <w:tcPr>
            <w:tcW w:w="3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13"/>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December 31, 2015</w:t>
            </w:r>
          </w:p>
        </w:tc>
        <w:tc>
          <w:tcPr>
            <w:tcW w:w="3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89</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90"/>
        </w:trPr>
        <w:tc>
          <w:tcPr>
            <w:tcW w:w="4140" w:type="dxa"/>
            <w:vAlign w:val="bottom"/>
          </w:tcPr>
          <w:p>
            <w:pPr>
              <w:spacing w:after="0"/>
              <w:rPr>
                <w:sz w:val="24"/>
                <w:szCs w:val="24"/>
                <w:color w:val="auto"/>
              </w:rPr>
            </w:pPr>
          </w:p>
        </w:tc>
        <w:tc>
          <w:tcPr>
            <w:tcW w:w="3500" w:type="dxa"/>
            <w:vAlign w:val="bottom"/>
          </w:tcPr>
          <w:p>
            <w:pPr>
              <w:jc w:val="right"/>
              <w:ind w:right="1711"/>
              <w:spacing w:after="0"/>
              <w:rPr>
                <w:sz w:val="20"/>
                <w:szCs w:val="20"/>
                <w:color w:val="auto"/>
              </w:rPr>
            </w:pPr>
            <w:r>
              <w:rPr>
                <w:rFonts w:ascii="Arial" w:cs="Arial" w:eastAsia="Arial" w:hAnsi="Arial"/>
                <w:sz w:val="18"/>
                <w:szCs w:val="18"/>
                <w:color w:val="auto"/>
              </w:rPr>
              <w:t>122</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7"/>
        </w:trPr>
        <w:tc>
          <w:tcPr>
            <w:tcW w:w="414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15. Provision for Doubtful Debts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business with most major international pharmaceutical companies. Provision for doubtful debts at December 31, 2015 comprises:</w:t>
      </w:r>
    </w:p>
    <w:p>
      <w:pPr>
        <w:spacing w:after="0" w:line="250" w:lineRule="exact"/>
        <w:rPr>
          <w:sz w:val="20"/>
          <w:szCs w:val="20"/>
          <w:color w:val="auto"/>
        </w:rPr>
      </w:pPr>
    </w:p>
    <w:tbl>
      <w:tblPr>
        <w:tblLayout w:type="fixed"/>
        <w:tblInd w:w="8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w w:val="91"/>
              </w:rPr>
              <w:t>December</w:t>
            </w:r>
          </w:p>
        </w:tc>
        <w:tc>
          <w:tcPr>
            <w:tcW w:w="2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w w:val="91"/>
              </w:rPr>
              <w:t>December</w:t>
            </w:r>
          </w:p>
        </w:tc>
      </w:tr>
      <w:tr>
        <w:trPr>
          <w:trHeight w:val="213"/>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31,</w:t>
            </w:r>
          </w:p>
        </w:tc>
      </w:tr>
      <w:tr>
        <w:trPr>
          <w:trHeight w:val="213"/>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80" w:type="dxa"/>
            <w:vAlign w:val="bottom"/>
            <w:gridSpan w:val="3"/>
          </w:tcPr>
          <w:p>
            <w:pPr>
              <w:jc w:val="right"/>
              <w:ind w:right="551"/>
              <w:spacing w:after="0"/>
              <w:rPr>
                <w:sz w:val="20"/>
                <w:szCs w:val="20"/>
                <w:color w:val="auto"/>
              </w:rPr>
            </w:pPr>
            <w:r>
              <w:rPr>
                <w:rFonts w:ascii="Arial" w:cs="Arial" w:eastAsia="Arial" w:hAnsi="Arial"/>
                <w:sz w:val="18"/>
                <w:szCs w:val="18"/>
                <w:b w:val="1"/>
                <w:bCs w:val="1"/>
                <w:color w:val="auto"/>
              </w:rPr>
              <w:t>(in thousands)</w:t>
            </w:r>
          </w:p>
        </w:tc>
      </w:tr>
      <w:tr>
        <w:trPr>
          <w:trHeight w:val="214"/>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Opening provision</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5,458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3,148</w:t>
            </w:r>
          </w:p>
        </w:tc>
      </w:tr>
      <w:tr>
        <w:trPr>
          <w:trHeight w:val="213"/>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Amounts used during the year</w:t>
            </w:r>
          </w:p>
        </w:tc>
        <w:tc>
          <w:tcPr>
            <w:tcW w:w="26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13"/>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Amounts provided during the year</w:t>
            </w:r>
          </w:p>
        </w:tc>
        <w:tc>
          <w:tcPr>
            <w:tcW w:w="26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7,572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2,874</w:t>
            </w:r>
          </w:p>
        </w:tc>
      </w:tr>
      <w:tr>
        <w:trPr>
          <w:trHeight w:val="213"/>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Amounts released during the year</w:t>
            </w:r>
          </w:p>
        </w:tc>
        <w:tc>
          <w:tcPr>
            <w:tcW w:w="26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9"/>
        </w:trPr>
        <w:tc>
          <w:tcPr>
            <w:tcW w:w="20" w:type="dxa"/>
            <w:vAlign w:val="bottom"/>
          </w:tcPr>
          <w:p>
            <w:pPr>
              <w:spacing w:after="0"/>
              <w:rPr>
                <w:sz w:val="19"/>
                <w:szCs w:val="19"/>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Translation</w:t>
            </w:r>
          </w:p>
        </w:tc>
        <w:tc>
          <w:tcPr>
            <w:tcW w:w="26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425"/>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Closing provision</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5,458</w:t>
            </w:r>
          </w:p>
        </w:tc>
      </w:tr>
      <w:tr>
        <w:trPr>
          <w:trHeight w:val="20"/>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recognized $49.9 million, $54.3 million and $54.9 million in rental expense, including rates, for the years ended December 31, 2015, December 31, 2014 and December 31, 2013 respectively. Future minimum rental commitments for operating leases with non-cancelable terms in excess of one year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Minimum</w:t>
            </w:r>
          </w:p>
        </w:tc>
      </w:tr>
      <w:tr>
        <w:trPr>
          <w:trHeight w:val="213"/>
        </w:trPr>
        <w:tc>
          <w:tcPr>
            <w:tcW w:w="31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rental</w:t>
            </w:r>
          </w:p>
        </w:tc>
      </w:tr>
      <w:tr>
        <w:trPr>
          <w:trHeight w:val="213"/>
        </w:trPr>
        <w:tc>
          <w:tcPr>
            <w:tcW w:w="31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payments</w:t>
            </w:r>
          </w:p>
        </w:tc>
      </w:tr>
      <w:tr>
        <w:trPr>
          <w:trHeight w:val="230"/>
        </w:trPr>
        <w:tc>
          <w:tcPr>
            <w:tcW w:w="3160" w:type="dxa"/>
            <w:vAlign w:val="bottom"/>
          </w:tcPr>
          <w:p>
            <w:pPr>
              <w:spacing w:after="0"/>
              <w:rPr>
                <w:sz w:val="20"/>
                <w:szCs w:val="20"/>
                <w:color w:val="auto"/>
              </w:rPr>
            </w:pPr>
          </w:p>
        </w:tc>
        <w:tc>
          <w:tcPr>
            <w:tcW w:w="826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36,921</w:t>
            </w:r>
          </w:p>
        </w:tc>
      </w:tr>
      <w:tr>
        <w:trPr>
          <w:trHeight w:val="213"/>
        </w:trPr>
        <w:tc>
          <w:tcPr>
            <w:tcW w:w="3160" w:type="dxa"/>
            <w:vAlign w:val="bottom"/>
          </w:tcPr>
          <w:p>
            <w:pPr>
              <w:spacing w:after="0"/>
              <w:rPr>
                <w:sz w:val="20"/>
                <w:szCs w:val="20"/>
                <w:color w:val="auto"/>
              </w:rPr>
            </w:pPr>
            <w:r>
              <w:rPr>
                <w:rFonts w:ascii="Arial" w:cs="Arial" w:eastAsia="Arial" w:hAnsi="Arial"/>
                <w:sz w:val="18"/>
                <w:szCs w:val="18"/>
                <w:color w:val="auto"/>
              </w:rPr>
              <w:t>2017</w:t>
            </w:r>
          </w:p>
        </w:tc>
        <w:tc>
          <w:tcPr>
            <w:tcW w:w="7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26,784</w:t>
            </w:r>
          </w:p>
        </w:tc>
      </w:tr>
      <w:tr>
        <w:trPr>
          <w:trHeight w:val="21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20,547</w:t>
            </w:r>
          </w:p>
        </w:tc>
      </w:tr>
      <w:tr>
        <w:trPr>
          <w:trHeight w:val="213"/>
        </w:trPr>
        <w:tc>
          <w:tcPr>
            <w:tcW w:w="3160" w:type="dxa"/>
            <w:vAlign w:val="bottom"/>
          </w:tcPr>
          <w:p>
            <w:pPr>
              <w:spacing w:after="0"/>
              <w:rPr>
                <w:sz w:val="20"/>
                <w:szCs w:val="20"/>
                <w:color w:val="auto"/>
              </w:rPr>
            </w:pPr>
            <w:r>
              <w:rPr>
                <w:rFonts w:ascii="Arial" w:cs="Arial" w:eastAsia="Arial" w:hAnsi="Arial"/>
                <w:sz w:val="18"/>
                <w:szCs w:val="18"/>
                <w:color w:val="auto"/>
              </w:rPr>
              <w:t>2019</w:t>
            </w:r>
          </w:p>
        </w:tc>
        <w:tc>
          <w:tcPr>
            <w:tcW w:w="7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15,502</w:t>
            </w:r>
          </w:p>
        </w:tc>
      </w:tr>
      <w:tr>
        <w:trPr>
          <w:trHeight w:val="21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11,974</w:t>
            </w:r>
          </w:p>
        </w:tc>
      </w:tr>
      <w:tr>
        <w:trPr>
          <w:trHeight w:val="219"/>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7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45,924</w:t>
            </w:r>
          </w:p>
        </w:tc>
      </w:tr>
      <w:tr>
        <w:trPr>
          <w:trHeight w:val="213"/>
        </w:trPr>
        <w:tc>
          <w:tcPr>
            <w:tcW w:w="31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7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157,652</w:t>
            </w: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90"/>
        </w:trPr>
        <w:tc>
          <w:tcPr>
            <w:tcW w:w="3160" w:type="dxa"/>
            <w:vAlign w:val="bottom"/>
          </w:tcPr>
          <w:p>
            <w:pPr>
              <w:spacing w:after="0"/>
              <w:rPr>
                <w:sz w:val="24"/>
                <w:szCs w:val="24"/>
                <w:color w:val="auto"/>
              </w:rPr>
            </w:pPr>
          </w:p>
        </w:tc>
        <w:tc>
          <w:tcPr>
            <w:tcW w:w="7240" w:type="dxa"/>
            <w:vAlign w:val="bottom"/>
          </w:tcPr>
          <w:p>
            <w:pPr>
              <w:jc w:val="right"/>
              <w:ind w:right="4471"/>
              <w:spacing w:after="0"/>
              <w:rPr>
                <w:sz w:val="20"/>
                <w:szCs w:val="20"/>
                <w:color w:val="auto"/>
              </w:rPr>
            </w:pPr>
            <w:r>
              <w:rPr>
                <w:rFonts w:ascii="Arial" w:cs="Arial" w:eastAsia="Arial" w:hAnsi="Arial"/>
                <w:sz w:val="18"/>
                <w:szCs w:val="18"/>
                <w:color w:val="auto"/>
              </w:rPr>
              <w:t>123</w:t>
            </w:r>
          </w:p>
        </w:tc>
        <w:tc>
          <w:tcPr>
            <w:tcW w:w="1020" w:type="dxa"/>
            <w:vAlign w:val="bottom"/>
          </w:tcPr>
          <w:p>
            <w:pPr>
              <w:spacing w:after="0"/>
              <w:rPr>
                <w:sz w:val="24"/>
                <w:szCs w:val="24"/>
                <w:color w:val="auto"/>
              </w:rPr>
            </w:pPr>
          </w:p>
        </w:tc>
      </w:tr>
      <w:tr>
        <w:trPr>
          <w:trHeight w:val="117"/>
        </w:trPr>
        <w:tc>
          <w:tcPr>
            <w:tcW w:w="3160" w:type="dxa"/>
            <w:vAlign w:val="bottom"/>
            <w:tcBorders>
              <w:bottom w:val="single" w:sz="8" w:color="808080"/>
            </w:tcBorders>
          </w:tcPr>
          <w:p>
            <w:pPr>
              <w:spacing w:after="0"/>
              <w:rPr>
                <w:sz w:val="10"/>
                <w:szCs w:val="10"/>
                <w:color w:val="auto"/>
              </w:rPr>
            </w:pPr>
          </w:p>
        </w:tc>
        <w:tc>
          <w:tcPr>
            <w:tcW w:w="7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17. Business Segment and Geographical Information</w:t>
      </w:r>
    </w:p>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Chief Financial Officer and Chief Operating Officer, who together are considered the Company’s chief operating decision maker, in accordance with FASB ASC 280-10 </w:t>
      </w:r>
      <w:r>
        <w:rPr>
          <w:rFonts w:ascii="Arial" w:cs="Arial" w:eastAsia="Arial" w:hAnsi="Arial"/>
          <w:sz w:val="18"/>
          <w:szCs w:val="18"/>
          <w:i w:val="1"/>
          <w:iCs w:val="1"/>
          <w:color w:val="auto"/>
        </w:rPr>
        <w:t>Disclosures about Segments of an Enterprises and Related Information</w:t>
      </w:r>
      <w:r>
        <w:rPr>
          <w:rFonts w:ascii="Arial" w:cs="Arial" w:eastAsia="Arial" w:hAnsi="Arial"/>
          <w:sz w:val="18"/>
          <w:szCs w:val="18"/>
          <w:color w:val="auto"/>
        </w:rPr>
        <w:t>.</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Revenues are allocated to individual entities based on where the work is performed in accordance with the Company’s global transfer pricing model. Revenues and income from operations in Ireland are a function of this transfer pricing model.</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Given ICON Clinical Research Limited (“ICON Ireland”) role in the development and management of the group, it’s ownership of key intellectual property, customer relationships, its key role in the mitigation of risks faced by the group, plus the responsibility for maintaining the group’s global network, ICON Ireland acts as the group entrepreneur and enters into the majority of the Company’s customer contracts. As such, ICON Ireland remunerates most of the other operating entities (“cost plus service providers”) in the ICON Group on the basis of a guaranteed cost plus mark up for the services they perform in each of their local territories.</w:t>
      </w:r>
    </w:p>
    <w:p>
      <w:pPr>
        <w:spacing w:after="0" w:line="22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cost plus mark up for each ICON entity is established to ensure that each of ICON Ireland and the ICON entities in the various geographical areas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this method, the residual operating profits (or losses) of the group, once the cost plus service providers have been paid their respective intercompany service fee, generally fall to be retained by ICON Ireland. The geographic split of revenue disclosed for each region outside Ireland is the cost plus revenue attributable to these entities. The revenues disclosed as relating to Ireland are the net revenues after deducting the cost plus revenues attributable to the activities performed outside Ireland.</w:t>
      </w:r>
    </w:p>
    <w:p>
      <w:pPr>
        <w:spacing w:after="0" w:line="21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Company's areas of operation outside of Ireland include the United States, United Kingdom,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19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Business segment and geographical information as at December 31, 2015 and December 31, 2014 and for the years ended December 31, 2015, December 31, 2014 and December 31, 2013 is as follows: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24"/>
        </w:trPr>
        <w:tc>
          <w:tcPr>
            <w:tcW w:w="6260" w:type="dxa"/>
            <w:vAlign w:val="bottom"/>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35"/>
        </w:trPr>
        <w:tc>
          <w:tcPr>
            <w:tcW w:w="6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b w:val="1"/>
                <w:bCs w:val="1"/>
                <w:color w:val="auto"/>
                <w:w w:val="90"/>
              </w:rPr>
              <w:t>Year ended</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6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December</w:t>
            </w:r>
          </w:p>
        </w:tc>
        <w:tc>
          <w:tcPr>
            <w:tcW w:w="24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December</w:t>
            </w:r>
          </w:p>
        </w:tc>
      </w:tr>
      <w:tr>
        <w:trPr>
          <w:trHeight w:val="213"/>
        </w:trPr>
        <w:tc>
          <w:tcPr>
            <w:tcW w:w="6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31,</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31,</w:t>
            </w:r>
          </w:p>
        </w:tc>
      </w:tr>
      <w:tr>
        <w:trPr>
          <w:trHeight w:val="213"/>
        </w:trPr>
        <w:tc>
          <w:tcPr>
            <w:tcW w:w="6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6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9"/>
              </w:rPr>
              <w:t>(in thousands)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429,631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360,376</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272,683</w:t>
            </w:r>
          </w:p>
        </w:tc>
      </w:tr>
      <w:tr>
        <w:trPr>
          <w:trHeight w:val="213"/>
        </w:trPr>
        <w:tc>
          <w:tcPr>
            <w:tcW w:w="6260" w:type="dxa"/>
            <w:vAlign w:val="bottom"/>
          </w:tcPr>
          <w:p>
            <w:pPr>
              <w:spacing w:after="0"/>
              <w:rPr>
                <w:sz w:val="20"/>
                <w:szCs w:val="20"/>
                <w:color w:val="auto"/>
              </w:rPr>
            </w:pPr>
            <w:r>
              <w:rPr>
                <w:rFonts w:ascii="Arial" w:cs="Arial" w:eastAsia="Arial" w:hAnsi="Arial"/>
                <w:sz w:val="18"/>
                <w:szCs w:val="18"/>
                <w:color w:val="auto"/>
              </w:rPr>
              <w:t>Rest of Europe</w:t>
            </w:r>
          </w:p>
        </w:tc>
        <w:tc>
          <w:tcPr>
            <w:tcW w:w="14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330,487</w:t>
            </w:r>
          </w:p>
        </w:tc>
        <w:tc>
          <w:tcPr>
            <w:tcW w:w="24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372,634</w:t>
            </w:r>
          </w:p>
        </w:tc>
        <w:tc>
          <w:tcPr>
            <w:tcW w:w="3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333,543</w:t>
            </w:r>
          </w:p>
        </w:tc>
      </w:tr>
      <w:tr>
        <w:trPr>
          <w:trHeight w:val="21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650,941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605,815</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582,250</w:t>
            </w:r>
          </w:p>
        </w:tc>
      </w:tr>
      <w:tr>
        <w:trPr>
          <w:trHeight w:val="219"/>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163,919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164,491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147,582</w:t>
            </w:r>
          </w:p>
        </w:tc>
      </w:tr>
      <w:tr>
        <w:trPr>
          <w:trHeight w:val="465"/>
        </w:trPr>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1,574,978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1,503,316</w:t>
            </w:r>
          </w:p>
        </w:tc>
        <w:tc>
          <w:tcPr>
            <w:tcW w:w="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1,336,058</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 The distribution of income from operations, including restructuring and other items,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4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4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4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189,035</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138,185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81,811</w:t>
            </w: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Rest of Europe</w:t>
            </w:r>
          </w:p>
        </w:tc>
        <w:tc>
          <w:tcPr>
            <w:tcW w:w="32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38,166</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14,481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2,831</w:t>
            </w: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45,320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39,058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29,472</w:t>
            </w:r>
          </w:p>
        </w:tc>
      </w:tr>
      <w:tr>
        <w:trPr>
          <w:trHeight w:val="219"/>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9,015</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10,626</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7,053</w:t>
            </w:r>
          </w:p>
        </w:tc>
      </w:tr>
      <w:tr>
        <w:trPr>
          <w:trHeight w:val="465"/>
        </w:trPr>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281,536</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202,350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121,167</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income from operations, excluding restructuring and other items,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4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4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4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189,035</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138,185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82,867</w:t>
            </w: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Rest of Europe</w:t>
            </w:r>
          </w:p>
        </w:tc>
        <w:tc>
          <w:tcPr>
            <w:tcW w:w="32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38,166</w:t>
            </w:r>
          </w:p>
        </w:tc>
        <w:tc>
          <w:tcPr>
            <w:tcW w:w="2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23,277</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6,269</w:t>
            </w: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45,320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39,058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33,564</w:t>
            </w:r>
          </w:p>
        </w:tc>
      </w:tr>
      <w:tr>
        <w:trPr>
          <w:trHeight w:val="219"/>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9,015</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10,626</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7,500</w:t>
            </w:r>
          </w:p>
        </w:tc>
      </w:tr>
      <w:tr>
        <w:trPr>
          <w:trHeight w:val="465"/>
        </w:trPr>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281,536</w:t>
            </w:r>
          </w:p>
        </w:tc>
        <w:tc>
          <w:tcPr>
            <w:tcW w:w="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211,146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130,200</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 The distribution of property, plant and equipment, net,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33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33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101,736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95,574</w:t>
            </w:r>
          </w:p>
        </w:tc>
      </w:tr>
      <w:tr>
        <w:trPr>
          <w:trHeight w:val="213"/>
        </w:trPr>
        <w:tc>
          <w:tcPr>
            <w:tcW w:w="3320" w:type="dxa"/>
            <w:vAlign w:val="bottom"/>
          </w:tcPr>
          <w:p>
            <w:pPr>
              <w:spacing w:after="0"/>
              <w:rPr>
                <w:sz w:val="20"/>
                <w:szCs w:val="20"/>
                <w:color w:val="auto"/>
              </w:rPr>
            </w:pPr>
            <w:r>
              <w:rPr>
                <w:rFonts w:ascii="Arial" w:cs="Arial" w:eastAsia="Arial" w:hAnsi="Arial"/>
                <w:sz w:val="18"/>
                <w:szCs w:val="18"/>
                <w:color w:val="auto"/>
              </w:rPr>
              <w:t>Rest of Europe</w:t>
            </w:r>
          </w:p>
        </w:tc>
        <w:tc>
          <w:tcPr>
            <w:tcW w:w="55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7,334</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10,419</w:t>
            </w:r>
          </w:p>
        </w:tc>
      </w:tr>
      <w:tr>
        <w:trPr>
          <w:trHeight w:val="21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34,520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33,978</w:t>
            </w:r>
          </w:p>
        </w:tc>
      </w:tr>
      <w:tr>
        <w:trPr>
          <w:trHeight w:val="219"/>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6,628</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8,214</w:t>
            </w:r>
          </w:p>
        </w:tc>
      </w:tr>
      <w:tr>
        <w:trPr>
          <w:trHeight w:val="465"/>
        </w:trPr>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150,218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148,185</w:t>
            </w:r>
          </w:p>
        </w:tc>
      </w:tr>
      <w:tr>
        <w:trPr>
          <w:trHeight w:val="590"/>
        </w:trPr>
        <w:tc>
          <w:tcPr>
            <w:tcW w:w="3320" w:type="dxa"/>
            <w:vAlign w:val="bottom"/>
          </w:tcPr>
          <w:p>
            <w:pPr>
              <w:spacing w:after="0"/>
              <w:rPr>
                <w:sz w:val="24"/>
                <w:szCs w:val="24"/>
                <w:color w:val="auto"/>
              </w:rPr>
            </w:pPr>
          </w:p>
        </w:tc>
        <w:tc>
          <w:tcPr>
            <w:tcW w:w="5580" w:type="dxa"/>
            <w:vAlign w:val="bottom"/>
          </w:tcPr>
          <w:p>
            <w:pPr>
              <w:jc w:val="right"/>
              <w:ind w:right="2971"/>
              <w:spacing w:after="0"/>
              <w:rPr>
                <w:sz w:val="20"/>
                <w:szCs w:val="20"/>
                <w:color w:val="auto"/>
              </w:rPr>
            </w:pPr>
            <w:r>
              <w:rPr>
                <w:rFonts w:ascii="Arial" w:cs="Arial" w:eastAsia="Arial" w:hAnsi="Arial"/>
                <w:sz w:val="18"/>
                <w:szCs w:val="18"/>
                <w:color w:val="auto"/>
              </w:rPr>
              <w:t>125</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3320" w:type="dxa"/>
            <w:vAlign w:val="bottom"/>
            <w:tcBorders>
              <w:bottom w:val="single" w:sz="8" w:color="808080"/>
            </w:tcBorders>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24"/>
        </w:trPr>
        <w:tc>
          <w:tcPr>
            <w:tcW w:w="6880" w:type="dxa"/>
            <w:vAlign w:val="bottom"/>
          </w:tcPr>
          <w:p>
            <w:pPr>
              <w:spacing w:after="0"/>
              <w:rPr>
                <w:sz w:val="20"/>
                <w:szCs w:val="20"/>
                <w:color w:val="auto"/>
              </w:rPr>
            </w:pPr>
            <w:r>
              <w:rPr>
                <w:rFonts w:ascii="Arial" w:cs="Arial" w:eastAsia="Arial" w:hAnsi="Arial"/>
                <w:sz w:val="18"/>
                <w:szCs w:val="18"/>
                <w:color w:val="auto"/>
                <w:w w:val="97"/>
              </w:rPr>
              <w:t>e) The distribution of depreciation and amortization by geographical area was as follows:</w:t>
            </w: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6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6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6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22,100</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19,826</w:t>
            </w:r>
          </w:p>
        </w:tc>
      </w:tr>
      <w:tr>
        <w:trPr>
          <w:trHeight w:val="213"/>
        </w:trPr>
        <w:tc>
          <w:tcPr>
            <w:tcW w:w="6880" w:type="dxa"/>
            <w:vAlign w:val="bottom"/>
          </w:tcPr>
          <w:p>
            <w:pPr>
              <w:spacing w:after="0"/>
              <w:rPr>
                <w:sz w:val="20"/>
                <w:szCs w:val="20"/>
                <w:color w:val="auto"/>
              </w:rPr>
            </w:pPr>
            <w:r>
              <w:rPr>
                <w:rFonts w:ascii="Arial" w:cs="Arial" w:eastAsia="Arial" w:hAnsi="Arial"/>
                <w:sz w:val="18"/>
                <w:szCs w:val="18"/>
                <w:color w:val="auto"/>
              </w:rPr>
              <w:t>Rest of Europe</w:t>
            </w:r>
          </w:p>
        </w:tc>
        <w:tc>
          <w:tcPr>
            <w:tcW w:w="6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11,055</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7,478</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6,595</w:t>
            </w: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20,106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20,491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16,233</w:t>
            </w:r>
          </w:p>
        </w:tc>
      </w:tr>
      <w:tr>
        <w:trPr>
          <w:trHeight w:val="21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4,416</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3,842</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3,860</w:t>
            </w:r>
          </w:p>
        </w:tc>
      </w:tr>
      <w:tr>
        <w:trPr>
          <w:trHeight w:val="465"/>
        </w:trPr>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57,677</w:t>
            </w:r>
          </w:p>
        </w:tc>
        <w:tc>
          <w:tcPr>
            <w:tcW w:w="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52,542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46,514</w:t>
            </w:r>
          </w:p>
        </w:tc>
      </w:tr>
      <w:tr>
        <w:trPr>
          <w:trHeight w:val="444"/>
        </w:trPr>
        <w:tc>
          <w:tcPr>
            <w:tcW w:w="6880" w:type="dxa"/>
            <w:vAlign w:val="bottom"/>
          </w:tcPr>
          <w:p>
            <w:pPr>
              <w:spacing w:after="0"/>
              <w:rPr>
                <w:sz w:val="20"/>
                <w:szCs w:val="20"/>
                <w:color w:val="auto"/>
              </w:rPr>
            </w:pPr>
            <w:r>
              <w:rPr>
                <w:rFonts w:ascii="Arial" w:cs="Arial" w:eastAsia="Arial" w:hAnsi="Arial"/>
                <w:sz w:val="18"/>
                <w:szCs w:val="18"/>
                <w:color w:val="auto"/>
              </w:rPr>
              <w:t>f)  The distribution of total assets by geographical area was as follows:</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w w:val="97"/>
              </w:rPr>
              <w:t>December 31,</w:t>
            </w:r>
          </w:p>
        </w:tc>
        <w:tc>
          <w:tcPr>
            <w:tcW w:w="2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6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664,754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495,747</w:t>
            </w:r>
          </w:p>
        </w:tc>
      </w:tr>
      <w:tr>
        <w:trPr>
          <w:trHeight w:val="213"/>
        </w:trPr>
        <w:tc>
          <w:tcPr>
            <w:tcW w:w="6880" w:type="dxa"/>
            <w:vAlign w:val="bottom"/>
          </w:tcPr>
          <w:p>
            <w:pPr>
              <w:spacing w:after="0"/>
              <w:rPr>
                <w:sz w:val="20"/>
                <w:szCs w:val="20"/>
                <w:color w:val="auto"/>
              </w:rPr>
            </w:pPr>
            <w:r>
              <w:rPr>
                <w:rFonts w:ascii="Arial" w:cs="Arial" w:eastAsia="Arial" w:hAnsi="Arial"/>
                <w:sz w:val="18"/>
                <w:szCs w:val="18"/>
                <w:color w:val="auto"/>
              </w:rPr>
              <w:t>Rest of Europe</w:t>
            </w: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343,733</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324,086</w:t>
            </w: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641,769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648,559</w:t>
            </w:r>
          </w:p>
        </w:tc>
      </w:tr>
      <w:tr>
        <w:trPr>
          <w:trHeight w:val="21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68,647</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60,458</w:t>
            </w:r>
          </w:p>
        </w:tc>
      </w:tr>
      <w:tr>
        <w:trPr>
          <w:trHeight w:val="465"/>
        </w:trPr>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1,718,903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1,528,850</w:t>
            </w:r>
          </w:p>
        </w:tc>
      </w:tr>
      <w:tr>
        <w:trPr>
          <w:trHeight w:val="444"/>
        </w:trPr>
        <w:tc>
          <w:tcPr>
            <w:tcW w:w="6880" w:type="dxa"/>
            <w:vAlign w:val="bottom"/>
          </w:tcPr>
          <w:p>
            <w:pPr>
              <w:spacing w:after="0"/>
              <w:rPr>
                <w:sz w:val="20"/>
                <w:szCs w:val="20"/>
                <w:color w:val="auto"/>
              </w:rPr>
            </w:pPr>
            <w:r>
              <w:rPr>
                <w:rFonts w:ascii="Arial" w:cs="Arial" w:eastAsia="Arial" w:hAnsi="Arial"/>
                <w:sz w:val="18"/>
                <w:szCs w:val="18"/>
                <w:color w:val="auto"/>
              </w:rPr>
              <w:t>g) The distribution of capital expenditures by geographical area was as follows:</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6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6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30,900</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3,976</w:t>
            </w:r>
          </w:p>
        </w:tc>
      </w:tr>
      <w:tr>
        <w:trPr>
          <w:trHeight w:val="213"/>
        </w:trPr>
        <w:tc>
          <w:tcPr>
            <w:tcW w:w="6880" w:type="dxa"/>
            <w:vAlign w:val="bottom"/>
          </w:tcPr>
          <w:p>
            <w:pPr>
              <w:spacing w:after="0"/>
              <w:rPr>
                <w:sz w:val="20"/>
                <w:szCs w:val="20"/>
                <w:color w:val="auto"/>
              </w:rPr>
            </w:pPr>
            <w:r>
              <w:rPr>
                <w:rFonts w:ascii="Arial" w:cs="Arial" w:eastAsia="Arial" w:hAnsi="Arial"/>
                <w:sz w:val="18"/>
                <w:szCs w:val="18"/>
                <w:color w:val="auto"/>
              </w:rPr>
              <w:t>Rest of Europe</w:t>
            </w:r>
          </w:p>
        </w:tc>
        <w:tc>
          <w:tcPr>
            <w:tcW w:w="66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1,916</w:t>
            </w:r>
          </w:p>
        </w:tc>
        <w:tc>
          <w:tcPr>
            <w:tcW w:w="22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2,278</w:t>
            </w:r>
          </w:p>
        </w:tc>
        <w:tc>
          <w:tcPr>
            <w:tcW w:w="2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1,887</w:t>
            </w:r>
          </w:p>
        </w:tc>
      </w:tr>
      <w:tr>
        <w:trPr>
          <w:trHeight w:val="21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15,256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12,224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20,842</w:t>
            </w:r>
          </w:p>
        </w:tc>
      </w:tr>
      <w:tr>
        <w:trPr>
          <w:trHeight w:val="21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1,658</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3,160</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2,783</w:t>
            </w:r>
          </w:p>
        </w:tc>
      </w:tr>
      <w:tr>
        <w:trPr>
          <w:trHeight w:val="465"/>
        </w:trPr>
        <w:tc>
          <w:tcPr>
            <w:tcW w:w="6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49,730</w:t>
            </w:r>
          </w:p>
        </w:tc>
        <w:tc>
          <w:tcPr>
            <w:tcW w:w="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32,779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29,488</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h) The following table sets forth the clients which represented 10% or more of the Company's net revenue in each of the periods set out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0" w:type="dxa"/>
            <w:vAlign w:val="bottom"/>
          </w:tcPr>
          <w:p>
            <w:pPr>
              <w:jc w:val="right"/>
              <w:ind w:right="311"/>
              <w:spacing w:after="0"/>
              <w:rPr>
                <w:sz w:val="20"/>
                <w:szCs w:val="20"/>
                <w:color w:val="auto"/>
              </w:rPr>
            </w:pPr>
            <w:r>
              <w:rPr>
                <w:rFonts w:ascii="Arial" w:cs="Arial" w:eastAsia="Arial" w:hAnsi="Arial"/>
                <w:sz w:val="18"/>
                <w:szCs w:val="18"/>
                <w:b w:val="1"/>
                <w:bCs w:val="1"/>
                <w:color w:val="auto"/>
              </w:rPr>
              <w:t>Year ended</w:t>
            </w:r>
          </w:p>
        </w:tc>
        <w:tc>
          <w:tcPr>
            <w:tcW w:w="1300" w:type="dxa"/>
            <w:vAlign w:val="bottom"/>
          </w:tcPr>
          <w:p>
            <w:pPr>
              <w:spacing w:after="0"/>
              <w:rPr>
                <w:sz w:val="18"/>
                <w:szCs w:val="18"/>
                <w:color w:val="auto"/>
              </w:rPr>
            </w:pPr>
          </w:p>
        </w:tc>
      </w:tr>
      <w:tr>
        <w:trPr>
          <w:trHeight w:val="213"/>
        </w:trPr>
        <w:tc>
          <w:tcPr>
            <w:tcW w:w="4020" w:type="dxa"/>
            <w:vAlign w:val="bottom"/>
          </w:tcPr>
          <w:p>
            <w:pPr>
              <w:spacing w:after="0"/>
              <w:rPr>
                <w:sz w:val="18"/>
                <w:szCs w:val="18"/>
                <w:color w:val="auto"/>
              </w:rPr>
            </w:pPr>
          </w:p>
        </w:tc>
        <w:tc>
          <w:tcPr>
            <w:tcW w:w="4700" w:type="dxa"/>
            <w:vAlign w:val="bottom"/>
          </w:tcPr>
          <w:p>
            <w:pPr>
              <w:jc w:val="right"/>
              <w:ind w:right="151"/>
              <w:spacing w:after="0"/>
              <w:rPr>
                <w:sz w:val="20"/>
                <w:szCs w:val="20"/>
                <w:color w:val="auto"/>
              </w:rPr>
            </w:pPr>
            <w:r>
              <w:rPr>
                <w:rFonts w:ascii="Arial" w:cs="Arial" w:eastAsia="Arial" w:hAnsi="Arial"/>
                <w:sz w:val="18"/>
                <w:szCs w:val="18"/>
                <w:b w:val="1"/>
                <w:bCs w:val="1"/>
                <w:color w:val="auto"/>
              </w:rPr>
              <w:t>December 31,</w:t>
            </w:r>
          </w:p>
        </w:tc>
        <w:tc>
          <w:tcPr>
            <w:tcW w:w="1400" w:type="dxa"/>
            <w:vAlign w:val="bottom"/>
          </w:tcPr>
          <w:p>
            <w:pPr>
              <w:jc w:val="right"/>
              <w:ind w:right="171"/>
              <w:spacing w:after="0"/>
              <w:rPr>
                <w:sz w:val="20"/>
                <w:szCs w:val="20"/>
                <w:color w:val="auto"/>
              </w:rPr>
            </w:pPr>
            <w:r>
              <w:rPr>
                <w:rFonts w:ascii="Arial" w:cs="Arial" w:eastAsia="Arial" w:hAnsi="Arial"/>
                <w:sz w:val="18"/>
                <w:szCs w:val="18"/>
                <w:b w:val="1"/>
                <w:bCs w:val="1"/>
                <w:color w:val="auto"/>
                <w:w w:val="95"/>
              </w:rPr>
              <w:t>December 31,</w:t>
            </w:r>
          </w:p>
        </w:tc>
        <w:tc>
          <w:tcPr>
            <w:tcW w:w="1300" w:type="dxa"/>
            <w:vAlign w:val="bottom"/>
          </w:tcPr>
          <w:p>
            <w:pPr>
              <w:jc w:val="right"/>
              <w:ind w:right="71"/>
              <w:spacing w:after="0"/>
              <w:rPr>
                <w:sz w:val="20"/>
                <w:szCs w:val="20"/>
                <w:color w:val="auto"/>
              </w:rPr>
            </w:pPr>
            <w:r>
              <w:rPr>
                <w:rFonts w:ascii="Arial" w:cs="Arial" w:eastAsia="Arial" w:hAnsi="Arial"/>
                <w:sz w:val="18"/>
                <w:szCs w:val="18"/>
                <w:b w:val="1"/>
                <w:bCs w:val="1"/>
                <w:color w:val="auto"/>
                <w:w w:val="95"/>
              </w:rPr>
              <w:t>December 31,</w:t>
            </w:r>
          </w:p>
        </w:tc>
      </w:tr>
      <w:tr>
        <w:trPr>
          <w:trHeight w:val="230"/>
        </w:trPr>
        <w:tc>
          <w:tcPr>
            <w:tcW w:w="4020" w:type="dxa"/>
            <w:vAlign w:val="bottom"/>
          </w:tcPr>
          <w:p>
            <w:pPr>
              <w:spacing w:after="0"/>
              <w:rPr>
                <w:sz w:val="19"/>
                <w:szCs w:val="19"/>
                <w:color w:val="auto"/>
              </w:rPr>
            </w:pPr>
          </w:p>
        </w:tc>
        <w:tc>
          <w:tcPr>
            <w:tcW w:w="4700" w:type="dxa"/>
            <w:vAlign w:val="bottom"/>
          </w:tcPr>
          <w:p>
            <w:pPr>
              <w:jc w:val="right"/>
              <w:ind w:right="151"/>
              <w:spacing w:after="0"/>
              <w:rPr>
                <w:sz w:val="20"/>
                <w:szCs w:val="20"/>
                <w:color w:val="auto"/>
              </w:rPr>
            </w:pPr>
            <w:r>
              <w:rPr>
                <w:rFonts w:ascii="Arial" w:cs="Arial" w:eastAsia="Arial" w:hAnsi="Arial"/>
                <w:sz w:val="18"/>
                <w:szCs w:val="18"/>
                <w:b w:val="1"/>
                <w:bCs w:val="1"/>
                <w:color w:val="auto"/>
              </w:rPr>
              <w:t>2015</w:t>
            </w:r>
          </w:p>
        </w:tc>
        <w:tc>
          <w:tcPr>
            <w:tcW w:w="1400" w:type="dxa"/>
            <w:vAlign w:val="bottom"/>
          </w:tcPr>
          <w:p>
            <w:pPr>
              <w:jc w:val="right"/>
              <w:ind w:right="171"/>
              <w:spacing w:after="0"/>
              <w:rPr>
                <w:sz w:val="20"/>
                <w:szCs w:val="20"/>
                <w:color w:val="auto"/>
              </w:rPr>
            </w:pPr>
            <w:r>
              <w:rPr>
                <w:rFonts w:ascii="Arial" w:cs="Arial" w:eastAsia="Arial" w:hAnsi="Arial"/>
                <w:sz w:val="18"/>
                <w:szCs w:val="18"/>
                <w:b w:val="1"/>
                <w:bCs w:val="1"/>
                <w:color w:val="auto"/>
              </w:rPr>
              <w:t>2014</w:t>
            </w:r>
          </w:p>
        </w:tc>
        <w:tc>
          <w:tcPr>
            <w:tcW w:w="1300" w:type="dxa"/>
            <w:vAlign w:val="bottom"/>
          </w:tcPr>
          <w:p>
            <w:pPr>
              <w:jc w:val="right"/>
              <w:ind w:right="71"/>
              <w:spacing w:after="0"/>
              <w:rPr>
                <w:sz w:val="20"/>
                <w:szCs w:val="20"/>
                <w:color w:val="auto"/>
              </w:rPr>
            </w:pPr>
            <w:r>
              <w:rPr>
                <w:rFonts w:ascii="Arial" w:cs="Arial" w:eastAsia="Arial" w:hAnsi="Arial"/>
                <w:sz w:val="18"/>
                <w:szCs w:val="18"/>
                <w:b w:val="1"/>
                <w:bCs w:val="1"/>
                <w:color w:val="auto"/>
              </w:rPr>
              <w:t>2013</w:t>
            </w:r>
          </w:p>
        </w:tc>
      </w:tr>
      <w:tr>
        <w:trPr>
          <w:trHeight w:val="214"/>
        </w:trPr>
        <w:tc>
          <w:tcPr>
            <w:tcW w:w="40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Client A</w:t>
            </w:r>
          </w:p>
        </w:tc>
        <w:tc>
          <w:tcPr>
            <w:tcW w:w="4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3"/>
        </w:trPr>
        <w:tc>
          <w:tcPr>
            <w:tcW w:w="40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3"/>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Client B</w:t>
            </w:r>
          </w:p>
        </w:tc>
        <w:tc>
          <w:tcPr>
            <w:tcW w:w="4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Net revenue did not exceed 10%.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24"/>
        </w:trPr>
        <w:tc>
          <w:tcPr>
            <w:tcW w:w="6640" w:type="dxa"/>
            <w:vAlign w:val="bottom"/>
          </w:tcPr>
          <w:p>
            <w:pPr>
              <w:spacing w:after="0"/>
              <w:rPr>
                <w:sz w:val="20"/>
                <w:szCs w:val="20"/>
                <w:color w:val="auto"/>
              </w:rPr>
            </w:pPr>
            <w:r>
              <w:rPr>
                <w:rFonts w:ascii="Arial" w:cs="Arial" w:eastAsia="Arial" w:hAnsi="Arial"/>
                <w:sz w:val="18"/>
                <w:szCs w:val="18"/>
                <w:color w:val="auto"/>
              </w:rPr>
              <w:t>i) The distribution of interest income by geographical area was as follows:</w:t>
            </w: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5"/>
        </w:trPr>
        <w:tc>
          <w:tcPr>
            <w:tcW w:w="6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6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Rest of Europe</w:t>
            </w:r>
          </w:p>
        </w:tc>
        <w:tc>
          <w:tcPr>
            <w:tcW w:w="9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1,151</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501</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9"/>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w:t>
            </w:r>
          </w:p>
        </w:tc>
      </w:tr>
      <w:tr>
        <w:trPr>
          <w:trHeight w:val="465"/>
        </w:trPr>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c>
          <w:tcPr>
            <w:tcW w:w="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986</w:t>
            </w:r>
          </w:p>
        </w:tc>
      </w:tr>
      <w:tr>
        <w:trPr>
          <w:trHeight w:val="444"/>
        </w:trPr>
        <w:tc>
          <w:tcPr>
            <w:tcW w:w="6640" w:type="dxa"/>
            <w:vAlign w:val="bottom"/>
          </w:tcPr>
          <w:p>
            <w:pPr>
              <w:spacing w:after="0"/>
              <w:rPr>
                <w:sz w:val="20"/>
                <w:szCs w:val="20"/>
                <w:color w:val="auto"/>
              </w:rPr>
            </w:pPr>
            <w:r>
              <w:rPr>
                <w:rFonts w:ascii="Arial" w:cs="Arial" w:eastAsia="Arial" w:hAnsi="Arial"/>
                <w:sz w:val="18"/>
                <w:szCs w:val="18"/>
                <w:color w:val="auto"/>
              </w:rPr>
              <w:t>j) The distribution of the income tax charge by geographical area was as follows:</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6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21,795</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18,384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11,073</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Rest of Europe</w:t>
            </w:r>
          </w:p>
        </w:tc>
        <w:tc>
          <w:tcPr>
            <w:tcW w:w="9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8,007</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2,855</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3,580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4,860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5,072</w:t>
            </w:r>
          </w:p>
        </w:tc>
      </w:tr>
      <w:tr>
        <w:trPr>
          <w:trHeight w:val="219"/>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5,929</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4,149</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1,915</w:t>
            </w:r>
          </w:p>
        </w:tc>
      </w:tr>
      <w:tr>
        <w:trPr>
          <w:trHeight w:val="465"/>
        </w:trPr>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39,311</w:t>
            </w:r>
          </w:p>
        </w:tc>
        <w:tc>
          <w:tcPr>
            <w:tcW w:w="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30,248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18,053</w:t>
            </w:r>
          </w:p>
        </w:tc>
      </w:tr>
      <w:tr>
        <w:trPr>
          <w:trHeight w:val="683"/>
        </w:trPr>
        <w:tc>
          <w:tcPr>
            <w:tcW w:w="6640" w:type="dxa"/>
            <w:vAlign w:val="bottom"/>
          </w:tcPr>
          <w:p>
            <w:pPr>
              <w:spacing w:after="0"/>
              <w:rPr>
                <w:sz w:val="20"/>
                <w:szCs w:val="20"/>
                <w:color w:val="auto"/>
              </w:rPr>
            </w:pPr>
            <w:r>
              <w:rPr>
                <w:rFonts w:ascii="Arial" w:cs="Arial" w:eastAsia="Arial" w:hAnsi="Arial"/>
                <w:sz w:val="18"/>
                <w:szCs w:val="18"/>
                <w:b w:val="1"/>
                <w:bCs w:val="1"/>
                <w:color w:val="auto"/>
              </w:rPr>
              <w:t>18. Supplemental Disclosure of Cash Flow Information</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w w:val="97"/>
              </w:rPr>
              <w:t>December 31,</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2013</w:t>
            </w:r>
          </w:p>
        </w:tc>
      </w:tr>
      <w:tr>
        <w:trPr>
          <w:trHeight w:val="230"/>
        </w:trPr>
        <w:tc>
          <w:tcPr>
            <w:tcW w:w="6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4"/>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on acquisition consideration payable*</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2,175</w:t>
            </w:r>
          </w:p>
        </w:tc>
        <w:tc>
          <w:tcPr>
            <w:tcW w:w="220" w:type="dxa"/>
            <w:vAlign w:val="bottom"/>
          </w:tcPr>
          <w:p>
            <w:pPr>
              <w:ind w:left="14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548</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14,829</w:t>
            </w:r>
          </w:p>
        </w:tc>
        <w:tc>
          <w:tcPr>
            <w:tcW w:w="2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14,103</w:t>
            </w:r>
          </w:p>
        </w:tc>
      </w:tr>
      <w:tr>
        <w:trPr>
          <w:trHeight w:val="224"/>
        </w:trPr>
        <w:tc>
          <w:tcPr>
            <w:tcW w:w="6640" w:type="dxa"/>
            <w:vAlign w:val="bottom"/>
          </w:tcPr>
          <w:p>
            <w:pPr>
              <w:spacing w:after="0"/>
              <w:rPr>
                <w:sz w:val="20"/>
                <w:szCs w:val="20"/>
                <w:color w:val="auto"/>
              </w:rPr>
            </w:pPr>
            <w:r>
              <w:rPr>
                <w:rFonts w:ascii="Arial" w:cs="Arial" w:eastAsia="Arial" w:hAnsi="Arial"/>
                <w:sz w:val="18"/>
                <w:szCs w:val="18"/>
                <w:color w:val="auto"/>
              </w:rPr>
              <w:t>* recorded within interest expense</w:t>
            </w: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9"/>
        </w:trPr>
        <w:tc>
          <w:tcPr>
            <w:tcW w:w="6640" w:type="dxa"/>
            <w:vAlign w:val="bottom"/>
          </w:tcPr>
          <w:p>
            <w:pPr>
              <w:spacing w:after="0"/>
              <w:rPr>
                <w:sz w:val="20"/>
                <w:szCs w:val="20"/>
                <w:color w:val="auto"/>
              </w:rPr>
            </w:pPr>
            <w:r>
              <w:rPr>
                <w:rFonts w:ascii="Arial" w:cs="Arial" w:eastAsia="Arial" w:hAnsi="Arial"/>
                <w:sz w:val="18"/>
                <w:szCs w:val="18"/>
                <w:b w:val="1"/>
                <w:bCs w:val="1"/>
                <w:color w:val="auto"/>
              </w:rPr>
              <w:t>19. Accumulated Other Comprehensive Income</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6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b w:val="1"/>
                <w:bCs w:val="1"/>
                <w:color w:val="auto"/>
                <w:w w:val="99"/>
              </w:rPr>
              <w:t>December 31,</w:t>
            </w:r>
          </w:p>
        </w:tc>
        <w:tc>
          <w:tcPr>
            <w:tcW w:w="18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w w:val="87"/>
              </w:rPr>
              <w:t>December 31,</w:t>
            </w:r>
          </w:p>
        </w:tc>
      </w:tr>
      <w:tr>
        <w:trPr>
          <w:trHeight w:val="213"/>
        </w:trPr>
        <w:tc>
          <w:tcPr>
            <w:tcW w:w="6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2014</w:t>
            </w:r>
          </w:p>
        </w:tc>
      </w:tr>
      <w:tr>
        <w:trPr>
          <w:trHeight w:val="230"/>
        </w:trPr>
        <w:tc>
          <w:tcPr>
            <w:tcW w:w="6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(in thousands)</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(22,210)</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Currency impact on long term funding (Net of tax)</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(9,252)</w:t>
            </w:r>
          </w:p>
        </w:tc>
      </w:tr>
      <w:tr>
        <w:trPr>
          <w:trHeight w:val="213"/>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on defined benefit pension plan (note 9)</w:t>
            </w: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r>
      <w:tr>
        <w:trPr>
          <w:trHeight w:val="213"/>
        </w:trPr>
        <w:tc>
          <w:tcPr>
            <w:tcW w:w="6640" w:type="dxa"/>
            <w:vAlign w:val="bottom"/>
          </w:tcPr>
          <w:p>
            <w:pPr>
              <w:spacing w:after="0"/>
              <w:rPr>
                <w:sz w:val="20"/>
                <w:szCs w:val="20"/>
                <w:color w:val="auto"/>
              </w:rPr>
            </w:pPr>
            <w:r>
              <w:rPr>
                <w:rFonts w:ascii="Arial" w:cs="Arial" w:eastAsia="Arial" w:hAnsi="Arial"/>
                <w:sz w:val="18"/>
                <w:szCs w:val="18"/>
                <w:color w:val="auto"/>
              </w:rPr>
              <w:t>Unrealized capital (loss)/gain – investments (note 3)</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19"/>
        </w:trPr>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Realized gain on interest rate hedge</w:t>
            </w:r>
          </w:p>
        </w:tc>
        <w:tc>
          <w:tcPr>
            <w:tcW w:w="9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4,617</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425"/>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(37,555)</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90"/>
        </w:trPr>
        <w:tc>
          <w:tcPr>
            <w:tcW w:w="6640" w:type="dxa"/>
            <w:vAlign w:val="bottom"/>
          </w:tcPr>
          <w:p>
            <w:pPr>
              <w:ind w:left="5580"/>
              <w:spacing w:after="0"/>
              <w:rPr>
                <w:sz w:val="20"/>
                <w:szCs w:val="20"/>
                <w:color w:val="auto"/>
              </w:rPr>
            </w:pPr>
            <w:r>
              <w:rPr>
                <w:rFonts w:ascii="Arial" w:cs="Arial" w:eastAsia="Arial" w:hAnsi="Arial"/>
                <w:sz w:val="18"/>
                <w:szCs w:val="18"/>
                <w:color w:val="auto"/>
              </w:rPr>
              <w:t>127</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66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20. Long-Term Debt – Senior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2015 the Company issued $350 million in the private placement market.</w:t>
      </w:r>
    </w:p>
    <w:p>
      <w:pPr>
        <w:spacing w:after="0" w:line="24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The interest rate in respect of the Senior Notes is fixed at 3.64% for the five year term of the agreement. The associated interest cost is recognized in interest expense in the period since drawdown in December 2015.</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Financial Accounting Standards Board (“FASB”) ASC 815, “Derivatives and Hedging”. The cash proceeds ($4.6 million), representing the realized gain on the interest rate hedge were received on maturity in November 2015 and are recorded within Other Comprehensive Income. The realized gain will be amortized to the income statement, net against interest payable, over the period of the Senior Notes.</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Senior Notes agreement also includes certain financial covenants that require compliance with a consolidated leverage ratio, a minimum EBIT to consolidated net interest charge ratio and a maximum amount of priority debt, each of which are defined in the Note Purchase Agreement.</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Senior Notes have not been, and will not be, registered under the Securities Act of 1933, as amended, and may not be offered or sold in the United States absent registration or an applicable exemption from registration requirements.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Impact of New Accounting Pronouncements</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January 2015, the FASB issued ASU 2015-01, which eliminates the concept of extraordinary items from U.S. GAAP as part of its simplification initiative. The ASU does not affect disclosure guidance for events or transactions that are unusual in nature or infrequent in their occurrence. The ASU is effective for fiscal years and, interim periods within those fiscal years, beginning after December 15, 2015. The ASU allows prospective or retrospective application. Early adoption is permitted if applied from the beginning of the fiscal year of adoption. The Company does not expect the adoption of ASU 2015-01 to have a material impact on the financial statements.</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February 2015, the FASB issued ASU 2015-02, which changes the way reporting enterprises evaluate whether (a) they should consolidate limited partnerships and similar entities, (b) fees paid to a decision maker or service provider are variable interests in a variable interest entity (VIE), and (c) variable interests in a VIE held by related parties of the reporting enterprise require the reporting enterprise to consolidate the VIE. It also eliminates the VIE consolidation model based on majority exposure to variability that applied to certain investment companies and similar entities. The new guidance excludes money market funds that are required to comply with Rule 2a-7 of the Investment Company Act of 1940 and similar entities from the U.S. GAAP consolidation requirements. The new consolidation guidance is effective for public business entities for annual and interim periods in fiscal years beginning after December 15, 2015. The Company does not expect the adoption of ASU 2015-02 to have a material impact on the financial statements.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April 2015, the FASB issued ASU 2015-03, which intends to simplify the presentation of debt issuance costs. This ASU is effective for public business entities for fiscal years beginning after December 15, 2015, and interim periods within those fiscal years. Subsequent to the issuance of ASU 2015-03, the SEC staff made an announcement regarding the presentation of debt issuance costs associated with line-of-credit arrangements, which was codified by the FASB in ASU 2015-15. The SEC staff guidance is effective upon adoption of ASU 2015-03. The Company does not expect the adoption of ASU 2015-03 to have a material impact on the financial statements.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2015, the FASB issued ASU 2015-04, which permits an entity with a fiscal year-end that does not fall on a month-end to measure defined benefit plan obligations and assets as of the month-end that is closest to the entity’s fiscal year-end, and apply that methodology consistently from year to year. The ASU also requires an entity to adjust the measurement of defined benefit plan obligations and assets to reflect contributions or significant events that occur between the month-end date used to measure defined benefit plan obligations and assets and the entity’s fiscal year-end. This ASU is effective for public business entities for financial statements issued for fiscal years beginning after December 15, 2015, and interim periods within those fiscal years. The Company does not expect the adoption of ASU 2015-03 to have a material impact on the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30" w:name="page131"/>
    <w:bookmarkEnd w:id="130"/>
    <w:p>
      <w:pPr>
        <w:jc w:val="both"/>
        <w:spacing w:after="0" w:line="290" w:lineRule="auto"/>
        <w:rPr>
          <w:sz w:val="20"/>
          <w:szCs w:val="20"/>
          <w:color w:val="auto"/>
        </w:rPr>
      </w:pPr>
      <w:r>
        <w:rPr>
          <w:rFonts w:ascii="Arial" w:cs="Arial" w:eastAsia="Arial" w:hAnsi="Arial"/>
          <w:sz w:val="16"/>
          <w:szCs w:val="16"/>
          <w:color w:val="auto"/>
        </w:rPr>
        <w:t>In April 2015, the FASB issued ASU 2015-05, which provides explicit guidance to help companies evaluate the accounting for fees paid by a customer in a cloud computing arrangement. The new guidance clarifies that if a cloud computing arrangement includes a software license, the customer should account for the license consistent with its accounting for other software licenses. If the arrangement does not include a software license, the customer should account for the arrangement as a service contract. This ASU is effective for public business entities for annual periods, including interim periods within those annual periods, beginning after December 15, 2015. The Company does not expect the adoption of ASU 2015-05 to have a material impact on the financial statements.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April 2015, the FASB issued ASU 2015-06, which requires a master limited partnership (MLP) to allocate earnings (losses) of a transferred business entirely to the general partner when computing earnings per unit (EPU) for periods before the dropdown transaction occurred. The EPU that the limited partners previously reported would not change as a result of the dropdown transaction. The ASU also requires an MLP to disclose the effects of the dropdown transaction on EPU for the periods before and after the dropdown transaction occurred. The Company does not expect the adoption of ASU 2015-06 to have a material impact on the financial statements.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July 2015, the FASB issued ASU 2015-11, which, for entities that do not measure inventory using the last-in, first-out (LIFO) or retail inventory method, changes the measurement principle for inventory from the lower of cost or market to lower of cost and net realizable value. The ASU also eliminates the requirement for these entities to consider replacement cost or net realizable value less an approximately normal profit margin when measuring inventory. This ASU is effective for public business entities in fiscal years beginning after December 15, 2017. The adoption of ASU 2015-11 is not expected to have a significant impact on the financial statements.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FASB ASU 2015-14 amends the effective dates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requirements are effective for annual periods and interim periods within fiscal years beginning after December 15, 2017. Earlier application is permitted only as of annual reporting periods beginning after December 15, 2016, including interim reporting periods within that reporting period. The adoption of ASU 2015-14 is not expected to have a significant impact on the financial statements.</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2015, the FASB issued ASU 2015-16, which eliminates the requirement for an acquirer to retrospectively adjust the financial statements for measurement-period adjustments that occur in periods after a business combination is consummated. The ASU is effective for public business entities for annual periods, including interim periods within those annual periods, beginning after December 15, 2015. The adoption of ASU 2015-14 is not expected to have a significant impact on the financial statements.</w:t>
      </w:r>
    </w:p>
    <w:p>
      <w:pPr>
        <w:spacing w:after="0" w:line="21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November 2015, the FASB issued ASU 2015-17, which requires entities with a classified balance sheet to present all deferred tax assets and liabilities as noncurrent. The ASU 2015-17 has been early adopted in the financial statements presented. The impact is described in Note 13 to the financial statements.</w:t>
      </w:r>
    </w:p>
    <w:p>
      <w:pPr>
        <w:spacing w:after="0" w:line="16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January 2016, the FASB issued ASU 2016-01, which will significantly change the income statement impact of equity investments, and the recognition of changes in fair value of financial liabilities when the fair value option is elected. The ASU is effective for public business entities for interim and annual periods in fiscal years beginning after December 15, 2017. The adoption of ASU 2016-01 is not expected to have a significant impact on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Related Parties</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19, 2012, Mr. Peter Gray retired as a Director and employee of the Company. The Company subsequently entered into an agreement with Integritum Limited, a company controlled by Mr. Gray, for the provision of consultancy services for a period of two years from August 1, 2012, at an agreed fee of €265,000 ($350,000) per annum. This arrangement expired in August, 2014.</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Subsidiaries of the Company earned revenue of $221,000 from GW Pharmaceuticals plc in the normal course of business. There were backlog awards at December 31, 2015 of $88,000. Tom Lynch, Chairman of the Company is a non-executive Director of GW Pharmaceuticals plc. The contract terms were agreed on an arm’s length basis.</w:t>
      </w:r>
    </w:p>
    <w:p>
      <w:pPr>
        <w:spacing w:after="0" w:line="21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Subsidiaries of the Company earned revenue of $100,000 (2014: $300,000) from Dignity Sciences Limited during the year. Dr. John Climax is a director and both Dr. John Climax and Dr. Ronan Lambe are shareholders of Dignity Sciences Limited. The contract terms were agreed on an arm’s length basis.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37"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 March 23, 2016</w:t>
      </w:r>
      <w:r>
        <w:rPr>
          <w:sz w:val="20"/>
          <w:szCs w:val="20"/>
          <w:color w:val="auto"/>
        </w:rPr>
        <w:tab/>
      </w:r>
      <w:r>
        <w:rPr>
          <w:rFonts w:ascii="Arial" w:cs="Arial" w:eastAsia="Arial" w:hAnsi="Arial"/>
          <w:sz w:val="14"/>
          <w:szCs w:val="14"/>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11430</wp:posOffset>
            </wp:positionV>
            <wp:extent cx="253174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31745" cy="17145"/>
                    </a:xfrm>
                    <a:prstGeom prst="rect">
                      <a:avLst/>
                    </a:prstGeom>
                    <a:noFill/>
                  </pic:spPr>
                </pic:pic>
              </a:graphicData>
            </a:graphic>
          </wp:anchor>
        </w:drawing>
      </w:r>
    </w:p>
    <w:p>
      <w:pPr>
        <w:spacing w:after="0" w:line="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Brendan Brennan</w:t>
      </w:r>
    </w:p>
    <w:p>
      <w:pPr>
        <w:spacing w:after="0" w:line="1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507" w:right="259" w:bottom="1440" w:gutter="0" w:footer="0" w:header="0"/>
        </w:sectPr>
      </w:pPr>
    </w:p>
    <w:bookmarkStart w:id="132" w:name="page133"/>
    <w:bookmarkEnd w:id="132"/>
    <w:tbl>
      <w:tblPr>
        <w:tblLayout w:type="fixed"/>
        <w:tblInd w:w="174"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10060" w:type="dxa"/>
            <w:vAlign w:val="bottom"/>
          </w:tcPr>
          <w:p>
            <w:pPr>
              <w:ind w:left="358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060" w:type="dxa"/>
            <w:vAlign w:val="bottom"/>
          </w:tcPr>
          <w:p>
            <w:pPr>
              <w:spacing w:after="0"/>
              <w:rPr>
                <w:sz w:val="20"/>
                <w:szCs w:val="20"/>
                <w:color w:val="auto"/>
              </w:rPr>
            </w:pPr>
            <w:r>
              <w:rPr>
                <w:rFonts w:ascii="Arial" w:cs="Arial" w:eastAsia="Arial" w:hAnsi="Arial"/>
                <w:sz w:val="18"/>
                <w:szCs w:val="18"/>
                <w:color w:val="auto"/>
              </w:rPr>
              <w:t>Exhibit</w:t>
            </w:r>
          </w:p>
        </w:tc>
        <w:tc>
          <w:tcPr>
            <w:tcW w:w="10060" w:type="dxa"/>
            <w:vAlign w:val="bottom"/>
          </w:tcPr>
          <w:p>
            <w:pPr>
              <w:spacing w:after="0"/>
              <w:rPr>
                <w:sz w:val="24"/>
                <w:szCs w:val="24"/>
                <w:color w:val="auto"/>
              </w:rPr>
            </w:pPr>
          </w:p>
        </w:tc>
      </w:tr>
      <w:tr>
        <w:trPr>
          <w:trHeight w:val="224"/>
        </w:trPr>
        <w:tc>
          <w:tcPr>
            <w:tcW w:w="1060" w:type="dxa"/>
            <w:vAlign w:val="bottom"/>
          </w:tcPr>
          <w:p>
            <w:pPr>
              <w:spacing w:after="0"/>
              <w:rPr>
                <w:sz w:val="20"/>
                <w:szCs w:val="20"/>
                <w:color w:val="auto"/>
              </w:rPr>
            </w:pPr>
            <w:r>
              <w:rPr>
                <w:rFonts w:ascii="Arial" w:cs="Arial" w:eastAsia="Arial" w:hAnsi="Arial"/>
                <w:sz w:val="18"/>
                <w:szCs w:val="18"/>
                <w:color w:val="auto"/>
              </w:rPr>
              <w:t>Number</w:t>
            </w:r>
          </w:p>
        </w:tc>
        <w:tc>
          <w:tcPr>
            <w:tcW w:w="10060" w:type="dxa"/>
            <w:vAlign w:val="bottom"/>
          </w:tcPr>
          <w:p>
            <w:pPr>
              <w:ind w:left="660"/>
              <w:spacing w:after="0"/>
              <w:rPr>
                <w:sz w:val="20"/>
                <w:szCs w:val="20"/>
                <w:color w:val="auto"/>
              </w:rPr>
            </w:pPr>
            <w:r>
              <w:rPr>
                <w:rFonts w:ascii="Arial" w:cs="Arial" w:eastAsia="Arial" w:hAnsi="Arial"/>
                <w:sz w:val="18"/>
                <w:szCs w:val="18"/>
                <w:color w:val="auto"/>
              </w:rPr>
              <w:t>Title</w:t>
            </w:r>
          </w:p>
        </w:tc>
      </w:tr>
      <w:tr>
        <w:trPr>
          <w:trHeight w:val="414"/>
        </w:trPr>
        <w:tc>
          <w:tcPr>
            <w:tcW w:w="1060" w:type="dxa"/>
            <w:vAlign w:val="bottom"/>
          </w:tcPr>
          <w:p>
            <w:pPr>
              <w:spacing w:after="0"/>
              <w:rPr>
                <w:sz w:val="20"/>
                <w:szCs w:val="20"/>
                <w:color w:val="auto"/>
              </w:rPr>
            </w:pPr>
            <w:r>
              <w:rPr>
                <w:rFonts w:ascii="Arial" w:cs="Arial" w:eastAsia="Arial" w:hAnsi="Arial"/>
                <w:sz w:val="18"/>
                <w:szCs w:val="18"/>
                <w:color w:val="auto"/>
              </w:rPr>
              <w:t>3.1</w:t>
            </w:r>
          </w:p>
        </w:tc>
        <w:tc>
          <w:tcPr>
            <w:tcW w:w="10060" w:type="dxa"/>
            <w:vAlign w:val="bottom"/>
          </w:tcPr>
          <w:p>
            <w:pPr>
              <w:ind w:left="480"/>
              <w:spacing w:after="0"/>
              <w:rPr>
                <w:sz w:val="20"/>
                <w:szCs w:val="20"/>
                <w:color w:val="auto"/>
              </w:rPr>
            </w:pPr>
            <w:r>
              <w:rPr>
                <w:rFonts w:ascii="Arial" w:cs="Arial" w:eastAsia="Arial" w:hAnsi="Arial"/>
                <w:sz w:val="18"/>
                <w:szCs w:val="18"/>
                <w:color w:val="auto"/>
                <w:w w:val="90"/>
              </w:rPr>
              <w:t>Description of the Memorandum and Articles of Association of the Company (incorporated by reference to exhibit 3.1 to the Form 20F</w:t>
            </w:r>
          </w:p>
        </w:tc>
      </w:tr>
      <w:tr>
        <w:trPr>
          <w:trHeight w:val="224"/>
        </w:trPr>
        <w:tc>
          <w:tcPr>
            <w:tcW w:w="1060" w:type="dxa"/>
            <w:vAlign w:val="bottom"/>
          </w:tcPr>
          <w:p>
            <w:pPr>
              <w:spacing w:after="0"/>
              <w:rPr>
                <w:sz w:val="19"/>
                <w:szCs w:val="19"/>
                <w:color w:val="auto"/>
              </w:rPr>
            </w:pPr>
          </w:p>
        </w:tc>
        <w:tc>
          <w:tcPr>
            <w:tcW w:w="10060" w:type="dxa"/>
            <w:vAlign w:val="bottom"/>
          </w:tcPr>
          <w:p>
            <w:pPr>
              <w:ind w:left="480"/>
              <w:spacing w:after="0"/>
              <w:rPr>
                <w:sz w:val="20"/>
                <w:szCs w:val="20"/>
                <w:color w:val="auto"/>
              </w:rPr>
            </w:pPr>
            <w:r>
              <w:rPr>
                <w:rFonts w:ascii="Arial" w:cs="Arial" w:eastAsia="Arial" w:hAnsi="Arial"/>
                <w:sz w:val="18"/>
                <w:szCs w:val="18"/>
                <w:color w:val="auto"/>
              </w:rPr>
              <w:t>(File No. 333-08704) filed on March 6, 2013).</w:t>
            </w:r>
          </w:p>
        </w:tc>
      </w:tr>
      <w:tr>
        <w:trPr>
          <w:trHeight w:val="425"/>
        </w:trPr>
        <w:tc>
          <w:tcPr>
            <w:tcW w:w="1060" w:type="dxa"/>
            <w:vAlign w:val="bottom"/>
          </w:tcPr>
          <w:p>
            <w:pPr>
              <w:spacing w:after="0"/>
              <w:rPr>
                <w:sz w:val="20"/>
                <w:szCs w:val="20"/>
                <w:color w:val="auto"/>
              </w:rPr>
            </w:pPr>
            <w:r>
              <w:rPr>
                <w:rFonts w:ascii="Arial" w:cs="Arial" w:eastAsia="Arial" w:hAnsi="Arial"/>
                <w:sz w:val="18"/>
                <w:szCs w:val="18"/>
                <w:color w:val="auto"/>
              </w:rPr>
              <w:t>12.1*</w:t>
            </w:r>
          </w:p>
        </w:tc>
        <w:tc>
          <w:tcPr>
            <w:tcW w:w="10060" w:type="dxa"/>
            <w:vAlign w:val="bottom"/>
          </w:tcPr>
          <w:p>
            <w:pPr>
              <w:ind w:left="480"/>
              <w:spacing w:after="0"/>
              <w:rPr>
                <w:sz w:val="20"/>
                <w:szCs w:val="20"/>
                <w:color w:val="auto"/>
              </w:rPr>
            </w:pPr>
            <w:r>
              <w:rPr>
                <w:rFonts w:ascii="Arial" w:cs="Arial" w:eastAsia="Arial" w:hAnsi="Arial"/>
                <w:sz w:val="18"/>
                <w:szCs w:val="18"/>
                <w:color w:val="auto"/>
              </w:rPr>
              <w:t>Section 302 certifications.</w:t>
            </w:r>
          </w:p>
        </w:tc>
      </w:tr>
      <w:tr>
        <w:trPr>
          <w:trHeight w:val="425"/>
        </w:trPr>
        <w:tc>
          <w:tcPr>
            <w:tcW w:w="1060" w:type="dxa"/>
            <w:vAlign w:val="bottom"/>
          </w:tcPr>
          <w:p>
            <w:pPr>
              <w:spacing w:after="0"/>
              <w:rPr>
                <w:sz w:val="20"/>
                <w:szCs w:val="20"/>
                <w:color w:val="auto"/>
              </w:rPr>
            </w:pPr>
            <w:r>
              <w:rPr>
                <w:rFonts w:ascii="Arial" w:cs="Arial" w:eastAsia="Arial" w:hAnsi="Arial"/>
                <w:sz w:val="18"/>
                <w:szCs w:val="18"/>
                <w:color w:val="auto"/>
              </w:rPr>
              <w:t>12.2*</w:t>
            </w:r>
          </w:p>
        </w:tc>
        <w:tc>
          <w:tcPr>
            <w:tcW w:w="10060" w:type="dxa"/>
            <w:vAlign w:val="bottom"/>
          </w:tcPr>
          <w:p>
            <w:pPr>
              <w:ind w:left="480"/>
              <w:spacing w:after="0"/>
              <w:rPr>
                <w:sz w:val="20"/>
                <w:szCs w:val="20"/>
                <w:color w:val="auto"/>
              </w:rPr>
            </w:pPr>
            <w:r>
              <w:rPr>
                <w:rFonts w:ascii="Arial" w:cs="Arial" w:eastAsia="Arial" w:hAnsi="Arial"/>
                <w:sz w:val="18"/>
                <w:szCs w:val="18"/>
                <w:color w:val="auto"/>
              </w:rPr>
              <w:t>Section 906 certifications.</w:t>
            </w:r>
          </w:p>
        </w:tc>
      </w:tr>
      <w:tr>
        <w:trPr>
          <w:trHeight w:val="425"/>
        </w:trPr>
        <w:tc>
          <w:tcPr>
            <w:tcW w:w="1060" w:type="dxa"/>
            <w:vAlign w:val="bottom"/>
          </w:tcPr>
          <w:p>
            <w:pPr>
              <w:spacing w:after="0"/>
              <w:rPr>
                <w:sz w:val="20"/>
                <w:szCs w:val="20"/>
                <w:color w:val="auto"/>
              </w:rPr>
            </w:pPr>
            <w:r>
              <w:rPr>
                <w:rFonts w:ascii="Arial" w:cs="Arial" w:eastAsia="Arial" w:hAnsi="Arial"/>
                <w:sz w:val="18"/>
                <w:szCs w:val="18"/>
                <w:color w:val="auto"/>
              </w:rPr>
              <w:t>21.1</w:t>
            </w:r>
          </w:p>
        </w:tc>
        <w:tc>
          <w:tcPr>
            <w:tcW w:w="10060" w:type="dxa"/>
            <w:vAlign w:val="bottom"/>
          </w:tcPr>
          <w:p>
            <w:pPr>
              <w:ind w:left="480"/>
              <w:spacing w:after="0"/>
              <w:rPr>
                <w:sz w:val="20"/>
                <w:szCs w:val="20"/>
                <w:color w:val="auto"/>
              </w:rPr>
            </w:pPr>
            <w:r>
              <w:rPr>
                <w:rFonts w:ascii="Arial" w:cs="Arial" w:eastAsia="Arial" w:hAnsi="Arial"/>
                <w:sz w:val="18"/>
                <w:szCs w:val="18"/>
                <w:color w:val="auto"/>
              </w:rPr>
              <w:t>List of Subsidiaries (incorporated by reference to Item 4 of Form 20-F filed herewith).</w:t>
            </w:r>
          </w:p>
        </w:tc>
      </w:tr>
      <w:tr>
        <w:trPr>
          <w:trHeight w:val="425"/>
        </w:trPr>
        <w:tc>
          <w:tcPr>
            <w:tcW w:w="1060" w:type="dxa"/>
            <w:vAlign w:val="bottom"/>
          </w:tcPr>
          <w:p>
            <w:pPr>
              <w:spacing w:after="0"/>
              <w:rPr>
                <w:sz w:val="20"/>
                <w:szCs w:val="20"/>
                <w:color w:val="auto"/>
              </w:rPr>
            </w:pPr>
            <w:r>
              <w:rPr>
                <w:rFonts w:ascii="Arial" w:cs="Arial" w:eastAsia="Arial" w:hAnsi="Arial"/>
                <w:sz w:val="18"/>
                <w:szCs w:val="18"/>
                <w:color w:val="auto"/>
              </w:rPr>
              <w:t>23.1*</w:t>
            </w:r>
          </w:p>
        </w:tc>
        <w:tc>
          <w:tcPr>
            <w:tcW w:w="10060" w:type="dxa"/>
            <w:vAlign w:val="bottom"/>
          </w:tcPr>
          <w:p>
            <w:pPr>
              <w:ind w:left="48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425"/>
        </w:trPr>
        <w:tc>
          <w:tcPr>
            <w:tcW w:w="1060" w:type="dxa"/>
            <w:vAlign w:val="bottom"/>
          </w:tcPr>
          <w:p>
            <w:pPr>
              <w:spacing w:after="0"/>
              <w:rPr>
                <w:sz w:val="20"/>
                <w:szCs w:val="20"/>
                <w:color w:val="auto"/>
              </w:rPr>
            </w:pPr>
            <w:r>
              <w:rPr>
                <w:rFonts w:ascii="Arial" w:cs="Arial" w:eastAsia="Arial" w:hAnsi="Arial"/>
                <w:sz w:val="18"/>
                <w:szCs w:val="18"/>
                <w:color w:val="auto"/>
              </w:rPr>
              <w:t>101.1*</w:t>
            </w:r>
          </w:p>
        </w:tc>
        <w:tc>
          <w:tcPr>
            <w:tcW w:w="10060" w:type="dxa"/>
            <w:vAlign w:val="bottom"/>
          </w:tcPr>
          <w:p>
            <w:pPr>
              <w:ind w:left="480"/>
              <w:spacing w:after="0"/>
              <w:rPr>
                <w:sz w:val="20"/>
                <w:szCs w:val="20"/>
                <w:color w:val="auto"/>
              </w:rPr>
            </w:pPr>
            <w:r>
              <w:rPr>
                <w:rFonts w:ascii="Arial" w:cs="Arial" w:eastAsia="Arial" w:hAnsi="Arial"/>
                <w:sz w:val="18"/>
                <w:szCs w:val="18"/>
                <w:color w:val="auto"/>
              </w:rPr>
              <w:t>Interactive Data Files (XBRL – Related Documents)</w:t>
            </w:r>
          </w:p>
        </w:tc>
      </w:tr>
    </w:tbl>
    <w:p>
      <w:pPr>
        <w:spacing w:after="0" w:line="200" w:lineRule="exact"/>
        <w:rPr>
          <w:sz w:val="20"/>
          <w:szCs w:val="20"/>
          <w:color w:val="auto"/>
        </w:rPr>
      </w:pPr>
    </w:p>
    <w:p>
      <w:pPr>
        <w:spacing w:after="0" w:line="267" w:lineRule="exact"/>
        <w:rPr>
          <w:sz w:val="20"/>
          <w:szCs w:val="20"/>
          <w:color w:val="auto"/>
        </w:rPr>
      </w:pPr>
    </w:p>
    <w:p>
      <w:pPr>
        <w:ind w:left="574" w:hanging="574"/>
        <w:spacing w:after="0"/>
        <w:tabs>
          <w:tab w:leader="none" w:pos="574"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75" w:lineRule="exact"/>
        <w:rPr>
          <w:sz w:val="20"/>
          <w:szCs w:val="20"/>
          <w:color w:val="auto"/>
        </w:rPr>
      </w:pPr>
    </w:p>
    <w:p>
      <w:pPr>
        <w:jc w:val="center"/>
        <w:ind w:right="-113"/>
        <w:spacing w:after="0"/>
        <w:rPr>
          <w:sz w:val="20"/>
          <w:szCs w:val="20"/>
          <w:color w:val="auto"/>
        </w:rPr>
      </w:pPr>
      <w:r>
        <w:rPr>
          <w:rFonts w:ascii="Arial" w:cs="Arial" w:eastAsia="Arial" w:hAnsi="Arial"/>
          <w:sz w:val="21"/>
          <w:szCs w:val="21"/>
          <w:color w:val="auto"/>
        </w:rPr>
        <w:t>131</w:t>
      </w:r>
    </w:p>
    <w:p>
      <w:pPr>
        <w:sectPr>
          <w:pgSz w:w="11900" w:h="16838" w:orient="portrait"/>
          <w:cols w:equalWidth="0" w:num="1">
            <w:col w:w="11294"/>
          </w:cols>
          <w:pgMar w:left="246" w:top="507" w:right="3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Brendan Brennan, certify that:</w:t>
      </w:r>
    </w:p>
    <w:p>
      <w:pPr>
        <w:spacing w:after="0" w:line="245" w:lineRule="exact"/>
        <w:rPr>
          <w:sz w:val="20"/>
          <w:szCs w:val="20"/>
          <w:color w:val="auto"/>
        </w:rPr>
      </w:pPr>
    </w:p>
    <w:p>
      <w:pPr>
        <w:ind w:left="180" w:hanging="174"/>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44" w:lineRule="exact"/>
        <w:rPr>
          <w:rFonts w:ascii="Arial" w:cs="Arial" w:eastAsia="Arial" w:hAnsi="Arial"/>
          <w:sz w:val="18"/>
          <w:szCs w:val="18"/>
          <w:color w:val="auto"/>
        </w:rPr>
      </w:pPr>
    </w:p>
    <w:p>
      <w:pPr>
        <w:ind w:right="140" w:firstLine="6"/>
        <w:spacing w:after="0" w:line="329" w:lineRule="auto"/>
        <w:tabs>
          <w:tab w:leader="none" w:pos="177"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right="240" w:firstLine="6"/>
        <w:spacing w:after="0" w:line="266" w:lineRule="auto"/>
        <w:tabs>
          <w:tab w:leader="none" w:pos="1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18"/>
          <w:szCs w:val="18"/>
          <w:color w:val="auto"/>
        </w:rPr>
      </w:pPr>
    </w:p>
    <w:p>
      <w:pPr>
        <w:ind w:right="100" w:firstLine="6"/>
        <w:spacing w:after="0" w:line="256" w:lineRule="auto"/>
        <w:tabs>
          <w:tab w:leader="none" w:pos="1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720" w:right="140" w:hanging="5"/>
        <w:spacing w:after="0" w:line="256" w:lineRule="auto"/>
        <w:tabs>
          <w:tab w:leader="none" w:pos="90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720" w:right="360" w:hanging="5"/>
        <w:spacing w:after="0" w:line="256" w:lineRule="auto"/>
        <w:tabs>
          <w:tab w:leader="none" w:pos="91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720" w:right="20" w:hanging="5"/>
        <w:spacing w:after="0" w:line="295" w:lineRule="auto"/>
        <w:tabs>
          <w:tab w:leader="none" w:pos="902"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ind w:left="720" w:right="80" w:hanging="5"/>
        <w:spacing w:after="0" w:line="329" w:lineRule="auto"/>
        <w:tabs>
          <w:tab w:leader="none" w:pos="912"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60" w:lineRule="exact"/>
        <w:rPr>
          <w:rFonts w:ascii="Arial" w:cs="Arial" w:eastAsia="Arial" w:hAnsi="Arial"/>
          <w:sz w:val="16"/>
          <w:szCs w:val="16"/>
          <w:color w:val="auto"/>
        </w:rPr>
      </w:pPr>
    </w:p>
    <w:p>
      <w:pPr>
        <w:ind w:right="20" w:firstLine="6"/>
        <w:spacing w:after="0" w:line="266" w:lineRule="auto"/>
        <w:tabs>
          <w:tab w:leader="none" w:pos="1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sz w:val="20"/>
          <w:szCs w:val="20"/>
          <w:color w:val="auto"/>
        </w:rPr>
      </w:pPr>
    </w:p>
    <w:p>
      <w:pPr>
        <w:ind w:right="460" w:firstLine="6"/>
        <w:spacing w:after="0" w:line="266" w:lineRule="auto"/>
        <w:tabs>
          <w:tab w:leader="none" w:pos="18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right="40" w:firstLine="6"/>
        <w:spacing w:after="0" w:line="266" w:lineRule="auto"/>
        <w:tabs>
          <w:tab w:leader="none" w:pos="1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March 23, 2016</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/s/ Brendan Brennan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Sarbanes-Oxley Act of 2002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 Ciaran Murray, certify that:</w:t>
      </w:r>
    </w:p>
    <w:p>
      <w:pPr>
        <w:spacing w:after="0" w:line="234" w:lineRule="exact"/>
        <w:rPr>
          <w:sz w:val="20"/>
          <w:szCs w:val="20"/>
          <w:color w:val="auto"/>
        </w:rPr>
      </w:pPr>
    </w:p>
    <w:p>
      <w:pPr>
        <w:ind w:left="180" w:hanging="174"/>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ICON plc (“the registrant”).</w:t>
      </w:r>
    </w:p>
    <w:p>
      <w:pPr>
        <w:spacing w:after="0" w:line="244" w:lineRule="exact"/>
        <w:rPr>
          <w:rFonts w:ascii="Arial" w:cs="Arial" w:eastAsia="Arial" w:hAnsi="Arial"/>
          <w:sz w:val="18"/>
          <w:szCs w:val="18"/>
          <w:color w:val="auto"/>
        </w:rPr>
      </w:pPr>
    </w:p>
    <w:p>
      <w:pPr>
        <w:ind w:right="120" w:firstLine="6"/>
        <w:spacing w:after="0" w:line="329" w:lineRule="auto"/>
        <w:tabs>
          <w:tab w:leader="none" w:pos="177"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right="220" w:firstLine="6"/>
        <w:spacing w:after="0" w:line="266" w:lineRule="auto"/>
        <w:tabs>
          <w:tab w:leader="none" w:pos="1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18"/>
          <w:szCs w:val="18"/>
          <w:color w:val="auto"/>
        </w:rPr>
      </w:pPr>
    </w:p>
    <w:p>
      <w:pPr>
        <w:ind w:right="80" w:firstLine="6"/>
        <w:spacing w:after="0" w:line="256" w:lineRule="auto"/>
        <w:tabs>
          <w:tab w:leader="none" w:pos="1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720" w:right="120" w:hanging="5"/>
        <w:spacing w:after="0" w:line="256" w:lineRule="auto"/>
        <w:tabs>
          <w:tab w:leader="none" w:pos="90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720" w:right="340" w:hanging="5"/>
        <w:spacing w:after="0" w:line="256" w:lineRule="auto"/>
        <w:tabs>
          <w:tab w:leader="none" w:pos="91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720" w:hanging="5"/>
        <w:spacing w:after="0" w:line="295" w:lineRule="auto"/>
        <w:tabs>
          <w:tab w:leader="none" w:pos="902"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ind w:left="720" w:right="60" w:hanging="5"/>
        <w:spacing w:after="0" w:line="329" w:lineRule="auto"/>
        <w:tabs>
          <w:tab w:leader="none" w:pos="912"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60" w:lineRule="exact"/>
        <w:rPr>
          <w:rFonts w:ascii="Arial" w:cs="Arial" w:eastAsia="Arial" w:hAnsi="Arial"/>
          <w:sz w:val="16"/>
          <w:szCs w:val="16"/>
          <w:color w:val="auto"/>
        </w:rPr>
      </w:pPr>
    </w:p>
    <w:p>
      <w:pPr>
        <w:ind w:firstLine="6"/>
        <w:spacing w:after="0" w:line="266" w:lineRule="auto"/>
        <w:tabs>
          <w:tab w:leader="none" w:pos="1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sz w:val="20"/>
          <w:szCs w:val="20"/>
          <w:color w:val="auto"/>
        </w:rPr>
      </w:pPr>
    </w:p>
    <w:p>
      <w:pPr>
        <w:ind w:right="440" w:firstLine="6"/>
        <w:spacing w:after="0" w:line="266" w:lineRule="auto"/>
        <w:tabs>
          <w:tab w:leader="none" w:pos="182"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right="20" w:firstLine="6"/>
        <w:spacing w:after="0" w:line="266" w:lineRule="auto"/>
        <w:tabs>
          <w:tab w:leader="none" w:pos="192"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March 23, 2016</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color w:val="auto"/>
        </w:rPr>
        <w:t>/s/ Ciaran Murray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133</w:t>
      </w:r>
    </w:p>
    <w:p>
      <w:pPr>
        <w:sectPr>
          <w:pgSz w:w="11900" w:h="16838" w:orient="portrait"/>
          <w:cols w:equalWidth="0" w:num="1">
            <w:col w:w="11400"/>
          </w:cols>
          <w:pgMar w:left="240" w:top="507" w:right="2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2015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215" w:lineRule="exact"/>
        <w:rPr>
          <w:sz w:val="20"/>
          <w:szCs w:val="20"/>
          <w:color w:val="auto"/>
        </w:rPr>
      </w:pPr>
    </w:p>
    <w:p>
      <w:pPr>
        <w:ind w:left="260" w:hanging="254"/>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4" w:lineRule="exact"/>
        <w:rPr>
          <w:rFonts w:ascii="Arial" w:cs="Arial" w:eastAsia="Arial" w:hAnsi="Arial"/>
          <w:sz w:val="18"/>
          <w:szCs w:val="18"/>
          <w:color w:val="auto"/>
        </w:rPr>
      </w:pPr>
    </w:p>
    <w:p>
      <w:pPr>
        <w:ind w:right="1020" w:firstLine="6"/>
        <w:spacing w:after="0" w:line="543" w:lineRule="auto"/>
        <w:tabs>
          <w:tab w:leader="none" w:pos="2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March 23, 2016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Brendan Brennan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Brendan Brennan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connection with the Annual Report of ICON plc (the “Company”) on Form 20-F for the year ending December 31, 2015 as filed with the Securities and Exchange Commission on the date hereof (the “Report”), I, Ciaran Murray, Chief Executive Officer of the Company, certify, pursuant to 18 U.S.C. § 1350, as adopted pursuant to § 906 of the Sarbanes-Oxley Act of 2002, that to my knowledge:</w:t>
      </w:r>
    </w:p>
    <w:p>
      <w:pPr>
        <w:spacing w:after="0" w:line="215" w:lineRule="exact"/>
        <w:rPr>
          <w:sz w:val="20"/>
          <w:szCs w:val="20"/>
          <w:color w:val="auto"/>
        </w:rPr>
      </w:pPr>
    </w:p>
    <w:p>
      <w:pPr>
        <w:ind w:left="260" w:hanging="254"/>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4" w:lineRule="exact"/>
        <w:rPr>
          <w:rFonts w:ascii="Arial" w:cs="Arial" w:eastAsia="Arial" w:hAnsi="Arial"/>
          <w:sz w:val="18"/>
          <w:szCs w:val="18"/>
          <w:color w:val="auto"/>
        </w:rPr>
      </w:pPr>
    </w:p>
    <w:p>
      <w:pPr>
        <w:ind w:right="1020" w:firstLine="6"/>
        <w:spacing w:after="0" w:line="543" w:lineRule="auto"/>
        <w:tabs>
          <w:tab w:leader="none" w:pos="2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Date: March 23, 2016</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Ciaran Murray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lvl w:ilvl="1">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o"/>
      <w:numFmt w:val="bullet"/>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2"/>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lowerRoman"/>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lvl w:ilvl="1">
      <w:lvlJc w:val="left"/>
      <w:lvlText w:val="●"/>
      <w:numFmt w:val="bullet"/>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2"/>
    </w:lvl>
  </w:abstractNum>
  <w:abstractNum w:abstractNumId="35">
    <w:nsid w:val="12E685FB"/>
    <w:multiLevelType w:val="hybridMultilevel"/>
    <w:lvl w:ilvl="0">
      <w:lvlJc w:val="left"/>
      <w:lvlText w:val="(%1)"/>
      <w:numFmt w:val="lowerLetter"/>
      <w:start w:val="3"/>
    </w:lvl>
  </w:abstractNum>
  <w:abstractNum w:abstractNumId="36">
    <w:nsid w:val="70C6A529"/>
    <w:multiLevelType w:val="hybridMultilevel"/>
    <w:lvl w:ilvl="0">
      <w:lvlJc w:val="left"/>
      <w:lvlText w:val="(%1)"/>
      <w:numFmt w:val="lowerLetter"/>
      <w:start w:val="4"/>
    </w:lvl>
  </w:abstractNum>
  <w:abstractNum w:abstractNumId="37">
    <w:nsid w:val="520EEDD1"/>
    <w:multiLevelType w:val="hybridMultilevel"/>
    <w:lvl w:ilvl="0">
      <w:lvlJc w:val="left"/>
      <w:lvlText w:val="(%1)"/>
      <w:numFmt w:val="lowerLetter"/>
      <w:start w:val="5"/>
    </w:lvl>
  </w:abstractNum>
  <w:abstractNum w:abstractNumId="38">
    <w:nsid w:val="374A3FE6"/>
    <w:multiLevelType w:val="hybridMultilevel"/>
    <w:lvl w:ilvl="0">
      <w:lvlJc w:val="left"/>
      <w:lvlText w:val="(%1)"/>
      <w:numFmt w:val="lowerLetter"/>
      <w:start w:val="6"/>
    </w:lvl>
  </w:abstractNum>
  <w:abstractNum w:abstractNumId="39">
    <w:nsid w:val="4F4EF005"/>
    <w:multiLevelType w:val="hybridMultilevel"/>
    <w:lvl w:ilvl="0">
      <w:lvlJc w:val="left"/>
      <w:lvlText w:val="(%1)"/>
      <w:numFmt w:val="lowerLetter"/>
      <w:start w:val="7"/>
    </w:lvl>
  </w:abstractNum>
  <w:abstractNum w:abstractNumId="40">
    <w:nsid w:val="23F9C13C"/>
    <w:multiLevelType w:val="hybridMultilevel"/>
    <w:lvl w:ilvl="0">
      <w:lvlJc w:val="left"/>
      <w:lvlText w:val="(%1)"/>
      <w:numFmt w:val="lowerLetter"/>
      <w:start w:val="8"/>
    </w:lvl>
  </w:abstractNum>
  <w:abstractNum w:abstractNumId="41">
    <w:nsid w:val="649BB77C"/>
    <w:multiLevelType w:val="hybridMultilevel"/>
    <w:lvl w:ilvl="0">
      <w:lvlJc w:val="left"/>
      <w:lvlText w:val="(%1)"/>
      <w:numFmt w:val="lowerRoman"/>
      <w:start w:val="1"/>
    </w:lvl>
  </w:abstractNum>
  <w:abstractNum w:abstractNumId="42">
    <w:nsid w:val="275AC794"/>
    <w:multiLevelType w:val="hybridMultilevel"/>
    <w:lvl w:ilvl="0">
      <w:lvlJc w:val="left"/>
      <w:lvlText w:val="(%1)"/>
      <w:numFmt w:val="lowerLetter"/>
      <w:start w:val="10"/>
    </w:lvl>
  </w:abstractNum>
  <w:abstractNum w:abstractNumId="43">
    <w:nsid w:val="39386575"/>
    <w:multiLevelType w:val="hybridMultilevel"/>
    <w:lvl w:ilvl="0">
      <w:lvlJc w:val="left"/>
      <w:lvlText w:val="(%1)"/>
      <w:numFmt w:val="lowerLetter"/>
      <w:start w:val="11"/>
    </w:lvl>
  </w:abstractNum>
  <w:abstractNum w:abstractNumId="44">
    <w:nsid w:val="1CF10FD8"/>
    <w:multiLevelType w:val="hybridMultilevel"/>
    <w:lvl w:ilvl="0">
      <w:lvlJc w:val="left"/>
      <w:lvlText w:val="(%1)"/>
      <w:numFmt w:val="lowerLetter"/>
      <w:start w:val="12"/>
    </w:lvl>
  </w:abstractNum>
  <w:abstractNum w:abstractNumId="45">
    <w:nsid w:val="180115BE"/>
    <w:multiLevelType w:val="hybridMultilevel"/>
    <w:lvl w:ilvl="0">
      <w:lvlJc w:val="left"/>
      <w:lvlText w:val="(%1)"/>
      <w:numFmt w:val="lowerLetter"/>
      <w:start w:val="13"/>
    </w:lvl>
  </w:abstractNum>
  <w:abstractNum w:abstractNumId="46">
    <w:nsid w:val="235BA861"/>
    <w:multiLevelType w:val="hybridMultilevel"/>
    <w:lvl w:ilvl="0">
      <w:lvlJc w:val="left"/>
      <w:lvlText w:val="(%1)"/>
      <w:numFmt w:val="lowerLetter"/>
      <w:start w:val="14"/>
    </w:lvl>
  </w:abstractNum>
  <w:abstractNum w:abstractNumId="47">
    <w:nsid w:val="47398C89"/>
    <w:multiLevelType w:val="hybridMultilevel"/>
    <w:lvl w:ilvl="0">
      <w:lvlJc w:val="left"/>
      <w:lvlText w:val="(%1)"/>
      <w:numFmt w:val="lowerLetter"/>
      <w:start w:val="15"/>
    </w:lvl>
  </w:abstractNum>
  <w:abstractNum w:abstractNumId="48">
    <w:nsid w:val="354FE9F9"/>
    <w:multiLevelType w:val="hybridMultilevel"/>
    <w:lvl w:ilvl="0">
      <w:lvlJc w:val="left"/>
      <w:lvlText w:val="(%1)"/>
      <w:numFmt w:val="lowerLetter"/>
      <w:start w:val="16"/>
    </w:lvl>
  </w:abstractNum>
  <w:abstractNum w:abstractNumId="49">
    <w:nsid w:val="15B5AF5C"/>
    <w:multiLevelType w:val="hybridMultilevel"/>
    <w:lvl w:ilvl="0">
      <w:lvlJc w:val="left"/>
      <w:lvlText w:val="(%1)"/>
      <w:numFmt w:val="lowerLetter"/>
      <w:start w:val="17"/>
    </w:lvl>
  </w:abstractNum>
  <w:abstractNum w:abstractNumId="50">
    <w:nsid w:val="741226BB"/>
    <w:multiLevelType w:val="hybridMultilevel"/>
    <w:lvl w:ilvl="0">
      <w:lvlJc w:val="left"/>
      <w:lvlText w:val="(%1)"/>
      <w:numFmt w:val="lowerLetter"/>
      <w:start w:val="18"/>
    </w:lvl>
  </w:abstractNum>
  <w:abstractNum w:abstractNumId="51">
    <w:nsid w:val="D34B6A8"/>
    <w:multiLevelType w:val="hybridMultilevel"/>
    <w:lvl w:ilvl="0">
      <w:lvlJc w:val="left"/>
      <w:lvlText w:val="(%1)"/>
      <w:numFmt w:val="lowerLetter"/>
      <w:start w:val="19"/>
    </w:lvl>
  </w:abstractNum>
  <w:abstractNum w:abstractNumId="52">
    <w:nsid w:val="10233C99"/>
    <w:multiLevelType w:val="hybridMultilevel"/>
    <w:lvl w:ilvl="0">
      <w:lvlJc w:val="left"/>
      <w:lvlText w:val="(%1)"/>
      <w:numFmt w:val="lowerLetter"/>
      <w:start w:val="20"/>
    </w:lvl>
  </w:abstractNum>
  <w:abstractNum w:abstractNumId="53">
    <w:nsid w:val="3F6AB60F"/>
    <w:multiLevelType w:val="hybridMultilevel"/>
    <w:lvl w:ilvl="0">
      <w:lvlJc w:val="left"/>
      <w:lvlText w:val="(%1)"/>
      <w:numFmt w:val="lowerLetter"/>
      <w:start w:val="21"/>
    </w:lvl>
  </w:abstractNum>
  <w:abstractNum w:abstractNumId="54">
    <w:nsid w:val="61574095"/>
    <w:multiLevelType w:val="hybridMultilevel"/>
    <w:lvl w:ilvl="0">
      <w:lvlJc w:val="left"/>
      <w:lvlText w:val="(%1)"/>
      <w:numFmt w:val="lowerLetter"/>
      <w:start w:val="23"/>
    </w:lvl>
  </w:abstractNum>
  <w:abstractNum w:abstractNumId="55">
    <w:nsid w:val="7E0C57B1"/>
    <w:multiLevelType w:val="hybridMultilevel"/>
    <w:lvl w:ilvl="0">
      <w:lvlJc w:val="left"/>
      <w:lvlText w:val="(%1)"/>
      <w:numFmt w:val="lowerRoman"/>
      <w:start w:val="10"/>
    </w:lvl>
  </w:abstractNum>
  <w:abstractNum w:abstractNumId="56">
    <w:nsid w:val="77AE35EB"/>
    <w:multiLevelType w:val="hybridMultilevel"/>
    <w:lvl w:ilvl="0">
      <w:lvlJc w:val="left"/>
      <w:lvlText w:val="(%1)"/>
      <w:numFmt w:val="lowerLetter"/>
      <w:start w:val="25"/>
    </w:lvl>
  </w:abstractNum>
  <w:abstractNum w:abstractNumId="57">
    <w:nsid w:val="579BE4F1"/>
    <w:multiLevelType w:val="hybridMultilevel"/>
    <w:lvl w:ilvl="0">
      <w:lvlJc w:val="left"/>
      <w:lvlText w:val="(%1)"/>
      <w:numFmt w:val="lowerLetter"/>
      <w:start w:val="25"/>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lvl w:ilvl="1">
      <w:lvlJc w:val="left"/>
      <w:lvlText w:val="%2)"/>
      <w:numFmt w:val="lowerLetter"/>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2019-12-06T21:58:21Z</dcterms:created>
  <dcterms:modified xsi:type="dcterms:W3CDTF">2019-12-06T21:58:21Z</dcterms:modified>
</cp:coreProperties>
</file>