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46"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For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the month of April, 2024</w:t>
      </w: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333-08704</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6"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This report on Form 6-K is hereby incorporated by reference in the registration statement on Form F-4 (Registration No. 333-254891) of ICON plc and in the prospectus contained therein, registration statement on Form S-8 (Registration No. 333-152802) of ICON plc, registration statement on Form S-8 (Registration No. 333-204153) of ICON plc, registration statement on Form S-8 (Registration No. 333-231527) of ICON plc, registration statement on Form S-8 (Registration No. 333-254891) of ICON plc, registration statement on Form S-8 (Registration No. 333-257578) of ICON plc, and registration statement on Form F-3 (Registration No. 333-278943)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Summarized financial information of issuers and guarantors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connection with the offering of senior secured notes (referred to hereafter as, the "Notes") by one of our subsidiaries, </w:t>
      </w:r>
      <w:r>
        <w:rPr>
          <w:rFonts w:ascii="Arial" w:cs="Arial" w:eastAsia="Arial" w:hAnsi="Arial"/>
          <w:sz w:val="16"/>
          <w:szCs w:val="16"/>
          <w:b w:val="1"/>
          <w:bCs w:val="1"/>
          <w:color w:val="auto"/>
        </w:rPr>
        <w:t>I</w:t>
      </w:r>
      <w:r>
        <w:rPr>
          <w:rFonts w:ascii="Arial" w:cs="Arial" w:eastAsia="Arial" w:hAnsi="Arial"/>
          <w:sz w:val="16"/>
          <w:szCs w:val="16"/>
          <w:color w:val="auto"/>
        </w:rPr>
        <w:t>CON Investments Six Designated Activity Company (the "Issuer"), disclosures required by Rule 13-01 (a)(1) through (3) of Regulation S-X are provided below.</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Notes will be guaranteed on a senior secured basis by ICON plc ("ICON") and its existing and future wholly owned subsidiaries organized in the United States, Ireland and the Grand Duchy of Luxembourg (“Luxembourg”), in each case that guarantee the obligations under our senior secured U.S. dollar denominated term loan facility and senior secured revolving credit facility (together, the “Senior Secured Credit Facilities”) and the 2.875% senior secured notes due 2026 issued by PRA Health Sciences, Inc., a wholly owned subsidiary of ICON (the “Existing Notes”) (the “Subsidiary Guarantors” and, collectively with ICON, the “Guarantors”).</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Notes will be the senior secured obligations of the Issuer and the Guarantors and the Notes will rank equally in right of payment to all of the Issuer’s and Guarantors’ existing and future senior debt (including the Senior Secured Credit Facilities and the Existing Notes) and senior in right of payment to all of the Issuer’s and Guarantors’ existing and future subordinated debt. The Notes and the guarantees will be secured on a first-lien basis by substantially all of the existing and future assets of the Issuer and the guarantors that also secure the Issuer’s and the guarantors’ obligations under the Senior Secured Credit Facilities and the Existing Notes on a pari passu basis, subject to permitted liens, and the liens on the collateral securing the Notes (the “Collateral”) will rank equally in priority with the liens on the collateral securing borrowings and guarantees under the Senior Secured Credit Facilities, the Existing Notes and any other future pari passu first lien indebtedness. The Notes and the guarantees will be effectively senior to any of the Issuer’s and the guarantors’ existing and future unsecured indebtedness to the extent of the value of the assets securing the Notes and the guarantees. The Notes and the guarantees will be structurally subordinated to all existing and future indebtedness and other liabilities of ICON’s subsidiaries that will not guarantee the Notes, which includes all of ICON’s subsidiaries organized outside the United States, Ireland and Luxembourg and any other subsidiaries that do not guarantee the Senior Secured Credit Facilities or the Existing Notes.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Notes will be, jointly and severally, unconditionally, guaranteed on a senior secured basis by ICON and its existing and future wholly owned subsidiaries organized in a covered jurisdiction that guarantee the obligations under the Senior Secured Credit Facilities and the Existing Notes. The obligations of each Guarantor under its note guarantee will be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206" w:lineRule="exact"/>
        <w:rPr>
          <w:sz w:val="20"/>
          <w:szCs w:val="20"/>
          <w:color w:val="auto"/>
        </w:rPr>
      </w:pPr>
    </w:p>
    <w:p>
      <w:pPr>
        <w:ind w:right="500" w:firstLine="648"/>
        <w:spacing w:after="0" w:line="268" w:lineRule="auto"/>
        <w:rPr>
          <w:sz w:val="20"/>
          <w:szCs w:val="20"/>
          <w:color w:val="auto"/>
        </w:rPr>
      </w:pPr>
      <w:r>
        <w:rPr>
          <w:rFonts w:ascii="Arial" w:cs="Arial" w:eastAsia="Arial" w:hAnsi="Arial"/>
          <w:sz w:val="16"/>
          <w:szCs w:val="16"/>
          <w:color w:val="auto"/>
        </w:rPr>
        <w:t>Any Guarantor will be automatically and unconditionally released from all obligations under its note guarantee, and such note guarantee shall thereupon terminate and be discharged and of no further force and effect:</w:t>
      </w:r>
    </w:p>
    <w:p>
      <w:pPr>
        <w:spacing w:after="0" w:line="197" w:lineRule="exact"/>
        <w:rPr>
          <w:sz w:val="20"/>
          <w:szCs w:val="20"/>
          <w:color w:val="auto"/>
        </w:rPr>
      </w:pPr>
    </w:p>
    <w:p>
      <w:pPr>
        <w:jc w:val="both"/>
        <w:ind w:left="660" w:hanging="328"/>
        <w:spacing w:after="0" w:line="24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concurrently with any sale, exchange, disposition or transfer (by merger or otherwise) described in the preliminary prospectus supplement for the offering of Notes, of any capital stock, or all or substantially all assets of such Guarantor following which such Guarantor is no longer a subsidiary of ICON or ceases to be organized in a covered jurisdiction;</w:t>
      </w:r>
    </w:p>
    <w:p>
      <w:pPr>
        <w:spacing w:after="0" w:line="1" w:lineRule="exact"/>
        <w:rPr>
          <w:rFonts w:ascii="Arial" w:cs="Arial" w:eastAsia="Arial" w:hAnsi="Arial"/>
          <w:sz w:val="16"/>
          <w:szCs w:val="16"/>
          <w:color w:val="auto"/>
        </w:rPr>
      </w:pPr>
    </w:p>
    <w:p>
      <w:pPr>
        <w:ind w:left="660" w:hanging="328"/>
        <w:spacing w:after="0" w:line="228"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to all Guarantors (other than ICON), at the time of any collateral release event;</w:t>
      </w: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legal defeasance, covenant defeasance or satisfaction and discharge of the indenture governing the Notes;</w:t>
      </w:r>
    </w:p>
    <w:p>
      <w:pPr>
        <w:spacing w:after="0" w:line="5" w:lineRule="exact"/>
        <w:rPr>
          <w:rFonts w:ascii="Arial" w:cs="Arial" w:eastAsia="Arial" w:hAnsi="Arial"/>
          <w:sz w:val="16"/>
          <w:szCs w:val="16"/>
          <w:color w:val="auto"/>
        </w:rPr>
      </w:pPr>
    </w:p>
    <w:p>
      <w:pPr>
        <w:ind w:left="660" w:hanging="328"/>
        <w:spacing w:after="0" w:line="23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the merger, amalgamation or consolidation of any Guarantor into ICON, the Issuer or another Guarantor or upon the liquidation, dissolution or winding up of such Guarantor;</w:t>
      </w:r>
    </w:p>
    <w:p>
      <w:pPr>
        <w:spacing w:after="0" w:line="1" w:lineRule="exact"/>
        <w:rPr>
          <w:rFonts w:ascii="Arial" w:cs="Arial" w:eastAsia="Arial" w:hAnsi="Arial"/>
          <w:sz w:val="16"/>
          <w:szCs w:val="16"/>
          <w:color w:val="auto"/>
        </w:rPr>
      </w:pPr>
    </w:p>
    <w:p>
      <w:pPr>
        <w:ind w:left="660" w:hanging="328"/>
        <w:spacing w:after="0" w:line="228"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release of such Guarantor from its guarantee under the Senior Secured Credit Facilities (except in the case of a release from the repayment in full of the Senior Secured Credit Facilities); or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such Guarantor becoming an excluded subsidiary.</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color w:val="auto"/>
        </w:rPr>
        <w:t>Summarized Combined Financial Information</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Summarized financial information (the "SFI"), as defined under Rule 1-02 (bb) of Regulation S-X, is provided below for the Issuer and Guarantor entities, collectively, the "Obligor Group", for the three months ended March 31, 2024 and for the year ended December 31, 2023. The SFI is presented on a combined basis with intercompany transactions and balances among the entities included in the Obligor Group eliminated. The Obligor Group SFI excludes investments in non-guarantor entities.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(Unaudited)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Ended</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1,902,877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7,444,520</w:t>
            </w:r>
          </w:p>
        </w:tc>
        <w:tc>
          <w:tcPr>
            <w:tcW w:w="0" w:type="dxa"/>
            <w:vAlign w:val="bottom"/>
          </w:tcPr>
          <w:p>
            <w:pPr>
              <w:spacing w:after="0"/>
              <w:rPr>
                <w:sz w:val="1"/>
                <w:szCs w:val="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Total costs and expenses (a)</w:t>
            </w:r>
          </w:p>
        </w:tc>
        <w:tc>
          <w:tcPr>
            <w:tcW w:w="3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1,684,195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6,683,520</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(a)</w:t>
            </w:r>
          </w:p>
        </w:tc>
        <w:tc>
          <w:tcPr>
            <w:tcW w:w="3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218,682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761,000</w:t>
            </w:r>
          </w:p>
        </w:tc>
        <w:tc>
          <w:tcPr>
            <w:tcW w:w="0" w:type="dxa"/>
            <w:vAlign w:val="bottom"/>
          </w:tcPr>
          <w:p>
            <w:pPr>
              <w:spacing w:after="0"/>
              <w:rPr>
                <w:sz w:val="1"/>
                <w:szCs w:val="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Net income (a) (b)</w:t>
            </w:r>
          </w:p>
        </w:tc>
        <w:tc>
          <w:tcPr>
            <w:tcW w:w="3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96,279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356,467</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40" w:hanging="8"/>
        <w:spacing w:after="0" w:line="256" w:lineRule="auto"/>
        <w:tabs>
          <w:tab w:leader="none" w:pos="59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amortization of intangible assets of $113.2 million and $452.8 million, respectively, for the three months ended March 31, 2024 and for the year ended December 31, 2023.</w:t>
      </w:r>
    </w:p>
    <w:p>
      <w:pPr>
        <w:spacing w:after="0" w:line="1" w:lineRule="exact"/>
        <w:rPr>
          <w:rFonts w:ascii="Arial" w:cs="Arial" w:eastAsia="Arial" w:hAnsi="Arial"/>
          <w:sz w:val="16"/>
          <w:szCs w:val="16"/>
          <w:color w:val="auto"/>
        </w:rPr>
      </w:pPr>
    </w:p>
    <w:p>
      <w:pPr>
        <w:ind w:left="340" w:right="20" w:hanging="8"/>
        <w:spacing w:after="0" w:line="283" w:lineRule="auto"/>
        <w:tabs>
          <w:tab w:leader="none" w:pos="597"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net intercompany interest expense of $39.4 million and $130.0 million, respectively, for the three months ended March 31, 2024 and the year ended December 31, 2023.</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(Unaudited)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2,985,895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2,941,492</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 (c)</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61,342,332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61,347,045</w:t>
            </w:r>
          </w:p>
        </w:tc>
        <w:tc>
          <w:tcPr>
            <w:tcW w:w="0" w:type="dxa"/>
            <w:vAlign w:val="bottom"/>
          </w:tcPr>
          <w:p>
            <w:pPr>
              <w:spacing w:after="0"/>
              <w:rPr>
                <w:sz w:val="1"/>
                <w:szCs w:val="1"/>
                <w:color w:val="auto"/>
              </w:rPr>
            </w:pP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Intercompany receivables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1,372,720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1,052,855</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65,700,947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65,341,392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2,635,851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2,514,633</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4,540,187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4,799,554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payables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4,918,457</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4,618,868</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12,094,495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11,933,055</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 Non-current assets include each Guarantor's investment in obligor subsidiaries, on a combined aggregated basis.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context of security for the Notes, the combined financial information of entities whose securities will be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277"/>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314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680" w:right="1720" w:hanging="7883"/>
        <w:spacing w:after="0" w:line="280"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26, 2024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sectPr>
      <w:pgSz w:w="11900" w:h="16838" w:orient="portrait"/>
      <w:cols w:equalWidth="0" w:num="1">
        <w:col w:w="11220"/>
      </w:cols>
      <w:pgMar w:left="320" w:top="113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2024-04-26T09:03:07Z</dcterms:created>
  <dcterms:modified xsi:type="dcterms:W3CDTF">2024-04-26T09:03:07Z</dcterms:modified>
</cp:coreProperties>
</file>