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color w:val="auto"/>
        </w:rPr>
        <w:t>Filed Pursuant to Rule 424(b)(3) and 424(b)(7)</w:t>
      </w:r>
    </w:p>
    <w:p>
      <w:pPr>
        <w:spacing w:after="0" w:line="15"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Registration No: 333-133371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(To Prospectus dated May 5,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43685"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ICON plc</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1,000,000</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American Depositary Shares</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Representing</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1,000,000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144780</wp:posOffset>
            </wp:positionV>
            <wp:extent cx="1046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140" w:firstLine="436"/>
        <w:spacing w:after="0" w:line="332" w:lineRule="auto"/>
        <w:rPr>
          <w:sz w:val="20"/>
          <w:szCs w:val="20"/>
          <w:color w:val="auto"/>
        </w:rPr>
      </w:pPr>
      <w:r>
        <w:rPr>
          <w:rFonts w:ascii="Arial" w:cs="Arial" w:eastAsia="Arial" w:hAnsi="Arial"/>
          <w:sz w:val="16"/>
          <w:szCs w:val="16"/>
          <w:color w:val="auto"/>
        </w:rPr>
        <w:t>This is an offering of American Depositary Shares, or ADSs, of ICON plc by the selling shareholders identified in this prospectus supplement. We will not receive any of the proceeds from the sale of the ADSs being sold in this offering. Each ADS represents one ordinary share.</w:t>
      </w:r>
    </w:p>
    <w:p>
      <w:pPr>
        <w:spacing w:after="0" w:line="139" w:lineRule="exact"/>
        <w:rPr>
          <w:sz w:val="24"/>
          <w:szCs w:val="24"/>
          <w:color w:val="auto"/>
        </w:rPr>
      </w:pPr>
    </w:p>
    <w:p>
      <w:pPr>
        <w:ind w:right="80" w:firstLine="439"/>
        <w:spacing w:after="0" w:line="268" w:lineRule="auto"/>
        <w:rPr>
          <w:sz w:val="20"/>
          <w:szCs w:val="20"/>
          <w:color w:val="auto"/>
        </w:rPr>
      </w:pPr>
      <w:r>
        <w:rPr>
          <w:rFonts w:ascii="Arial" w:cs="Arial" w:eastAsia="Arial" w:hAnsi="Arial"/>
          <w:sz w:val="18"/>
          <w:szCs w:val="18"/>
          <w:color w:val="auto"/>
        </w:rPr>
        <w:t>Our ADSs are quoted on The Nasdaq National Market under the symbol “ICLR.” On July 31, 2006, the last reported sale price of our ADSs on The Nasdaq National Market was $65.84 per ADS. Our ordinary shares are listed on the Official List of the Irish Stock Exchange.</w:t>
      </w:r>
    </w:p>
    <w:p>
      <w:pPr>
        <w:spacing w:after="0" w:line="180" w:lineRule="exact"/>
        <w:rPr>
          <w:sz w:val="24"/>
          <w:szCs w:val="24"/>
          <w:color w:val="auto"/>
        </w:rPr>
      </w:pPr>
    </w:p>
    <w:p>
      <w:pPr>
        <w:ind w:right="680" w:firstLine="439"/>
        <w:spacing w:after="0" w:line="275" w:lineRule="auto"/>
        <w:rPr>
          <w:sz w:val="20"/>
          <w:szCs w:val="20"/>
          <w:color w:val="auto"/>
        </w:rPr>
      </w:pPr>
      <w:r>
        <w:rPr>
          <w:rFonts w:ascii="Arial" w:cs="Arial" w:eastAsia="Arial" w:hAnsi="Arial"/>
          <w:sz w:val="18"/>
          <w:szCs w:val="18"/>
          <w:b w:val="1"/>
          <w:bCs w:val="1"/>
          <w:color w:val="auto"/>
        </w:rPr>
        <w:t>Investing in our ADSs involves risks. See “Risk Factors” beginning on page 3 of the core prospectus and in the documents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840" w:type="dxa"/>
            <w:vAlign w:val="bottom"/>
            <w:gridSpan w:val="2"/>
          </w:tcPr>
          <w:p>
            <w:pPr>
              <w:ind w:left="2380"/>
              <w:spacing w:after="0"/>
              <w:rPr>
                <w:sz w:val="20"/>
                <w:szCs w:val="20"/>
                <w:color w:val="auto"/>
              </w:rPr>
            </w:pPr>
            <w:r>
              <w:rPr>
                <w:rFonts w:ascii="Arial" w:cs="Arial" w:eastAsia="Arial" w:hAnsi="Arial"/>
                <w:sz w:val="14"/>
                <w:szCs w:val="14"/>
                <w:b w:val="1"/>
                <w:bCs w:val="1"/>
                <w:color w:val="auto"/>
              </w:rPr>
              <w:t>Per ADS</w:t>
            </w:r>
          </w:p>
        </w:tc>
        <w:tc>
          <w:tcPr>
            <w:tcW w:w="2700" w:type="dxa"/>
            <w:vAlign w:val="bottom"/>
            <w:gridSpan w:val="2"/>
          </w:tcPr>
          <w:p>
            <w:pPr>
              <w:ind w:left="9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00" w:type="dxa"/>
            <w:vAlign w:val="bottom"/>
            <w:gridSpan w:val="2"/>
          </w:tcPr>
          <w:p>
            <w:pPr>
              <w:spacing w:after="0"/>
              <w:rPr>
                <w:sz w:val="8"/>
                <w:szCs w:val="8"/>
                <w:color w:val="auto"/>
              </w:rPr>
            </w:pPr>
          </w:p>
        </w:tc>
        <w:tc>
          <w:tcPr>
            <w:tcW w:w="24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Borders>
              <w:top w:val="single" w:sz="8" w:color="808080"/>
            </w:tcBorders>
          </w:tcPr>
          <w:p>
            <w:pPr>
              <w:spacing w:after="0"/>
              <w:rPr>
                <w:sz w:val="8"/>
                <w:szCs w:val="8"/>
                <w:color w:val="auto"/>
              </w:rPr>
            </w:pPr>
          </w:p>
        </w:tc>
        <w:tc>
          <w:tcPr>
            <w:tcW w:w="2460" w:type="dxa"/>
            <w:vAlign w:val="bottom"/>
            <w:tcBorders>
              <w:top w:val="single" w:sz="8" w:color="808080"/>
            </w:tcBorders>
          </w:tcPr>
          <w:p>
            <w:pPr>
              <w:spacing w:after="0"/>
              <w:rPr>
                <w:sz w:val="8"/>
                <w:szCs w:val="8"/>
                <w:color w:val="auto"/>
              </w:rPr>
            </w:pPr>
          </w:p>
        </w:tc>
        <w:tc>
          <w:tcPr>
            <w:tcW w:w="1380" w:type="dxa"/>
            <w:vAlign w:val="bottom"/>
            <w:tcBorders>
              <w:top w:val="single" w:sz="8" w:color="808080"/>
            </w:tcBorders>
          </w:tcPr>
          <w:p>
            <w:pPr>
              <w:spacing w:after="0"/>
              <w:rPr>
                <w:sz w:val="8"/>
                <w:szCs w:val="8"/>
                <w:color w:val="auto"/>
              </w:rPr>
            </w:pPr>
          </w:p>
        </w:tc>
        <w:tc>
          <w:tcPr>
            <w:tcW w:w="268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6E6E6"/>
          </w:tcPr>
          <w:p>
            <w:pPr>
              <w:spacing w:after="0"/>
              <w:rPr>
                <w:sz w:val="20"/>
                <w:szCs w:val="20"/>
                <w:color w:val="auto"/>
              </w:rPr>
            </w:pPr>
            <w:r>
              <w:rPr>
                <w:rFonts w:ascii="Arial" w:cs="Arial" w:eastAsia="Arial" w:hAnsi="Arial"/>
                <w:sz w:val="18"/>
                <w:szCs w:val="18"/>
                <w:color w:val="auto"/>
              </w:rPr>
              <w:t>Public offering price</w:t>
            </w:r>
          </w:p>
        </w:tc>
        <w:tc>
          <w:tcPr>
            <w:tcW w:w="2460" w:type="dxa"/>
            <w:vAlign w:val="bottom"/>
            <w:shd w:val="clear" w:color="auto" w:fill="E6E6E6"/>
          </w:tcPr>
          <w:p>
            <w:pPr>
              <w:ind w:left="238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6E6E6"/>
          </w:tcPr>
          <w:p>
            <w:pPr>
              <w:jc w:val="right"/>
              <w:ind w:right="892"/>
              <w:spacing w:after="0"/>
              <w:rPr>
                <w:sz w:val="20"/>
                <w:szCs w:val="20"/>
                <w:color w:val="auto"/>
              </w:rPr>
            </w:pPr>
            <w:r>
              <w:rPr>
                <w:rFonts w:ascii="Arial" w:cs="Arial" w:eastAsia="Arial" w:hAnsi="Arial"/>
                <w:sz w:val="18"/>
                <w:szCs w:val="18"/>
                <w:color w:val="auto"/>
                <w:w w:val="84"/>
              </w:rPr>
              <w:t>63.50</w:t>
            </w:r>
          </w:p>
        </w:tc>
        <w:tc>
          <w:tcPr>
            <w:tcW w:w="2680" w:type="dxa"/>
            <w:vAlign w:val="bottom"/>
            <w:shd w:val="clear" w:color="auto" w:fill="E6E6E6"/>
          </w:tcPr>
          <w:p>
            <w:pPr>
              <w:ind w:left="960"/>
              <w:spacing w:after="0"/>
              <w:rPr>
                <w:sz w:val="20"/>
                <w:szCs w:val="20"/>
                <w:color w:val="auto"/>
              </w:rPr>
            </w:pPr>
            <w:r>
              <w:rPr>
                <w:rFonts w:ascii="Arial" w:cs="Arial" w:eastAsia="Arial" w:hAnsi="Arial"/>
                <w:sz w:val="18"/>
                <w:szCs w:val="18"/>
                <w:color w:val="auto"/>
              </w:rPr>
              <w:t>$63,500,000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0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2460" w:type="dxa"/>
            <w:vAlign w:val="bottom"/>
          </w:tcPr>
          <w:p>
            <w:pPr>
              <w:ind w:left="238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892"/>
              <w:spacing w:after="0"/>
              <w:rPr>
                <w:sz w:val="20"/>
                <w:szCs w:val="20"/>
                <w:color w:val="auto"/>
              </w:rPr>
            </w:pPr>
            <w:r>
              <w:rPr>
                <w:rFonts w:ascii="Arial" w:cs="Arial" w:eastAsia="Arial" w:hAnsi="Arial"/>
                <w:sz w:val="18"/>
                <w:szCs w:val="18"/>
                <w:color w:val="auto"/>
              </w:rPr>
              <w:t>2.54</w:t>
            </w:r>
          </w:p>
        </w:tc>
        <w:tc>
          <w:tcPr>
            <w:tcW w:w="2680" w:type="dxa"/>
            <w:vAlign w:val="bottom"/>
          </w:tcPr>
          <w:p>
            <w:pPr>
              <w:ind w:left="960"/>
              <w:spacing w:after="0"/>
              <w:rPr>
                <w:sz w:val="20"/>
                <w:szCs w:val="20"/>
                <w:color w:val="auto"/>
              </w:rPr>
            </w:pPr>
            <w:r>
              <w:rPr>
                <w:rFonts w:ascii="Arial" w:cs="Arial" w:eastAsia="Arial" w:hAnsi="Arial"/>
                <w:sz w:val="18"/>
                <w:szCs w:val="18"/>
                <w:color w:val="auto"/>
              </w:rPr>
              <w:t>$2,540,000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900" w:type="dxa"/>
            <w:vAlign w:val="bottom"/>
            <w:tcBorders>
              <w:bottom w:val="single" w:sz="8" w:color="808080"/>
            </w:tcBorders>
            <w:gridSpan w:val="2"/>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6E6E6"/>
          </w:tcPr>
          <w:p>
            <w:pPr>
              <w:spacing w:after="0"/>
              <w:rPr>
                <w:sz w:val="20"/>
                <w:szCs w:val="20"/>
                <w:color w:val="auto"/>
              </w:rPr>
            </w:pPr>
            <w:r>
              <w:rPr>
                <w:rFonts w:ascii="Arial" w:cs="Arial" w:eastAsia="Arial" w:hAnsi="Arial"/>
                <w:sz w:val="18"/>
                <w:szCs w:val="18"/>
                <w:color w:val="auto"/>
              </w:rPr>
              <w:t>Proceeds to the selling shareholders</w:t>
            </w:r>
          </w:p>
        </w:tc>
        <w:tc>
          <w:tcPr>
            <w:tcW w:w="2460" w:type="dxa"/>
            <w:vAlign w:val="bottom"/>
            <w:shd w:val="clear" w:color="auto" w:fill="E6E6E6"/>
          </w:tcPr>
          <w:p>
            <w:pPr>
              <w:ind w:left="238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6E6E6"/>
          </w:tcPr>
          <w:p>
            <w:pPr>
              <w:jc w:val="right"/>
              <w:ind w:right="892"/>
              <w:spacing w:after="0"/>
              <w:rPr>
                <w:sz w:val="20"/>
                <w:szCs w:val="20"/>
                <w:color w:val="auto"/>
              </w:rPr>
            </w:pPr>
            <w:r>
              <w:rPr>
                <w:rFonts w:ascii="Arial" w:cs="Arial" w:eastAsia="Arial" w:hAnsi="Arial"/>
                <w:sz w:val="18"/>
                <w:szCs w:val="18"/>
                <w:color w:val="auto"/>
                <w:w w:val="84"/>
              </w:rPr>
              <w:t>60.96</w:t>
            </w:r>
          </w:p>
        </w:tc>
        <w:tc>
          <w:tcPr>
            <w:tcW w:w="2680" w:type="dxa"/>
            <w:vAlign w:val="bottom"/>
            <w:shd w:val="clear" w:color="auto" w:fill="E6E6E6"/>
          </w:tcPr>
          <w:p>
            <w:pPr>
              <w:ind w:left="960"/>
              <w:spacing w:after="0"/>
              <w:rPr>
                <w:sz w:val="20"/>
                <w:szCs w:val="20"/>
                <w:color w:val="auto"/>
              </w:rPr>
            </w:pPr>
            <w:r>
              <w:rPr>
                <w:rFonts w:ascii="Arial" w:cs="Arial" w:eastAsia="Arial" w:hAnsi="Arial"/>
                <w:sz w:val="18"/>
                <w:szCs w:val="18"/>
                <w:color w:val="auto"/>
              </w:rPr>
              <w:t>$60,960,000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4"/>
          <w:szCs w:val="24"/>
          <w:color w:val="auto"/>
        </w:rPr>
      </w:pPr>
    </w:p>
    <w:p>
      <w:pPr>
        <w:ind w:right="240" w:firstLine="439"/>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119380</wp:posOffset>
            </wp:positionV>
            <wp:extent cx="1046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9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underwriters expect to deliver the ADSs against payment in New York, New York on August 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148590</wp:posOffset>
            </wp:positionV>
            <wp:extent cx="1046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William Blair &amp; Company</w:t>
      </w:r>
    </w:p>
    <w:p>
      <w:pPr>
        <w:spacing w:after="0" w:line="157" w:lineRule="exact"/>
        <w:rPr>
          <w:sz w:val="24"/>
          <w:szCs w:val="24"/>
          <w:color w:val="auto"/>
        </w:rPr>
      </w:pPr>
    </w:p>
    <w:p>
      <w:pPr>
        <w:spacing w:after="0"/>
        <w:tabs>
          <w:tab w:leader="none" w:pos="9440" w:val="left"/>
        </w:tabs>
        <w:rPr>
          <w:sz w:val="20"/>
          <w:szCs w:val="20"/>
          <w:color w:val="auto"/>
        </w:rPr>
      </w:pPr>
      <w:r>
        <w:rPr>
          <w:rFonts w:ascii="Arial" w:cs="Arial" w:eastAsia="Arial" w:hAnsi="Arial"/>
          <w:sz w:val="22"/>
          <w:szCs w:val="22"/>
          <w:b w:val="1"/>
          <w:bCs w:val="1"/>
          <w:color w:val="auto"/>
        </w:rPr>
        <w:t>Bear, Stearns &amp; Co. Inc.</w:t>
      </w:r>
      <w:r>
        <w:rPr>
          <w:sz w:val="20"/>
          <w:szCs w:val="20"/>
          <w:color w:val="auto"/>
        </w:rPr>
        <w:tab/>
      </w:r>
      <w:r>
        <w:rPr>
          <w:rFonts w:ascii="Arial" w:cs="Arial" w:eastAsia="Arial" w:hAnsi="Arial"/>
          <w:sz w:val="19"/>
          <w:szCs w:val="19"/>
          <w:b w:val="1"/>
          <w:bCs w:val="1"/>
          <w:color w:val="auto"/>
        </w:rPr>
        <w:t>Jefferies &amp; Company</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The date of this prospectus supplement is July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239" w:right="199" w:bottom="1440" w:gutter="0" w:footer="0" w:header="0"/>
        </w:sectPr>
      </w:pPr>
    </w:p>
    <w:bookmarkStart w:id="1" w:name="page2"/>
    <w:bookmarkEnd w:id="1"/>
    <w:p>
      <w:pPr>
        <w:ind w:right="60" w:firstLine="432"/>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accompanying core prospectus. We have not, and the underwriters have not, authorized anyone to provide you with different information. We are not making an offer of these securities in any jurisdiction where the offer or sale is not permitted. You should assume that the information contained in this prospectus supplement and accompanying core prospectus, as well as the information incorporated by reference, is accurate as of the date on the front of these documents only. Our business, financial condition, results of operations and prospects may have changed since that date.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contained in our website does not constitute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148590</wp:posOffset>
            </wp:positionV>
            <wp:extent cx="1046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60" w:type="dxa"/>
            <w:vAlign w:val="bottom"/>
          </w:tcPr>
          <w:p>
            <w:pPr>
              <w:jc w:val="center"/>
              <w:ind w:right="1112"/>
              <w:spacing w:after="0"/>
              <w:rPr>
                <w:sz w:val="20"/>
                <w:szCs w:val="20"/>
                <w:color w:val="auto"/>
              </w:rPr>
            </w:pPr>
            <w:r>
              <w:rPr>
                <w:rFonts w:ascii="Arial" w:cs="Arial" w:eastAsia="Arial" w:hAnsi="Arial"/>
                <w:sz w:val="18"/>
                <w:szCs w:val="18"/>
                <w:b w:val="1"/>
                <w:bCs w:val="1"/>
                <w:color w:val="auto"/>
                <w:w w:val="96"/>
              </w:rPr>
              <w:t>TABLE OF CONTENTS</w:t>
            </w:r>
          </w:p>
        </w:tc>
        <w:tc>
          <w:tcPr>
            <w:tcW w:w="2420" w:type="dxa"/>
            <w:vAlign w:val="bottom"/>
          </w:tcPr>
          <w:p>
            <w:pPr>
              <w:spacing w:after="0"/>
              <w:rPr>
                <w:sz w:val="19"/>
                <w:szCs w:val="19"/>
                <w:color w:val="auto"/>
              </w:rPr>
            </w:pPr>
          </w:p>
        </w:tc>
      </w:tr>
      <w:tr>
        <w:trPr>
          <w:trHeight w:val="43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Pr>
          <w:p>
            <w:pPr>
              <w:jc w:val="center"/>
              <w:ind w:right="1112"/>
              <w:spacing w:after="0"/>
              <w:rPr>
                <w:sz w:val="20"/>
                <w:szCs w:val="20"/>
                <w:color w:val="auto"/>
              </w:rPr>
            </w:pPr>
            <w:r>
              <w:rPr>
                <w:rFonts w:ascii="Arial" w:cs="Arial" w:eastAsia="Arial" w:hAnsi="Arial"/>
                <w:sz w:val="18"/>
                <w:szCs w:val="18"/>
                <w:b w:val="1"/>
                <w:bCs w:val="1"/>
                <w:color w:val="auto"/>
                <w:w w:val="95"/>
              </w:rPr>
              <w:t>PROSPECTUS SUPPLEMENT</w:t>
            </w:r>
          </w:p>
        </w:tc>
        <w:tc>
          <w:tcPr>
            <w:tcW w:w="2420" w:type="dxa"/>
            <w:vAlign w:val="bottom"/>
          </w:tcPr>
          <w:p>
            <w:pPr>
              <w:spacing w:after="0"/>
              <w:rPr>
                <w:sz w:val="24"/>
                <w:szCs w:val="24"/>
                <w:color w:val="auto"/>
              </w:rPr>
            </w:pPr>
          </w:p>
        </w:tc>
      </w:tr>
      <w:tr>
        <w:trPr>
          <w:trHeight w:val="37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4"/>
        </w:trPr>
        <w:tc>
          <w:tcPr>
            <w:tcW w:w="2500" w:type="dxa"/>
            <w:vAlign w:val="bottom"/>
            <w:tcBorders>
              <w:bottom w:val="single" w:sz="8" w:color="0000EE"/>
            </w:tcBorders>
            <w:gridSpan w:val="7"/>
          </w:tcPr>
          <w:p>
            <w:pPr>
              <w:spacing w:after="0" w:line="184"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6500" w:type="dxa"/>
            <w:vAlign w:val="bottom"/>
            <w:gridSpan w:val="7"/>
          </w:tcPr>
          <w:p>
            <w:pPr>
              <w:spacing w:after="0"/>
              <w:rPr>
                <w:sz w:val="15"/>
                <w:szCs w:val="15"/>
                <w:color w:val="auto"/>
              </w:rPr>
            </w:pPr>
          </w:p>
        </w:tc>
        <w:tc>
          <w:tcPr>
            <w:tcW w:w="2420" w:type="dxa"/>
            <w:vAlign w:val="bottom"/>
          </w:tcPr>
          <w:p>
            <w:pPr>
              <w:jc w:val="right"/>
              <w:spacing w:after="0" w:line="184" w:lineRule="exact"/>
              <w:rPr>
                <w:sz w:val="20"/>
                <w:szCs w:val="20"/>
                <w:color w:val="auto"/>
              </w:rPr>
            </w:pPr>
            <w:r>
              <w:rPr>
                <w:rFonts w:ascii="Arial" w:cs="Arial" w:eastAsia="Arial" w:hAnsi="Arial"/>
                <w:sz w:val="18"/>
                <w:szCs w:val="18"/>
                <w:color w:val="auto"/>
              </w:rPr>
              <w:t>S-1</w:t>
            </w:r>
          </w:p>
        </w:tc>
      </w:tr>
      <w:tr>
        <w:trPr>
          <w:trHeight w:val="196"/>
        </w:trPr>
        <w:tc>
          <w:tcPr>
            <w:tcW w:w="900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The Offering</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Summary Historical Consolidated Financial Data</w:t>
              </w:r>
            </w:hyperlink>
          </w:p>
        </w:tc>
        <w:tc>
          <w:tcPr>
            <w:tcW w:w="552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900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Disclosure Regarding 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36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Price Range of ADSs and Dividend Policy</w:t>
              </w:r>
            </w:hyperlink>
          </w:p>
        </w:tc>
        <w:tc>
          <w:tcPr>
            <w:tcW w:w="53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Capitalization</w:t>
              </w:r>
            </w:hyperlink>
          </w:p>
        </w:tc>
        <w:tc>
          <w:tcPr>
            <w:tcW w:w="2000" w:type="dxa"/>
            <w:vAlign w:val="bottom"/>
            <w:tcBorders>
              <w:top w:val="single" w:sz="8" w:color="0000EE"/>
            </w:tcBorders>
            <w:gridSpan w:val="7"/>
          </w:tcPr>
          <w:p>
            <w:pPr>
              <w:spacing w:after="0"/>
              <w:rPr>
                <w:sz w:val="17"/>
                <w:szCs w:val="17"/>
                <w:color w:val="auto"/>
              </w:rPr>
            </w:pPr>
          </w:p>
        </w:tc>
        <w:tc>
          <w:tcPr>
            <w:tcW w:w="600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9000" w:type="dxa"/>
            <w:vAlign w:val="bottom"/>
            <w:gridSpan w:val="1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Selling Shareholders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000" w:type="dxa"/>
            <w:vAlign w:val="bottom"/>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 Federal Income Tax Considerations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Underwriting</w:t>
              </w:r>
            </w:hyperlink>
          </w:p>
        </w:tc>
        <w:tc>
          <w:tcPr>
            <w:tcW w:w="1900" w:type="dxa"/>
            <w:vAlign w:val="bottom"/>
            <w:tcBorders>
              <w:top w:val="single" w:sz="8" w:color="0000EE"/>
            </w:tcBorders>
            <w:gridSpan w:val="5"/>
          </w:tcPr>
          <w:p>
            <w:pPr>
              <w:spacing w:after="0"/>
              <w:rPr>
                <w:sz w:val="17"/>
                <w:szCs w:val="17"/>
                <w:color w:val="auto"/>
              </w:rPr>
            </w:pPr>
          </w:p>
        </w:tc>
        <w:tc>
          <w:tcPr>
            <w:tcW w:w="614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9000" w:type="dxa"/>
            <w:vAlign w:val="bottom"/>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Validity of the ADSs and Ordinary Shares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29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Experts</w:t>
              </w:r>
            </w:hyperlink>
          </w:p>
        </w:tc>
        <w:tc>
          <w:tcPr>
            <w:tcW w:w="604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20"/>
        </w:trPr>
        <w:tc>
          <w:tcPr>
            <w:tcW w:w="540" w:type="dxa"/>
            <w:vAlign w:val="bottom"/>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000" w:type="dxa"/>
            <w:vAlign w:val="bottom"/>
            <w:gridSpan w:val="1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Additional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20"/>
        </w:trPr>
        <w:tc>
          <w:tcPr>
            <w:tcW w:w="1640" w:type="dxa"/>
            <w:vAlign w:val="bottom"/>
            <w:gridSpan w:val="6"/>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9000" w:type="dxa"/>
            <w:vAlign w:val="bottom"/>
            <w:gridSpan w:val="1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Incorporation of Documents by Reference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451"/>
        </w:trPr>
        <w:tc>
          <w:tcPr>
            <w:tcW w:w="5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Pr>
          <w:p>
            <w:pPr>
              <w:jc w:val="center"/>
              <w:ind w:right="1132"/>
              <w:spacing w:after="0"/>
              <w:rPr>
                <w:sz w:val="20"/>
                <w:szCs w:val="20"/>
                <w:color w:val="auto"/>
              </w:rPr>
            </w:pPr>
            <w:r>
              <w:rPr>
                <w:rFonts w:ascii="Arial" w:cs="Arial" w:eastAsia="Arial" w:hAnsi="Arial"/>
                <w:sz w:val="18"/>
                <w:szCs w:val="18"/>
                <w:b w:val="1"/>
                <w:bCs w:val="1"/>
                <w:color w:val="auto"/>
                <w:w w:val="93"/>
              </w:rPr>
              <w:t>CORE PROSPECTUS</w:t>
            </w:r>
          </w:p>
        </w:tc>
        <w:tc>
          <w:tcPr>
            <w:tcW w:w="2420" w:type="dxa"/>
            <w:vAlign w:val="bottom"/>
          </w:tcPr>
          <w:p>
            <w:pPr>
              <w:spacing w:after="0"/>
              <w:rPr>
                <w:sz w:val="24"/>
                <w:szCs w:val="24"/>
                <w:color w:val="auto"/>
              </w:rPr>
            </w:pPr>
          </w:p>
        </w:tc>
      </w:tr>
      <w:tr>
        <w:trPr>
          <w:trHeight w:val="37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Summary</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Risk Factors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Disclosure Regarding Forward Looking Statements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Use of Proceeds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Capitalization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Price Range of ADSs and Dividend Policy</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Selling Shareholders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U.S. Federal Income Tax Considerations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Irish Taxation Considerations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Plan of Distribution</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Exchange Controls and Other Limitations Affecting Security 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Validity of the Ordinary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Experts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Expenses of Issuance and Distribution</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Enforceability of Civil Liabilities Provisions of Federal Securities Laws Against Foreign Persons;</w:t>
            </w:r>
          </w:p>
        </w:tc>
        <w:tc>
          <w:tcPr>
            <w:tcW w:w="2420" w:type="dxa"/>
            <w:vAlign w:val="bottom"/>
          </w:tcPr>
          <w:p>
            <w:pPr>
              <w:spacing w:after="0"/>
              <w:rPr>
                <w:sz w:val="18"/>
                <w:szCs w:val="18"/>
                <w:color w:val="auto"/>
              </w:rPr>
            </w:pPr>
          </w:p>
        </w:tc>
      </w:tr>
      <w:tr>
        <w:trPr>
          <w:trHeight w:val="216"/>
        </w:trPr>
        <w:tc>
          <w:tcPr>
            <w:tcW w:w="9000" w:type="dxa"/>
            <w:vAlign w:val="bottom"/>
            <w:gridSpan w:val="14"/>
          </w:tcPr>
          <w:p>
            <w:pPr>
              <w:ind w:left="160"/>
              <w:spacing w:after="0"/>
              <w:rPr>
                <w:sz w:val="20"/>
                <w:szCs w:val="20"/>
                <w:color w:val="auto"/>
              </w:rPr>
            </w:pPr>
            <w:r>
              <w:rPr>
                <w:rFonts w:ascii="Arial" w:cs="Arial" w:eastAsia="Arial" w:hAnsi="Arial"/>
                <w:sz w:val="18"/>
                <w:szCs w:val="18"/>
                <w:color w:val="auto"/>
              </w:rPr>
              <w:t>Shareholder Rights Under Irish Law</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000" w:type="dxa"/>
            <w:vAlign w:val="bottom"/>
            <w:gridSpan w:val="14"/>
          </w:tcPr>
          <w:p>
            <w:pPr>
              <w:spacing w:after="0"/>
              <w:rPr>
                <w:sz w:val="20"/>
                <w:szCs w:val="20"/>
                <w:color w:val="auto"/>
              </w:rPr>
            </w:pPr>
            <w:r>
              <w:rPr>
                <w:rFonts w:ascii="Arial" w:cs="Arial" w:eastAsia="Arial" w:hAnsi="Arial"/>
                <w:sz w:val="18"/>
                <w:szCs w:val="18"/>
                <w:color w:val="auto"/>
              </w:rPr>
              <w:t>Additional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9000" w:type="dxa"/>
            <w:vAlign w:val="bottom"/>
            <w:gridSpan w:val="14"/>
          </w:tcPr>
          <w:p>
            <w:pPr>
              <w:spacing w:after="0"/>
              <w:rPr>
                <w:sz w:val="20"/>
                <w:szCs w:val="20"/>
                <w:color w:val="auto"/>
              </w:rPr>
            </w:pPr>
            <w:r>
              <w:rPr>
                <w:rFonts w:ascii="Arial" w:cs="Arial" w:eastAsia="Arial" w:hAnsi="Arial"/>
                <w:sz w:val="18"/>
                <w:szCs w:val="18"/>
                <w:color w:val="auto"/>
              </w:rPr>
              <w:t>Incorporation of Documents by Reference</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Annex I: </w:t>
      </w:r>
      <w:r>
        <w:rPr>
          <w:rFonts w:ascii="Arial" w:cs="Arial" w:eastAsia="Arial" w:hAnsi="Arial"/>
          <w:sz w:val="18"/>
          <w:szCs w:val="18"/>
          <w:color w:val="auto"/>
        </w:rPr>
        <w:t>ICON plc’s Form 6-K for the quarterly period ended March 31,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Annex II: </w:t>
      </w:r>
      <w:r>
        <w:rPr>
          <w:rFonts w:ascii="Arial" w:cs="Arial" w:eastAsia="Arial" w:hAnsi="Arial"/>
          <w:sz w:val="18"/>
          <w:szCs w:val="18"/>
          <w:color w:val="auto"/>
        </w:rPr>
        <w:t>ICON plc’s Form 6-K for the quarterly period ended June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20" w:firstLine="436"/>
        <w:spacing w:after="0" w:line="291" w:lineRule="auto"/>
        <w:rPr>
          <w:sz w:val="20"/>
          <w:szCs w:val="20"/>
          <w:color w:val="auto"/>
        </w:rPr>
      </w:pPr>
      <w:r>
        <w:rPr>
          <w:rFonts w:ascii="Arial" w:cs="Arial" w:eastAsia="Arial" w:hAnsi="Arial"/>
          <w:sz w:val="16"/>
          <w:szCs w:val="16"/>
          <w:color w:val="auto"/>
        </w:rPr>
        <w:t>This prospectus is in two parts. The first part is this prospectus supplement, which describes the terms of this offering of our ADSs by the selling shareholders, and also adds to and updates information contained in or incorporated by reference into the accompanying core prospectus. The second part is the accompanying core prospectus, which gives more information about us and the ADSs we and the selling shareholders may offer from time to time under our shelf registration statement. To the extent there is a conflict between the information contained, or referred to, in this prospectus supplement, on the one hand, and the information contained, or referred to, in the accompanying core prospectus or any document incorporated by reference therein, on the other hand, the information in this prospectus supplement shall control.</w:t>
      </w:r>
    </w:p>
    <w:p>
      <w:pPr>
        <w:spacing w:after="0" w:line="174" w:lineRule="exact"/>
        <w:rPr>
          <w:sz w:val="20"/>
          <w:szCs w:val="20"/>
          <w:color w:val="auto"/>
        </w:rPr>
      </w:pPr>
    </w:p>
    <w:p>
      <w:pPr>
        <w:ind w:firstLine="436"/>
        <w:spacing w:after="0" w:line="288" w:lineRule="auto"/>
        <w:rPr>
          <w:sz w:val="20"/>
          <w:szCs w:val="20"/>
          <w:color w:val="auto"/>
        </w:rPr>
      </w:pPr>
      <w:r>
        <w:rPr>
          <w:rFonts w:ascii="Arial" w:cs="Arial" w:eastAsia="Arial" w:hAnsi="Arial"/>
          <w:sz w:val="16"/>
          <w:szCs w:val="16"/>
          <w:color w:val="auto"/>
        </w:rPr>
        <w:t>We have not authorized any broker, dealer, salesperson or other person to give any information or to make any representation other than those contained or incorporated by reference in this prospectus supplement and the accompanying core prospectus. You must not rely upon any information or representation not contained or incorporated by reference in this prospectus supplement or the accompanying core prospectus. This prospectus supplement and the accompanying core prospectus do not constitute an offer to sell or the solicitation of an offer to buy ADSs nor do this prospectus supplement and the accompanying core prospectus constitute an offer to sell or the solicitation of an offer to buy ADSs in any jurisdiction to any person to whom it is unlawful to make such offer or solicitation in such jurisdiction. You should not assume that the information contained in this prospectus supplement and the accompanying core prospectus is accurate on any date subsequent to the date set forth on the front of the document or that any information we have incorporated by reference is correct on any date subsequent to the date of the document incorporated by reference, even though this prospectus supplement and any accompanying core prospectus is delivered or ADSs are sold on a later date.</w:t>
      </w:r>
    </w:p>
    <w:p>
      <w:pPr>
        <w:spacing w:after="0" w:line="174" w:lineRule="exact"/>
        <w:rPr>
          <w:sz w:val="20"/>
          <w:szCs w:val="20"/>
          <w:color w:val="auto"/>
        </w:rPr>
      </w:pPr>
    </w:p>
    <w:p>
      <w:pPr>
        <w:ind w:right="220" w:firstLine="439"/>
        <w:spacing w:after="0" w:line="332" w:lineRule="auto"/>
        <w:rPr>
          <w:sz w:val="20"/>
          <w:szCs w:val="20"/>
          <w:color w:val="auto"/>
        </w:rPr>
      </w:pPr>
      <w:r>
        <w:rPr>
          <w:rFonts w:ascii="Arial" w:cs="Arial" w:eastAsia="Arial" w:hAnsi="Arial"/>
          <w:sz w:val="16"/>
          <w:szCs w:val="16"/>
          <w:color w:val="auto"/>
        </w:rPr>
        <w:t>It is important for you to read and consider all information contained in this prospectus supplement and the accompanying core prospectus, including the documents we have referenced in the section entitled “Incorporation of Documents by Reference” in this prospectus supplement.</w:t>
      </w:r>
    </w:p>
    <w:p>
      <w:pPr>
        <w:spacing w:after="0" w:line="139"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In this prospectus, “ICON”, the “Company”, “we”, “us” and “our” refer to ICON plc, a public limited company organized under the laws of the Republic of Ireland, and its consolidated subsidiaries.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8440" w:type="dxa"/>
            <w:vAlign w:val="bottom"/>
          </w:tcPr>
          <w:p>
            <w:pPr>
              <w:ind w:left="2020"/>
              <w:spacing w:after="0"/>
              <w:rPr>
                <w:sz w:val="20"/>
                <w:szCs w:val="20"/>
                <w:color w:val="auto"/>
              </w:rPr>
            </w:pPr>
            <w:r>
              <w:rPr>
                <w:rFonts w:ascii="Arial" w:cs="Arial" w:eastAsia="Arial" w:hAnsi="Arial"/>
                <w:sz w:val="18"/>
                <w:szCs w:val="18"/>
                <w:b w:val="1"/>
                <w:bCs w:val="1"/>
                <w:color w:val="auto"/>
              </w:rPr>
              <w:t>THE OFFERING</w:t>
            </w: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Offering price</w:t>
            </w:r>
          </w:p>
        </w:tc>
        <w:tc>
          <w:tcPr>
            <w:tcW w:w="8440" w:type="dxa"/>
            <w:vAlign w:val="bottom"/>
          </w:tcPr>
          <w:p>
            <w:pPr>
              <w:ind w:left="100"/>
              <w:spacing w:after="0"/>
              <w:rPr>
                <w:sz w:val="20"/>
                <w:szCs w:val="20"/>
                <w:color w:val="auto"/>
              </w:rPr>
            </w:pPr>
            <w:r>
              <w:rPr>
                <w:rFonts w:ascii="Arial" w:cs="Arial" w:eastAsia="Arial" w:hAnsi="Arial"/>
                <w:sz w:val="18"/>
                <w:szCs w:val="18"/>
                <w:color w:val="auto"/>
              </w:rPr>
              <w:t>U.S. $63.50 per ADS</w:t>
            </w:r>
          </w:p>
        </w:tc>
      </w:tr>
      <w:tr>
        <w:trPr>
          <w:trHeight w:val="513"/>
        </w:trPr>
        <w:tc>
          <w:tcPr>
            <w:tcW w:w="3020" w:type="dxa"/>
            <w:vAlign w:val="bottom"/>
          </w:tcPr>
          <w:p>
            <w:pPr>
              <w:spacing w:after="0"/>
              <w:rPr>
                <w:sz w:val="20"/>
                <w:szCs w:val="20"/>
                <w:color w:val="auto"/>
              </w:rPr>
            </w:pPr>
            <w:r>
              <w:rPr>
                <w:rFonts w:ascii="Arial" w:cs="Arial" w:eastAsia="Arial" w:hAnsi="Arial"/>
                <w:sz w:val="18"/>
                <w:szCs w:val="18"/>
                <w:color w:val="auto"/>
                <w:w w:val="91"/>
              </w:rPr>
              <w:t>ADSs offered by the selling shareholders</w:t>
            </w:r>
          </w:p>
        </w:tc>
        <w:tc>
          <w:tcPr>
            <w:tcW w:w="8440" w:type="dxa"/>
            <w:vAlign w:val="bottom"/>
          </w:tcPr>
          <w:p>
            <w:pPr>
              <w:ind w:left="100"/>
              <w:spacing w:after="0"/>
              <w:rPr>
                <w:sz w:val="20"/>
                <w:szCs w:val="20"/>
                <w:color w:val="auto"/>
              </w:rPr>
            </w:pPr>
            <w:r>
              <w:rPr>
                <w:rFonts w:ascii="Arial" w:cs="Arial" w:eastAsia="Arial" w:hAnsi="Arial"/>
                <w:sz w:val="18"/>
                <w:szCs w:val="18"/>
                <w:color w:val="auto"/>
              </w:rPr>
              <w:t>1,000,000 ADSs</w:t>
            </w: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Selling shareholders</w:t>
            </w:r>
          </w:p>
        </w:tc>
        <w:tc>
          <w:tcPr>
            <w:tcW w:w="8440" w:type="dxa"/>
            <w:vAlign w:val="bottom"/>
          </w:tcPr>
          <w:p>
            <w:pPr>
              <w:ind w:left="100"/>
              <w:spacing w:after="0"/>
              <w:rPr>
                <w:sz w:val="20"/>
                <w:szCs w:val="20"/>
                <w:color w:val="auto"/>
              </w:rPr>
            </w:pPr>
            <w:r>
              <w:rPr>
                <w:rFonts w:ascii="Arial" w:cs="Arial" w:eastAsia="Arial" w:hAnsi="Arial"/>
                <w:sz w:val="18"/>
                <w:szCs w:val="18"/>
                <w:color w:val="auto"/>
              </w:rPr>
              <w:t>Dr. Ronan Lambe and Poplar Limited, a company controlled by Dr. John Climax.</w:t>
            </w: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Ordinary shares per ADS</w:t>
            </w:r>
          </w:p>
        </w:tc>
        <w:tc>
          <w:tcPr>
            <w:tcW w:w="8440" w:type="dxa"/>
            <w:vAlign w:val="bottom"/>
          </w:tcPr>
          <w:p>
            <w:pPr>
              <w:ind w:left="100"/>
              <w:spacing w:after="0"/>
              <w:rPr>
                <w:sz w:val="20"/>
                <w:szCs w:val="20"/>
                <w:color w:val="auto"/>
              </w:rPr>
            </w:pPr>
            <w:r>
              <w:rPr>
                <w:rFonts w:ascii="Arial" w:cs="Arial" w:eastAsia="Arial" w:hAnsi="Arial"/>
                <w:sz w:val="18"/>
                <w:szCs w:val="18"/>
                <w:color w:val="auto"/>
                <w:w w:val="89"/>
              </w:rPr>
              <w:t>One. The ADSs are issued pursuant to the Deposit Agreement with The Bank of New York dated as of May 20, 1998.</w:t>
            </w:r>
          </w:p>
        </w:tc>
      </w:tr>
      <w:tr>
        <w:trPr>
          <w:trHeight w:val="358"/>
        </w:trPr>
        <w:tc>
          <w:tcPr>
            <w:tcW w:w="3020" w:type="dxa"/>
            <w:vAlign w:val="bottom"/>
          </w:tcPr>
          <w:p>
            <w:pPr>
              <w:spacing w:after="0"/>
              <w:rPr>
                <w:sz w:val="20"/>
                <w:szCs w:val="20"/>
                <w:color w:val="auto"/>
              </w:rPr>
            </w:pPr>
            <w:r>
              <w:rPr>
                <w:rFonts w:ascii="Arial" w:cs="Arial" w:eastAsia="Arial" w:hAnsi="Arial"/>
                <w:sz w:val="18"/>
                <w:szCs w:val="18"/>
                <w:color w:val="auto"/>
              </w:rPr>
              <w:t>Lock-up arrangements</w:t>
            </w:r>
          </w:p>
        </w:tc>
        <w:tc>
          <w:tcPr>
            <w:tcW w:w="8440" w:type="dxa"/>
            <w:vAlign w:val="bottom"/>
          </w:tcPr>
          <w:p>
            <w:pPr>
              <w:ind w:left="100"/>
              <w:spacing w:after="0"/>
              <w:rPr>
                <w:sz w:val="20"/>
                <w:szCs w:val="20"/>
                <w:color w:val="auto"/>
              </w:rPr>
            </w:pPr>
            <w:r>
              <w:rPr>
                <w:rFonts w:ascii="Arial" w:cs="Arial" w:eastAsia="Arial" w:hAnsi="Arial"/>
                <w:sz w:val="18"/>
                <w:szCs w:val="18"/>
                <w:color w:val="auto"/>
                <w:w w:val="88"/>
              </w:rPr>
              <w:t>We, the selling shareholders, our directors and certain of our executive officers have agreed with the underwriters, not</w:t>
            </w:r>
          </w:p>
        </w:tc>
      </w:tr>
      <w:tr>
        <w:trPr>
          <w:trHeight w:val="216"/>
        </w:trPr>
        <w:tc>
          <w:tcPr>
            <w:tcW w:w="302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auto"/>
                <w:w w:val="91"/>
              </w:rPr>
              <w:t>to dispose of or hedge any of our ordinary shares, ADSs or securities convertible into or exchangeable for ordinary</w:t>
            </w:r>
          </w:p>
        </w:tc>
      </w:tr>
      <w:tr>
        <w:trPr>
          <w:trHeight w:val="216"/>
        </w:trPr>
        <w:tc>
          <w:tcPr>
            <w:tcW w:w="302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auto"/>
                <w:w w:val="89"/>
              </w:rPr>
              <w:t>shares or ADSs during the period from the date of this prospectus continuing through the date 90 days after the date</w:t>
            </w:r>
          </w:p>
        </w:tc>
      </w:tr>
      <w:tr>
        <w:trPr>
          <w:trHeight w:val="216"/>
        </w:trPr>
        <w:tc>
          <w:tcPr>
            <w:tcW w:w="302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auto"/>
                <w:w w:val="97"/>
              </w:rPr>
              <w:t>of this prospectus supplement, except with the prior written consent of William Blair &amp; Company, L.L.C. This</w:t>
            </w:r>
          </w:p>
        </w:tc>
      </w:tr>
      <w:tr>
        <w:trPr>
          <w:trHeight w:val="216"/>
        </w:trPr>
        <w:tc>
          <w:tcPr>
            <w:tcW w:w="302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auto"/>
                <w:w w:val="94"/>
              </w:rPr>
              <w:t>restriction does not apply to us in respect of any existing employee benefit plans. In addition, executive officers</w:t>
            </w:r>
          </w:p>
        </w:tc>
      </w:tr>
      <w:tr>
        <w:trPr>
          <w:trHeight w:val="216"/>
        </w:trPr>
        <w:tc>
          <w:tcPr>
            <w:tcW w:w="302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auto"/>
                <w:w w:val="96"/>
              </w:rPr>
              <w:t>subject to this restriction are permitted pursuant to the terms of their individual lock-up arrangements with the</w:t>
            </w:r>
          </w:p>
        </w:tc>
      </w:tr>
      <w:tr>
        <w:trPr>
          <w:trHeight w:val="216"/>
        </w:trPr>
        <w:tc>
          <w:tcPr>
            <w:tcW w:w="3020" w:type="dxa"/>
            <w:vAlign w:val="bottom"/>
          </w:tcPr>
          <w:p>
            <w:pPr>
              <w:spacing w:after="0"/>
              <w:rPr>
                <w:sz w:val="18"/>
                <w:szCs w:val="18"/>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auto"/>
                <w:w w:val="92"/>
              </w:rPr>
              <w:t>underwriters to sell or otherwise dispose of a limited number of ADSs which, in the aggregate, is limited to 31,200</w:t>
            </w:r>
          </w:p>
        </w:tc>
      </w:tr>
      <w:tr>
        <w:trPr>
          <w:trHeight w:val="222"/>
        </w:trPr>
        <w:tc>
          <w:tcPr>
            <w:tcW w:w="3020" w:type="dxa"/>
            <w:vAlign w:val="bottom"/>
          </w:tcPr>
          <w:p>
            <w:pPr>
              <w:spacing w:after="0"/>
              <w:rPr>
                <w:sz w:val="19"/>
                <w:szCs w:val="19"/>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auto"/>
              </w:rPr>
              <w:t>ADSs.</w:t>
            </w: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Use of proceeds</w:t>
            </w:r>
          </w:p>
        </w:tc>
        <w:tc>
          <w:tcPr>
            <w:tcW w:w="8440" w:type="dxa"/>
            <w:vAlign w:val="bottom"/>
          </w:tcPr>
          <w:p>
            <w:pPr>
              <w:ind w:left="100"/>
              <w:spacing w:after="0"/>
              <w:rPr>
                <w:sz w:val="20"/>
                <w:szCs w:val="20"/>
                <w:color w:val="auto"/>
              </w:rPr>
            </w:pPr>
            <w:r>
              <w:rPr>
                <w:rFonts w:ascii="Arial" w:cs="Arial" w:eastAsia="Arial" w:hAnsi="Arial"/>
                <w:sz w:val="18"/>
                <w:szCs w:val="18"/>
                <w:color w:val="auto"/>
              </w:rPr>
              <w:t>We will not receive any of the proceeds from the sale of ADSs by the selling shareholders.</w:t>
            </w: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Nasdaq symbol</w:t>
            </w:r>
          </w:p>
        </w:tc>
        <w:tc>
          <w:tcPr>
            <w:tcW w:w="8440" w:type="dxa"/>
            <w:vAlign w:val="bottom"/>
          </w:tcPr>
          <w:p>
            <w:pPr>
              <w:ind w:left="100"/>
              <w:spacing w:after="0"/>
              <w:rPr>
                <w:sz w:val="20"/>
                <w:szCs w:val="20"/>
                <w:color w:val="auto"/>
              </w:rPr>
            </w:pPr>
            <w:r>
              <w:rPr>
                <w:rFonts w:ascii="Arial" w:cs="Arial" w:eastAsia="Arial" w:hAnsi="Arial"/>
                <w:sz w:val="18"/>
                <w:szCs w:val="18"/>
                <w:color w:val="auto"/>
              </w:rPr>
              <w:t>ICLR</w:t>
            </w:r>
          </w:p>
        </w:tc>
      </w:tr>
      <w:tr>
        <w:trPr>
          <w:trHeight w:val="675"/>
        </w:trPr>
        <w:tc>
          <w:tcPr>
            <w:tcW w:w="3020" w:type="dxa"/>
            <w:vAlign w:val="bottom"/>
          </w:tcPr>
          <w:p>
            <w:pPr>
              <w:spacing w:after="0"/>
              <w:rPr>
                <w:sz w:val="24"/>
                <w:szCs w:val="24"/>
                <w:color w:val="auto"/>
              </w:rPr>
            </w:pPr>
          </w:p>
        </w:tc>
        <w:tc>
          <w:tcPr>
            <w:tcW w:w="8440" w:type="dxa"/>
            <w:vAlign w:val="bottom"/>
          </w:tcPr>
          <w:p>
            <w:pPr>
              <w:ind w:left="2580"/>
              <w:spacing w:after="0"/>
              <w:rPr>
                <w:sz w:val="20"/>
                <w:szCs w:val="20"/>
                <w:color w:val="auto"/>
              </w:rPr>
            </w:pPr>
            <w:r>
              <w:rPr>
                <w:rFonts w:ascii="Arial" w:cs="Arial" w:eastAsia="Arial" w:hAnsi="Arial"/>
                <w:sz w:val="18"/>
                <w:szCs w:val="18"/>
                <w:color w:val="auto"/>
              </w:rPr>
              <w:t>S-2</w:t>
            </w:r>
          </w:p>
        </w:tc>
      </w:tr>
      <w:tr>
        <w:trPr>
          <w:trHeight w:val="215"/>
        </w:trPr>
        <w:tc>
          <w:tcPr>
            <w:tcW w:w="3020" w:type="dxa"/>
            <w:vAlign w:val="bottom"/>
          </w:tcPr>
          <w:p>
            <w:pPr>
              <w:spacing w:after="0"/>
              <w:rPr>
                <w:sz w:val="18"/>
                <w:szCs w:val="18"/>
                <w:color w:val="auto"/>
              </w:rPr>
            </w:pPr>
          </w:p>
        </w:tc>
        <w:tc>
          <w:tcPr>
            <w:tcW w:w="8440" w:type="dxa"/>
            <w:vAlign w:val="bottom"/>
          </w:tcPr>
          <w:p>
            <w:pPr>
              <w:spacing w:after="0"/>
              <w:rPr>
                <w:sz w:val="18"/>
                <w:szCs w:val="18"/>
                <w:color w:val="auto"/>
              </w:rPr>
            </w:pPr>
          </w:p>
        </w:tc>
      </w:tr>
      <w:tr>
        <w:trPr>
          <w:trHeight w:val="61"/>
        </w:trPr>
        <w:tc>
          <w:tcPr>
            <w:tcW w:w="3020" w:type="dxa"/>
            <w:vAlign w:val="bottom"/>
            <w:shd w:val="clear" w:color="auto" w:fill="808080"/>
          </w:tcPr>
          <w:p>
            <w:pPr>
              <w:spacing w:after="0"/>
              <w:rPr>
                <w:sz w:val="5"/>
                <w:szCs w:val="5"/>
                <w:color w:val="auto"/>
              </w:rPr>
            </w:pPr>
          </w:p>
        </w:tc>
        <w:tc>
          <w:tcPr>
            <w:tcW w:w="8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231" w:lineRule="exact"/>
        <w:rPr>
          <w:sz w:val="20"/>
          <w:szCs w:val="20"/>
          <w:color w:val="auto"/>
        </w:rPr>
      </w:pPr>
    </w:p>
    <w:p>
      <w:pPr>
        <w:ind w:right="120" w:firstLine="436"/>
        <w:spacing w:after="0" w:line="291" w:lineRule="auto"/>
        <w:rPr>
          <w:sz w:val="20"/>
          <w:szCs w:val="20"/>
          <w:color w:val="auto"/>
        </w:rPr>
      </w:pPr>
      <w:r>
        <w:rPr>
          <w:rFonts w:ascii="Arial" w:cs="Arial" w:eastAsia="Arial" w:hAnsi="Arial"/>
          <w:sz w:val="16"/>
          <w:szCs w:val="16"/>
          <w:color w:val="auto"/>
        </w:rPr>
        <w:t>The consolidated financial data set forth below for the transition period ended December 31, 2005 and for the years ended May 31, 2003, 2004 and 2005 have been extracted from our audited consolidated financial statements, which have been audited by KPMG, independent registered public accounting firm, and which are incorporated by herein by reference. The consolidated financial data for the years ended May 31, 2001 and 2002 have been extracted from our audited financial statements not included in or incorporated by reference in this prospectus. We have prepared our consolidated financial statements in accordance with U.S. generally accepted accounting principles. The data set forth below should be read in conjunction with, and are qualified by reference to, our audited and unaudited financial statements incorporated by reference in this prospectus.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9"/>
              </w:rPr>
              <w:t>Year Ended May 31,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7 month</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period ended</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ind w:left="40"/>
              <w:spacing w:after="0"/>
              <w:rPr>
                <w:sz w:val="20"/>
                <w:szCs w:val="20"/>
                <w:color w:val="auto"/>
              </w:rPr>
            </w:pPr>
            <w:r>
              <w:rPr>
                <w:rFonts w:ascii="Arial" w:cs="Arial" w:eastAsia="Arial" w:hAnsi="Arial"/>
                <w:sz w:val="14"/>
                <w:szCs w:val="14"/>
                <w:b w:val="1"/>
                <w:bCs w:val="1"/>
                <w:color w:val="auto"/>
                <w:w w:val="89"/>
              </w:rPr>
              <w:t>(in thousands, except share and per share data)</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Gross revenue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151,832</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218,842</w:t>
            </w:r>
          </w:p>
        </w:tc>
        <w:tc>
          <w:tcPr>
            <w:tcW w:w="80" w:type="dxa"/>
            <w:vAlign w:val="bottom"/>
          </w:tcPr>
          <w:p>
            <w:pPr>
              <w:spacing w:after="0"/>
              <w:rPr>
                <w:sz w:val="18"/>
                <w:szCs w:val="18"/>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340,971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443,875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469,583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275,586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Subcontractor costs(1)</w:t>
            </w:r>
          </w:p>
        </w:tc>
        <w:tc>
          <w:tcPr>
            <w:tcW w:w="260" w:type="dxa"/>
            <w:vAlign w:val="bottom"/>
            <w:shd w:val="clear" w:color="auto" w:fill="E6E6E6"/>
          </w:tcPr>
          <w:p>
            <w:pPr>
              <w:spacing w:after="0"/>
              <w:rPr>
                <w:sz w:val="18"/>
                <w:szCs w:val="18"/>
                <w:color w:val="auto"/>
              </w:rPr>
            </w:pPr>
          </w:p>
        </w:tc>
        <w:tc>
          <w:tcPr>
            <w:tcW w:w="1200" w:type="dxa"/>
            <w:vAlign w:val="bottom"/>
            <w:gridSpan w:val="2"/>
            <w:shd w:val="clear" w:color="auto" w:fill="E6E6E6"/>
          </w:tcPr>
          <w:p>
            <w:pPr>
              <w:jc w:val="right"/>
              <w:ind w:right="180"/>
              <w:spacing w:after="0"/>
              <w:rPr>
                <w:sz w:val="20"/>
                <w:szCs w:val="20"/>
                <w:color w:val="auto"/>
              </w:rPr>
            </w:pPr>
            <w:r>
              <w:rPr>
                <w:rFonts w:ascii="Arial" w:cs="Arial" w:eastAsia="Arial" w:hAnsi="Arial"/>
                <w:sz w:val="18"/>
                <w:szCs w:val="18"/>
                <w:color w:val="auto"/>
              </w:rPr>
              <w:t>(35,669)</w:t>
            </w:r>
          </w:p>
        </w:tc>
        <w:tc>
          <w:tcPr>
            <w:tcW w:w="180" w:type="dxa"/>
            <w:vAlign w:val="bottom"/>
            <w:shd w:val="clear" w:color="auto" w:fill="E6E6E6"/>
          </w:tcPr>
          <w:p>
            <w:pPr>
              <w:spacing w:after="0"/>
              <w:rPr>
                <w:sz w:val="18"/>
                <w:szCs w:val="18"/>
                <w:color w:val="auto"/>
              </w:rPr>
            </w:pPr>
          </w:p>
        </w:tc>
        <w:tc>
          <w:tcPr>
            <w:tcW w:w="10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(62,287)</w:t>
            </w: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300" w:type="dxa"/>
            <w:vAlign w:val="bottom"/>
            <w:gridSpan w:val="3"/>
            <w:shd w:val="clear" w:color="auto" w:fill="E6E6E6"/>
          </w:tcPr>
          <w:p>
            <w:pPr>
              <w:jc w:val="right"/>
              <w:ind w:right="180"/>
              <w:spacing w:after="0"/>
              <w:rPr>
                <w:sz w:val="20"/>
                <w:szCs w:val="20"/>
                <w:color w:val="auto"/>
              </w:rPr>
            </w:pPr>
            <w:r>
              <w:rPr>
                <w:rFonts w:ascii="Arial" w:cs="Arial" w:eastAsia="Arial" w:hAnsi="Arial"/>
                <w:sz w:val="18"/>
                <w:szCs w:val="18"/>
                <w:color w:val="auto"/>
              </w:rPr>
              <w:t>(115,246)</w:t>
            </w: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(146,952)</w:t>
            </w: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4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(142,925)</w:t>
            </w:r>
          </w:p>
        </w:tc>
        <w:tc>
          <w:tcPr>
            <w:tcW w:w="160" w:type="dxa"/>
            <w:vAlign w:val="bottom"/>
            <w:shd w:val="clear" w:color="auto" w:fill="E6E6E6"/>
          </w:tcPr>
          <w:p>
            <w:pPr>
              <w:spacing w:after="0"/>
              <w:rPr>
                <w:sz w:val="18"/>
                <w:szCs w:val="18"/>
                <w:color w:val="auto"/>
              </w:rPr>
            </w:pPr>
          </w:p>
        </w:tc>
        <w:tc>
          <w:tcPr>
            <w:tcW w:w="11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(73,636)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116,163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156,555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225,725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296,923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326,658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Direct costs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63,800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83,371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122,373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162,562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179,661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36,312</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48,951</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71,118</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88,807</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103,784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62,051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Share based compensation(2)</w:t>
            </w:r>
          </w:p>
        </w:tc>
        <w:tc>
          <w:tcPr>
            <w:tcW w:w="260" w:type="dxa"/>
            <w:vAlign w:val="bottom"/>
            <w:shd w:val="clear" w:color="auto" w:fill="E6E6E6"/>
          </w:tcPr>
          <w:p>
            <w:pPr>
              <w:spacing w:after="0"/>
              <w:rPr>
                <w:sz w:val="18"/>
                <w:szCs w:val="18"/>
                <w:color w:val="auto"/>
              </w:rPr>
            </w:pPr>
          </w:p>
        </w:tc>
        <w:tc>
          <w:tcPr>
            <w:tcW w:w="1200" w:type="dxa"/>
            <w:vAlign w:val="bottom"/>
            <w:gridSpan w:val="2"/>
            <w:shd w:val="clear" w:color="auto" w:fill="E6E6E6"/>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8"/>
                <w:szCs w:val="18"/>
                <w:color w:val="auto"/>
              </w:rPr>
            </w:pPr>
          </w:p>
        </w:tc>
        <w:tc>
          <w:tcPr>
            <w:tcW w:w="102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320" w:type="dxa"/>
            <w:vAlign w:val="bottom"/>
            <w:gridSpan w:val="4"/>
            <w:shd w:val="clear" w:color="auto" w:fill="E6E6E6"/>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8"/>
                <w:szCs w:val="18"/>
                <w:color w:val="auto"/>
              </w:rPr>
            </w:pPr>
          </w:p>
        </w:tc>
        <w:tc>
          <w:tcPr>
            <w:tcW w:w="1080" w:type="dxa"/>
            <w:vAlign w:val="bottom"/>
            <w:gridSpan w:val="3"/>
            <w:shd w:val="clear" w:color="auto" w:fill="E6E6E6"/>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1240" w:type="dxa"/>
            <w:vAlign w:val="bottom"/>
            <w:gridSpan w:val="3"/>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Other charges</w:t>
            </w: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3200" w:type="dxa"/>
            <w:vAlign w:val="bottom"/>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Total costs and expenses</w:t>
            </w:r>
          </w:p>
        </w:tc>
        <w:tc>
          <w:tcPr>
            <w:tcW w:w="2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105,087</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138,342</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200,796</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262,540</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308,051</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190,398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20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11,076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24,929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34,383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Net interest income</w:t>
            </w:r>
          </w:p>
        </w:tc>
        <w:tc>
          <w:tcPr>
            <w:tcW w:w="2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2,519</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354</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979</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20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00" w:type="dxa"/>
            <w:vAlign w:val="bottom"/>
            <w:gridSpan w:val="2"/>
          </w:tcPr>
          <w:p>
            <w:pPr>
              <w:spacing w:after="0"/>
              <w:rPr>
                <w:sz w:val="20"/>
                <w:szCs w:val="20"/>
                <w:color w:val="auto"/>
              </w:rPr>
            </w:pPr>
            <w:r>
              <w:rPr>
                <w:rFonts w:ascii="Arial" w:cs="Arial" w:eastAsia="Arial" w:hAnsi="Arial"/>
                <w:sz w:val="18"/>
                <w:szCs w:val="18"/>
                <w:color w:val="auto"/>
                <w:w w:val="96"/>
              </w:rPr>
              <w:t>Income before provision for income taxes</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13,595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19,329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25,283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34,671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19,586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E6E6E6"/>
          </w:tcPr>
          <w:p>
            <w:pPr>
              <w:spacing w:after="0"/>
              <w:rPr>
                <w:sz w:val="18"/>
                <w:szCs w:val="18"/>
                <w:color w:val="auto"/>
              </w:rPr>
            </w:pPr>
          </w:p>
        </w:tc>
        <w:tc>
          <w:tcPr>
            <w:tcW w:w="1200" w:type="dxa"/>
            <w:vAlign w:val="bottom"/>
            <w:gridSpan w:val="2"/>
            <w:shd w:val="clear" w:color="auto" w:fill="E6E6E6"/>
          </w:tcPr>
          <w:p>
            <w:pPr>
              <w:jc w:val="right"/>
              <w:ind w:right="180"/>
              <w:spacing w:after="0"/>
              <w:rPr>
                <w:sz w:val="20"/>
                <w:szCs w:val="20"/>
                <w:color w:val="auto"/>
              </w:rPr>
            </w:pPr>
            <w:r>
              <w:rPr>
                <w:rFonts w:ascii="Arial" w:cs="Arial" w:eastAsia="Arial" w:hAnsi="Arial"/>
                <w:sz w:val="18"/>
                <w:szCs w:val="18"/>
                <w:color w:val="auto"/>
              </w:rPr>
              <w:t>(2,617)</w:t>
            </w:r>
          </w:p>
        </w:tc>
        <w:tc>
          <w:tcPr>
            <w:tcW w:w="180" w:type="dxa"/>
            <w:vAlign w:val="bottom"/>
            <w:shd w:val="clear" w:color="auto" w:fill="E6E6E6"/>
          </w:tcPr>
          <w:p>
            <w:pPr>
              <w:spacing w:after="0"/>
              <w:rPr>
                <w:sz w:val="18"/>
                <w:szCs w:val="18"/>
                <w:color w:val="auto"/>
              </w:rPr>
            </w:pPr>
          </w:p>
        </w:tc>
        <w:tc>
          <w:tcPr>
            <w:tcW w:w="10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(5,129)</w:t>
            </w: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300" w:type="dxa"/>
            <w:vAlign w:val="bottom"/>
            <w:gridSpan w:val="3"/>
            <w:shd w:val="clear" w:color="auto" w:fill="E6E6E6"/>
          </w:tcPr>
          <w:p>
            <w:pPr>
              <w:jc w:val="right"/>
              <w:ind w:right="180"/>
              <w:spacing w:after="0"/>
              <w:rPr>
                <w:sz w:val="20"/>
                <w:szCs w:val="20"/>
                <w:color w:val="auto"/>
              </w:rPr>
            </w:pPr>
            <w:r>
              <w:rPr>
                <w:rFonts w:ascii="Arial" w:cs="Arial" w:eastAsia="Arial" w:hAnsi="Arial"/>
                <w:sz w:val="18"/>
                <w:szCs w:val="18"/>
                <w:color w:val="auto"/>
              </w:rPr>
              <w:t>(7,000)</w:t>
            </w: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(8,929)</w:t>
            </w: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4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(5,852)</w:t>
            </w:r>
          </w:p>
        </w:tc>
        <w:tc>
          <w:tcPr>
            <w:tcW w:w="160" w:type="dxa"/>
            <w:vAlign w:val="bottom"/>
            <w:shd w:val="clear" w:color="auto" w:fill="E6E6E6"/>
          </w:tcPr>
          <w:p>
            <w:pPr>
              <w:spacing w:after="0"/>
              <w:rPr>
                <w:sz w:val="18"/>
                <w:szCs w:val="18"/>
                <w:color w:val="auto"/>
              </w:rPr>
            </w:pPr>
          </w:p>
        </w:tc>
        <w:tc>
          <w:tcPr>
            <w:tcW w:w="11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3200" w:type="dxa"/>
            <w:vAlign w:val="bottom"/>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E6E6E6"/>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10,978</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14,200</w:t>
            </w:r>
          </w:p>
        </w:tc>
        <w:tc>
          <w:tcPr>
            <w:tcW w:w="80" w:type="dxa"/>
            <w:vAlign w:val="bottom"/>
            <w:shd w:val="clear" w:color="auto" w:fill="E6E6E6"/>
          </w:tcPr>
          <w:p>
            <w:pPr>
              <w:spacing w:after="0"/>
              <w:rPr>
                <w:sz w:val="18"/>
                <w:szCs w:val="18"/>
                <w:color w:val="auto"/>
              </w:rPr>
            </w:pPr>
          </w:p>
        </w:tc>
        <w:tc>
          <w:tcPr>
            <w:tcW w:w="280" w:type="dxa"/>
            <w:vAlign w:val="bottom"/>
            <w:gridSpan w:val="2"/>
            <w:shd w:val="clear" w:color="auto" w:fill="E6E6E6"/>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18,283</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25,742</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13,545</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7,418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200" w:type="dxa"/>
            <w:vAlign w:val="bottom"/>
            <w:gridSpan w:val="2"/>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3200" w:type="dxa"/>
            <w:vAlign w:val="bottom"/>
            <w:gridSpan w:val="2"/>
          </w:tcPr>
          <w:p>
            <w:pPr>
              <w:spacing w:after="0"/>
              <w:rPr>
                <w:sz w:val="20"/>
                <w:szCs w:val="20"/>
                <w:color w:val="auto"/>
              </w:rPr>
            </w:pPr>
            <w:r>
              <w:rPr>
                <w:rFonts w:ascii="Arial" w:cs="Arial" w:eastAsia="Arial" w:hAnsi="Arial"/>
                <w:sz w:val="18"/>
                <w:szCs w:val="18"/>
                <w:color w:val="auto"/>
              </w:rPr>
              <w:t>Net income per ordinary share(3):</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E6E6E6"/>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0.97</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E6E6E6"/>
          </w:tcPr>
          <w:p>
            <w:pPr>
              <w:spacing w:after="0"/>
              <w:rPr>
                <w:sz w:val="18"/>
                <w:szCs w:val="18"/>
                <w:color w:val="auto"/>
              </w:rPr>
            </w:pPr>
          </w:p>
        </w:tc>
        <w:tc>
          <w:tcPr>
            <w:tcW w:w="280" w:type="dxa"/>
            <w:vAlign w:val="bottom"/>
            <w:gridSpan w:val="2"/>
            <w:shd w:val="clear" w:color="auto" w:fill="E6E6E6"/>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0.98</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0.92</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4"/>
                <w:szCs w:val="24"/>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200" w:type="dxa"/>
            <w:vAlign w:val="bottom"/>
            <w:gridSpan w:val="2"/>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Weighted average number of ordinary</w:t>
            </w:r>
          </w:p>
        </w:tc>
        <w:tc>
          <w:tcPr>
            <w:tcW w:w="26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shares outstanding:</w:t>
            </w:r>
          </w:p>
        </w:tc>
        <w:tc>
          <w:tcPr>
            <w:tcW w:w="260" w:type="dxa"/>
            <w:vAlign w:val="bottom"/>
            <w:shd w:val="clear" w:color="auto" w:fill="E6E6E6"/>
          </w:tcPr>
          <w:p>
            <w:pPr>
              <w:spacing w:after="0"/>
              <w:rPr>
                <w:sz w:val="19"/>
                <w:szCs w:val="19"/>
                <w:color w:val="auto"/>
              </w:rPr>
            </w:pPr>
          </w:p>
        </w:tc>
        <w:tc>
          <w:tcPr>
            <w:tcW w:w="10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11,292,610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11,656,153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11,813,788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13,267,531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13,860,203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13,970,106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11,943,849</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12,241,820</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12,181,094</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0"/>
              </w:rPr>
              <w:t>13,703,163</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14,153,445</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14,247,542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1"/>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As of May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gridSpan w:val="3"/>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11,179</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36,291</w:t>
            </w:r>
          </w:p>
        </w:tc>
        <w:tc>
          <w:tcPr>
            <w:tcW w:w="80" w:type="dxa"/>
            <w:vAlign w:val="bottom"/>
          </w:tcPr>
          <w:p>
            <w:pPr>
              <w:spacing w:after="0"/>
              <w:rPr>
                <w:sz w:val="18"/>
                <w:szCs w:val="18"/>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55,678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56,341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Short term investments</w:t>
            </w:r>
          </w:p>
        </w:tc>
        <w:tc>
          <w:tcPr>
            <w:tcW w:w="2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35,941</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18,551</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320" w:type="dxa"/>
            <w:vAlign w:val="bottom"/>
            <w:gridSpan w:val="4"/>
            <w:shd w:val="clear" w:color="auto" w:fill="E6E6E6"/>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23,085</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22,034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Working capital</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72,923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125,288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128,967</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165,794</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235,014</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335,323</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347,553</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6E6E6"/>
          </w:tcPr>
          <w:p>
            <w:pPr>
              <w:spacing w:after="0"/>
              <w:rPr>
                <w:sz w:val="20"/>
                <w:szCs w:val="20"/>
                <w:color w:val="auto"/>
              </w:rPr>
            </w:pPr>
            <w:r>
              <w:rPr>
                <w:rFonts w:ascii="Arial" w:cs="Arial" w:eastAsia="Arial" w:hAnsi="Arial"/>
                <w:sz w:val="18"/>
                <w:szCs w:val="18"/>
                <w:color w:val="auto"/>
              </w:rPr>
              <w:t>Government grants</w:t>
            </w:r>
          </w:p>
        </w:tc>
        <w:tc>
          <w:tcPr>
            <w:tcW w:w="2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962</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1,140</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1,411</w:t>
            </w: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1,257</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86,580</w:t>
            </w:r>
          </w:p>
        </w:tc>
        <w:tc>
          <w:tcPr>
            <w:tcW w:w="2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107,561</w:t>
            </w:r>
          </w:p>
        </w:tc>
        <w:tc>
          <w:tcPr>
            <w:tcW w:w="80" w:type="dxa"/>
            <w:vAlign w:val="bottom"/>
          </w:tcPr>
          <w:p>
            <w:pPr>
              <w:spacing w:after="0"/>
              <w:rPr>
                <w:sz w:val="19"/>
                <w:szCs w:val="19"/>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136,910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216,760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233,066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-3641725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-3641725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-3641725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-3641725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-3641725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-3641725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-3641725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-3641725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-3641725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-3641725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-3641725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-3641725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-3641725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-3641725</wp:posOffset>
            </wp:positionV>
            <wp:extent cx="154749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7495" cy="2984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-3204210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-3204210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-3204210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-3204210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-3204210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-3204210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-3204210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-3204210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-3204210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-3204210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-3204210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-3204210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-3204210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-3204210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-3204210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-3204210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-3204210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-3204210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-2903855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-2903855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-2903855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-2903855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-2903855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-2903855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-2903855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-2903855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-2903855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-2903855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-2903855</wp:posOffset>
            </wp:positionV>
            <wp:extent cx="240538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5380" cy="2984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-2329815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-2329815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-2329815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-2329815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-2329815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-2329815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-2329815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-2329815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-2329815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-2329815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-2329815</wp:posOffset>
            </wp:positionV>
            <wp:extent cx="240538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05380" cy="29845"/>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-2029460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-2029460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-2029460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-2029460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-2029460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-2029460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-2029460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-2029460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-2029460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-2029460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-2029460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-2029460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-2029460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-2029460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-2029460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-2029460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-2029460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-2029460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10464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14" w:lineRule="exact"/>
        <w:rPr>
          <w:sz w:val="20"/>
          <w:szCs w:val="20"/>
          <w:color w:val="auto"/>
        </w:rPr>
      </w:pPr>
    </w:p>
    <w:p>
      <w:pPr>
        <w:ind w:left="580" w:right="60" w:hanging="572"/>
        <w:spacing w:after="0" w:line="239"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Subcontractor costs comprise investigator payments and certain other costs reimbursed by clients under terms specific to each of ICON’s contracts. See Note 2 (d) to the audited consolidated financial statements.</w:t>
      </w:r>
    </w:p>
    <w:p>
      <w:pPr>
        <w:spacing w:after="0" w:line="125" w:lineRule="exact"/>
        <w:rPr>
          <w:rFonts w:ascii="Arial" w:cs="Arial" w:eastAsia="Arial" w:hAnsi="Arial"/>
          <w:sz w:val="14"/>
          <w:szCs w:val="14"/>
          <w:color w:val="auto"/>
        </w:rPr>
      </w:pPr>
    </w:p>
    <w:p>
      <w:pPr>
        <w:ind w:left="580" w:right="100" w:hanging="572"/>
        <w:spacing w:after="0" w:line="239"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$6.2 million stock compensation expensed during the period ended December 31, 2005 including an expense of $6.0 million recorded in relation to the transfer of 144,000 shares from the founders of the company to the Chief Executive Officer.</w:t>
      </w:r>
    </w:p>
    <w:p>
      <w:pPr>
        <w:spacing w:after="0" w:line="125" w:lineRule="exact"/>
        <w:rPr>
          <w:rFonts w:ascii="Arial" w:cs="Arial" w:eastAsia="Arial" w:hAnsi="Arial"/>
          <w:sz w:val="14"/>
          <w:szCs w:val="14"/>
          <w:color w:val="auto"/>
        </w:rPr>
      </w:pPr>
    </w:p>
    <w:p>
      <w:pPr>
        <w:ind w:left="580" w:hanging="572"/>
        <w:spacing w:after="0"/>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Net income per ordinary share is based on the weighted average number of outstanding ordinary shares. Diluted net income per share includes potential ordinary shares from the exercise of options.</w:t>
      </w:r>
    </w:p>
    <w:p>
      <w:pPr>
        <w:sectPr>
          <w:pgSz w:w="11900" w:h="16838" w:orient="portrait"/>
          <w:cols w:equalWidth="0" w:num="1">
            <w:col w:w="11420"/>
          </w:cols>
          <w:pgMar w:left="240" w:top="584" w:right="239"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31"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This prospectus supplement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under in “Risk Factors” in the core prospectus and elsewhere in this prospectus supplement, in the core prospectus, as well as in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supplement. We undertake no obligation to update these statements or publicly release the results of any revisions to the forward-looking statements that we may make to reflect events or circumstances after the date of this prospectus supplement or to reflect the occurrence of unanticipated events.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PRICE RANGE OF ADSs AND DIVIDEND POLICY</w:t>
      </w:r>
    </w:p>
    <w:p>
      <w:pPr>
        <w:spacing w:after="0" w:line="231" w:lineRule="exact"/>
        <w:rPr>
          <w:sz w:val="20"/>
          <w:szCs w:val="20"/>
          <w:color w:val="auto"/>
        </w:rPr>
      </w:pPr>
    </w:p>
    <w:p>
      <w:pPr>
        <w:ind w:right="120" w:firstLine="439"/>
        <w:spacing w:after="0" w:line="291" w:lineRule="auto"/>
        <w:rPr>
          <w:sz w:val="20"/>
          <w:szCs w:val="20"/>
          <w:color w:val="auto"/>
        </w:rPr>
      </w:pPr>
      <w:r>
        <w:rPr>
          <w:rFonts w:ascii="Arial" w:cs="Arial" w:eastAsia="Arial" w:hAnsi="Arial"/>
          <w:sz w:val="16"/>
          <w:szCs w:val="16"/>
          <w:color w:val="auto"/>
        </w:rPr>
        <w:t>Our ADSs are traded on The Nasdaq National Market under the symbol “ICLR.” A total of 14,176,636 ordinary shares were issued and outstanding as of June 30, 2006, of which 14,019,325 were held in the form of ADSs. At the same date, no ordinary shares were held by individual holders of record in the United States except for ordinary shares held in the form of ADSs, approximately 99% of which are held by holders of record in the United States. Because some of these ordinary shares and ADSs were held by brokers or nominees, the number of holders of record or registered holders in the United States may not be representative of the number or residence of beneficial holders. The high and low per share sale prices for our ADSs on The Nasdaq National Market for the months and periods indicated below were as follows, in each case as reported in published financial sources.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9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5"/>
              </w:rPr>
              <w:t>ADSs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9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6"/>
              </w:rPr>
              <w:t>Nasdaq</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8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6E6E6"/>
          </w:tcPr>
          <w:p>
            <w:pPr>
              <w:spacing w:after="0"/>
              <w:rPr>
                <w:sz w:val="20"/>
                <w:szCs w:val="20"/>
                <w:color w:val="auto"/>
              </w:rPr>
            </w:pPr>
            <w:r>
              <w:rPr>
                <w:rFonts w:ascii="Arial" w:cs="Arial" w:eastAsia="Arial" w:hAnsi="Arial"/>
                <w:sz w:val="18"/>
                <w:szCs w:val="18"/>
                <w:color w:val="auto"/>
              </w:rPr>
              <w:t>LAST THREE MONTHS:</w:t>
            </w:r>
          </w:p>
        </w:tc>
        <w:tc>
          <w:tcPr>
            <w:tcW w:w="400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4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July 2006</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   68.00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6E6E6"/>
          </w:tcPr>
          <w:p>
            <w:pPr>
              <w:spacing w:after="0"/>
              <w:rPr>
                <w:sz w:val="20"/>
                <w:szCs w:val="20"/>
                <w:color w:val="auto"/>
              </w:rPr>
            </w:pPr>
            <w:r>
              <w:rPr>
                <w:rFonts w:ascii="Arial" w:cs="Arial" w:eastAsia="Arial" w:hAnsi="Arial"/>
                <w:sz w:val="18"/>
                <w:szCs w:val="18"/>
                <w:color w:val="auto"/>
              </w:rPr>
              <w:t>June 2006</w:t>
            </w:r>
          </w:p>
        </w:tc>
        <w:tc>
          <w:tcPr>
            <w:tcW w:w="47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48.72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May 2006</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57.31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6E6E6"/>
          </w:tcPr>
          <w:p>
            <w:pPr>
              <w:spacing w:after="0"/>
              <w:rPr>
                <w:sz w:val="20"/>
                <w:szCs w:val="20"/>
                <w:color w:val="auto"/>
              </w:rPr>
            </w:pPr>
            <w:r>
              <w:rPr>
                <w:rFonts w:ascii="Arial" w:cs="Arial" w:eastAsia="Arial" w:hAnsi="Arial"/>
                <w:sz w:val="18"/>
                <w:szCs w:val="18"/>
                <w:color w:val="auto"/>
              </w:rPr>
              <w:t>FISCAL 2006:</w:t>
            </w:r>
          </w:p>
        </w:tc>
        <w:tc>
          <w:tcPr>
            <w:tcW w:w="4000" w:type="dxa"/>
            <w:vAlign w:val="bottom"/>
            <w:shd w:val="clear" w:color="auto" w:fill="E6E6E6"/>
          </w:tcPr>
          <w:p>
            <w:pPr>
              <w:spacing w:after="0"/>
              <w:rPr>
                <w:sz w:val="18"/>
                <w:szCs w:val="18"/>
                <w:color w:val="auto"/>
              </w:rPr>
            </w:pPr>
          </w:p>
        </w:tc>
        <w:tc>
          <w:tcPr>
            <w:tcW w:w="7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4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rPr>
              <w:t>Second Quarter</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57.31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Please see page 11 of the core prospectus for more detail regarding the price range of our ADSs for prior fiscal periods.</w:t>
      </w:r>
    </w:p>
    <w:p>
      <w:pPr>
        <w:spacing w:after="0" w:line="225" w:lineRule="exact"/>
        <w:rPr>
          <w:sz w:val="20"/>
          <w:szCs w:val="20"/>
          <w:color w:val="auto"/>
        </w:rPr>
      </w:pPr>
    </w:p>
    <w:p>
      <w:pPr>
        <w:ind w:right="660" w:firstLine="439"/>
        <w:spacing w:after="0" w:line="268" w:lineRule="auto"/>
        <w:rPr>
          <w:sz w:val="20"/>
          <w:szCs w:val="20"/>
          <w:color w:val="auto"/>
        </w:rPr>
      </w:pPr>
      <w:r>
        <w:rPr>
          <w:rFonts w:ascii="Arial" w:cs="Arial" w:eastAsia="Arial" w:hAnsi="Arial"/>
          <w:sz w:val="18"/>
          <w:szCs w:val="18"/>
          <w:color w:val="auto"/>
        </w:rPr>
        <w:t>Our ordinary shares are also traded on the Official List of the Irish Stock Exchange; however, to date there has been limited trading activity on this exchange.</w:t>
      </w:r>
    </w:p>
    <w:p>
      <w:pPr>
        <w:spacing w:after="0" w:line="186" w:lineRule="exact"/>
        <w:rPr>
          <w:sz w:val="20"/>
          <w:szCs w:val="20"/>
          <w:color w:val="auto"/>
        </w:rPr>
      </w:pPr>
    </w:p>
    <w:p>
      <w:pPr>
        <w:ind w:right="60" w:firstLine="436"/>
        <w:spacing w:after="0" w:line="256" w:lineRule="auto"/>
        <w:rPr>
          <w:sz w:val="20"/>
          <w:szCs w:val="20"/>
          <w:color w:val="auto"/>
        </w:rPr>
      </w:pPr>
      <w:r>
        <w:rPr>
          <w:rFonts w:ascii="Arial" w:cs="Arial" w:eastAsia="Arial" w:hAnsi="Arial"/>
          <w:sz w:val="18"/>
          <w:szCs w:val="18"/>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We paid no dividends in fiscal year 1996 through the present.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right="240" w:firstLine="436"/>
        <w:spacing w:after="0" w:line="268" w:lineRule="auto"/>
        <w:rPr>
          <w:sz w:val="20"/>
          <w:szCs w:val="20"/>
          <w:color w:val="auto"/>
        </w:rPr>
      </w:pPr>
      <w:r>
        <w:rPr>
          <w:rFonts w:ascii="Arial" w:cs="Arial" w:eastAsia="Arial" w:hAnsi="Arial"/>
          <w:sz w:val="18"/>
          <w:szCs w:val="18"/>
          <w:color w:val="auto"/>
        </w:rPr>
        <w:t>The following table sets forth, as of June 30, 2006, our cash and cash equivalents, short-term investments and capitalization. As of June 30, 2006, we had no debt outstanding and had current liabilities of approximately $123.2 million.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June 30, 2006 (1)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640" w:type="dxa"/>
            <w:vAlign w:val="bottom"/>
            <w:gridSpan w:val="2"/>
          </w:tcPr>
          <w:p>
            <w:pPr>
              <w:spacing w:after="0"/>
              <w:rPr>
                <w:sz w:val="11"/>
                <w:szCs w:val="11"/>
                <w:color w:val="auto"/>
              </w:rPr>
            </w:pPr>
          </w:p>
        </w:tc>
        <w:tc>
          <w:tcPr>
            <w:tcW w:w="8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gridSpan w:val="4"/>
            <w:shd w:val="clear" w:color="auto" w:fill="E6E6E6"/>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63,186</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gridSpan w:val="2"/>
          </w:tcPr>
          <w:p>
            <w:pPr>
              <w:spacing w:after="0"/>
              <w:rPr>
                <w:sz w:val="11"/>
                <w:szCs w:val="11"/>
                <w:color w:val="auto"/>
              </w:rPr>
            </w:pPr>
          </w:p>
        </w:tc>
        <w:tc>
          <w:tcPr>
            <w:tcW w:w="8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2"/>
        </w:trPr>
        <w:tc>
          <w:tcPr>
            <w:tcW w:w="9960" w:type="dxa"/>
            <w:vAlign w:val="bottom"/>
            <w:gridSpan w:val="5"/>
          </w:tcPr>
          <w:p>
            <w:pPr>
              <w:spacing w:after="0"/>
              <w:rPr>
                <w:sz w:val="20"/>
                <w:szCs w:val="20"/>
                <w:color w:val="auto"/>
              </w:rPr>
            </w:pPr>
            <w:r>
              <w:rPr>
                <w:rFonts w:ascii="Arial" w:cs="Arial" w:eastAsia="Arial" w:hAnsi="Arial"/>
                <w:sz w:val="18"/>
                <w:szCs w:val="18"/>
                <w:color w:val="auto"/>
              </w:rPr>
              <w:t>Short-term investments (available for sale)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37,827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40" w:type="dxa"/>
            <w:vAlign w:val="bottom"/>
            <w:gridSpan w:val="2"/>
          </w:tcPr>
          <w:p>
            <w:pPr>
              <w:spacing w:after="0"/>
              <w:rPr>
                <w:sz w:val="11"/>
                <w:szCs w:val="11"/>
                <w:color w:val="auto"/>
              </w:rPr>
            </w:pPr>
          </w:p>
        </w:tc>
        <w:tc>
          <w:tcPr>
            <w:tcW w:w="8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1640" w:type="dxa"/>
            <w:vAlign w:val="bottom"/>
            <w:gridSpan w:val="2"/>
          </w:tcPr>
          <w:p>
            <w:pPr>
              <w:spacing w:after="0"/>
              <w:rPr>
                <w:sz w:val="22"/>
                <w:szCs w:val="22"/>
                <w:color w:val="auto"/>
              </w:rPr>
            </w:pPr>
          </w:p>
        </w:tc>
        <w:tc>
          <w:tcPr>
            <w:tcW w:w="830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gridSpan w:val="4"/>
            <w:shd w:val="clear" w:color="auto" w:fill="E6E6E6"/>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E6E6E6"/>
          </w:tcPr>
          <w:p>
            <w:pPr>
              <w:spacing w:after="0"/>
              <w:rPr>
                <w:sz w:val="18"/>
                <w:szCs w:val="18"/>
                <w:color w:val="auto"/>
              </w:rPr>
            </w:pPr>
          </w:p>
        </w:tc>
        <w:tc>
          <w:tcPr>
            <w:tcW w:w="12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9960" w:type="dxa"/>
            <w:vAlign w:val="bottom"/>
            <w:gridSpan w:val="5"/>
          </w:tcPr>
          <w:p>
            <w:pPr>
              <w:spacing w:after="0"/>
              <w:rPr>
                <w:sz w:val="20"/>
                <w:szCs w:val="20"/>
                <w:color w:val="auto"/>
              </w:rPr>
            </w:pPr>
            <w:r>
              <w:rPr>
                <w:rFonts w:ascii="Arial" w:cs="Arial" w:eastAsia="Arial" w:hAnsi="Arial"/>
                <w:sz w:val="18"/>
                <w:szCs w:val="18"/>
                <w:color w:val="auto"/>
              </w:rPr>
              <w:t>Ordinary shares, par value € 0.06 per share: 20,000,000 shares authorized; 14,176,636 shares issued and outstanding</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940" w:type="dxa"/>
            <w:vAlign w:val="bottom"/>
            <w:gridSpan w:val="4"/>
            <w:shd w:val="clear" w:color="auto" w:fill="E6E6E6"/>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129,443</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4"/>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4"/>
            <w:shd w:val="clear" w:color="auto" w:fill="E6E6E6"/>
          </w:tcPr>
          <w:p>
            <w:pPr>
              <w:spacing w:after="0"/>
              <w:rPr>
                <w:sz w:val="20"/>
                <w:szCs w:val="20"/>
                <w:color w:val="auto"/>
              </w:rPr>
            </w:pPr>
            <w:r>
              <w:rPr>
                <w:rFonts w:ascii="Arial" w:cs="Arial" w:eastAsia="Arial" w:hAnsi="Arial"/>
                <w:sz w:val="18"/>
                <w:szCs w:val="18"/>
                <w:color w:val="auto"/>
              </w:rPr>
              <w:t>Merger reserve</w:t>
            </w:r>
          </w:p>
        </w:tc>
        <w:tc>
          <w:tcPr>
            <w:tcW w:w="10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4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130,614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gridSpan w:val="2"/>
          </w:tcPr>
          <w:p>
            <w:pPr>
              <w:spacing w:after="0"/>
              <w:rPr>
                <w:sz w:val="8"/>
                <w:szCs w:val="8"/>
                <w:color w:val="auto"/>
              </w:rPr>
            </w:pPr>
          </w:p>
        </w:tc>
        <w:tc>
          <w:tcPr>
            <w:tcW w:w="8300" w:type="dxa"/>
            <w:vAlign w:val="bottom"/>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gridSpan w:val="2"/>
          </w:tcPr>
          <w:p>
            <w:pPr>
              <w:spacing w:after="0"/>
              <w:rPr>
                <w:sz w:val="8"/>
                <w:szCs w:val="8"/>
                <w:color w:val="auto"/>
              </w:rPr>
            </w:pPr>
          </w:p>
        </w:tc>
        <w:tc>
          <w:tcPr>
            <w:tcW w:w="83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4"/>
            <w:shd w:val="clear" w:color="auto" w:fill="E6E6E6"/>
          </w:tcPr>
          <w:p>
            <w:pPr>
              <w:ind w:left="14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269,329</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30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gridSpan w:val="3"/>
          </w:tcPr>
          <w:p>
            <w:pPr>
              <w:ind w:left="60"/>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269,329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8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60" w:type="dxa"/>
            <w:vAlign w:val="bottom"/>
            <w:gridSpan w:val="2"/>
          </w:tcPr>
          <w:p>
            <w:pPr>
              <w:spacing w:after="0"/>
              <w:rPr>
                <w:sz w:val="20"/>
                <w:szCs w:val="20"/>
                <w:color w:val="auto"/>
              </w:rPr>
            </w:pPr>
            <w:r>
              <w:rPr>
                <w:rFonts w:ascii="Arial" w:cs="Arial" w:eastAsia="Arial" w:hAnsi="Arial"/>
                <w:sz w:val="18"/>
                <w:szCs w:val="18"/>
                <w:color w:val="auto"/>
              </w:rPr>
              <w:t>(1)</w:t>
            </w:r>
          </w:p>
        </w:tc>
        <w:tc>
          <w:tcPr>
            <w:tcW w:w="9700" w:type="dxa"/>
            <w:vAlign w:val="bottom"/>
            <w:gridSpan w:val="3"/>
          </w:tcPr>
          <w:p>
            <w:pPr>
              <w:ind w:left="320"/>
              <w:spacing w:after="0"/>
              <w:rPr>
                <w:sz w:val="20"/>
                <w:szCs w:val="20"/>
                <w:color w:val="auto"/>
              </w:rPr>
            </w:pPr>
            <w:r>
              <w:rPr>
                <w:rFonts w:ascii="Arial" w:cs="Arial" w:eastAsia="Arial" w:hAnsi="Arial"/>
                <w:sz w:val="18"/>
                <w:szCs w:val="18"/>
                <w:color w:val="auto"/>
              </w:rPr>
              <w:t>There has been no material change since June 30, 2006 in the total capitalization of the Company.</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300" w:type="dxa"/>
            <w:vAlign w:val="bottom"/>
            <w:gridSpan w:val="2"/>
          </w:tcPr>
          <w:p>
            <w:pPr>
              <w:ind w:left="3940"/>
              <w:spacing w:after="0"/>
              <w:rPr>
                <w:sz w:val="20"/>
                <w:szCs w:val="20"/>
                <w:color w:val="auto"/>
              </w:rPr>
            </w:pPr>
            <w:r>
              <w:rPr>
                <w:rFonts w:ascii="Arial" w:cs="Arial" w:eastAsia="Arial" w:hAnsi="Arial"/>
                <w:sz w:val="18"/>
                <w:szCs w:val="18"/>
                <w:color w:val="auto"/>
              </w:rPr>
              <w:t>S-6</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82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6306185</wp:posOffset>
            </wp:positionH>
            <wp:positionV relativeFrom="paragraph">
              <wp:posOffset>-2945130</wp:posOffset>
            </wp:positionV>
            <wp:extent cx="88773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773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-2644775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-2644775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-2644775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-904240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-904240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-904240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right="40" w:firstLine="436"/>
        <w:spacing w:after="0" w:line="268" w:lineRule="auto"/>
        <w:rPr>
          <w:sz w:val="20"/>
          <w:szCs w:val="20"/>
          <w:color w:val="auto"/>
        </w:rPr>
      </w:pPr>
      <w:r>
        <w:rPr>
          <w:rFonts w:ascii="Arial" w:cs="Arial" w:eastAsia="Arial" w:hAnsi="Arial"/>
          <w:sz w:val="18"/>
          <w:szCs w:val="18"/>
          <w:color w:val="auto"/>
        </w:rPr>
        <w:t>The following table sets forth certain information regarding the beneficial ownership of our ordinary shares as of July 31, 2006 by the selling shareholders in this offering.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Number of</w:t>
            </w:r>
          </w:p>
        </w:tc>
        <w:tc>
          <w:tcPr>
            <w:tcW w:w="1740" w:type="dxa"/>
            <w:vAlign w:val="bottom"/>
            <w:gridSpan w:val="3"/>
          </w:tcPr>
          <w:p>
            <w:pPr>
              <w:jc w:val="center"/>
              <w:ind w:left="647"/>
              <w:spacing w:after="0"/>
              <w:rPr>
                <w:sz w:val="20"/>
                <w:szCs w:val="20"/>
                <w:color w:val="auto"/>
              </w:rPr>
            </w:pPr>
            <w:r>
              <w:rPr>
                <w:rFonts w:ascii="Arial" w:cs="Arial" w:eastAsia="Arial" w:hAnsi="Arial"/>
                <w:sz w:val="14"/>
                <w:szCs w:val="14"/>
                <w:b w:val="1"/>
                <w:bCs w:val="1"/>
                <w:color w:val="auto"/>
                <w:w w:val="81"/>
              </w:rPr>
              <w:t>Shares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60" w:type="dxa"/>
            <w:vAlign w:val="bottom"/>
            <w:gridSpan w:val="3"/>
            <w:vMerge w:val="restart"/>
          </w:tcPr>
          <w:p>
            <w:pPr>
              <w:jc w:val="center"/>
              <w:ind w:left="586"/>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740" w:type="dxa"/>
            <w:vAlign w:val="bottom"/>
            <w:gridSpan w:val="3"/>
            <w:vMerge w:val="restart"/>
          </w:tcPr>
          <w:p>
            <w:pPr>
              <w:jc w:val="center"/>
              <w:ind w:left="647"/>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6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Shares (in</w:t>
            </w:r>
          </w:p>
        </w:tc>
        <w:tc>
          <w:tcPr>
            <w:tcW w:w="174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60" w:type="dxa"/>
            <w:vAlign w:val="bottom"/>
            <w:gridSpan w:val="3"/>
            <w:vMerge w:val="restart"/>
          </w:tcPr>
          <w:p>
            <w:pPr>
              <w:jc w:val="center"/>
              <w:ind w:left="586"/>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740" w:type="dxa"/>
            <w:vAlign w:val="bottom"/>
            <w:gridSpan w:val="3"/>
            <w:vMerge w:val="restart"/>
          </w:tcPr>
          <w:p>
            <w:pPr>
              <w:jc w:val="center"/>
              <w:ind w:left="647"/>
              <w:spacing w:after="0" w:line="149" w:lineRule="exact"/>
              <w:rPr>
                <w:sz w:val="20"/>
                <w:szCs w:val="20"/>
                <w:color w:val="auto"/>
              </w:rPr>
            </w:pPr>
            <w:r>
              <w:rPr>
                <w:rFonts w:ascii="Arial" w:cs="Arial" w:eastAsia="Arial" w:hAnsi="Arial"/>
                <w:sz w:val="14"/>
                <w:szCs w:val="14"/>
                <w:b w:val="1"/>
                <w:bCs w:val="1"/>
                <w:color w:val="auto"/>
                <w:w w:val="88"/>
              </w:rPr>
              <w:t>Owned After</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6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the form of</w:t>
            </w:r>
          </w:p>
        </w:tc>
        <w:tc>
          <w:tcPr>
            <w:tcW w:w="174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60" w:type="dxa"/>
            <w:vAlign w:val="bottom"/>
            <w:gridSpan w:val="3"/>
            <w:vMerge w:val="restart"/>
          </w:tcPr>
          <w:p>
            <w:pPr>
              <w:jc w:val="center"/>
              <w:ind w:left="586"/>
              <w:spacing w:after="0"/>
              <w:rPr>
                <w:sz w:val="20"/>
                <w:szCs w:val="20"/>
                <w:color w:val="auto"/>
              </w:rPr>
            </w:pPr>
            <w:r>
              <w:rPr>
                <w:rFonts w:ascii="Arial" w:cs="Arial" w:eastAsia="Arial" w:hAnsi="Arial"/>
                <w:sz w:val="14"/>
                <w:szCs w:val="14"/>
                <w:b w:val="1"/>
                <w:bCs w:val="1"/>
                <w:color w:val="auto"/>
                <w:w w:val="90"/>
              </w:rPr>
              <w:t>This Offering(1)</w:t>
            </w: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740" w:type="dxa"/>
            <w:vAlign w:val="bottom"/>
            <w:gridSpan w:val="3"/>
            <w:vMerge w:val="restart"/>
          </w:tcPr>
          <w:p>
            <w:pPr>
              <w:jc w:val="center"/>
              <w:ind w:left="647"/>
              <w:spacing w:after="0"/>
              <w:rPr>
                <w:sz w:val="20"/>
                <w:szCs w:val="20"/>
                <w:color w:val="auto"/>
              </w:rPr>
            </w:pPr>
            <w:r>
              <w:rPr>
                <w:rFonts w:ascii="Arial" w:cs="Arial" w:eastAsia="Arial" w:hAnsi="Arial"/>
                <w:sz w:val="14"/>
                <w:szCs w:val="14"/>
                <w:b w:val="1"/>
                <w:bCs w:val="1"/>
                <w:color w:val="auto"/>
                <w:w w:val="90"/>
              </w:rPr>
              <w:t>This Offering(1)</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ADSs) Being</w:t>
            </w:r>
          </w:p>
        </w:tc>
        <w:tc>
          <w:tcPr>
            <w:tcW w:w="17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4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46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Name And Address Of</w:t>
            </w: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vMerge w:val="restart"/>
          </w:tcPr>
          <w:p>
            <w:pPr>
              <w:spacing w:after="0"/>
              <w:rPr>
                <w:sz w:val="3"/>
                <w:szCs w:val="3"/>
                <w:color w:val="auto"/>
              </w:rPr>
            </w:pPr>
          </w:p>
        </w:tc>
        <w:tc>
          <w:tcPr>
            <w:tcW w:w="14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Sold in</w:t>
            </w: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46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Selling Shareholder</w:t>
            </w:r>
          </w:p>
        </w:tc>
        <w:tc>
          <w:tcPr>
            <w:tcW w:w="1760" w:type="dxa"/>
            <w:vAlign w:val="bottom"/>
            <w:gridSpan w:val="3"/>
          </w:tcPr>
          <w:p>
            <w:pPr>
              <w:ind w:left="36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jc w:val="right"/>
              <w:ind w:right="139"/>
              <w:spacing w:after="0"/>
              <w:rPr>
                <w:sz w:val="20"/>
                <w:szCs w:val="20"/>
                <w:color w:val="auto"/>
              </w:rPr>
            </w:pPr>
            <w:r>
              <w:rPr>
                <w:rFonts w:ascii="Arial" w:cs="Arial" w:eastAsia="Arial" w:hAnsi="Arial"/>
                <w:sz w:val="14"/>
                <w:szCs w:val="14"/>
                <w:b w:val="1"/>
                <w:bCs w:val="1"/>
                <w:color w:val="auto"/>
                <w:w w:val="85"/>
              </w:rPr>
              <w:t>Percent</w:t>
            </w:r>
          </w:p>
        </w:tc>
        <w:tc>
          <w:tcPr>
            <w:tcW w:w="340" w:type="dxa"/>
            <w:vAlign w:val="bottom"/>
          </w:tcPr>
          <w:p>
            <w:pPr>
              <w:spacing w:after="0"/>
              <w:rPr>
                <w:sz w:val="15"/>
                <w:szCs w:val="15"/>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This Offering</w:t>
            </w:r>
          </w:p>
        </w:tc>
        <w:tc>
          <w:tcPr>
            <w:tcW w:w="1740" w:type="dxa"/>
            <w:vAlign w:val="bottom"/>
            <w:gridSpan w:val="3"/>
          </w:tcPr>
          <w:p>
            <w:pPr>
              <w:ind w:left="36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159"/>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95"/>
        </w:trPr>
        <w:tc>
          <w:tcPr>
            <w:tcW w:w="4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620" w:type="dxa"/>
            <w:vAlign w:val="bottom"/>
            <w:gridSpan w:val="2"/>
          </w:tcPr>
          <w:p>
            <w:pPr>
              <w:spacing w:after="0"/>
              <w:rPr>
                <w:sz w:val="20"/>
                <w:szCs w:val="20"/>
                <w:color w:val="auto"/>
              </w:rPr>
            </w:pPr>
            <w:r>
              <w:rPr>
                <w:rFonts w:ascii="Arial" w:cs="Arial" w:eastAsia="Arial" w:hAnsi="Arial"/>
                <w:sz w:val="18"/>
                <w:szCs w:val="18"/>
                <w:color w:val="auto"/>
              </w:rPr>
              <w:t>Dr. Ronan Lambe (2)</w:t>
            </w:r>
          </w:p>
        </w:tc>
        <w:tc>
          <w:tcPr>
            <w:tcW w:w="1240" w:type="dxa"/>
            <w:vAlign w:val="bottom"/>
          </w:tcPr>
          <w:p>
            <w:pPr>
              <w:jc w:val="right"/>
              <w:ind w:right="66"/>
              <w:spacing w:after="0"/>
              <w:rPr>
                <w:sz w:val="20"/>
                <w:szCs w:val="20"/>
                <w:color w:val="auto"/>
              </w:rPr>
            </w:pPr>
            <w:r>
              <w:rPr>
                <w:rFonts w:ascii="Arial" w:cs="Arial" w:eastAsia="Arial" w:hAnsi="Arial"/>
                <w:sz w:val="18"/>
                <w:szCs w:val="18"/>
                <w:color w:val="auto"/>
              </w:rPr>
              <w:t>952,470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6.7%</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24"/>
                <w:szCs w:val="24"/>
                <w:color w:val="auto"/>
              </w:rPr>
            </w:pPr>
          </w:p>
        </w:tc>
        <w:tc>
          <w:tcPr>
            <w:tcW w:w="1240" w:type="dxa"/>
            <w:vAlign w:val="bottom"/>
          </w:tcPr>
          <w:p>
            <w:pPr>
              <w:jc w:val="right"/>
              <w:ind w:right="67"/>
              <w:spacing w:after="0"/>
              <w:rPr>
                <w:sz w:val="20"/>
                <w:szCs w:val="20"/>
                <w:color w:val="auto"/>
              </w:rPr>
            </w:pPr>
            <w:r>
              <w:rPr>
                <w:rFonts w:ascii="Arial" w:cs="Arial" w:eastAsia="Arial" w:hAnsi="Arial"/>
                <w:sz w:val="18"/>
                <w:szCs w:val="18"/>
                <w:color w:val="auto"/>
              </w:rPr>
              <w:t>452,470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South County Business Park</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Leopardstown</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Dublin 18, Ireland</w:t>
            </w: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620" w:type="dxa"/>
            <w:vAlign w:val="bottom"/>
            <w:gridSpan w:val="2"/>
          </w:tcPr>
          <w:p>
            <w:pPr>
              <w:spacing w:after="0"/>
              <w:rPr>
                <w:sz w:val="20"/>
                <w:szCs w:val="20"/>
                <w:color w:val="auto"/>
              </w:rPr>
            </w:pPr>
            <w:r>
              <w:rPr>
                <w:rFonts w:ascii="Arial" w:cs="Arial" w:eastAsia="Arial" w:hAnsi="Arial"/>
                <w:sz w:val="18"/>
                <w:szCs w:val="18"/>
                <w:color w:val="auto"/>
              </w:rPr>
              <w:t>Poplar Limited (3)</w:t>
            </w:r>
          </w:p>
        </w:tc>
        <w:tc>
          <w:tcPr>
            <w:tcW w:w="1240" w:type="dxa"/>
            <w:vAlign w:val="bottom"/>
          </w:tcPr>
          <w:p>
            <w:pPr>
              <w:jc w:val="right"/>
              <w:ind w:right="66"/>
              <w:spacing w:after="0"/>
              <w:rPr>
                <w:sz w:val="20"/>
                <w:szCs w:val="20"/>
                <w:color w:val="auto"/>
              </w:rPr>
            </w:pPr>
            <w:r>
              <w:rPr>
                <w:rFonts w:ascii="Arial" w:cs="Arial" w:eastAsia="Arial" w:hAnsi="Arial"/>
                <w:sz w:val="18"/>
                <w:szCs w:val="18"/>
                <w:color w:val="auto"/>
              </w:rPr>
              <w:t>1,494,892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10.5%</w:t>
            </w:r>
          </w:p>
        </w:tc>
        <w:tc>
          <w:tcPr>
            <w:tcW w:w="1440" w:type="dxa"/>
            <w:vAlign w:val="bottom"/>
            <w:gridSpan w:val="2"/>
          </w:tcPr>
          <w:p>
            <w:pPr>
              <w:jc w:val="right"/>
              <w:ind w:right="72"/>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24"/>
                <w:szCs w:val="24"/>
                <w:color w:val="auto"/>
              </w:rPr>
            </w:pPr>
          </w:p>
        </w:tc>
        <w:tc>
          <w:tcPr>
            <w:tcW w:w="1240" w:type="dxa"/>
            <w:vAlign w:val="bottom"/>
          </w:tcPr>
          <w:p>
            <w:pPr>
              <w:jc w:val="right"/>
              <w:ind w:right="67"/>
              <w:spacing w:after="0"/>
              <w:rPr>
                <w:sz w:val="20"/>
                <w:szCs w:val="20"/>
                <w:color w:val="auto"/>
              </w:rPr>
            </w:pPr>
            <w:r>
              <w:rPr>
                <w:rFonts w:ascii="Arial" w:cs="Arial" w:eastAsia="Arial" w:hAnsi="Arial"/>
                <w:sz w:val="18"/>
                <w:szCs w:val="18"/>
                <w:color w:val="auto"/>
              </w:rPr>
              <w:t>994,892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c/o Dr. John Climax</w:t>
            </w: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0464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34" w:lineRule="exact"/>
        <w:rPr>
          <w:sz w:val="20"/>
          <w:szCs w:val="20"/>
          <w:color w:val="auto"/>
        </w:rPr>
      </w:pPr>
    </w:p>
    <w:p>
      <w:pPr>
        <w:ind w:left="580" w:right="60" w:hanging="572"/>
        <w:spacing w:after="0" w:line="306"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used in this table, “beneficial ownership” means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93" w:lineRule="exact"/>
        <w:rPr>
          <w:rFonts w:ascii="Arial" w:cs="Arial" w:eastAsia="Arial" w:hAnsi="Arial"/>
          <w:sz w:val="16"/>
          <w:szCs w:val="16"/>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8,000 options (vested and unvested).</w:t>
      </w:r>
    </w:p>
    <w:p>
      <w:pPr>
        <w:spacing w:after="0" w:line="157" w:lineRule="exact"/>
        <w:rPr>
          <w:rFonts w:ascii="Arial" w:cs="Arial" w:eastAsia="Arial" w:hAnsi="Arial"/>
          <w:sz w:val="18"/>
          <w:szCs w:val="18"/>
          <w:color w:val="auto"/>
        </w:rPr>
      </w:pPr>
    </w:p>
    <w:p>
      <w:pPr>
        <w:ind w:left="580" w:right="20" w:hanging="572"/>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Poplar Limited is a Jersey company controlled by the Chairman of our Board of Directors, Dr. John Climax. The total number of shares beneficially owned by Dr. Climax is comprised of 18,000 options (vested and unvested) and 40 ordinary shares beneficially held by Dr. Climax and 1,476,852 ADSs held by Poplar Limited.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31" w:lineRule="exact"/>
        <w:rPr>
          <w:sz w:val="20"/>
          <w:szCs w:val="20"/>
          <w:color w:val="auto"/>
        </w:rPr>
      </w:pPr>
    </w:p>
    <w:p>
      <w:pPr>
        <w:ind w:right="20" w:firstLine="429"/>
        <w:spacing w:after="0" w:line="256" w:lineRule="auto"/>
        <w:rPr>
          <w:sz w:val="20"/>
          <w:szCs w:val="20"/>
          <w:color w:val="auto"/>
        </w:rPr>
      </w:pPr>
      <w:r>
        <w:rPr>
          <w:rFonts w:ascii="Arial" w:cs="Arial" w:eastAsia="Arial" w:hAnsi="Arial"/>
          <w:sz w:val="18"/>
          <w:szCs w:val="18"/>
          <w:color w:val="auto"/>
        </w:rPr>
        <w:t>A summary of the material U.S. federal income tax consequences of the ownership and disposition of ADSs purchased in this offering by U.S. Holders (as defined in the accompanying core prospectus) is provided in the accompanying core prospectus under the heading “U.S. FEDERAL INCOME TAX CONSIDERATIONS.” To reflect recent legislation, the following changes should be made to the discussion contained in “U.S. FEDERAL INCOME TAX CONSIDERATIONS” in the core prospectus: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paragraph should replace the second paragraph under the heading “Dividends” on page 14 of the core prospectus:</w:t>
      </w:r>
    </w:p>
    <w:p>
      <w:pPr>
        <w:spacing w:after="0" w:line="225" w:lineRule="exact"/>
        <w:rPr>
          <w:sz w:val="20"/>
          <w:szCs w:val="20"/>
          <w:color w:val="auto"/>
        </w:rPr>
      </w:pPr>
    </w:p>
    <w:p>
      <w:pPr>
        <w:ind w:right="340" w:firstLine="439"/>
        <w:spacing w:after="0" w:line="259" w:lineRule="auto"/>
        <w:rPr>
          <w:sz w:val="20"/>
          <w:szCs w:val="20"/>
          <w:color w:val="auto"/>
        </w:rPr>
      </w:pPr>
      <w:r>
        <w:rPr>
          <w:rFonts w:ascii="Arial" w:cs="Arial" w:eastAsia="Arial" w:hAnsi="Arial"/>
          <w:sz w:val="18"/>
          <w:szCs w:val="18"/>
          <w:color w:val="auto"/>
        </w:rPr>
        <w:t>“Provided that we have not been and do not become a PFIC (as discussed below), dividends, if any, received by noncorporate holders in taxable years beginning prior to 2011 generally will qualify for reduced rates of taxation applicable to "qualified dividend income," as long as minimum holding period requirements and certain other requirements are satisfied.”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jc w:val="both"/>
        <w:ind w:right="100" w:firstLine="436"/>
        <w:spacing w:after="0" w:line="259" w:lineRule="auto"/>
        <w:rPr>
          <w:sz w:val="20"/>
          <w:szCs w:val="20"/>
          <w:color w:val="auto"/>
        </w:rPr>
      </w:pPr>
      <w:r>
        <w:rPr>
          <w:rFonts w:ascii="Arial" w:cs="Arial" w:eastAsia="Arial" w:hAnsi="Arial"/>
          <w:sz w:val="18"/>
          <w:szCs w:val="18"/>
          <w:color w:val="auto"/>
        </w:rPr>
        <w:t>William Blair &amp; Company, L.L.C., Bear, Stearns &amp; Co. Inc. and Jefferies &amp; Company, Inc. as the underwriters, have severally agreed, subject to the terms and conditions set forth in the underwriting agreement by and among the underwriters, the selling shareholders and us, to purchase from the selling shareholders, the respective number of ADSs set forth opposite each underwriter’s name in the table below.</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580" w:type="dxa"/>
            <w:vAlign w:val="bottom"/>
          </w:tcPr>
          <w:p>
            <w:pPr>
              <w:spacing w:after="0"/>
              <w:rPr>
                <w:sz w:val="14"/>
                <w:szCs w:val="14"/>
                <w:color w:val="auto"/>
              </w:rPr>
            </w:pPr>
          </w:p>
        </w:tc>
        <w:tc>
          <w:tcPr>
            <w:tcW w:w="8520" w:type="dxa"/>
            <w:vAlign w:val="bottom"/>
            <w:gridSpan w:val="2"/>
          </w:tcPr>
          <w:p>
            <w:pPr>
              <w:ind w:left="420"/>
              <w:spacing w:after="0"/>
              <w:rPr>
                <w:sz w:val="20"/>
                <w:szCs w:val="20"/>
                <w:color w:val="auto"/>
              </w:rPr>
            </w:pPr>
            <w:r>
              <w:rPr>
                <w:rFonts w:ascii="Arial" w:cs="Arial" w:eastAsia="Arial" w:hAnsi="Arial"/>
                <w:sz w:val="14"/>
                <w:szCs w:val="14"/>
                <w:color w:val="auto"/>
              </w:rPr>
              <w:t>Underwriter</w:t>
            </w:r>
          </w:p>
        </w:tc>
        <w:tc>
          <w:tcPr>
            <w:tcW w:w="1640" w:type="dxa"/>
            <w:vAlign w:val="bottom"/>
          </w:tcPr>
          <w:p>
            <w:pPr>
              <w:jc w:val="right"/>
              <w:ind w:right="276"/>
              <w:spacing w:after="0"/>
              <w:rPr>
                <w:sz w:val="20"/>
                <w:szCs w:val="20"/>
                <w:color w:val="auto"/>
              </w:rPr>
            </w:pPr>
            <w:r>
              <w:rPr>
                <w:rFonts w:ascii="Arial" w:cs="Arial" w:eastAsia="Arial" w:hAnsi="Arial"/>
                <w:sz w:val="14"/>
                <w:szCs w:val="14"/>
                <w:color w:val="auto"/>
              </w:rPr>
              <w:t>Number of ADSs</w:t>
            </w:r>
          </w:p>
        </w:tc>
        <w:tc>
          <w:tcPr>
            <w:tcW w:w="100" w:type="dxa"/>
            <w:vAlign w:val="bottom"/>
          </w:tcPr>
          <w:p>
            <w:pPr>
              <w:spacing w:after="0"/>
              <w:rPr>
                <w:sz w:val="14"/>
                <w:szCs w:val="14"/>
                <w:color w:val="auto"/>
              </w:rPr>
            </w:pPr>
          </w:p>
        </w:tc>
      </w:tr>
      <w:tr>
        <w:trPr>
          <w:trHeight w:val="95"/>
        </w:trPr>
        <w:tc>
          <w:tcPr>
            <w:tcW w:w="58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9100" w:type="dxa"/>
            <w:vAlign w:val="bottom"/>
            <w:gridSpan w:val="3"/>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10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William Blair &amp; Company, L.L.C.</w:t>
            </w:r>
          </w:p>
        </w:tc>
        <w:tc>
          <w:tcPr>
            <w:tcW w:w="1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E6E6E6"/>
          </w:tcPr>
          <w:p>
            <w:pPr>
              <w:spacing w:after="0"/>
              <w:rPr>
                <w:sz w:val="18"/>
                <w:szCs w:val="18"/>
                <w:color w:val="auto"/>
              </w:rPr>
            </w:pPr>
          </w:p>
        </w:tc>
      </w:tr>
      <w:tr>
        <w:trPr>
          <w:trHeight w:val="216"/>
        </w:trPr>
        <w:tc>
          <w:tcPr>
            <w:tcW w:w="9100" w:type="dxa"/>
            <w:vAlign w:val="bottom"/>
            <w:gridSpan w:val="3"/>
          </w:tcPr>
          <w:p>
            <w:pPr>
              <w:spacing w:after="0"/>
              <w:rPr>
                <w:sz w:val="20"/>
                <w:szCs w:val="20"/>
                <w:color w:val="auto"/>
              </w:rPr>
            </w:pPr>
            <w:r>
              <w:rPr>
                <w:rFonts w:ascii="Arial" w:cs="Arial" w:eastAsia="Arial" w:hAnsi="Arial"/>
                <w:sz w:val="18"/>
                <w:szCs w:val="18"/>
                <w:color w:val="auto"/>
              </w:rPr>
              <w:t>Bear, Stearns &amp; Co. Inc.</w:t>
            </w:r>
          </w:p>
        </w:tc>
        <w:tc>
          <w:tcPr>
            <w:tcW w:w="16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r>
      <w:tr>
        <w:trPr>
          <w:trHeight w:val="216"/>
        </w:trPr>
        <w:tc>
          <w:tcPr>
            <w:tcW w:w="910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Jefferies &amp; Company, Inc.</w:t>
            </w:r>
          </w:p>
        </w:tc>
        <w:tc>
          <w:tcPr>
            <w:tcW w:w="1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E6E6E6"/>
          </w:tcPr>
          <w:p>
            <w:pPr>
              <w:spacing w:after="0"/>
              <w:rPr>
                <w:sz w:val="18"/>
                <w:szCs w:val="18"/>
                <w:color w:val="auto"/>
              </w:rPr>
            </w:pPr>
          </w:p>
        </w:tc>
      </w:tr>
      <w:tr>
        <w:trPr>
          <w:trHeight w:val="108"/>
        </w:trPr>
        <w:tc>
          <w:tcPr>
            <w:tcW w:w="9100" w:type="dxa"/>
            <w:vAlign w:val="bottom"/>
            <w:gridSpan w:val="3"/>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910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16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4"/>
                <w:szCs w:val="24"/>
                <w:color w:val="auto"/>
              </w:rPr>
            </w:pPr>
          </w:p>
        </w:tc>
      </w:tr>
      <w:tr>
        <w:trPr>
          <w:trHeight w:val="134"/>
        </w:trPr>
        <w:tc>
          <w:tcPr>
            <w:tcW w:w="5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0" w:firstLine="436"/>
        <w:spacing w:after="0" w:line="290" w:lineRule="auto"/>
        <w:rPr>
          <w:sz w:val="20"/>
          <w:szCs w:val="20"/>
          <w:color w:val="auto"/>
        </w:rPr>
      </w:pPr>
      <w:r>
        <w:rPr>
          <w:rFonts w:ascii="Arial" w:cs="Arial" w:eastAsia="Arial" w:hAnsi="Arial"/>
          <w:sz w:val="16"/>
          <w:szCs w:val="16"/>
          <w:color w:val="auto"/>
        </w:rPr>
        <w:t>This offering will be underwritten on a firm commitment basis. In the underwriting agreement, the underwriters have agreed, subject to the terms and conditions set forth therein, to purchase the ADSs being sold pursuant to this prospectus at a price per ADS equal to $60.96, representing the public offering price less the underwriting discount specified on the cover page of this prospectus supplement. The underwriters are committed to take and pay for all of the ADSs being offered, if any are taken. In the event of default by any underwriter, in certain circumstances, the purchase commitments of the non-defaulting underwriters may be increased or the underwriting agreement may be terminated. In the underwriting agreement, we and the selling shareholders have made certain representations and warranties to the underwriters and have agreed to indemnify them against certain liabilities, including liabilities under the Securities Act, or to contribute to payments the underwriters may be required to make in respect thereof.</w:t>
      </w:r>
    </w:p>
    <w:p>
      <w:pPr>
        <w:spacing w:after="0" w:line="172"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The representatives of the underwriters have advised us and the selling shareholders that the underwriters propose to offer the ADSs to the public initially at the public offering price set forth on the cover page of this prospectus supplement and to selected dealers at such price less a concession of not more than $1.3970 per ADS. The underwriters may allow, and such dealers may re-allow, a concession not in excess of $0.1000 per ADS to certain other dealers. The underwriters will offer the ADSs subject to prior sale and subject to receipt and acceptance of the ADSs by the underwriters. The underwriters may reject any order to purchase ADSs in whole or in part. The underwriters expect that the selling shareholders will deliver the ADSs to the underwriters through the facilities of The Depository Trust Company in New York, New York on or about August 4, 2006. At that time, the underwriters will pay the selling shareholders for the ADSs in immediately available funds. After commencement of the public offering, the underwriters may change the public offering price and other selling terms.</w:t>
      </w:r>
    </w:p>
    <w:p>
      <w:pPr>
        <w:spacing w:after="0" w:line="172" w:lineRule="exact"/>
        <w:rPr>
          <w:sz w:val="20"/>
          <w:szCs w:val="20"/>
          <w:color w:val="auto"/>
        </w:rPr>
      </w:pPr>
    </w:p>
    <w:p>
      <w:pPr>
        <w:ind w:right="420" w:firstLine="436"/>
        <w:spacing w:after="0" w:line="268" w:lineRule="auto"/>
        <w:rPr>
          <w:sz w:val="20"/>
          <w:szCs w:val="20"/>
          <w:color w:val="auto"/>
        </w:rPr>
      </w:pPr>
      <w:r>
        <w:rPr>
          <w:rFonts w:ascii="Arial" w:cs="Arial" w:eastAsia="Arial" w:hAnsi="Arial"/>
          <w:sz w:val="18"/>
          <w:szCs w:val="18"/>
          <w:color w:val="auto"/>
        </w:rPr>
        <w:t>The following table summarizes the compensation to be paid by the selling shareholders to the underwriters. There will be no over-allotment option in connection with the offering.</w:t>
      </w:r>
    </w:p>
    <w:p>
      <w:pPr>
        <w:spacing w:after="0" w:line="197"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color w:val="auto"/>
                <w:w w:val="91"/>
              </w:rPr>
              <w:t>Per ADS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color w:val="auto"/>
              </w:rPr>
              <w:t>Total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310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6E6E6"/>
          </w:tcPr>
          <w:p>
            <w:pPr>
              <w:spacing w:after="0"/>
              <w:rPr>
                <w:sz w:val="20"/>
                <w:szCs w:val="20"/>
                <w:color w:val="auto"/>
              </w:rPr>
            </w:pPr>
            <w:r>
              <w:rPr>
                <w:rFonts w:ascii="Arial" w:cs="Arial" w:eastAsia="Arial" w:hAnsi="Arial"/>
                <w:sz w:val="18"/>
                <w:szCs w:val="18"/>
                <w:color w:val="auto"/>
              </w:rPr>
              <w:t>Public offering price</w:t>
            </w:r>
          </w:p>
        </w:tc>
        <w:tc>
          <w:tcPr>
            <w:tcW w:w="310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63.50</w:t>
            </w:r>
          </w:p>
        </w:tc>
        <w:tc>
          <w:tcPr>
            <w:tcW w:w="3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8"/>
              </w:rPr>
              <w:t>63,500,000</w:t>
            </w:r>
          </w:p>
        </w:tc>
        <w:tc>
          <w:tcPr>
            <w:tcW w:w="3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Underwriting discounts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2,540,000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6E6E6"/>
          </w:tcPr>
          <w:p>
            <w:pPr>
              <w:spacing w:after="0"/>
              <w:rPr>
                <w:sz w:val="20"/>
                <w:szCs w:val="20"/>
                <w:color w:val="auto"/>
              </w:rPr>
            </w:pPr>
            <w:r>
              <w:rPr>
                <w:rFonts w:ascii="Arial" w:cs="Arial" w:eastAsia="Arial" w:hAnsi="Arial"/>
                <w:sz w:val="18"/>
                <w:szCs w:val="18"/>
                <w:color w:val="auto"/>
              </w:rPr>
              <w:t>Proceeds to the selling shareholders</w:t>
            </w:r>
          </w:p>
        </w:tc>
        <w:tc>
          <w:tcPr>
            <w:tcW w:w="310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60.96</w:t>
            </w:r>
          </w:p>
        </w:tc>
        <w:tc>
          <w:tcPr>
            <w:tcW w:w="3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8"/>
              </w:rPr>
              <w:t>60,960,000</w:t>
            </w:r>
          </w:p>
        </w:tc>
        <w:tc>
          <w:tcPr>
            <w:tcW w:w="3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costs and expenses for this offering (in addition to underwriting discounts) will be payable by the selling shareholders.</w:t>
      </w:r>
    </w:p>
    <w:p>
      <w:pPr>
        <w:spacing w:after="0" w:line="225"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We, the selling shareholders, our directors and certain of our executive officers have agreed with the underwriters not to dispose of or hedge any of our ordinary shares, ADSs or securities convertible into or exchangeable for ordinary shares or ADSs during the period from the date of this prospectus supplement continuing through the date 90 days after the date of this prospectus supplement, except with the prior written consent of William Blair &amp; Company, L.L.C. This restriction does not apply to us in respect of any existing employee benefit plans. In addition, executive officers subject to this restriction are permitted pursuant to the terms of their individual lockup arrangements with the underwriters to sell or otherwise dispose of a limited number of ADS, which, in the aggregate, is limited to 31,200 ADSs.</w:t>
      </w:r>
    </w:p>
    <w:p>
      <w:pPr>
        <w:spacing w:after="0" w:line="198" w:lineRule="exact"/>
        <w:rPr>
          <w:sz w:val="20"/>
          <w:szCs w:val="20"/>
          <w:color w:val="auto"/>
        </w:rPr>
      </w:pPr>
    </w:p>
    <w:p>
      <w:pPr>
        <w:ind w:right="80" w:firstLine="439"/>
        <w:spacing w:after="0" w:line="268" w:lineRule="auto"/>
        <w:rPr>
          <w:sz w:val="20"/>
          <w:szCs w:val="20"/>
          <w:color w:val="auto"/>
        </w:rPr>
      </w:pPr>
      <w:r>
        <w:rPr>
          <w:rFonts w:ascii="Arial" w:cs="Arial" w:eastAsia="Arial" w:hAnsi="Arial"/>
          <w:sz w:val="18"/>
          <w:szCs w:val="18"/>
          <w:color w:val="auto"/>
        </w:rPr>
        <w:t>In connection with this offering, the underwriters may engage in transactions which affect the market price of the ADSs. These may include stabilizing and over allotment transactions and purchases to cover syndicate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line="288" w:lineRule="auto"/>
        <w:rPr>
          <w:sz w:val="20"/>
          <w:szCs w:val="20"/>
          <w:color w:val="auto"/>
        </w:rPr>
      </w:pPr>
      <w:r>
        <w:rPr>
          <w:rFonts w:ascii="Arial" w:cs="Arial" w:eastAsia="Arial" w:hAnsi="Arial"/>
          <w:sz w:val="16"/>
          <w:szCs w:val="16"/>
          <w:color w:val="auto"/>
        </w:rPr>
        <w:t>short positions. Stabilizing transactions consist of bids or purchases for the purpose of pegging, fixing or maintaining the price of the ADSs. An over-allotment involves selling more ADSs in this offering than are specified on the cover page of this prospectus supplement, which results in a syndicate short position. The underwriters may cover this short position by purchasing ADSs in the open market. In addition, the underwriters may impose a penalty bid. This allows the underwriters to reclaim the selling concession allowed to an underwriter if ADSs sold by such underwriter in this offering are repurchased by the underwriters in stabilizing or syndicate short covering transactions. These transactions, which may be effected on the Nasdaq NMS or otherwise, may stabilize, maintain or otherwise affect the market price of the ADSs and could cause the price to be higher than it would be without these transactions. The underwriters are not required to engage in any of these activities and may discontinue any of these activities at any time without notice. We, the selling shareholders and the underwriters make no representation or prediction as to whether the underwriters will engage in such transactions or choose to discontinue any transactions engaged in or as to the direction or magnitude of any effect that these transactions may have on the price of the ADSs.</w:t>
      </w:r>
    </w:p>
    <w:p>
      <w:pPr>
        <w:spacing w:after="0" w:line="174"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No action has been or will be taken in any jurisdiction other than the United States that would permit a public offering of the ADSs or ordinary shares or the possession, circulation or distribution of this prospectus in any jurisdiction where action for that purpose is required. Accordingly, the ADSs and ordinary shares may not be offered or sold, directly or indirectly, and neither this prospectus nor any other offering material or advertisements in connection with the ADSs or ordinary shares may be distributed or published in or from any country or jurisdiction except under circumstances that will result in compliance with any applicable rules and regulations of any such country or jurisdiction.</w:t>
      </w:r>
    </w:p>
    <w:p>
      <w:pPr>
        <w:spacing w:after="0" w:line="197" w:lineRule="exact"/>
        <w:rPr>
          <w:sz w:val="20"/>
          <w:szCs w:val="20"/>
          <w:color w:val="auto"/>
        </w:rPr>
      </w:pPr>
    </w:p>
    <w:p>
      <w:pPr>
        <w:ind w:right="380" w:firstLine="429"/>
        <w:spacing w:after="0" w:line="268" w:lineRule="auto"/>
        <w:rPr>
          <w:sz w:val="20"/>
          <w:szCs w:val="20"/>
          <w:color w:val="auto"/>
        </w:rPr>
      </w:pPr>
      <w:r>
        <w:rPr>
          <w:rFonts w:ascii="Arial" w:cs="Arial" w:eastAsia="Arial" w:hAnsi="Arial"/>
          <w:sz w:val="18"/>
          <w:szCs w:val="18"/>
          <w:color w:val="auto"/>
        </w:rPr>
        <w:t>A prospectus in electronic format will be made available on the website maintained by the underwriters of this offering. Each underwriter may agree to allocate a number of ADSs for sale to its online brokerage account holders.</w:t>
      </w:r>
    </w:p>
    <w:p>
      <w:pPr>
        <w:spacing w:after="0" w:line="186" w:lineRule="exact"/>
        <w:rPr>
          <w:sz w:val="20"/>
          <w:szCs w:val="20"/>
          <w:color w:val="auto"/>
        </w:rPr>
      </w:pPr>
    </w:p>
    <w:p>
      <w:pPr>
        <w:ind w:right="720" w:firstLine="439"/>
        <w:spacing w:after="0" w:line="370" w:lineRule="auto"/>
        <w:rPr>
          <w:sz w:val="20"/>
          <w:szCs w:val="20"/>
          <w:color w:val="auto"/>
        </w:rPr>
      </w:pPr>
      <w:r>
        <w:rPr>
          <w:rFonts w:ascii="Arial" w:cs="Arial" w:eastAsia="Arial" w:hAnsi="Arial"/>
          <w:sz w:val="15"/>
          <w:szCs w:val="15"/>
          <w:color w:val="auto"/>
        </w:rPr>
        <w:t>In the ordinary course of business, some of the underwriters and their affiliates have provided, and may in the future provide, investment banking, commercial banking and other services to us for which they have received, and may in the future receive, customary fees or other compensation.</w:t>
      </w:r>
    </w:p>
    <w:p>
      <w:pPr>
        <w:spacing w:after="0" w:line="116" w:lineRule="exact"/>
        <w:rPr>
          <w:sz w:val="20"/>
          <w:szCs w:val="20"/>
          <w:color w:val="auto"/>
        </w:rPr>
      </w:pPr>
    </w:p>
    <w:p>
      <w:pPr>
        <w:ind w:right="40" w:firstLine="429"/>
        <w:spacing w:after="0" w:line="370" w:lineRule="auto"/>
        <w:rPr>
          <w:sz w:val="20"/>
          <w:szCs w:val="20"/>
          <w:color w:val="auto"/>
        </w:rPr>
      </w:pPr>
      <w:r>
        <w:rPr>
          <w:rFonts w:ascii="Arial" w:cs="Arial" w:eastAsia="Arial" w:hAnsi="Arial"/>
          <w:sz w:val="15"/>
          <w:szCs w:val="15"/>
          <w:color w:val="auto"/>
        </w:rPr>
        <w:t>A copy of the underwriting agreement will be available for inspection at the offices of A&amp;L Goodbody, IFSC, North Wall Quay, Dublin 1 during normal business hours on any weekday (Saturdays, Sundays, public holidays exempted) for a period of 14 days following the date of issue of this prospectus supplement.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underwriters is as follows: c/o William Blair &amp; Company, L.L.C., 222 West Adams Street, Chicago, IL 60606.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VALIDITY OF THE ADSS AND ORDINARY SHARES</w:t>
      </w:r>
    </w:p>
    <w:p>
      <w:pPr>
        <w:spacing w:after="0" w:line="231" w:lineRule="exact"/>
        <w:rPr>
          <w:sz w:val="20"/>
          <w:szCs w:val="20"/>
          <w:color w:val="auto"/>
        </w:rPr>
      </w:pPr>
    </w:p>
    <w:p>
      <w:pPr>
        <w:ind w:right="60" w:firstLine="436"/>
        <w:spacing w:after="0" w:line="256" w:lineRule="auto"/>
        <w:rPr>
          <w:sz w:val="20"/>
          <w:szCs w:val="20"/>
          <w:color w:val="auto"/>
        </w:rPr>
      </w:pPr>
      <w:r>
        <w:rPr>
          <w:rFonts w:ascii="Arial" w:cs="Arial" w:eastAsia="Arial" w:hAnsi="Arial"/>
          <w:sz w:val="18"/>
          <w:szCs w:val="18"/>
          <w:color w:val="auto"/>
        </w:rPr>
        <w:t>The validity of the ADSs offered hereby will be passed upon for us by Cahill Gordon &amp; Reindel LLP, 80 Pine Street, New York, New York. The validity of the ordinary shares will be passed upon by A&amp;L Goodbody, solicitors, IFSC, Dublin 1, Ireland. The validity of the ADSs offered hereby will be passed upon for the underwriters by Sullivan &amp; Cromwell LLP, counsel to the underwriters. Cahill Gordon &amp; Reindel LLP and Sullivan &amp; Cromwell LLP may rely upon A&amp;L Goodbody with respect to certain matters governed by Irish law.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436"/>
        <w:spacing w:after="0" w:line="306" w:lineRule="auto"/>
        <w:rPr>
          <w:sz w:val="20"/>
          <w:szCs w:val="20"/>
          <w:color w:val="auto"/>
        </w:rPr>
      </w:pPr>
      <w:r>
        <w:rPr>
          <w:rFonts w:ascii="Arial" w:cs="Arial" w:eastAsia="Arial" w:hAnsi="Arial"/>
          <w:sz w:val="16"/>
          <w:szCs w:val="16"/>
          <w:color w:val="auto"/>
        </w:rPr>
        <w:t>The consolidated financial statements of ICON plc as of December 31, 2005, May 31, 2005 and 2004 and for the seven months ended December 31, 2005 and each of the years in the three-year period ended May 31, 2005, have been incorporated by reference herein in reliance upon the report of KPMG, independent registered public accounting firm, incorporated by reference herein, and upon the authority of said firm as experts in accounting and auditing.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firstLine="436"/>
        <w:spacing w:after="0" w:line="298" w:lineRule="auto"/>
        <w:rPr>
          <w:sz w:val="20"/>
          <w:szCs w:val="20"/>
          <w:color w:val="auto"/>
        </w:rPr>
      </w:pPr>
      <w:r>
        <w:rPr>
          <w:rFonts w:ascii="Arial" w:cs="Arial" w:eastAsia="Arial" w:hAnsi="Arial"/>
          <w:sz w:val="16"/>
          <w:szCs w:val="16"/>
          <w:color w:val="auto"/>
        </w:rPr>
        <w:t>We file annual and special reports and other information with the Securities and Exchange Commission (the “Commission”). You may read and copy any of our reports, statements or other information at the Commission’s Public Reference Room at 100 F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67"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In addition, we furnish to registered holders of ordinary shares and to The Bank of New York, as Depositary under our deposit agreement, for mailing to the record holders of ICON ADSs,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197"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31" w:lineRule="exact"/>
        <w:rPr>
          <w:sz w:val="20"/>
          <w:szCs w:val="20"/>
          <w:color w:val="auto"/>
        </w:rPr>
      </w:pPr>
    </w:p>
    <w:p>
      <w:pPr>
        <w:ind w:right="40" w:firstLine="436"/>
        <w:spacing w:after="0" w:line="256" w:lineRule="auto"/>
        <w:rPr>
          <w:sz w:val="20"/>
          <w:szCs w:val="20"/>
          <w:color w:val="auto"/>
        </w:rPr>
      </w:pPr>
      <w:r>
        <w:rPr>
          <w:rFonts w:ascii="Arial" w:cs="Arial" w:eastAsia="Arial" w:hAnsi="Arial"/>
          <w:sz w:val="18"/>
          <w:szCs w:val="18"/>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197"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This prospectus incorporates by reference the following documents that we previously filed with the Commission and any future filings made with the Commission under Section 13(a), 13(c) or 15(d) of the Exchange Act until the selling shareholders sell all the ADSs offered by this prospectus; these documents contain important information about our finances and us:</w:t>
      </w:r>
    </w:p>
    <w:p>
      <w:pPr>
        <w:spacing w:after="0" w:line="208"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 on Form 6-K, filed with the Commission on July 28, 2006;</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 on Form 6-K, filed with the Commission on June 14, 2006;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Item 10 of our annual report on Form 20-F, filed with the Commission on August 30, 2004.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may request a copy of these filings, at no cost, by writing or telephoning us at our principal executive offices at this address: ICON plc, Attention: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Ciaran Murray, Chief Financial Officer, South County Business Park, Leopardstown, Dublin 18, Ireland, (353) 1-291-2000.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3013075</wp:posOffset>
            </wp:positionH>
            <wp:positionV relativeFrom="page">
              <wp:posOffset>88900</wp:posOffset>
            </wp:positionV>
            <wp:extent cx="1543685" cy="3600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543685" cy="360045"/>
                    </a:xfrm>
                    <a:prstGeom prst="rect">
                      <a:avLst/>
                    </a:prstGeom>
                    <a:noFill/>
                  </pic:spPr>
                </pic:pic>
              </a:graphicData>
            </a:graphic>
          </wp:anchor>
        </w:drawing>
        <w:t>ICON plc</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1,096,054 American Depositary Shares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Representing 1,096,054 Ordinary Shares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Offered by ICON plc From Time to Time</w:t>
      </w:r>
    </w:p>
    <w:p>
      <w:pPr>
        <w:spacing w:after="0" w:line="200" w:lineRule="exact"/>
        <w:rPr>
          <w:sz w:val="20"/>
          <w:szCs w:val="20"/>
          <w:color w:val="auto"/>
        </w:rPr>
      </w:pPr>
    </w:p>
    <w:p>
      <w:pPr>
        <w:spacing w:after="0" w:line="307" w:lineRule="exact"/>
        <w:rPr>
          <w:sz w:val="20"/>
          <w:szCs w:val="20"/>
          <w:color w:val="auto"/>
        </w:rPr>
      </w:pPr>
    </w:p>
    <w:p>
      <w:pPr>
        <w:jc w:val="center"/>
        <w:spacing w:after="0" w:line="253" w:lineRule="auto"/>
        <w:rPr>
          <w:sz w:val="20"/>
          <w:szCs w:val="20"/>
          <w:color w:val="auto"/>
        </w:rPr>
      </w:pPr>
      <w:r>
        <w:rPr>
          <w:rFonts w:ascii="Arial" w:cs="Arial" w:eastAsia="Arial" w:hAnsi="Arial"/>
          <w:sz w:val="24"/>
          <w:szCs w:val="24"/>
          <w:color w:val="auto"/>
        </w:rPr>
        <w:t>1,500,000 American Depositary Shares Representing 1,500,000 Ordinary Shares Offered by the Selling Shareholders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125730</wp:posOffset>
            </wp:positionV>
            <wp:extent cx="10464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0" w:firstLine="485"/>
        <w:spacing w:after="0" w:line="23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the “shelf” registration or continuous offering process. This means:</w:t>
      </w:r>
    </w:p>
    <w:p>
      <w:pPr>
        <w:spacing w:after="0" w:line="223" w:lineRule="exact"/>
        <w:rPr>
          <w:sz w:val="20"/>
          <w:szCs w:val="20"/>
          <w:color w:val="auto"/>
        </w:rPr>
      </w:pPr>
    </w:p>
    <w:p>
      <w:pPr>
        <w:jc w:val="both"/>
        <w:ind w:left="1160" w:right="380" w:hanging="571"/>
        <w:spacing w:after="0" w:line="23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offer and sell up to 1,096,054 ordinary shares, par value 0.06 per share, in the form of American Depositary Shares, or ADSs, covered by this prospectus from time to time in one our more offerings, which may be through one or more underwriters, dealers and agents, or directly to the purchasers. The names of any underwriters, dealers or agents, if any, will be included in a supplement to this prospectus;</w:t>
      </w:r>
    </w:p>
    <w:p>
      <w:pPr>
        <w:spacing w:after="0" w:line="141" w:lineRule="exact"/>
        <w:rPr>
          <w:rFonts w:ascii="Arial" w:cs="Arial" w:eastAsia="Arial" w:hAnsi="Arial"/>
          <w:sz w:val="18"/>
          <w:szCs w:val="18"/>
          <w:color w:val="auto"/>
        </w:rPr>
      </w:pPr>
    </w:p>
    <w:p>
      <w:pPr>
        <w:ind w:left="1160" w:right="120" w:hanging="571"/>
        <w:spacing w:after="0" w:line="238"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selling shareholders identified on page 14 of this prospectus may also use this prospectus to offer and sell up to 1,500,000 of our ordinary shares in the form of ADSs from time to time in one or more offerings. Should selling shareholders sell their securities, we will not receive any of the proceeds from such sale; and</w:t>
      </w:r>
    </w:p>
    <w:p>
      <w:pPr>
        <w:spacing w:after="0" w:line="140" w:lineRule="exact"/>
        <w:rPr>
          <w:rFonts w:ascii="Arial" w:cs="Arial" w:eastAsia="Arial" w:hAnsi="Arial"/>
          <w:sz w:val="18"/>
          <w:szCs w:val="18"/>
          <w:color w:val="auto"/>
        </w:rPr>
      </w:pPr>
    </w:p>
    <w:p>
      <w:pPr>
        <w:ind w:left="1160" w:hanging="571"/>
        <w:spacing w:after="0" w:line="236"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provide a prospectus supplement each time we and/or the selling shareholders sell the ADSs that will provide specific information about the terms of the offering and that also may add to, update or change information contained in this prospectus. The prospectus supplement may also incorporate be reference certain of our other filings with the Securities and Exchange Commission. You should carefully read this prospectus and any future prospectus supplement (including any of our filings incorporated by reference therein) before you invest in any of our ADSs.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May 3, 2006, the last reported sale price of our ADSs on The Nasdaq National Market was $55.03 per ADS.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See “Risk Factors” referred to on page 3 to read about factors you should consider before buying the ADSs.</w:t>
      </w:r>
    </w:p>
    <w:p>
      <w:pPr>
        <w:spacing w:after="0" w:line="230" w:lineRule="exact"/>
        <w:rPr>
          <w:sz w:val="20"/>
          <w:szCs w:val="20"/>
          <w:color w:val="auto"/>
        </w:rPr>
      </w:pPr>
    </w:p>
    <w:p>
      <w:pPr>
        <w:ind w:right="200" w:firstLine="485"/>
        <w:spacing w:after="0" w:line="281" w:lineRule="auto"/>
        <w:rPr>
          <w:sz w:val="20"/>
          <w:szCs w:val="20"/>
          <w:color w:val="auto"/>
        </w:rPr>
      </w:pPr>
      <w:r>
        <w:rPr>
          <w:rFonts w:ascii="Arial" w:cs="Arial" w:eastAsia="Arial" w:hAnsi="Arial"/>
          <w:sz w:val="16"/>
          <w:szCs w:val="16"/>
          <w:color w:val="auto"/>
        </w:rPr>
        <w:t>The information in this prospectus is not complete and may be changed. We and the selling shareholders may not sell the shares offered hereby until the registration statement filed with the Securities and Exchange Commission has been declared effective. This prospectus is not an offer to sell these securities, nor is it a solicitation of an offer to buy these securities in any state where the offer and sale is not permitted.</w:t>
      </w:r>
    </w:p>
    <w:p>
      <w:pPr>
        <w:spacing w:after="0" w:line="156" w:lineRule="exact"/>
        <w:rPr>
          <w:sz w:val="20"/>
          <w:szCs w:val="20"/>
          <w:color w:val="auto"/>
        </w:rPr>
      </w:pPr>
    </w:p>
    <w:p>
      <w:pPr>
        <w:ind w:right="140" w:firstLine="488"/>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4"/>
          <w:szCs w:val="24"/>
          <w:color w:val="auto"/>
        </w:rPr>
        <w:t>ICON plc</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4"/>
          <w:szCs w:val="24"/>
          <w:color w:val="auto"/>
        </w:rPr>
        <w:t>South County Business Park</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4"/>
          <w:szCs w:val="24"/>
          <w:color w:val="auto"/>
        </w:rPr>
        <w:t>Leopardstown, Dublin 18</w:t>
      </w:r>
    </w:p>
    <w:p>
      <w:pPr>
        <w:spacing w:after="0" w:line="8" w:lineRule="exact"/>
        <w:rPr>
          <w:sz w:val="20"/>
          <w:szCs w:val="20"/>
          <w:color w:val="auto"/>
        </w:rPr>
      </w:pPr>
    </w:p>
    <w:p>
      <w:pPr>
        <w:ind w:left="5300"/>
        <w:spacing w:after="0"/>
        <w:rPr>
          <w:sz w:val="20"/>
          <w:szCs w:val="20"/>
          <w:color w:val="auto"/>
        </w:rPr>
      </w:pPr>
      <w:r>
        <w:rPr>
          <w:rFonts w:ascii="Arial" w:cs="Arial" w:eastAsia="Arial" w:hAnsi="Arial"/>
          <w:sz w:val="24"/>
          <w:szCs w:val="24"/>
          <w:color w:val="auto"/>
        </w:rPr>
        <w:t>Ireland</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24"/>
          <w:szCs w:val="24"/>
          <w:color w:val="auto"/>
        </w:rPr>
        <w:t>(353) 1-291-2000</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May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60" w:type="dxa"/>
            <w:vAlign w:val="bottom"/>
            <w:gridSpan w:val="2"/>
          </w:tcPr>
          <w:p>
            <w:pPr>
              <w:ind w:left="80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0"/>
                <w:szCs w:val="20"/>
                <w:color w:val="auto"/>
              </w:rPr>
            </w:pPr>
          </w:p>
        </w:tc>
      </w:tr>
      <w:tr>
        <w:trPr>
          <w:trHeight w:val="289"/>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72"/>
        </w:trPr>
        <w:tc>
          <w:tcPr>
            <w:tcW w:w="760" w:type="dxa"/>
            <w:vAlign w:val="bottom"/>
            <w:tcBorders>
              <w:bottom w:val="single" w:sz="8" w:color="0000EE"/>
            </w:tcBorders>
            <w:gridSpan w:val="2"/>
          </w:tcPr>
          <w:p>
            <w:pPr>
              <w:spacing w:after="0" w:line="17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Summary</w:t>
              </w:r>
            </w:hyperlink>
          </w:p>
        </w:tc>
        <w:tc>
          <w:tcPr>
            <w:tcW w:w="9480" w:type="dxa"/>
            <w:vAlign w:val="bottom"/>
            <w:gridSpan w:val="14"/>
          </w:tcPr>
          <w:p>
            <w:pPr>
              <w:spacing w:after="0"/>
              <w:rPr>
                <w:sz w:val="14"/>
                <w:szCs w:val="14"/>
                <w:color w:val="auto"/>
              </w:rPr>
            </w:pPr>
          </w:p>
        </w:tc>
        <w:tc>
          <w:tcPr>
            <w:tcW w:w="110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183"/>
        </w:trPr>
        <w:tc>
          <w:tcPr>
            <w:tcW w:w="10240" w:type="dxa"/>
            <w:vAlign w:val="bottom"/>
            <w:gridSpan w:val="16"/>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10240" w:type="dxa"/>
            <w:vAlign w:val="bottom"/>
            <w:gridSpan w:val="16"/>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Disclosure Regarding Forward-Looking Statements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39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6260" w:type="dxa"/>
            <w:vAlign w:val="bottom"/>
            <w:gridSpan w:val="2"/>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13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Capitalization</w:t>
              </w:r>
            </w:hyperlink>
          </w:p>
        </w:tc>
        <w:tc>
          <w:tcPr>
            <w:tcW w:w="8940" w:type="dxa"/>
            <w:vAlign w:val="bottom"/>
            <w:gridSpan w:val="11"/>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20"/>
        </w:trPr>
        <w:tc>
          <w:tcPr>
            <w:tcW w:w="6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326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Price Range of ADSs and Dividend Policy</w:t>
              </w:r>
            </w:hyperlink>
          </w:p>
        </w:tc>
        <w:tc>
          <w:tcPr>
            <w:tcW w:w="6980" w:type="dxa"/>
            <w:vAlign w:val="bottom"/>
            <w:gridSpan w:val="3"/>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10240" w:type="dxa"/>
            <w:vAlign w:val="bottom"/>
            <w:gridSpan w:val="16"/>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Selling Shareholders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20"/>
        </w:trPr>
        <w:tc>
          <w:tcPr>
            <w:tcW w:w="60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3160" w:type="dxa"/>
            <w:vAlign w:val="bottom"/>
            <w:tcBorders>
              <w:bottom w:val="single" w:sz="8" w:color="0000EE"/>
            </w:tcBorders>
            <w:gridSpan w:val="12"/>
          </w:tcPr>
          <w:p>
            <w:pPr>
              <w:spacing w:after="0" w:line="182"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U.S. Federal Income Tax Considerations</w:t>
              </w:r>
            </w:hyperlink>
          </w:p>
        </w:tc>
        <w:tc>
          <w:tcPr>
            <w:tcW w:w="7080" w:type="dxa"/>
            <w:vAlign w:val="bottom"/>
            <w:gridSpan w:val="4"/>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10240" w:type="dxa"/>
            <w:vAlign w:val="bottom"/>
            <w:gridSpan w:val="16"/>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Irish Taxation Considerations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22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Plan of Distribution</w:t>
              </w:r>
            </w:hyperlink>
          </w:p>
        </w:tc>
        <w:tc>
          <w:tcPr>
            <w:tcW w:w="7980" w:type="dxa"/>
            <w:vAlign w:val="bottom"/>
            <w:gridSpan w:val="7"/>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20"/>
        </w:trPr>
        <w:tc>
          <w:tcPr>
            <w:tcW w:w="60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28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Exchange Controls and Other Limitations Affecting Security Holders</w:t>
              </w:r>
            </w:hyperlink>
          </w:p>
        </w:tc>
        <w:tc>
          <w:tcPr>
            <w:tcW w:w="496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238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Validity of the Ordinary Shares</w:t>
              </w:r>
            </w:hyperlink>
          </w:p>
        </w:tc>
        <w:tc>
          <w:tcPr>
            <w:tcW w:w="7860" w:type="dxa"/>
            <w:vAlign w:val="bottom"/>
            <w:gridSpan w:val="6"/>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10240" w:type="dxa"/>
            <w:vAlign w:val="bottom"/>
            <w:gridSpan w:val="16"/>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Experts</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20"/>
        </w:trPr>
        <w:tc>
          <w:tcPr>
            <w:tcW w:w="600" w:type="dxa"/>
            <w:vAlign w:val="bottom"/>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300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Expenses of Issuance and Distribution</w:t>
              </w:r>
            </w:hyperlink>
          </w:p>
        </w:tc>
        <w:tc>
          <w:tcPr>
            <w:tcW w:w="7240" w:type="dxa"/>
            <w:vAlign w:val="bottom"/>
            <w:gridSpan w:val="5"/>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1024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Enforceability of Civil Liabilities Provisions of Federal Securities Laws Against Foreign Persons; Shareholder Rights Under Irish Law</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10240" w:type="dxa"/>
            <w:vAlign w:val="bottom"/>
            <w:gridSpan w:val="16"/>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Additional Information</w:t>
              </w:r>
            </w:hyperlink>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20"/>
        </w:trPr>
        <w:tc>
          <w:tcPr>
            <w:tcW w:w="1700" w:type="dxa"/>
            <w:vAlign w:val="bottom"/>
            <w:gridSpan w:val="8"/>
            <w:shd w:val="clear" w:color="auto" w:fill="0000EE"/>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326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Incorporation of Documents by Reference</w:t>
              </w:r>
            </w:hyperlink>
          </w:p>
        </w:tc>
        <w:tc>
          <w:tcPr>
            <w:tcW w:w="6980" w:type="dxa"/>
            <w:vAlign w:val="bottom"/>
            <w:gridSpan w:val="3"/>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bl>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377" w:right="31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SUMMARY</w:t>
      </w:r>
    </w:p>
    <w:p>
      <w:pPr>
        <w:spacing w:after="0" w:line="216" w:lineRule="exact"/>
        <w:rPr>
          <w:sz w:val="20"/>
          <w:szCs w:val="20"/>
          <w:color w:val="auto"/>
        </w:rPr>
      </w:pPr>
    </w:p>
    <w:p>
      <w:pPr>
        <w:ind w:right="140" w:firstLine="488"/>
        <w:spacing w:after="0" w:line="239" w:lineRule="auto"/>
        <w:rPr>
          <w:sz w:val="20"/>
          <w:szCs w:val="20"/>
          <w:color w:val="auto"/>
        </w:rPr>
      </w:pPr>
      <w:r>
        <w:rPr>
          <w:rFonts w:ascii="Arial" w:cs="Arial" w:eastAsia="Arial" w:hAnsi="Arial"/>
          <w:sz w:val="18"/>
          <w:szCs w:val="18"/>
          <w:i w:val="1"/>
          <w:iCs w:val="1"/>
          <w:color w:val="auto"/>
        </w:rPr>
        <w:t>This summary highlights information about us and the terms of this offering. Because it is a summary, it does not contain all of the information that may be important to you in deciding whether to purchase ADSs. You should read carefully the entire prospectus and the documents that we have filed with SEC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In this prospectus, “ICON”, the “Company”, “we”, “us” and “our” refer to ICON plc, a public limited company organized under the laws of Ireland, and its consolidated subsidiaries.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ICON</w:t>
      </w:r>
    </w:p>
    <w:p>
      <w:pPr>
        <w:spacing w:after="0" w:line="234" w:lineRule="exact"/>
        <w:rPr>
          <w:sz w:val="20"/>
          <w:szCs w:val="20"/>
          <w:color w:val="auto"/>
        </w:rPr>
      </w:pPr>
    </w:p>
    <w:p>
      <w:pPr>
        <w:ind w:right="20" w:firstLine="488"/>
        <w:spacing w:after="0" w:line="270"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December 31, 2005, we had approximately 3,050 employees and operations in 41 locations in 27 countries, including the United States and major markets in Europe and the rest of the world, or Rest of World. For the fiscal year ended December 31, 2005, we derived approximately 58.6%, 33.7% and 7.7% of our net revenue in the United States, Europe and Rest of World, respectively.</w:t>
      </w:r>
    </w:p>
    <w:p>
      <w:pPr>
        <w:spacing w:after="0" w:line="185" w:lineRule="exact"/>
        <w:rPr>
          <w:sz w:val="20"/>
          <w:szCs w:val="20"/>
          <w:color w:val="auto"/>
        </w:rPr>
      </w:pPr>
    </w:p>
    <w:p>
      <w:pPr>
        <w:ind w:right="460" w:firstLine="488"/>
        <w:spacing w:after="0" w:line="238"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In 2005 revenue was earned from over 300 clients, including all of the top 20 pharmaceutical companies, as ranked by 2004 revenues.</w:t>
      </w:r>
    </w:p>
    <w:p>
      <w:pPr>
        <w:spacing w:after="0" w:line="208" w:lineRule="exact"/>
        <w:rPr>
          <w:sz w:val="20"/>
          <w:szCs w:val="20"/>
          <w:color w:val="auto"/>
        </w:rPr>
      </w:pPr>
    </w:p>
    <w:p>
      <w:pPr>
        <w:ind w:right="160" w:firstLine="488"/>
        <w:spacing w:after="0" w:line="271" w:lineRule="auto"/>
        <w:rPr>
          <w:sz w:val="20"/>
          <w:szCs w:val="20"/>
          <w:color w:val="auto"/>
        </w:rPr>
      </w:pPr>
      <w:r>
        <w:rPr>
          <w:rFonts w:ascii="Arial" w:cs="Arial" w:eastAsia="Arial" w:hAnsi="Arial"/>
          <w:sz w:val="16"/>
          <w:szCs w:val="16"/>
          <w:color w:val="auto"/>
        </w:rPr>
        <w:t>In executing clinical trials, we utilize an operating model based on a “dedicated team approach” in which a team of full-time clinical professionals, primarily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185"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Since inception, we have invested significantly in developing and maintaining a quality system that supports and reinforces our culture of customer focus, client service and high quality output. We became ISO 9002 accredited in 1994 and we have continued to undergo several quality systems surveillance audits each year in order to maintain global registration. In 2003 we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Fiscal Year End</w:t>
      </w:r>
    </w:p>
    <w:p>
      <w:pPr>
        <w:spacing w:after="0" w:line="230"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On July 27, 2005 our Board of Directors approved a change of our fiscal year end from a twelve-month period ending on May 31 to a twelve-month period ending on December 31. We made this change in order to align our fiscal year end with the majority of other contract research organizations. As a requirement of this change, we reported results for the seven-month period from June 1, 2005 to December 31, 2005 as a separate transition period in a Transition Report filed on Form 20-F. Going forward, our fiscal quarters will end on the last day of March, June, September and December of each year.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Risks Related to Our Business and Purchasing Our ADSs</w:t>
      </w:r>
    </w:p>
    <w:p>
      <w:pPr>
        <w:spacing w:after="0" w:line="234"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Before you purchase our ADSs, you should be aware that there are various risks related to, among other things: our dependence on the continued outsourcing of research and development by the pharmaceutical, biotechnology and medical device industries; our limited number of clients; clients discontinuing use of services or cancellations or discontinuance of projects; competition with larger companies and research institutions; quarterly results fluctuations; continued losses by our central laboratory segment; dependence on long-term fixed-fee contracts; our ability to attract or retain qualified staff; failure to comply with regulatory authorities; exchange rate fluctuations; potential liability claims; loss of business opportunities as a result of health care reform or changes in the regulatory environment; our failure to successfully develop and market or acquire new services; our reliance on third parties for important services; ongoing disruptions of our business caused by acquisitions we may make in the future; fluctuations in the stock market or general economic conditions; difficulty enforcing U.S. judgments against us; and the determination that we are a Passive Foreign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134620</wp:posOffset>
            </wp:positionV>
            <wp:extent cx="10464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principal executive offices are located in South County Business Park, Leopardstown, Dublin 18, Ireland and our telephone number is</w:t>
      </w:r>
    </w:p>
    <w:p>
      <w:pPr>
        <w:spacing w:after="0" w:line="19" w:lineRule="exact"/>
        <w:rPr>
          <w:sz w:val="20"/>
          <w:szCs w:val="20"/>
          <w:color w:val="auto"/>
        </w:rPr>
      </w:pPr>
    </w:p>
    <w:p>
      <w:pPr>
        <w:ind w:left="5660" w:right="2300" w:hanging="5652"/>
        <w:spacing w:after="0" w:line="489" w:lineRule="auto"/>
        <w:tabs>
          <w:tab w:leader="none" w:pos="461" w:val="left"/>
        </w:tabs>
        <w:numPr>
          <w:ilvl w:val="0"/>
          <w:numId w:val="5"/>
        </w:numPr>
        <w:rPr>
          <w:rFonts w:ascii="Arial" w:cs="Arial" w:eastAsia="Arial" w:hAnsi="Arial"/>
          <w:sz w:val="18"/>
          <w:szCs w:val="18"/>
          <w:color w:val="auto"/>
        </w:rPr>
      </w:pPr>
      <w:r>
        <w:rPr>
          <w:rFonts w:ascii="Arial" w:cs="Arial" w:eastAsia="Arial" w:hAnsi="Arial"/>
          <w:sz w:val="18"/>
          <w:szCs w:val="18"/>
          <w:color w:val="auto"/>
        </w:rPr>
        <w:t>1-291-2000. Our principal offices in the United States are located at 212 Church Road, North Wales, PA 19454.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120" w:firstLine="488"/>
        <w:spacing w:after="0" w:line="247" w:lineRule="auto"/>
        <w:rPr>
          <w:sz w:val="20"/>
          <w:szCs w:val="20"/>
          <w:color w:val="auto"/>
        </w:rPr>
      </w:pPr>
      <w:r>
        <w:rPr>
          <w:rFonts w:ascii="Arial" w:cs="Arial" w:eastAsia="Arial" w:hAnsi="Arial"/>
          <w:sz w:val="18"/>
          <w:szCs w:val="18"/>
          <w:i w:val="1"/>
          <w:iCs w:val="1"/>
          <w:color w:val="auto"/>
        </w:rPr>
        <w:t>If you purchase our ADSs, you will take on a financial risk. In deciding whether to invest, you should carefully consider the following factors, the other information contained in this prospectus, including the prospectus supplement attached hereto, and the additional information in our reports and other documents on file with the SEC that are incorporated herein by reference</w:t>
      </w:r>
      <w:r>
        <w:rPr>
          <w:rFonts w:ascii="Arial" w:cs="Arial" w:eastAsia="Arial" w:hAnsi="Arial"/>
          <w:sz w:val="18"/>
          <w:szCs w:val="18"/>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We are dependent on the continued outsourcing of research and development by the pharmaceutical, biotechnology and medical device industries.</w:t>
      </w:r>
    </w:p>
    <w:p>
      <w:pPr>
        <w:spacing w:after="0" w:line="18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clients and a loss of, or significant decrease in, business from them could affect our business.</w:t>
      </w:r>
    </w:p>
    <w:p>
      <w:pPr>
        <w:spacing w:after="0" w:line="232" w:lineRule="exact"/>
        <w:rPr>
          <w:sz w:val="20"/>
          <w:szCs w:val="20"/>
          <w:color w:val="auto"/>
        </w:rPr>
      </w:pPr>
    </w:p>
    <w:p>
      <w:pPr>
        <w:ind w:right="240" w:firstLine="488"/>
        <w:spacing w:after="0" w:line="271" w:lineRule="auto"/>
        <w:rPr>
          <w:sz w:val="20"/>
          <w:szCs w:val="20"/>
          <w:color w:val="auto"/>
        </w:rPr>
      </w:pPr>
      <w:r>
        <w:rPr>
          <w:rFonts w:ascii="Arial" w:cs="Arial" w:eastAsia="Arial" w:hAnsi="Arial"/>
          <w:sz w:val="16"/>
          <w:szCs w:val="16"/>
          <w:color w:val="auto"/>
        </w:rPr>
        <w:t>We have in the past and may in the future derive a significant portion of our net revenue from a relatively limited number of clients. During the transition period ended December 31, 2005, 39% of our net revenue was derived from our top five clients. In the transition period, no client contributed more then 10% of net revenues. During the fiscal year ended May 31, 2005, 43% of our net revenue was derived from our top five clients. In the fiscal year ended May 31, 2005, 12% of our net revenue was derived from Astra Zeneca plc, no other client contributed more then 10% of net revenues. During the fiscal year ended May 31, 2004, 40% of our net revenue was derived from our top five clients. In the fiscal year ended May 31, 2004, 17% of our net revenue was from Astra Zeneca plc, no other client contributed more then 10% of net revenues.</w:t>
      </w:r>
    </w:p>
    <w:p>
      <w:pPr>
        <w:spacing w:after="0" w:line="16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will be adversely affected and we may not receive their business in the future or may not be able to attract new clients.</w:t>
      </w:r>
    </w:p>
    <w:p>
      <w:pPr>
        <w:spacing w:after="0" w:line="189" w:lineRule="exact"/>
        <w:rPr>
          <w:sz w:val="20"/>
          <w:szCs w:val="20"/>
          <w:color w:val="auto"/>
        </w:rPr>
      </w:pPr>
    </w:p>
    <w:p>
      <w:pPr>
        <w:ind w:right="280" w:firstLine="488"/>
        <w:spacing w:after="0" w:line="238"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222"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poor project performance, insufficient patient enrollment or investigator recruitment; or</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ind w:left="500"/>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192"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b w:val="1"/>
          <w:bCs w:val="1"/>
          <w:i w:val="1"/>
          <w:iCs w:val="1"/>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143"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market for CROs is highly competitive. We primarily compete against in-house departments of pharmaceutical companies and other CROs including Quintiles Transnational Corporation, Covance Inc., PAREXEL International Corporation, Kendle International Inc., Ingenix Inc. (United Health Group Incorporated), Omnicare Inc., PRA International Inc., MDS Inc., SFBC International Inc., Charles River Laboratories,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 Any of these factors may prevent us from getting the opportunity to bid on new projects or prevent us from being competitive in bidding on new contracts.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32"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Our results of operations in any quarter can fluctuate depending upon, among other things, the number and scope of ongoing client projects, the commencement, postponement, variation and cancellation or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Central Laboratory segment has been loss making and may continue to experience losses in the future.</w:t>
      </w:r>
    </w:p>
    <w:p>
      <w:pPr>
        <w:spacing w:after="0" w:line="232"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Our central laboratory has experienced a period of underperformance over the past number of years. To return this business segment to profitability we require continued strong levels of new business awards and economies of scale in the usage of both resources and lab inputs. If we do not achieve continued momentum in winning new business and if these economies are not attained, then our central laboratory may continue to make losses.</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Approximately 85% of our net revenue is earned from long-term fixed-fee contracts. We would lose money in performing these contracts if the costs of performance exceed the fixed fees for these projects.</w:t>
      </w:r>
    </w:p>
    <w:p>
      <w:pPr>
        <w:spacing w:after="0" w:line="189" w:lineRule="exact"/>
        <w:rPr>
          <w:sz w:val="20"/>
          <w:szCs w:val="20"/>
          <w:color w:val="auto"/>
        </w:rPr>
      </w:pPr>
    </w:p>
    <w:p>
      <w:pPr>
        <w:jc w:val="both"/>
        <w:ind w:right="80" w:firstLine="478"/>
        <w:spacing w:after="0" w:line="237" w:lineRule="auto"/>
        <w:rPr>
          <w:sz w:val="20"/>
          <w:szCs w:val="20"/>
          <w:color w:val="auto"/>
        </w:rPr>
      </w:pPr>
      <w:r>
        <w:rPr>
          <w:rFonts w:ascii="Arial" w:cs="Arial" w:eastAsia="Arial" w:hAnsi="Arial"/>
          <w:sz w:val="18"/>
          <w:szCs w:val="18"/>
          <w:color w:val="auto"/>
        </w:rPr>
        <w:t>Approximately 85%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32" w:lineRule="exact"/>
        <w:rPr>
          <w:sz w:val="20"/>
          <w:szCs w:val="20"/>
          <w:color w:val="auto"/>
        </w:rPr>
      </w:pPr>
    </w:p>
    <w:p>
      <w:pPr>
        <w:ind w:right="20" w:firstLine="488"/>
        <w:spacing w:after="0" w:line="238" w:lineRule="auto"/>
        <w:rPr>
          <w:sz w:val="20"/>
          <w:szCs w:val="20"/>
          <w:color w:val="auto"/>
        </w:rPr>
      </w:pPr>
      <w:r>
        <w:rPr>
          <w:rFonts w:ascii="Arial" w:cs="Arial" w:eastAsia="Arial" w:hAnsi="Arial"/>
          <w:sz w:val="18"/>
          <w:szCs w:val="18"/>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biotechnology and medical device companies. Although we have not had any difficulty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ind w:right="520"/>
        <w:spacing w:after="0" w:line="239" w:lineRule="auto"/>
        <w:rPr>
          <w:sz w:val="20"/>
          <w:szCs w:val="20"/>
          <w:color w:val="auto"/>
        </w:rPr>
      </w:pPr>
      <w:r>
        <w:rPr>
          <w:rFonts w:ascii="Arial" w:cs="Arial" w:eastAsia="Arial" w:hAnsi="Arial"/>
          <w:sz w:val="18"/>
          <w:szCs w:val="18"/>
          <w:color w:val="auto"/>
        </w:rPr>
        <w:t>attracting or retaining qualified staff in the past, there is no guarantee that we will be able to continue to attract a sufficient number of clinical research professionals at an acceptable cost.</w:t>
      </w:r>
    </w:p>
    <w:p>
      <w:pPr>
        <w:spacing w:after="0" w:line="189"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189" w:lineRule="exact"/>
        <w:rPr>
          <w:sz w:val="20"/>
          <w:szCs w:val="20"/>
          <w:color w:val="auto"/>
        </w:rPr>
      </w:pPr>
    </w:p>
    <w:p>
      <w:pPr>
        <w:ind w:right="20" w:firstLine="485"/>
        <w:spacing w:after="0" w:line="237" w:lineRule="auto"/>
        <w:rPr>
          <w:sz w:val="20"/>
          <w:szCs w:val="20"/>
          <w:color w:val="auto"/>
        </w:rPr>
      </w:pPr>
      <w:r>
        <w:rPr>
          <w:rFonts w:ascii="Arial" w:cs="Arial" w:eastAsia="Arial" w:hAnsi="Arial"/>
          <w:sz w:val="18"/>
          <w:szCs w:val="18"/>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222"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termination of any research;</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disqualification of data;</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denial of the right to conduct business;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criminal penalties; and</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32" w:lineRule="exact"/>
        <w:rPr>
          <w:sz w:val="20"/>
          <w:szCs w:val="20"/>
          <w:color w:val="auto"/>
        </w:rPr>
      </w:pPr>
    </w:p>
    <w:p>
      <w:pPr>
        <w:jc w:val="both"/>
        <w:ind w:right="240" w:firstLine="488"/>
        <w:spacing w:after="0" w:line="237" w:lineRule="auto"/>
        <w:rPr>
          <w:sz w:val="20"/>
          <w:szCs w:val="20"/>
          <w:color w:val="auto"/>
        </w:rPr>
      </w:pPr>
      <w:r>
        <w:rPr>
          <w:rFonts w:ascii="Arial" w:cs="Arial" w:eastAsia="Arial" w:hAnsi="Arial"/>
          <w:sz w:val="18"/>
          <w:szCs w:val="18"/>
          <w:color w:val="auto"/>
        </w:rPr>
        <w:t>We derived approximately 41.4% of our consolidated net revenue in the transition period ending December 31, 2005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209" w:lineRule="exact"/>
        <w:rPr>
          <w:sz w:val="20"/>
          <w:szCs w:val="20"/>
          <w:color w:val="auto"/>
        </w:rPr>
      </w:pPr>
    </w:p>
    <w:p>
      <w:pPr>
        <w:ind w:right="100" w:firstLine="488"/>
        <w:spacing w:after="0" w:line="237" w:lineRule="auto"/>
        <w:rPr>
          <w:sz w:val="20"/>
          <w:szCs w:val="20"/>
          <w:color w:val="auto"/>
        </w:rPr>
      </w:pPr>
      <w:r>
        <w:rPr>
          <w:rFonts w:ascii="Arial" w:cs="Arial" w:eastAsia="Arial" w:hAnsi="Arial"/>
          <w:sz w:val="18"/>
          <w:szCs w:val="18"/>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32" w:lineRule="exact"/>
        <w:rPr>
          <w:sz w:val="20"/>
          <w:szCs w:val="20"/>
          <w:color w:val="auto"/>
        </w:rPr>
      </w:pPr>
    </w:p>
    <w:p>
      <w:pPr>
        <w:ind w:right="140" w:firstLine="488"/>
        <w:spacing w:after="0" w:line="275"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183" w:lineRule="exact"/>
        <w:rPr>
          <w:sz w:val="20"/>
          <w:szCs w:val="20"/>
          <w:color w:val="auto"/>
        </w:rPr>
      </w:pPr>
    </w:p>
    <w:p>
      <w:pPr>
        <w:ind w:right="60" w:firstLine="488"/>
        <w:spacing w:after="0" w:line="238" w:lineRule="auto"/>
        <w:rPr>
          <w:sz w:val="20"/>
          <w:szCs w:val="20"/>
          <w:color w:val="auto"/>
        </w:rPr>
      </w:pPr>
      <w:r>
        <w:rPr>
          <w:rFonts w:ascii="Arial" w:cs="Arial" w:eastAsia="Arial" w:hAnsi="Arial"/>
          <w:sz w:val="18"/>
          <w:szCs w:val="18"/>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 and that of our employees.</w:t>
      </w:r>
    </w:p>
    <w:p>
      <w:pPr>
        <w:spacing w:after="0" w:line="208"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8"/>
          <w:szCs w:val="18"/>
          <w:color w:val="auto"/>
        </w:rPr>
        <w:t>In addition, we maintain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liable for a claim that is beyond the level of insurance coverage, we may be responsible for paying all or part of any award.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organizations.</w:t>
      </w:r>
    </w:p>
    <w:p>
      <w:pPr>
        <w:spacing w:after="0" w:line="232"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09" w:lineRule="exact"/>
        <w:rPr>
          <w:sz w:val="20"/>
          <w:szCs w:val="20"/>
          <w:color w:val="auto"/>
        </w:rPr>
      </w:pPr>
    </w:p>
    <w:p>
      <w:pPr>
        <w:jc w:val="both"/>
        <w:ind w:right="460" w:firstLine="488"/>
        <w:spacing w:after="0" w:line="237" w:lineRule="auto"/>
        <w:rPr>
          <w:sz w:val="20"/>
          <w:szCs w:val="20"/>
          <w:color w:val="auto"/>
        </w:rPr>
      </w:pPr>
      <w:r>
        <w:rPr>
          <w:rFonts w:ascii="Arial" w:cs="Arial" w:eastAsia="Arial" w:hAnsi="Arial"/>
          <w:sz w:val="18"/>
          <w:szCs w:val="18"/>
          <w:color w:val="auto"/>
        </w:rPr>
        <w:t>For instance, in the past the U.S. Congress has entertained several comprehensive health care reform proposals. The proposals were generally intended to expand health care coverage for the uninsured and reduce the growth of total health care expenditures. While the U.S. Congress has not yet adopted any comprehensive reform proposals, members of Congress may raise similar proposals in the future. We are unable to predict the likelihood that health care reform proposals will be enacted into law.</w:t>
      </w:r>
    </w:p>
    <w:p>
      <w:pPr>
        <w:spacing w:after="0" w:line="209" w:lineRule="exact"/>
        <w:rPr>
          <w:sz w:val="20"/>
          <w:szCs w:val="20"/>
          <w:color w:val="auto"/>
        </w:rPr>
      </w:pPr>
    </w:p>
    <w:p>
      <w:pPr>
        <w:ind w:right="20" w:firstLine="488"/>
        <w:spacing w:after="0" w:line="237" w:lineRule="auto"/>
        <w:rPr>
          <w:sz w:val="20"/>
          <w:szCs w:val="20"/>
          <w:color w:val="auto"/>
        </w:rPr>
      </w:pPr>
      <w:r>
        <w:rPr>
          <w:rFonts w:ascii="Arial" w:cs="Arial" w:eastAsia="Arial" w:hAnsi="Arial"/>
          <w:sz w:val="18"/>
          <w:szCs w:val="18"/>
          <w:color w:val="auto"/>
        </w:rPr>
        <w:t>In addition to health 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32"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develop and market or acquire new services.</w:t>
      </w:r>
    </w:p>
    <w:p>
      <w:pPr>
        <w:spacing w:after="0" w:line="232"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We may seek to develop and market new services that complement or expand our existing business or expand our service offerings through acquisition. If we are unable to develop new services and/or create demand for those newly developed services, or expand our service offerings through acquisition, our future business, results of operations, financial condition, and cash flows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for important services.</w:t>
      </w:r>
    </w:p>
    <w:p>
      <w:pPr>
        <w:spacing w:after="0" w:line="232" w:lineRule="exact"/>
        <w:rPr>
          <w:sz w:val="20"/>
          <w:szCs w:val="20"/>
          <w:color w:val="auto"/>
        </w:rPr>
      </w:pPr>
    </w:p>
    <w:p>
      <w:pPr>
        <w:ind w:right="60" w:firstLine="488"/>
        <w:spacing w:after="0" w:line="239" w:lineRule="auto"/>
        <w:rPr>
          <w:sz w:val="20"/>
          <w:szCs w:val="20"/>
          <w:color w:val="auto"/>
        </w:rPr>
      </w:pPr>
      <w:r>
        <w:rPr>
          <w:rFonts w:ascii="Arial" w:cs="Arial" w:eastAsia="Arial" w:hAnsi="Arial"/>
          <w:sz w:val="18"/>
          <w:szCs w:val="18"/>
          <w:color w:val="auto"/>
        </w:rPr>
        <w:t>We depend on third parties to provide us with services critical to our business. The failure of any of these third parties to adequately provide the needed services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32"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We have made a number of acquisitions and will continue to review new acquisition opportunities. If we are unable to successfully integrate an acquired company, the acquisition could lead to disruptions to the business. The success of an acquisition will depend upon, among other things, our ability to:</w:t>
      </w:r>
    </w:p>
    <w:p>
      <w:pPr>
        <w:spacing w:after="0" w:line="222"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assimilate the operations and services or products of the acquired company;</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 w:name="page21"/>
    <w:bookmarkEnd w:id="20"/>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minimize the diversion of management’s attention from other business concerns.</w:t>
      </w:r>
    </w:p>
    <w:p>
      <w:pPr>
        <w:spacing w:after="0" w:line="212" w:lineRule="exact"/>
        <w:rPr>
          <w:sz w:val="20"/>
          <w:szCs w:val="20"/>
          <w:color w:val="auto"/>
        </w:rPr>
      </w:pPr>
    </w:p>
    <w:p>
      <w:pPr>
        <w:ind w:right="500" w:firstLine="478"/>
        <w:spacing w:after="0" w:line="239" w:lineRule="auto"/>
        <w:rPr>
          <w:sz w:val="20"/>
          <w:szCs w:val="20"/>
          <w:color w:val="auto"/>
        </w:rPr>
      </w:pPr>
      <w:r>
        <w:rPr>
          <w:rFonts w:ascii="Arial" w:cs="Arial" w:eastAsia="Arial" w:hAnsi="Arial"/>
          <w:sz w:val="18"/>
          <w:szCs w:val="18"/>
          <w:color w:val="auto"/>
        </w:rPr>
        <w:t>Acquisitions of foreign companies may also involve additional risks, including assimilating differences in foreign business practices and overcoming language and cultural barriers.</w:t>
      </w:r>
    </w:p>
    <w:p>
      <w:pPr>
        <w:spacing w:after="0" w:line="209" w:lineRule="exact"/>
        <w:rPr>
          <w:sz w:val="20"/>
          <w:szCs w:val="20"/>
          <w:color w:val="auto"/>
        </w:rPr>
      </w:pPr>
    </w:p>
    <w:p>
      <w:pPr>
        <w:ind w:right="20" w:firstLine="488"/>
        <w:spacing w:after="0" w:line="239" w:lineRule="auto"/>
        <w:rPr>
          <w:sz w:val="20"/>
          <w:szCs w:val="20"/>
          <w:color w:val="auto"/>
        </w:rPr>
      </w:pPr>
      <w:r>
        <w:rPr>
          <w:rFonts w:ascii="Arial" w:cs="Arial" w:eastAsia="Arial" w:hAnsi="Arial"/>
          <w:sz w:val="18"/>
          <w:szCs w:val="18"/>
          <w:color w:val="auto"/>
        </w:rPr>
        <w:t>In the event that the operations of an acquired business do not meet our performance expectations, we may have to restructure the acquired business or write-off the value of some or all of the assets of the acquired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PURCHASING OUR ADSs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stock market or general economic conditions could negatively affect the market price of our ADSs.</w:t>
      </w:r>
    </w:p>
    <w:p>
      <w:pPr>
        <w:spacing w:after="0" w:line="232" w:lineRule="exact"/>
        <w:rPr>
          <w:sz w:val="20"/>
          <w:szCs w:val="20"/>
          <w:color w:val="auto"/>
        </w:rPr>
      </w:pPr>
    </w:p>
    <w:p>
      <w:pPr>
        <w:ind w:right="20" w:firstLine="485"/>
        <w:spacing w:after="0" w:line="236" w:lineRule="auto"/>
        <w:rPr>
          <w:sz w:val="20"/>
          <w:szCs w:val="20"/>
          <w:color w:val="auto"/>
        </w:rPr>
      </w:pPr>
      <w:r>
        <w:rPr>
          <w:rFonts w:ascii="Arial" w:cs="Arial" w:eastAsia="Arial" w:hAnsi="Arial"/>
          <w:sz w:val="18"/>
          <w:szCs w:val="18"/>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for investors to enforce U.S. judgments against us.</w:t>
      </w:r>
    </w:p>
    <w:p>
      <w:pPr>
        <w:spacing w:after="0" w:line="232" w:lineRule="exact"/>
        <w:rPr>
          <w:sz w:val="20"/>
          <w:szCs w:val="20"/>
          <w:color w:val="auto"/>
        </w:rPr>
      </w:pPr>
    </w:p>
    <w:p>
      <w:pPr>
        <w:ind w:right="180" w:firstLine="488"/>
        <w:spacing w:after="0" w:line="236" w:lineRule="auto"/>
        <w:rPr>
          <w:sz w:val="20"/>
          <w:szCs w:val="20"/>
          <w:color w:val="auto"/>
        </w:rPr>
      </w:pPr>
      <w:r>
        <w:rPr>
          <w:rFonts w:ascii="Arial" w:cs="Arial" w:eastAsia="Arial" w:hAnsi="Arial"/>
          <w:sz w:val="18"/>
          <w:szCs w:val="18"/>
          <w:color w:val="auto"/>
        </w:rPr>
        <w:t>We are incorporated in the Republic of Ireland and many of our subsidiaries are organized outside of the United States. As a result, the principles of law that govern our shareholder rights, the validity of corporate procedures and other matters may be different from those that would apply if we were a U.S. company. For example, it is not certain whether an Irish court (i) would enforce judgments of U.S. courts based upon the civil liability provisions of applicable U.S. federal and state securities laws or (ii) would enforce, in original actions, liabilities against us or our subsidiaries based upon these laws.</w:t>
      </w:r>
    </w:p>
    <w:p>
      <w:pPr>
        <w:spacing w:after="0" w:line="19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b w:val="1"/>
          <w:bCs w:val="1"/>
          <w:i w:val="1"/>
          <w:iCs w:val="1"/>
          <w:color w:val="auto"/>
        </w:rPr>
        <w:t>If we were determined to be a Passive Foreign Investment Company, or PFIC, United States shareholders could suffer adverse tax consequences.</w:t>
      </w:r>
    </w:p>
    <w:p>
      <w:pPr>
        <w:spacing w:after="0" w:line="189" w:lineRule="exact"/>
        <w:rPr>
          <w:sz w:val="20"/>
          <w:szCs w:val="20"/>
          <w:color w:val="auto"/>
        </w:rPr>
      </w:pPr>
    </w:p>
    <w:p>
      <w:pPr>
        <w:ind w:firstLine="478"/>
        <w:spacing w:after="0" w:line="235" w:lineRule="auto"/>
        <w:rPr>
          <w:sz w:val="20"/>
          <w:szCs w:val="20"/>
          <w:color w:val="auto"/>
        </w:rPr>
      </w:pPr>
      <w:r>
        <w:rPr>
          <w:rFonts w:ascii="Arial" w:cs="Arial" w:eastAsia="Arial" w:hAnsi="Arial"/>
          <w:sz w:val="18"/>
          <w:szCs w:val="18"/>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We believe that we are not currently a PFIC and, based on our management’s current projections of our future income and assets and the manner in which we currently intend to manage and conduct our business in the future, that we will not become a PFIC in the foreseeable future. However, the PFIC rules are complex and subject to some uncertainty (given the very limited amount of authority interpreting such rules) and, thus, there can be no assurance that we are not currently a PFIC or will not become one in the future. If we were treated as a PFIC for any taxable year in which a U.S. Holder held ordinary shares or ADSs, certain adverse consequences could apply, including a material increase in the amount of tax that the U.S. Holder would owe, an imposition of tax earlier than would otherwise be imposed, interest charges and additional tax form filing requirements. U.S. Holders should consult with their tax advisors as to the effect of these rules. For a discussion of the PFIC rules and other material U.S. federal income tax matters, see “U.S. Federal Income Tax Considerations.”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99"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34"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Transition Report on Form 20-F,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2" w:name="page23"/>
    <w:bookmarkEnd w:id="22"/>
    <w:p>
      <w:pPr>
        <w:jc w:val="center"/>
        <w:ind w:right="-59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color w:val="auto"/>
        </w:rPr>
        <w:t>We intend to use the net proceeds from any offering hereunder for general corporate purposes. The prospectus supplement issued in connection with any offering of ADSs by us will provide further detail about the use of the proceeds received therefrom.</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will not receive any proceeds from the sale of ADSs by the selling shareholders.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121" w:right="8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right="640" w:firstLine="485"/>
        <w:spacing w:after="0" w:line="239" w:lineRule="auto"/>
        <w:rPr>
          <w:sz w:val="20"/>
          <w:szCs w:val="20"/>
          <w:color w:val="auto"/>
        </w:rPr>
      </w:pPr>
      <w:r>
        <w:rPr>
          <w:rFonts w:ascii="Arial" w:cs="Arial" w:eastAsia="Arial" w:hAnsi="Arial"/>
          <w:sz w:val="18"/>
          <w:szCs w:val="18"/>
          <w:color w:val="auto"/>
        </w:rPr>
        <w:t>The following table sets forth, as of December 31, 2005, our cash and cash equivalents, short-term investments, short-term debt and capitalization: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As of</w:t>
            </w:r>
          </w:p>
        </w:tc>
        <w:tc>
          <w:tcPr>
            <w:tcW w:w="100" w:type="dxa"/>
            <w:vAlign w:val="bottom"/>
          </w:tcPr>
          <w:p>
            <w:pPr>
              <w:spacing w:after="0"/>
              <w:rPr>
                <w:sz w:val="14"/>
                <w:szCs w:val="14"/>
                <w:color w:val="auto"/>
              </w:rPr>
            </w:pPr>
          </w:p>
        </w:tc>
      </w:tr>
      <w:tr>
        <w:trPr>
          <w:trHeight w:val="178"/>
        </w:trPr>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December 31, 2005(1)</w:t>
            </w:r>
          </w:p>
        </w:tc>
        <w:tc>
          <w:tcPr>
            <w:tcW w:w="10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21"/>
                <w:szCs w:val="21"/>
                <w:color w:val="auto"/>
              </w:rPr>
            </w:pPr>
          </w:p>
        </w:tc>
      </w:tr>
      <w:tr>
        <w:trPr>
          <w:trHeight w:val="203"/>
        </w:trPr>
        <w:tc>
          <w:tcPr>
            <w:tcW w:w="580" w:type="dxa"/>
            <w:vAlign w:val="bottom"/>
          </w:tcPr>
          <w:p>
            <w:pPr>
              <w:spacing w:after="0"/>
              <w:rPr>
                <w:sz w:val="17"/>
                <w:szCs w:val="17"/>
                <w:color w:val="auto"/>
              </w:rPr>
            </w:pPr>
          </w:p>
        </w:tc>
        <w:tc>
          <w:tcPr>
            <w:tcW w:w="8960" w:type="dxa"/>
            <w:vAlign w:val="bottom"/>
            <w:gridSpan w:val="3"/>
            <w:shd w:val="clear" w:color="auto" w:fill="E6E6E6"/>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59,509</w:t>
            </w:r>
          </w:p>
        </w:tc>
        <w:tc>
          <w:tcPr>
            <w:tcW w:w="100" w:type="dxa"/>
            <w:vAlign w:val="bottom"/>
            <w:shd w:val="clear" w:color="auto" w:fill="E6E6E6"/>
          </w:tcPr>
          <w:p>
            <w:pPr>
              <w:spacing w:after="0"/>
              <w:rPr>
                <w:sz w:val="17"/>
                <w:szCs w:val="17"/>
                <w:color w:val="auto"/>
              </w:rPr>
            </w:pPr>
          </w:p>
        </w:tc>
      </w:tr>
      <w:tr>
        <w:trPr>
          <w:trHeight w:val="108"/>
        </w:trPr>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580" w:type="dxa"/>
            <w:vAlign w:val="bottom"/>
          </w:tcPr>
          <w:p>
            <w:pPr>
              <w:spacing w:after="0"/>
              <w:rPr>
                <w:sz w:val="24"/>
                <w:szCs w:val="24"/>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Short-term investments (available for sale)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tcPr>
          <w:p>
            <w:pPr>
              <w:spacing w:after="0"/>
              <w:rPr>
                <w:sz w:val="24"/>
                <w:szCs w:val="24"/>
                <w:color w:val="auto"/>
              </w:rPr>
            </w:pPr>
          </w:p>
        </w:tc>
      </w:tr>
      <w:tr>
        <w:trPr>
          <w:trHeight w:val="120"/>
        </w:trPr>
        <w:tc>
          <w:tcPr>
            <w:tcW w:w="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3"/>
        </w:trPr>
        <w:tc>
          <w:tcPr>
            <w:tcW w:w="580" w:type="dxa"/>
            <w:vAlign w:val="bottom"/>
          </w:tcPr>
          <w:p>
            <w:pPr>
              <w:spacing w:after="0"/>
              <w:rPr>
                <w:sz w:val="17"/>
                <w:szCs w:val="17"/>
                <w:color w:val="auto"/>
              </w:rPr>
            </w:pPr>
          </w:p>
        </w:tc>
        <w:tc>
          <w:tcPr>
            <w:tcW w:w="8960" w:type="dxa"/>
            <w:vAlign w:val="bottom"/>
            <w:gridSpan w:val="3"/>
            <w:shd w:val="clear" w:color="auto" w:fill="E6E6E6"/>
          </w:tcPr>
          <w:p>
            <w:pPr>
              <w:spacing w:after="0" w:line="202" w:lineRule="exact"/>
              <w:rPr>
                <w:sz w:val="20"/>
                <w:szCs w:val="20"/>
                <w:color w:val="auto"/>
              </w:rPr>
            </w:pPr>
            <w:r>
              <w:rPr>
                <w:rFonts w:ascii="Arial" w:cs="Arial" w:eastAsia="Arial" w:hAnsi="Arial"/>
                <w:sz w:val="18"/>
                <w:szCs w:val="18"/>
                <w:color w:val="auto"/>
              </w:rPr>
              <w:t>Shareholders’ equity:</w:t>
            </w:r>
          </w:p>
        </w:tc>
        <w:tc>
          <w:tcPr>
            <w:tcW w:w="120" w:type="dxa"/>
            <w:vAlign w:val="bottom"/>
            <w:shd w:val="clear" w:color="auto" w:fill="E6E6E6"/>
          </w:tcPr>
          <w:p>
            <w:pPr>
              <w:spacing w:after="0"/>
              <w:rPr>
                <w:sz w:val="17"/>
                <w:szCs w:val="17"/>
                <w:color w:val="auto"/>
              </w:rPr>
            </w:pPr>
          </w:p>
        </w:tc>
        <w:tc>
          <w:tcPr>
            <w:tcW w:w="16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r>
      <w:tr>
        <w:trPr>
          <w:trHeight w:val="206"/>
        </w:trPr>
        <w:tc>
          <w:tcPr>
            <w:tcW w:w="580" w:type="dxa"/>
            <w:vAlign w:val="bottom"/>
          </w:tcPr>
          <w:p>
            <w:pPr>
              <w:spacing w:after="0"/>
              <w:rPr>
                <w:sz w:val="17"/>
                <w:szCs w:val="17"/>
                <w:color w:val="auto"/>
              </w:rPr>
            </w:pPr>
          </w:p>
        </w:tc>
        <w:tc>
          <w:tcPr>
            <w:tcW w:w="8960" w:type="dxa"/>
            <w:vAlign w:val="bottom"/>
            <w:gridSpan w:val="3"/>
          </w:tcPr>
          <w:p>
            <w:pPr>
              <w:spacing w:after="0" w:line="206" w:lineRule="exact"/>
              <w:rPr>
                <w:sz w:val="20"/>
                <w:szCs w:val="20"/>
                <w:color w:val="auto"/>
              </w:rPr>
            </w:pPr>
            <w:r>
              <w:rPr>
                <w:rFonts w:ascii="Arial" w:cs="Arial" w:eastAsia="Arial" w:hAnsi="Arial"/>
                <w:sz w:val="18"/>
                <w:szCs w:val="18"/>
                <w:color w:val="auto"/>
              </w:rPr>
              <w:t>Ordinary shares, par value €0.06 per share: 20,000,000 shares authorized; 14,018,092 shares issued and</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80" w:type="dxa"/>
            <w:vAlign w:val="bottom"/>
          </w:tcPr>
          <w:p>
            <w:pPr>
              <w:spacing w:after="0"/>
              <w:rPr>
                <w:sz w:val="17"/>
                <w:szCs w:val="17"/>
                <w:color w:val="auto"/>
              </w:rPr>
            </w:pPr>
          </w:p>
        </w:tc>
        <w:tc>
          <w:tcPr>
            <w:tcW w:w="8960" w:type="dxa"/>
            <w:vAlign w:val="bottom"/>
            <w:gridSpan w:val="3"/>
          </w:tcPr>
          <w:p>
            <w:pPr>
              <w:ind w:left="160"/>
              <w:spacing w:after="0" w:line="200" w:lineRule="exact"/>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17"/>
                <w:szCs w:val="17"/>
                <w:color w:val="auto"/>
              </w:rPr>
            </w:pPr>
          </w:p>
        </w:tc>
        <w:tc>
          <w:tcPr>
            <w:tcW w:w="1660" w:type="dxa"/>
            <w:vAlign w:val="bottom"/>
          </w:tcPr>
          <w:p>
            <w:pPr>
              <w:jc w:val="right"/>
              <w:spacing w:after="0" w:line="200" w:lineRule="exact"/>
              <w:rPr>
                <w:sz w:val="20"/>
                <w:szCs w:val="20"/>
                <w:color w:val="auto"/>
              </w:rPr>
            </w:pPr>
            <w:r>
              <w:rPr>
                <w:rFonts w:ascii="Arial" w:cs="Arial" w:eastAsia="Arial" w:hAnsi="Arial"/>
                <w:sz w:val="18"/>
                <w:szCs w:val="18"/>
                <w:color w:val="auto"/>
              </w:rPr>
              <w:t>993</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960" w:type="dxa"/>
            <w:vAlign w:val="bottom"/>
            <w:gridSpan w:val="3"/>
            <w:shd w:val="clear" w:color="auto" w:fill="E6E6E6"/>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E6E6E6"/>
          </w:tcPr>
          <w:p>
            <w:pPr>
              <w:spacing w:after="0"/>
              <w:rPr>
                <w:sz w:val="17"/>
                <w:szCs w:val="17"/>
                <w:color w:val="auto"/>
              </w:rPr>
            </w:pPr>
          </w:p>
        </w:tc>
        <w:tc>
          <w:tcPr>
            <w:tcW w:w="1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123,333</w:t>
            </w:r>
          </w:p>
        </w:tc>
        <w:tc>
          <w:tcPr>
            <w:tcW w:w="100" w:type="dxa"/>
            <w:vAlign w:val="bottom"/>
            <w:shd w:val="clear" w:color="auto" w:fill="E6E6E6"/>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960" w:type="dxa"/>
            <w:vAlign w:val="bottom"/>
            <w:gridSpan w:val="3"/>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3,409</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960" w:type="dxa"/>
            <w:vAlign w:val="bottom"/>
            <w:gridSpan w:val="3"/>
            <w:shd w:val="clear" w:color="auto" w:fill="E6E6E6"/>
          </w:tcPr>
          <w:p>
            <w:pPr>
              <w:spacing w:after="0" w:line="202" w:lineRule="exact"/>
              <w:rPr>
                <w:sz w:val="20"/>
                <w:szCs w:val="20"/>
                <w:color w:val="auto"/>
              </w:rPr>
            </w:pPr>
            <w:r>
              <w:rPr>
                <w:rFonts w:ascii="Arial" w:cs="Arial" w:eastAsia="Arial" w:hAnsi="Arial"/>
                <w:sz w:val="18"/>
                <w:szCs w:val="18"/>
                <w:color w:val="auto"/>
              </w:rPr>
              <w:t>Merger reserve</w:t>
            </w:r>
          </w:p>
        </w:tc>
        <w:tc>
          <w:tcPr>
            <w:tcW w:w="120" w:type="dxa"/>
            <w:vAlign w:val="bottom"/>
            <w:shd w:val="clear" w:color="auto" w:fill="E6E6E6"/>
          </w:tcPr>
          <w:p>
            <w:pPr>
              <w:spacing w:after="0"/>
              <w:rPr>
                <w:sz w:val="17"/>
                <w:szCs w:val="17"/>
                <w:color w:val="auto"/>
              </w:rPr>
            </w:pPr>
          </w:p>
        </w:tc>
        <w:tc>
          <w:tcPr>
            <w:tcW w:w="1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E6E6E6"/>
          </w:tcPr>
          <w:p>
            <w:pPr>
              <w:spacing w:after="0"/>
              <w:rPr>
                <w:sz w:val="17"/>
                <w:szCs w:val="17"/>
                <w:color w:val="auto"/>
              </w:rPr>
            </w:pPr>
          </w:p>
        </w:tc>
      </w:tr>
      <w:tr>
        <w:trPr>
          <w:trHeight w:val="214"/>
        </w:trPr>
        <w:tc>
          <w:tcPr>
            <w:tcW w:w="58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113,776</w:t>
            </w:r>
          </w:p>
        </w:tc>
        <w:tc>
          <w:tcPr>
            <w:tcW w:w="100" w:type="dxa"/>
            <w:vAlign w:val="bottom"/>
          </w:tcPr>
          <w:p>
            <w:pPr>
              <w:spacing w:after="0"/>
              <w:rPr>
                <w:sz w:val="18"/>
                <w:szCs w:val="18"/>
                <w:color w:val="auto"/>
              </w:rPr>
            </w:pPr>
          </w:p>
        </w:tc>
      </w:tr>
      <w:tr>
        <w:trPr>
          <w:trHeight w:val="97"/>
        </w:trPr>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8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580" w:type="dxa"/>
            <w:vAlign w:val="bottom"/>
          </w:tcPr>
          <w:p>
            <w:pPr>
              <w:spacing w:after="0"/>
              <w:rPr>
                <w:sz w:val="17"/>
                <w:szCs w:val="17"/>
                <w:color w:val="auto"/>
              </w:rPr>
            </w:pPr>
          </w:p>
        </w:tc>
        <w:tc>
          <w:tcPr>
            <w:tcW w:w="8960" w:type="dxa"/>
            <w:vAlign w:val="bottom"/>
            <w:gridSpan w:val="3"/>
            <w:shd w:val="clear" w:color="auto" w:fill="E6E6E6"/>
          </w:tcPr>
          <w:p>
            <w:pPr>
              <w:ind w:left="160"/>
              <w:spacing w:after="0" w:line="202" w:lineRule="exact"/>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E6E6E6"/>
          </w:tcPr>
          <w:p>
            <w:pPr>
              <w:spacing w:after="0"/>
              <w:rPr>
                <w:sz w:val="17"/>
                <w:szCs w:val="17"/>
                <w:color w:val="auto"/>
              </w:rPr>
            </w:pPr>
          </w:p>
        </w:tc>
        <w:tc>
          <w:tcPr>
            <w:tcW w:w="1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241,558</w:t>
            </w:r>
          </w:p>
        </w:tc>
        <w:tc>
          <w:tcPr>
            <w:tcW w:w="100" w:type="dxa"/>
            <w:vAlign w:val="bottom"/>
            <w:shd w:val="clear" w:color="auto" w:fill="E6E6E6"/>
          </w:tcPr>
          <w:p>
            <w:pPr>
              <w:spacing w:after="0"/>
              <w:rPr>
                <w:sz w:val="17"/>
                <w:szCs w:val="17"/>
                <w:color w:val="auto"/>
              </w:rPr>
            </w:pPr>
          </w:p>
        </w:tc>
      </w:tr>
      <w:tr>
        <w:trPr>
          <w:trHeight w:val="108"/>
        </w:trPr>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8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580" w:type="dxa"/>
            <w:vAlign w:val="bottom"/>
          </w:tcPr>
          <w:p>
            <w:pPr>
              <w:spacing w:after="0"/>
              <w:rPr>
                <w:sz w:val="24"/>
                <w:szCs w:val="24"/>
                <w:color w:val="auto"/>
              </w:rPr>
            </w:pPr>
          </w:p>
        </w:tc>
        <w:tc>
          <w:tcPr>
            <w:tcW w:w="8960" w:type="dxa"/>
            <w:vAlign w:val="bottom"/>
            <w:gridSpan w:val="3"/>
          </w:tcPr>
          <w:p>
            <w:pPr>
              <w:ind w:left="320"/>
              <w:spacing w:after="0"/>
              <w:rPr>
                <w:sz w:val="20"/>
                <w:szCs w:val="20"/>
                <w:color w:val="auto"/>
              </w:rPr>
            </w:pPr>
            <w:r>
              <w:rPr>
                <w:rFonts w:ascii="Arial" w:cs="Arial" w:eastAsia="Arial" w:hAnsi="Arial"/>
                <w:sz w:val="18"/>
                <w:szCs w:val="18"/>
                <w:color w:val="auto"/>
              </w:rPr>
              <w:t>Total capitalization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tcPr>
          <w:p>
            <w:pPr>
              <w:spacing w:after="0"/>
              <w:rPr>
                <w:sz w:val="24"/>
                <w:szCs w:val="24"/>
                <w:color w:val="auto"/>
              </w:rPr>
            </w:pPr>
          </w:p>
        </w:tc>
      </w:tr>
      <w:tr>
        <w:trPr>
          <w:trHeight w:val="120"/>
        </w:trPr>
        <w:tc>
          <w:tcPr>
            <w:tcW w:w="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7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-1853565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-1853565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-1853565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-1853565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-241300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-241300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-241300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-241300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01"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There has been no material change since December 31, 2005 in the total capitalization of the Company.</w:t>
      </w:r>
    </w:p>
    <w:p>
      <w:pPr>
        <w:spacing w:after="0" w:line="136" w:lineRule="exact"/>
        <w:rPr>
          <w:rFonts w:ascii="Arial" w:cs="Arial" w:eastAsia="Arial" w:hAnsi="Arial"/>
          <w:sz w:val="14"/>
          <w:szCs w:val="14"/>
          <w:color w:val="auto"/>
        </w:rPr>
      </w:pPr>
    </w:p>
    <w:p>
      <w:pPr>
        <w:ind w:left="580" w:right="180" w:hanging="572"/>
        <w:spacing w:after="0" w:line="231"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a discussion of our indebtedness, see “Item 5. Operating and Financial Review and Prospects—Liquidity and Capital Resources” in our Transition Report on Form 20-F for the period ended December 31, 2005, which is incorporated by reference herein.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PRICE RANGE OF ADSs AND DIVIDEND POLICY</w:t>
      </w:r>
    </w:p>
    <w:p>
      <w:pPr>
        <w:spacing w:after="0" w:line="234"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Our ADSs are traded on The Nasdaq National Market under the symbol “ICLR.” A total of 14,018,092 ordinary shares were issued and outstanding as of December 31, 2005,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ADSs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Nasdaq</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153"/>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Last six months:</w:t>
            </w:r>
          </w:p>
        </w:tc>
        <w:tc>
          <w:tcPr>
            <w:tcW w:w="14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April 2006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54.51</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46.70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March 2006</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49.00</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44.51</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February 2006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48.50</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January 2006</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44.50</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41.00</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December 2005</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44.00</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39.86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November 2005</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41.75</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36.36</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49.56</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39.31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Last nine quarters</w:t>
            </w:r>
          </w:p>
        </w:tc>
        <w:tc>
          <w:tcPr>
            <w:tcW w:w="14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line="202" w:lineRule="exact"/>
              <w:rPr>
                <w:sz w:val="20"/>
                <w:szCs w:val="20"/>
                <w:color w:val="auto"/>
              </w:rPr>
            </w:pPr>
            <w:r>
              <w:rPr>
                <w:rFonts w:ascii="Arial" w:cs="Arial" w:eastAsia="Arial" w:hAnsi="Arial"/>
                <w:sz w:val="18"/>
                <w:szCs w:val="18"/>
                <w:b w:val="1"/>
                <w:bCs w:val="1"/>
                <w:i w:val="1"/>
                <w:iCs w:val="1"/>
                <w:color w:val="auto"/>
              </w:rPr>
              <w:t>Fiscal 2006:</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First Quarter</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49.00</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41.00</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line="202" w:lineRule="exact"/>
              <w:rPr>
                <w:sz w:val="20"/>
                <w:szCs w:val="20"/>
                <w:color w:val="auto"/>
              </w:rPr>
            </w:pPr>
            <w:r>
              <w:rPr>
                <w:rFonts w:ascii="Arial" w:cs="Arial" w:eastAsia="Arial" w:hAnsi="Arial"/>
                <w:sz w:val="18"/>
                <w:szCs w:val="18"/>
                <w:b w:val="1"/>
                <w:bCs w:val="1"/>
                <w:i w:val="1"/>
                <w:iCs w:val="1"/>
                <w:color w:val="auto"/>
              </w:rPr>
              <w:t>Transition Period: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Quarter ended November 30, 2005</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50.49</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36.36</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Quarter ended August 31, 2005</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41.89</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i w:val="1"/>
                <w:iCs w:val="1"/>
                <w:color w:val="auto"/>
              </w:rPr>
              <w:t>Fiscal 2005:</w:t>
            </w:r>
          </w:p>
        </w:tc>
        <w:tc>
          <w:tcPr>
            <w:tcW w:w="14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Fourth Quarter</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38.95</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Third Quarter</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38.99</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33.78</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Second Quarter</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39.39</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First Quarter</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44.92</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31.75</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spacing w:after="0" w:line="202" w:lineRule="exact"/>
              <w:rPr>
                <w:sz w:val="20"/>
                <w:szCs w:val="20"/>
                <w:color w:val="auto"/>
              </w:rPr>
            </w:pPr>
            <w:r>
              <w:rPr>
                <w:rFonts w:ascii="Arial" w:cs="Arial" w:eastAsia="Arial" w:hAnsi="Arial"/>
                <w:sz w:val="18"/>
                <w:szCs w:val="18"/>
                <w:b w:val="1"/>
                <w:bCs w:val="1"/>
                <w:i w:val="1"/>
                <w:iCs w:val="1"/>
                <w:color w:val="auto"/>
              </w:rPr>
              <w:t>Fiscal 2004:</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Fourth Quarter</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43.49</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29.74</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Third Quarter</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46.05</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33.03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Last five fiscal years:</w:t>
            </w:r>
          </w:p>
        </w:tc>
        <w:tc>
          <w:tcPr>
            <w:tcW w:w="14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tcPr>
          <w:p>
            <w:pPr>
              <w:ind w:left="140"/>
              <w:spacing w:after="0" w:line="202" w:lineRule="exact"/>
              <w:rPr>
                <w:sz w:val="20"/>
                <w:szCs w:val="20"/>
                <w:color w:val="auto"/>
              </w:rPr>
            </w:pPr>
            <w:r>
              <w:rPr>
                <w:rFonts w:ascii="Arial" w:cs="Arial" w:eastAsia="Arial" w:hAnsi="Arial"/>
                <w:sz w:val="18"/>
                <w:szCs w:val="18"/>
                <w:color w:val="auto"/>
              </w:rPr>
              <w:t>Seven months ended December 31, 2005</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50.49</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2005</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44.92</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30.26</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2004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46.05</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25.87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2003</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32.87</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14.88</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2002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39.58</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22.93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2001</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29.75</w:t>
            </w:r>
          </w:p>
        </w:tc>
        <w:tc>
          <w:tcPr>
            <w:tcW w:w="36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15.00</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00" w:firstLine="488"/>
        <w:spacing w:after="0" w:line="239" w:lineRule="auto"/>
        <w:rPr>
          <w:sz w:val="20"/>
          <w:szCs w:val="20"/>
          <w:color w:val="auto"/>
        </w:rPr>
      </w:pPr>
      <w:r>
        <w:rPr>
          <w:rFonts w:ascii="Arial" w:cs="Arial" w:eastAsia="Arial" w:hAnsi="Arial"/>
          <w:sz w:val="18"/>
          <w:szCs w:val="18"/>
          <w:color w:val="auto"/>
        </w:rPr>
        <w:t>Our ordinary shares are also traded on the Official List of the Irish Stock Exchange; however, to date there has been limited trading activity on this exchange.</w:t>
      </w:r>
    </w:p>
    <w:p>
      <w:pPr>
        <w:spacing w:after="0" w:line="209" w:lineRule="exact"/>
        <w:rPr>
          <w:sz w:val="20"/>
          <w:szCs w:val="20"/>
          <w:color w:val="auto"/>
        </w:rPr>
      </w:pPr>
    </w:p>
    <w:p>
      <w:pPr>
        <w:ind w:right="80" w:firstLine="488"/>
        <w:spacing w:after="0" w:line="237" w:lineRule="auto"/>
        <w:rPr>
          <w:sz w:val="20"/>
          <w:szCs w:val="20"/>
          <w:color w:val="auto"/>
        </w:rPr>
      </w:pPr>
      <w:r>
        <w:rPr>
          <w:rFonts w:ascii="Arial" w:cs="Arial" w:eastAsia="Arial" w:hAnsi="Arial"/>
          <w:sz w:val="18"/>
          <w:szCs w:val="18"/>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We paid no dividends in fiscal year 1996 through the present.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SELLING SHAREHOLDERS</w:t>
      </w:r>
    </w:p>
    <w:p>
      <w:pPr>
        <w:spacing w:after="0" w:line="234" w:lineRule="exact"/>
        <w:rPr>
          <w:sz w:val="20"/>
          <w:szCs w:val="20"/>
          <w:color w:val="auto"/>
        </w:rPr>
      </w:pPr>
    </w:p>
    <w:p>
      <w:pPr>
        <w:ind w:right="240" w:firstLine="485"/>
        <w:spacing w:after="0" w:line="239" w:lineRule="auto"/>
        <w:rPr>
          <w:sz w:val="20"/>
          <w:szCs w:val="20"/>
          <w:color w:val="auto"/>
        </w:rPr>
      </w:pPr>
      <w:r>
        <w:rPr>
          <w:rFonts w:ascii="Arial" w:cs="Arial" w:eastAsia="Arial" w:hAnsi="Arial"/>
          <w:sz w:val="18"/>
          <w:szCs w:val="18"/>
          <w:color w:val="auto"/>
        </w:rPr>
        <w:t>The following table sets forth certain information regarding the beneficial ownership of our ordinary shares as of February 27, 2006 by the selling shareholders.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gridSpan w:val="3"/>
          </w:tcPr>
          <w:p>
            <w:pPr>
              <w:jc w:val="center"/>
              <w:ind w:right="712"/>
              <w:spacing w:after="0"/>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Shares Beneficially</w:t>
            </w:r>
          </w:p>
        </w:tc>
        <w:tc>
          <w:tcPr>
            <w:tcW w:w="340" w:type="dxa"/>
            <w:vAlign w:val="bottom"/>
          </w:tcPr>
          <w:p>
            <w:pPr>
              <w:spacing w:after="0"/>
              <w:rPr>
                <w:sz w:val="12"/>
                <w:szCs w:val="12"/>
                <w:color w:val="auto"/>
              </w:rPr>
            </w:pPr>
          </w:p>
        </w:tc>
        <w:tc>
          <w:tcPr>
            <w:tcW w:w="17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Maximum</w:t>
            </w:r>
          </w:p>
        </w:tc>
        <w:tc>
          <w:tcPr>
            <w:tcW w:w="760" w:type="dxa"/>
            <w:vAlign w:val="bottom"/>
          </w:tcPr>
          <w:p>
            <w:pPr>
              <w:spacing w:after="0"/>
              <w:rPr>
                <w:sz w:val="12"/>
                <w:szCs w:val="12"/>
                <w:color w:val="auto"/>
              </w:rPr>
            </w:pPr>
          </w:p>
        </w:tc>
        <w:tc>
          <w:tcPr>
            <w:tcW w:w="1580" w:type="dxa"/>
            <w:vAlign w:val="bottom"/>
            <w:gridSpan w:val="3"/>
          </w:tcPr>
          <w:p>
            <w:pPr>
              <w:jc w:val="center"/>
              <w:ind w:right="712"/>
              <w:spacing w:after="0" w:line="149" w:lineRule="exact"/>
              <w:rPr>
                <w:sz w:val="20"/>
                <w:szCs w:val="20"/>
                <w:color w:val="auto"/>
              </w:rPr>
            </w:pPr>
            <w:r>
              <w:rPr>
                <w:rFonts w:ascii="Arial" w:cs="Arial" w:eastAsia="Arial" w:hAnsi="Arial"/>
                <w:sz w:val="14"/>
                <w:szCs w:val="14"/>
                <w:b w:val="1"/>
                <w:bCs w:val="1"/>
                <w:color w:val="auto"/>
                <w:w w:val="97"/>
              </w:rPr>
              <w:t>Beneficially</w:t>
            </w:r>
          </w:p>
        </w:tc>
        <w:tc>
          <w:tcPr>
            <w:tcW w:w="0" w:type="dxa"/>
            <w:vAlign w:val="bottom"/>
          </w:tcPr>
          <w:p>
            <w:pPr>
              <w:spacing w:after="0"/>
              <w:rPr>
                <w:sz w:val="1"/>
                <w:szCs w:val="1"/>
                <w:color w:val="auto"/>
              </w:rPr>
            </w:pPr>
          </w:p>
        </w:tc>
      </w:tr>
      <w:tr>
        <w:trPr>
          <w:trHeight w:val="81"/>
        </w:trPr>
        <w:tc>
          <w:tcPr>
            <w:tcW w:w="4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Owned Prior to</w:t>
            </w:r>
          </w:p>
        </w:tc>
        <w:tc>
          <w:tcPr>
            <w:tcW w:w="34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580" w:type="dxa"/>
            <w:vAlign w:val="bottom"/>
            <w:gridSpan w:val="3"/>
            <w:vMerge w:val="restart"/>
          </w:tcPr>
          <w:p>
            <w:pPr>
              <w:jc w:val="center"/>
              <w:ind w:right="712"/>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68"/>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7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Number of</w:t>
            </w:r>
          </w:p>
        </w:tc>
        <w:tc>
          <w:tcPr>
            <w:tcW w:w="76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This Offering(1)</w:t>
            </w:r>
          </w:p>
        </w:tc>
        <w:tc>
          <w:tcPr>
            <w:tcW w:w="34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23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This Offering(1)</w:t>
            </w:r>
          </w:p>
        </w:tc>
        <w:tc>
          <w:tcPr>
            <w:tcW w:w="0" w:type="dxa"/>
            <w:vAlign w:val="bottom"/>
          </w:tcPr>
          <w:p>
            <w:pPr>
              <w:spacing w:after="0"/>
              <w:rPr>
                <w:sz w:val="1"/>
                <w:szCs w:val="1"/>
                <w:color w:val="auto"/>
              </w:rPr>
            </w:pPr>
          </w:p>
        </w:tc>
      </w:tr>
      <w:tr>
        <w:trPr>
          <w:trHeight w:val="97"/>
        </w:trPr>
        <w:tc>
          <w:tcPr>
            <w:tcW w:w="4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7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Shares Being</w:t>
            </w:r>
          </w:p>
        </w:tc>
        <w:tc>
          <w:tcPr>
            <w:tcW w:w="23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4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4460" w:type="dxa"/>
            <w:vAlign w:val="bottom"/>
            <w:gridSpan w:val="2"/>
            <w:vMerge w:val="restart"/>
          </w:tcPr>
          <w:p>
            <w:pPr>
              <w:ind w:left="1360"/>
              <w:spacing w:after="0" w:line="149" w:lineRule="exact"/>
              <w:rPr>
                <w:sz w:val="20"/>
                <w:szCs w:val="20"/>
                <w:color w:val="auto"/>
              </w:rPr>
            </w:pPr>
            <w:r>
              <w:rPr>
                <w:rFonts w:ascii="Arial" w:cs="Arial" w:eastAsia="Arial" w:hAnsi="Arial"/>
                <w:sz w:val="14"/>
                <w:szCs w:val="14"/>
                <w:b w:val="1"/>
                <w:bCs w:val="1"/>
                <w:color w:val="auto"/>
              </w:rPr>
              <w:t>Name and Address of</w:t>
            </w: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vMerge w:val="restart"/>
          </w:tcPr>
          <w:p>
            <w:pPr>
              <w:spacing w:after="0"/>
              <w:rPr>
                <w:sz w:val="3"/>
                <w:szCs w:val="3"/>
                <w:color w:val="auto"/>
              </w:rPr>
            </w:pPr>
          </w:p>
        </w:tc>
        <w:tc>
          <w:tcPr>
            <w:tcW w:w="17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Sold in</w:t>
            </w: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446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4460" w:type="dxa"/>
            <w:vAlign w:val="bottom"/>
            <w:gridSpan w:val="2"/>
          </w:tcPr>
          <w:p>
            <w:pPr>
              <w:ind w:left="1420"/>
              <w:spacing w:after="0"/>
              <w:rPr>
                <w:sz w:val="20"/>
                <w:szCs w:val="20"/>
                <w:color w:val="auto"/>
              </w:rPr>
            </w:pPr>
            <w:r>
              <w:rPr>
                <w:rFonts w:ascii="Arial" w:cs="Arial" w:eastAsia="Arial" w:hAnsi="Arial"/>
                <w:sz w:val="14"/>
                <w:szCs w:val="14"/>
                <w:b w:val="1"/>
                <w:bCs w:val="1"/>
                <w:color w:val="auto"/>
              </w:rPr>
              <w:t>Selling Shareholder</w:t>
            </w:r>
          </w:p>
        </w:tc>
        <w:tc>
          <w:tcPr>
            <w:tcW w:w="1100" w:type="dxa"/>
            <w:vAlign w:val="bottom"/>
          </w:tcPr>
          <w:p>
            <w:pPr>
              <w:jc w:val="right"/>
              <w:ind w:right="246"/>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980" w:type="dxa"/>
            <w:vAlign w:val="bottom"/>
          </w:tcPr>
          <w:p>
            <w:pPr>
              <w:jc w:val="right"/>
              <w:ind w:right="192"/>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15"/>
                <w:szCs w:val="15"/>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This Offering</w:t>
            </w:r>
          </w:p>
        </w:tc>
        <w:tc>
          <w:tcPr>
            <w:tcW w:w="760" w:type="dxa"/>
            <w:vAlign w:val="bottom"/>
          </w:tcPr>
          <w:p>
            <w:pPr>
              <w:jc w:val="center"/>
              <w:ind w:left="162"/>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95"/>
        </w:trPr>
        <w:tc>
          <w:tcPr>
            <w:tcW w:w="4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4460" w:type="dxa"/>
            <w:vAlign w:val="bottom"/>
            <w:gridSpan w:val="2"/>
          </w:tcPr>
          <w:p>
            <w:pPr>
              <w:spacing w:after="0"/>
              <w:rPr>
                <w:sz w:val="20"/>
                <w:szCs w:val="20"/>
                <w:color w:val="auto"/>
              </w:rPr>
            </w:pPr>
            <w:r>
              <w:rPr>
                <w:rFonts w:ascii="Arial" w:cs="Arial" w:eastAsia="Arial" w:hAnsi="Arial"/>
                <w:sz w:val="18"/>
                <w:szCs w:val="18"/>
                <w:color w:val="auto"/>
              </w:rPr>
              <w:t>Dr. Ronan Lamb(3)</w:t>
            </w:r>
          </w:p>
        </w:tc>
        <w:tc>
          <w:tcPr>
            <w:tcW w:w="1100" w:type="dxa"/>
            <w:vAlign w:val="bottom"/>
          </w:tcPr>
          <w:p>
            <w:pPr>
              <w:jc w:val="right"/>
              <w:spacing w:after="0"/>
              <w:rPr>
                <w:sz w:val="20"/>
                <w:szCs w:val="20"/>
                <w:color w:val="auto"/>
              </w:rPr>
            </w:pPr>
            <w:r>
              <w:rPr>
                <w:rFonts w:ascii="Arial" w:cs="Arial" w:eastAsia="Arial" w:hAnsi="Arial"/>
                <w:sz w:val="18"/>
                <w:szCs w:val="18"/>
                <w:color w:val="auto"/>
              </w:rPr>
              <w:t>952,470</w:t>
            </w:r>
          </w:p>
        </w:tc>
        <w:tc>
          <w:tcPr>
            <w:tcW w:w="1300" w:type="dxa"/>
            <w:vAlign w:val="bottom"/>
            <w:gridSpan w:val="2"/>
          </w:tcPr>
          <w:p>
            <w:pPr>
              <w:jc w:val="right"/>
              <w:ind w:right="172"/>
              <w:spacing w:after="0"/>
              <w:rPr>
                <w:sz w:val="20"/>
                <w:szCs w:val="20"/>
                <w:color w:val="auto"/>
              </w:rPr>
            </w:pPr>
            <w:r>
              <w:rPr>
                <w:rFonts w:ascii="Arial" w:cs="Arial" w:eastAsia="Arial" w:hAnsi="Arial"/>
                <w:sz w:val="18"/>
                <w:szCs w:val="18"/>
                <w:color w:val="auto"/>
              </w:rPr>
              <w:t>6.8%</w:t>
            </w:r>
          </w:p>
        </w:tc>
        <w:tc>
          <w:tcPr>
            <w:tcW w:w="180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4"/>
                <w:szCs w:val="24"/>
                <w:color w:val="auto"/>
              </w:rPr>
            </w:pPr>
          </w:p>
        </w:tc>
        <w:tc>
          <w:tcPr>
            <w:tcW w:w="760" w:type="dxa"/>
            <w:vAlign w:val="bottom"/>
          </w:tcPr>
          <w:p>
            <w:pPr>
              <w:jc w:val="center"/>
              <w:ind w:left="142"/>
              <w:spacing w:after="0"/>
              <w:rPr>
                <w:sz w:val="20"/>
                <w:szCs w:val="20"/>
                <w:color w:val="auto"/>
              </w:rPr>
            </w:pPr>
            <w:r>
              <w:rPr>
                <w:rFonts w:ascii="Arial" w:cs="Arial" w:eastAsia="Arial" w:hAnsi="Arial"/>
                <w:sz w:val="18"/>
                <w:szCs w:val="18"/>
                <w:color w:val="auto"/>
                <w:w w:val="99"/>
              </w:rPr>
              <w:t>(2)</w:t>
            </w:r>
          </w:p>
        </w:tc>
        <w:tc>
          <w:tcPr>
            <w:tcW w:w="1580" w:type="dxa"/>
            <w:vAlign w:val="bottom"/>
            <w:gridSpan w:val="3"/>
          </w:tcPr>
          <w:p>
            <w:pPr>
              <w:jc w:val="center"/>
              <w:ind w:left="484"/>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South County</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Business Park,</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Leopardstown</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60" w:type="dxa"/>
            <w:vAlign w:val="bottom"/>
            <w:gridSpan w:val="2"/>
          </w:tcPr>
          <w:p>
            <w:pPr>
              <w:spacing w:after="0"/>
              <w:rPr>
                <w:sz w:val="20"/>
                <w:szCs w:val="20"/>
                <w:color w:val="auto"/>
              </w:rPr>
            </w:pPr>
            <w:r>
              <w:rPr>
                <w:rFonts w:ascii="Arial" w:cs="Arial" w:eastAsia="Arial" w:hAnsi="Arial"/>
                <w:sz w:val="18"/>
                <w:szCs w:val="18"/>
                <w:color w:val="auto"/>
              </w:rPr>
              <w:t>Dublin 18, Ireland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4460" w:type="dxa"/>
            <w:vAlign w:val="bottom"/>
            <w:gridSpan w:val="2"/>
          </w:tcPr>
          <w:p>
            <w:pPr>
              <w:spacing w:after="0"/>
              <w:rPr>
                <w:sz w:val="20"/>
                <w:szCs w:val="20"/>
                <w:color w:val="auto"/>
              </w:rPr>
            </w:pPr>
            <w:r>
              <w:rPr>
                <w:rFonts w:ascii="Arial" w:cs="Arial" w:eastAsia="Arial" w:hAnsi="Arial"/>
                <w:sz w:val="18"/>
                <w:szCs w:val="18"/>
                <w:color w:val="auto"/>
              </w:rPr>
              <w:t>Poplar Limited(4)</w:t>
            </w:r>
          </w:p>
        </w:tc>
        <w:tc>
          <w:tcPr>
            <w:tcW w:w="1100" w:type="dxa"/>
            <w:vAlign w:val="bottom"/>
          </w:tcPr>
          <w:p>
            <w:pPr>
              <w:jc w:val="right"/>
              <w:spacing w:after="0"/>
              <w:rPr>
                <w:sz w:val="20"/>
                <w:szCs w:val="20"/>
                <w:color w:val="auto"/>
              </w:rPr>
            </w:pPr>
            <w:r>
              <w:rPr>
                <w:rFonts w:ascii="Arial" w:cs="Arial" w:eastAsia="Arial" w:hAnsi="Arial"/>
                <w:sz w:val="18"/>
                <w:szCs w:val="18"/>
                <w:color w:val="auto"/>
              </w:rPr>
              <w:t>1,494,892</w:t>
            </w:r>
          </w:p>
        </w:tc>
        <w:tc>
          <w:tcPr>
            <w:tcW w:w="1300" w:type="dxa"/>
            <w:vAlign w:val="bottom"/>
            <w:gridSpan w:val="2"/>
          </w:tcPr>
          <w:p>
            <w:pPr>
              <w:jc w:val="right"/>
              <w:ind w:right="172"/>
              <w:spacing w:after="0"/>
              <w:rPr>
                <w:sz w:val="20"/>
                <w:szCs w:val="20"/>
                <w:color w:val="auto"/>
              </w:rPr>
            </w:pPr>
            <w:r>
              <w:rPr>
                <w:rFonts w:ascii="Arial" w:cs="Arial" w:eastAsia="Arial" w:hAnsi="Arial"/>
                <w:sz w:val="18"/>
                <w:szCs w:val="18"/>
                <w:color w:val="auto"/>
              </w:rPr>
              <w:t>10.7%</w:t>
            </w:r>
          </w:p>
        </w:tc>
        <w:tc>
          <w:tcPr>
            <w:tcW w:w="180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4"/>
                <w:szCs w:val="24"/>
                <w:color w:val="auto"/>
              </w:rPr>
            </w:pPr>
          </w:p>
        </w:tc>
        <w:tc>
          <w:tcPr>
            <w:tcW w:w="760" w:type="dxa"/>
            <w:vAlign w:val="bottom"/>
          </w:tcPr>
          <w:p>
            <w:pPr>
              <w:jc w:val="center"/>
              <w:ind w:left="142"/>
              <w:spacing w:after="0"/>
              <w:rPr>
                <w:sz w:val="20"/>
                <w:szCs w:val="20"/>
                <w:color w:val="auto"/>
              </w:rPr>
            </w:pPr>
            <w:r>
              <w:rPr>
                <w:rFonts w:ascii="Arial" w:cs="Arial" w:eastAsia="Arial" w:hAnsi="Arial"/>
                <w:sz w:val="18"/>
                <w:szCs w:val="18"/>
                <w:color w:val="auto"/>
                <w:w w:val="99"/>
              </w:rPr>
              <w:t>(2)</w:t>
            </w:r>
          </w:p>
        </w:tc>
        <w:tc>
          <w:tcPr>
            <w:tcW w:w="1580" w:type="dxa"/>
            <w:vAlign w:val="bottom"/>
            <w:gridSpan w:val="3"/>
          </w:tcPr>
          <w:p>
            <w:pPr>
              <w:jc w:val="center"/>
              <w:ind w:left="484"/>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c/o Dr. John Climax</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South County</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Business Park,</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4" w:lineRule="auto"/>
        <w:rPr>
          <w:sz w:val="20"/>
          <w:szCs w:val="20"/>
          <w:color w:val="auto"/>
        </w:rPr>
      </w:pPr>
      <w:r>
        <w:rPr>
          <w:rFonts w:ascii="Arial" w:cs="Arial" w:eastAsia="Arial" w:hAnsi="Arial"/>
          <w:sz w:val="18"/>
          <w:szCs w:val="18"/>
          <w:color w:val="auto"/>
        </w:rPr>
        <w:t>Leopardstown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Dublin 18,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0464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23" w:lineRule="exact"/>
        <w:rPr>
          <w:sz w:val="20"/>
          <w:szCs w:val="20"/>
          <w:color w:val="auto"/>
        </w:rPr>
      </w:pPr>
    </w:p>
    <w:p>
      <w:pPr>
        <w:ind w:left="580" w:right="160" w:hanging="572"/>
        <w:spacing w:after="0" w:line="228"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135" w:lineRule="exact"/>
        <w:rPr>
          <w:rFonts w:ascii="Arial" w:cs="Arial" w:eastAsia="Arial" w:hAnsi="Arial"/>
          <w:sz w:val="14"/>
          <w:szCs w:val="14"/>
          <w:color w:val="auto"/>
        </w:rPr>
      </w:pPr>
    </w:p>
    <w:p>
      <w:pPr>
        <w:ind w:left="580" w:right="80" w:hanging="572"/>
        <w:spacing w:after="0" w:line="224"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selling shareholders may sell up to 1,500,000 ADSs representing ordinary shares under this Registration Statement. The prospectus supplement issued in connection with any offering by any of the selling shareholders will provide further details with respect to the number of ADSs representing ordinary shares to be offered by each selling shareholder and the number of ADSs representing ordinary shares that would be beneficially owned by each selling shareholder following such offering. The decision by either of the selling shareholders to sell any of its respective ADSs representing ordinary shares in an offering will depend upon the market price of our ADSs at that time and other factors deemed relevant by such selling stockholder. Notwithstanding the registration of our ADSs held by the selling shareholders, the selling shareholders may also sell their ADSs representing ordinary shares pursuant to applicable exemptions from registration, including but not limited to, Rule 144 under the Securities Act.</w:t>
      </w:r>
    </w:p>
    <w:p>
      <w:pPr>
        <w:spacing w:after="0" w:line="138" w:lineRule="exact"/>
        <w:rPr>
          <w:rFonts w:ascii="Arial" w:cs="Arial" w:eastAsia="Arial" w:hAnsi="Arial"/>
          <w:sz w:val="14"/>
          <w:szCs w:val="14"/>
          <w:color w:val="auto"/>
        </w:rPr>
      </w:pPr>
    </w:p>
    <w:p>
      <w:pPr>
        <w:ind w:left="580" w:hanging="572"/>
        <w:spacing w:after="0"/>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8,000 options (vested and unvested).</w:t>
      </w:r>
    </w:p>
    <w:p>
      <w:pPr>
        <w:spacing w:after="0" w:line="136" w:lineRule="exact"/>
        <w:rPr>
          <w:rFonts w:ascii="Arial" w:cs="Arial" w:eastAsia="Arial" w:hAnsi="Arial"/>
          <w:sz w:val="14"/>
          <w:szCs w:val="14"/>
          <w:color w:val="auto"/>
        </w:rPr>
      </w:pPr>
    </w:p>
    <w:p>
      <w:pPr>
        <w:ind w:left="580" w:hanging="572"/>
        <w:spacing w:after="0" w:line="231" w:lineRule="auto"/>
        <w:tabs>
          <w:tab w:leader="none" w:pos="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Poplar Limited is a Jersey company controlled by the Chairman of our Board of Directors, Dr. John Climax. The total number of shares beneficially owned by Dr. Climax is comprised of 18,000 options (vested and unvested) and 40 ordinary shares beneficially held by Dr. Climax and 1,476,852 ADSs held by Poplar Limited.</w:t>
      </w:r>
    </w:p>
    <w:p>
      <w:pPr>
        <w:spacing w:after="0" w:line="207" w:lineRule="exact"/>
        <w:rPr>
          <w:sz w:val="20"/>
          <w:szCs w:val="20"/>
          <w:color w:val="auto"/>
        </w:rPr>
      </w:pPr>
    </w:p>
    <w:p>
      <w:pPr>
        <w:ind w:right="220" w:firstLine="485"/>
        <w:spacing w:after="0" w:line="239" w:lineRule="auto"/>
        <w:rPr>
          <w:sz w:val="20"/>
          <w:szCs w:val="20"/>
          <w:color w:val="auto"/>
        </w:rPr>
      </w:pPr>
      <w:r>
        <w:rPr>
          <w:rFonts w:ascii="Arial" w:cs="Arial" w:eastAsia="Arial" w:hAnsi="Arial"/>
          <w:sz w:val="18"/>
          <w:szCs w:val="18"/>
          <w:color w:val="auto"/>
        </w:rPr>
        <w:t>The ADSs being offered by the selling stockholders through this prospectus were originally acquired (a) as founders’ shares in connection with our formation or (b) through the exercise of options issued through our equity compensation plan.</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34"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Set forth below is the opinion of Cahill Gordon &amp; Reindel LLP, counsel to ICON, regarding the material U.S. federal income tax consequences of the ownership and disposition of ordinary shares or ADSs purchased in this offering by U.S. Holders (as defined below) who hold such ordinary shares or ADSs as capital assets. The following opinion is based upon the provisions of the Internal Revenue Code of 1986, as amended (the “Code”), and regulations, rulings and judicial decisions thereunder as now in effect, and such authorities may be repealed, revoked or modified (possibly on a retroactive basis) so as to result in U.S. federal income tax consequences different from those described in the opinion. The following opinion is based on the accuracy of (i) each of the factual matters set forth in this prospectus and (ii) factual representations contained in a certificate of ICON plc delivered to Cahill Gordon &amp; Reindel LLP in connection with this opinion, which facts have not been independently reviewed or verified by Ca-hill Gordon &amp; Reindel LLP. Any inaccuracy in any of these factual matters may affect the legal conclusions reached in the opinion. Cahill Gordon &amp; Reindel LLP has no obligation to update this opinion to reflect future changes in law or any inaccuracies in any of the foregoing factual matters that may later come to our attention.</w:t>
      </w:r>
    </w:p>
    <w:p>
      <w:pPr>
        <w:spacing w:after="0" w:line="215" w:lineRule="exact"/>
        <w:rPr>
          <w:sz w:val="20"/>
          <w:szCs w:val="20"/>
          <w:color w:val="auto"/>
        </w:rPr>
      </w:pPr>
    </w:p>
    <w:p>
      <w:pPr>
        <w:ind w:right="280" w:firstLine="478"/>
        <w:spacing w:after="0" w:line="236" w:lineRule="auto"/>
        <w:rPr>
          <w:sz w:val="20"/>
          <w:szCs w:val="20"/>
          <w:color w:val="auto"/>
        </w:rPr>
      </w:pPr>
      <w:r>
        <w:rPr>
          <w:rFonts w:ascii="Arial" w:cs="Arial" w:eastAsia="Arial" w:hAnsi="Arial"/>
          <w:sz w:val="18"/>
          <w:szCs w:val="18"/>
          <w:color w:val="auto"/>
        </w:rPr>
        <w:t>As discussed in the opinion, the U.S. federal income tax consequences of the ownership and disposition of ordinary shares or ADSs purchased in this offering will depend to a significant extent on ICON’s actual income and assets and the manner in which ICON manages and conducts its business, both now and in the future. ICON’s projections, computations and estimates of these items have not been independently reviewed or verified by Cahill Gordon &amp; Reindel LLP, and Cahill Gordon &amp; Reindel LLP expresses no opinion regarding such projections, computations and estimates.</w:t>
      </w:r>
    </w:p>
    <w:p>
      <w:pPr>
        <w:spacing w:after="0" w:line="211" w:lineRule="exact"/>
        <w:rPr>
          <w:sz w:val="20"/>
          <w:szCs w:val="20"/>
          <w:color w:val="auto"/>
        </w:rPr>
      </w:pPr>
    </w:p>
    <w:p>
      <w:pPr>
        <w:ind w:right="220" w:firstLine="485"/>
        <w:spacing w:after="0" w:line="238" w:lineRule="auto"/>
        <w:rPr>
          <w:sz w:val="20"/>
          <w:szCs w:val="20"/>
          <w:color w:val="auto"/>
        </w:rPr>
      </w:pPr>
      <w:r>
        <w:rPr>
          <w:rFonts w:ascii="Arial" w:cs="Arial" w:eastAsia="Arial" w:hAnsi="Arial"/>
          <w:sz w:val="18"/>
          <w:szCs w:val="18"/>
          <w:color w:val="auto"/>
        </w:rPr>
        <w:t>This opinion is not a guarantee and merely represents the judgment of Cahill Gordon &amp; Reindel LLP regarding the specific matters addressed. The opinion is not binding on the Internal Revenue Service (the “IRS”) or any court and there is no assurance that the IRS or a court would not reach a contrary conclusion.</w:t>
      </w:r>
    </w:p>
    <w:p>
      <w:pPr>
        <w:spacing w:after="0" w:line="208" w:lineRule="exact"/>
        <w:rPr>
          <w:sz w:val="20"/>
          <w:szCs w:val="20"/>
          <w:color w:val="auto"/>
        </w:rPr>
      </w:pPr>
    </w:p>
    <w:p>
      <w:pPr>
        <w:ind w:firstLine="485"/>
        <w:spacing w:after="0" w:line="268" w:lineRule="auto"/>
        <w:rPr>
          <w:sz w:val="20"/>
          <w:szCs w:val="20"/>
          <w:color w:val="auto"/>
        </w:rPr>
      </w:pPr>
      <w:r>
        <w:rPr>
          <w:rFonts w:ascii="Arial" w:cs="Arial" w:eastAsia="Arial" w:hAnsi="Arial"/>
          <w:sz w:val="16"/>
          <w:szCs w:val="16"/>
          <w:color w:val="auto"/>
        </w:rPr>
        <w:t>This opinion applies only to U.S. Holders (as defined below) and does not apply to certain categories of U.S. Holders subject to special treatment under the Code, such as holders that are pass-through entities or investors in pass-through entities, dealers or traders in securities or currencies, banks, insurance companies, traders who elect to mark-to-market their securities, persons whose “functional currency” is not the U.S. dollar, persons who own actually or constructively 10% or more (by voting power or value) of the shares of ICON plc, tax-exempt entities, U.S. expatriates, persons who hold ordinary shares or ADSs as a position in a straddle or as part of a “hedging,” “integrated,” “constructive sale” or “conversion” transaction and persons subject to the U.S. federal alternative minimum tax. Moreover, the opinion addresses only U.S. federal income tax consequences and does not address any other U.S. federal tax consequences or any state, local, non-U.S. or other tax consequences. Accordingly, prospective investors are urged to consult their own tax advisors to determine the specific tax consequences of the ownership and disposition of ordinary shares or ADSs to them, including any U.S. federal, state, local, non-U.S. or other tax consequences of (and any tax return filing or other reporting requirements relating to) the ownership and disposition of ordinary shares or ADSs purchased in this offering.</w:t>
      </w:r>
    </w:p>
    <w:p>
      <w:pPr>
        <w:spacing w:after="0" w:line="187"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color w:val="auto"/>
        </w:rPr>
        <w:t>For purposes of the following opinion, the term “U.S. Holder” means a beneficial owner of ordinary shares or ADSs that is, for U.S. federal income tax purposes, a individual who is a U.S. citizen or resident, a corporation created or organized in or under the laws of the United States or any political subdivision thereof, an estate the income of which is includable in gross income for U.S. federal income tax purposes regardless of its source, or a trust if:</w:t>
      </w:r>
    </w:p>
    <w:p>
      <w:pPr>
        <w:spacing w:after="0" w:line="222" w:lineRule="exact"/>
        <w:rPr>
          <w:sz w:val="20"/>
          <w:szCs w:val="20"/>
          <w:color w:val="auto"/>
        </w:rPr>
      </w:pPr>
    </w:p>
    <w:p>
      <w:pPr>
        <w:ind w:left="1160" w:right="280" w:hanging="571"/>
        <w:spacing w:after="0" w:line="239"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U.S. court is able to exercise primary supervision over the administration of the trust and one or more U.S. fiduciaries have the authority to control all substantial decisions of the trust; or</w:t>
      </w:r>
    </w:p>
    <w:p>
      <w:pPr>
        <w:spacing w:after="0" w:line="141"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 has a valid election in effect under applicable U.S. Treasury Regulations to be treated as a U.S. person.</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7" w:name="page28"/>
    <w:bookmarkEnd w:id="27"/>
    <w:p>
      <w:pPr>
        <w:ind w:left="500"/>
        <w:spacing w:after="0"/>
        <w:rPr>
          <w:sz w:val="20"/>
          <w:szCs w:val="20"/>
          <w:color w:val="auto"/>
        </w:rPr>
      </w:pPr>
      <w:r>
        <w:rPr>
          <w:rFonts w:ascii="Arial" w:cs="Arial" w:eastAsia="Arial" w:hAnsi="Arial"/>
          <w:sz w:val="18"/>
          <w:szCs w:val="18"/>
          <w:color w:val="auto"/>
        </w:rPr>
        <w:t>For U.S. federal income tax purposes, U.S. Holders of ADSs are treated as the owners of the underlying ordinary shares.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Subject to the foregoing, it is the opinion of Cahill Gordon &amp; Reindel LLP that: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4" w:lineRule="exact"/>
        <w:rPr>
          <w:sz w:val="20"/>
          <w:szCs w:val="20"/>
          <w:color w:val="auto"/>
        </w:rPr>
      </w:pPr>
    </w:p>
    <w:p>
      <w:pPr>
        <w:ind w:right="180" w:firstLine="488"/>
        <w:spacing w:after="0" w:line="236" w:lineRule="auto"/>
        <w:rPr>
          <w:sz w:val="20"/>
          <w:szCs w:val="20"/>
          <w:color w:val="auto"/>
        </w:rPr>
      </w:pPr>
      <w:r>
        <w:rPr>
          <w:rFonts w:ascii="Arial" w:cs="Arial" w:eastAsia="Arial" w:hAnsi="Arial"/>
          <w:sz w:val="18"/>
          <w:szCs w:val="18"/>
          <w:color w:val="auto"/>
        </w:rPr>
        <w:t>Subject to the passive foreign investment company (“PFIC”) rules discussed below, the gross amount of a distribution paid on an ordinary share or on an ADS (including the amount of any withholding tax) will be a dividend for U.S. federal income tax purposes to the extent paid out of ICON plc’s current or accumulated earnings and profits (as determined for U.S. federal income tax purposes). To the extent that a distribution exceeds the portion of ICON plc’s earnings and profits attributable to such distribution, it will be treated as a nontaxable return of capital to the extent of a U.S. Holder’s tax basis in such share or ADS and thereafter as a capital gain. Dividends paid by ICON plc, if any, generally will not qualify for the dividends-received deduction otherwise generally available to corporate shareholders.</w:t>
      </w:r>
    </w:p>
    <w:p>
      <w:pPr>
        <w:spacing w:after="0" w:line="210" w:lineRule="exact"/>
        <w:rPr>
          <w:sz w:val="20"/>
          <w:szCs w:val="20"/>
          <w:color w:val="auto"/>
        </w:rPr>
      </w:pPr>
    </w:p>
    <w:p>
      <w:pPr>
        <w:jc w:val="both"/>
        <w:ind w:right="380" w:firstLine="488"/>
        <w:spacing w:after="0" w:line="238" w:lineRule="auto"/>
        <w:rPr>
          <w:sz w:val="20"/>
          <w:szCs w:val="20"/>
          <w:color w:val="auto"/>
        </w:rPr>
      </w:pPr>
      <w:r>
        <w:rPr>
          <w:rFonts w:ascii="Arial" w:cs="Arial" w:eastAsia="Arial" w:hAnsi="Arial"/>
          <w:sz w:val="18"/>
          <w:szCs w:val="18"/>
          <w:color w:val="auto"/>
        </w:rPr>
        <w:t>Provided that we have not been and do not become a PFIC (as discussed below), dividends, if any, received by noncorporate holders in taxable years beginning prior to 2009 generally will be eligible for reduced rates of taxation applicable to “qualified dividend income,” subject to minimum holding period requirements and certain other requirements and limitations.</w:t>
      </w:r>
    </w:p>
    <w:p>
      <w:pPr>
        <w:spacing w:after="0" w:line="208"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 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211" w:lineRule="exact"/>
        <w:rPr>
          <w:sz w:val="20"/>
          <w:szCs w:val="20"/>
          <w:color w:val="auto"/>
        </w:rPr>
      </w:pPr>
    </w:p>
    <w:p>
      <w:pPr>
        <w:ind w:right="120" w:firstLine="488"/>
        <w:spacing w:after="0" w:line="236" w:lineRule="auto"/>
        <w:rPr>
          <w:sz w:val="20"/>
          <w:szCs w:val="20"/>
          <w:color w:val="auto"/>
        </w:rPr>
      </w:pPr>
      <w:r>
        <w:rPr>
          <w:rFonts w:ascii="Arial" w:cs="Arial" w:eastAsia="Arial" w:hAnsi="Arial"/>
          <w:sz w:val="18"/>
          <w:szCs w:val="18"/>
          <w:color w:val="auto"/>
        </w:rPr>
        <w:t>Because more than 50% of the total combined voting power of all classes of ICON plc’s shares entitled to vote or the total value of ICON plc’s shares may be owned by U.S. persons, a portion of any dividends received by a U.S. Holder of ordinary shares or ADSs may be treated as U.S. source dividend income for purposes of calculating a U.S. Holder’s entitlement to U.S. foreign tax credits. However, a U.S. Holder entitled to benefits under the Ireland-U.S. Income Tax Treaty may elect to treat as foreign source income any portion of ICON plc’s dividends that otherwise would be treated as U.S. source pursuant to the rule described in the preceding sentence, in which event such portion of the ICON plc dividend must be separated from other income items for purposes of calculating the U.S. Holder’s foreign tax credit. U.S. Holders should consult their own tax advisors about the desirability of making, and the method of making, such an election and the application of the foreign tax credit provisions to them.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w:t>
      </w:r>
    </w:p>
    <w:p>
      <w:pPr>
        <w:spacing w:after="0" w:line="234"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Subject to the PFIC rules discussed below, upon a sale, exchange or other disposition of the ordinary shares or ADSs, a U.S. Holder generally will recognize a gain or a loss, if any, equal to the difference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PFIC Status</w:t>
      </w:r>
    </w:p>
    <w:p>
      <w:pPr>
        <w:spacing w:after="0" w:line="234" w:lineRule="exact"/>
        <w:rPr>
          <w:sz w:val="20"/>
          <w:szCs w:val="20"/>
          <w:color w:val="auto"/>
        </w:rPr>
      </w:pPr>
    </w:p>
    <w:p>
      <w:pPr>
        <w:jc w:val="both"/>
        <w:ind w:right="40" w:firstLine="478"/>
        <w:spacing w:after="0" w:line="238" w:lineRule="auto"/>
        <w:rPr>
          <w:sz w:val="20"/>
          <w:szCs w:val="20"/>
          <w:color w:val="auto"/>
        </w:rPr>
      </w:pPr>
      <w:r>
        <w:rPr>
          <w:rFonts w:ascii="Arial" w:cs="Arial" w:eastAsia="Arial" w:hAnsi="Arial"/>
          <w:sz w:val="18"/>
          <w:szCs w:val="18"/>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ind w:right="20"/>
        <w:spacing w:after="0" w:line="235" w:lineRule="auto"/>
        <w:rPr>
          <w:sz w:val="20"/>
          <w:szCs w:val="20"/>
          <w:color w:val="auto"/>
        </w:rPr>
      </w:pPr>
      <w:r>
        <w:rPr>
          <w:rFonts w:ascii="Arial" w:cs="Arial" w:eastAsia="Arial" w:hAnsi="Arial"/>
          <w:sz w:val="18"/>
          <w:szCs w:val="18"/>
          <w:color w:val="auto"/>
        </w:rPr>
        <w:t>passive income or are held for the production of passive income is at least 50%. If the representations made by ICON’s management regarding the nature and amount of its income and assets and the manner in which it has managed and conducted its business are accurate (without regard to any knowledge or belief qualifiers expressed by management), ICON plc was not a PFIC for its taxable year ended December 31, 2005. In addition, while there can be no assurance because the determination depends on future events, based on ICON management’s current projections of ICON’s future income and assets, and the manner in which ICON currently intends to manage and conduct its business in the future, ICON plc will not be a PFIC in its current taxable year ending December 31, 2006 or in the foreseeable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interest charges and additional tax form filing requirements. A U.S. Holder owning shares in a PFIC generally may be able to avoid or mitigate these adverse tax consequences by making a timely “qualified electing fund” (“QEF”) or “mark-to-market” election. U.S. Holders should consult with their tax advisors as to the effect of these rules, including the circumstances under which a U.S. Holder will be required to file a timely “protective statement” in order to preserve its right to make a QEF election.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Tax and Information Reporting</w:t>
      </w:r>
    </w:p>
    <w:p>
      <w:pPr>
        <w:spacing w:after="0" w:line="234" w:lineRule="exact"/>
        <w:rPr>
          <w:sz w:val="20"/>
          <w:szCs w:val="20"/>
          <w:color w:val="auto"/>
        </w:rPr>
      </w:pPr>
    </w:p>
    <w:p>
      <w:pPr>
        <w:ind w:right="20" w:firstLine="478"/>
        <w:spacing w:after="0" w:line="238" w:lineRule="auto"/>
        <w:rPr>
          <w:sz w:val="20"/>
          <w:szCs w:val="20"/>
          <w:color w:val="auto"/>
        </w:rPr>
      </w:pPr>
      <w:r>
        <w:rPr>
          <w:rFonts w:ascii="Arial" w:cs="Arial" w:eastAsia="Arial" w:hAnsi="Arial"/>
          <w:sz w:val="18"/>
          <w:szCs w:val="18"/>
          <w:color w:val="auto"/>
        </w:rPr>
        <w:t>A U.S. Holder of ordinary shares or ADSs may be subject to information reporting requirements and backup withholding tax for amounts paid with respect to dividends on the ordinary shares or ADSs, or the proceeds of sale or other disposition (including a redemption) of the ordinary shares or ADSs, unless the holder:</w:t>
      </w:r>
    </w:p>
    <w:p>
      <w:pPr>
        <w:spacing w:after="0" w:line="222"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a corporation or comes within certain other exempt categories, and when required, demonstrates this fact; or</w:t>
      </w:r>
    </w:p>
    <w:p>
      <w:pPr>
        <w:spacing w:after="0" w:line="144" w:lineRule="exact"/>
        <w:rPr>
          <w:rFonts w:ascii="Arial" w:cs="Arial" w:eastAsia="Arial" w:hAnsi="Arial"/>
          <w:sz w:val="18"/>
          <w:szCs w:val="18"/>
          <w:color w:val="auto"/>
        </w:rPr>
      </w:pPr>
    </w:p>
    <w:p>
      <w:pPr>
        <w:ind w:left="1160" w:right="620" w:hanging="571"/>
        <w:spacing w:after="0" w:line="239"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provides a correct taxpayer identification number, or T.I.N., certifies that he, she or it is not subject to backup withholding and otherwise complies with applicable requirements of the backup withholding rules.</w:t>
      </w:r>
    </w:p>
    <w:p>
      <w:pPr>
        <w:spacing w:after="0" w:line="209" w:lineRule="exact"/>
        <w:rPr>
          <w:sz w:val="20"/>
          <w:szCs w:val="20"/>
          <w:color w:val="auto"/>
        </w:rPr>
      </w:pPr>
    </w:p>
    <w:p>
      <w:pPr>
        <w:ind w:firstLine="478"/>
        <w:spacing w:after="0" w:line="238" w:lineRule="auto"/>
        <w:rPr>
          <w:sz w:val="20"/>
          <w:szCs w:val="20"/>
          <w:color w:val="auto"/>
        </w:rPr>
      </w:pPr>
      <w:r>
        <w:rPr>
          <w:rFonts w:ascii="Arial" w:cs="Arial" w:eastAsia="Arial" w:hAnsi="Arial"/>
          <w:sz w:val="18"/>
          <w:szCs w:val="18"/>
          <w:color w:val="auto"/>
        </w:rPr>
        <w:t>A U.S. Holder of ordinary shares or ADSs who does not provide a correct T.I.N. may be subject to penalties imposed by the IRS. Any amount withheld under backup withholding rules generally will be creditable against a U.S. Holder’s U.S. federal income tax liability and may entitle such U.S. Holder to a refund, provided that a U.S. Holder timely furnishes certain information to the IRS.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IRISH TAXATION CONSIDERATIONS</w:t>
      </w:r>
    </w:p>
    <w:p>
      <w:pPr>
        <w:spacing w:after="0" w:line="234" w:lineRule="exact"/>
        <w:rPr>
          <w:sz w:val="20"/>
          <w:szCs w:val="20"/>
          <w:color w:val="auto"/>
        </w:rPr>
      </w:pPr>
    </w:p>
    <w:p>
      <w:pPr>
        <w:ind w:right="40" w:firstLine="488"/>
        <w:spacing w:after="0" w:line="235" w:lineRule="auto"/>
        <w:rPr>
          <w:sz w:val="20"/>
          <w:szCs w:val="20"/>
          <w:color w:val="auto"/>
        </w:rPr>
      </w:pPr>
      <w:r>
        <w:rPr>
          <w:rFonts w:ascii="Arial" w:cs="Arial" w:eastAsia="Arial" w:hAnsi="Arial"/>
          <w:sz w:val="18"/>
          <w:szCs w:val="18"/>
          <w:color w:val="auto"/>
        </w:rPr>
        <w:t>Set forth below is the opinion of KPMG, Tax Advisors to the Company, regarding the material aspects of Irish tax law and practice regarding the ownership and disposition of ordinary shares and ADSs by US Holders (as defined in the opinion included elsewhere in “U.S. Taxation Considerations” provided by Cahill Gordon &amp; Reindel LLP).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not a guarantee and merely represents the judgment of KPMG regarding the specific matters addressed.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ind w:left="500"/>
        <w:spacing w:after="0"/>
        <w:rPr>
          <w:sz w:val="20"/>
          <w:szCs w:val="20"/>
          <w:color w:val="auto"/>
        </w:rPr>
      </w:pPr>
      <w:r>
        <w:rPr>
          <w:rFonts w:ascii="Arial" w:cs="Arial" w:eastAsia="Arial" w:hAnsi="Arial"/>
          <w:sz w:val="18"/>
          <w:szCs w:val="18"/>
          <w:color w:val="auto"/>
        </w:rPr>
        <w:t>Subject to the foregoing, it is the opinion of KPMG that: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4" w:lineRule="exact"/>
        <w:rPr>
          <w:sz w:val="20"/>
          <w:szCs w:val="20"/>
          <w:color w:val="auto"/>
        </w:rPr>
      </w:pPr>
    </w:p>
    <w:p>
      <w:pPr>
        <w:ind w:right="60" w:firstLine="488"/>
        <w:spacing w:after="0" w:line="270" w:lineRule="auto"/>
        <w:rPr>
          <w:sz w:val="20"/>
          <w:szCs w:val="20"/>
          <w:color w:val="auto"/>
        </w:rPr>
      </w:pPr>
      <w:r>
        <w:rPr>
          <w:rFonts w:ascii="Arial" w:cs="Arial" w:eastAsia="Arial" w:hAnsi="Arial"/>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resident nor ordinarily resident for tax purposes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Non-Irish resident corporate shareholders that:</w:t>
      </w:r>
    </w:p>
    <w:p>
      <w:pPr>
        <w:spacing w:after="0" w:line="225"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ultimately controlled by residents of a Relevant Territory;</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resident in a Relevant Territory and are not controlled by Irish residents;</w:t>
      </w:r>
    </w:p>
    <w:p>
      <w:pPr>
        <w:spacing w:after="0" w:line="144" w:lineRule="exact"/>
        <w:rPr>
          <w:rFonts w:ascii="Arial" w:cs="Arial" w:eastAsia="Arial" w:hAnsi="Arial"/>
          <w:sz w:val="18"/>
          <w:szCs w:val="18"/>
          <w:color w:val="auto"/>
        </w:rPr>
      </w:pPr>
    </w:p>
    <w:p>
      <w:pPr>
        <w:ind w:left="1160" w:right="280" w:hanging="571"/>
        <w:spacing w:after="0" w:line="239"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the principal class of their shares, or shares of a 75% parent, substantially and regularly traded on one or more recognized stock exchanges in a Relevant Territory or Territories; or</w:t>
      </w:r>
    </w:p>
    <w:p>
      <w:pPr>
        <w:spacing w:after="0" w:line="141" w:lineRule="exact"/>
        <w:rPr>
          <w:rFonts w:ascii="Arial" w:cs="Arial" w:eastAsia="Arial" w:hAnsi="Arial"/>
          <w:sz w:val="18"/>
          <w:szCs w:val="18"/>
          <w:color w:val="auto"/>
        </w:rPr>
      </w:pPr>
    </w:p>
    <w:p>
      <w:pPr>
        <w:ind w:left="1160" w:hanging="571"/>
        <w:spacing w:after="0" w:line="239"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wholly owned by two or more companies, each of whose principal class of shares is substantially and regularly traded on one or more recognized stock exchanges in a Relevant Territory or Territories;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will be exempt from withholding tax on the production of the appropriate certificates and declarations.</w:t>
      </w:r>
    </w:p>
    <w:p>
      <w:pPr>
        <w:spacing w:after="0" w:line="212" w:lineRule="exact"/>
        <w:rPr>
          <w:sz w:val="20"/>
          <w:szCs w:val="20"/>
          <w:color w:val="auto"/>
        </w:rPr>
      </w:pPr>
    </w:p>
    <w:p>
      <w:pPr>
        <w:ind w:right="280" w:firstLine="488"/>
        <w:spacing w:after="0" w:line="239" w:lineRule="auto"/>
        <w:rPr>
          <w:sz w:val="20"/>
          <w:szCs w:val="20"/>
          <w:color w:val="auto"/>
        </w:rPr>
      </w:pPr>
      <w:r>
        <w:rPr>
          <w:rFonts w:ascii="Arial" w:cs="Arial" w:eastAsia="Arial" w:hAnsi="Arial"/>
          <w:sz w:val="18"/>
          <w:szCs w:val="18"/>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209" w:lineRule="exact"/>
        <w:rPr>
          <w:sz w:val="20"/>
          <w:szCs w:val="20"/>
          <w:color w:val="auto"/>
        </w:rPr>
      </w:pPr>
    </w:p>
    <w:p>
      <w:pPr>
        <w:ind w:right="140" w:firstLine="488"/>
        <w:spacing w:after="0" w:line="238" w:lineRule="auto"/>
        <w:rPr>
          <w:sz w:val="20"/>
          <w:szCs w:val="20"/>
          <w:color w:val="auto"/>
        </w:rPr>
      </w:pPr>
      <w:r>
        <w:rPr>
          <w:rFonts w:ascii="Arial" w:cs="Arial" w:eastAsia="Arial" w:hAnsi="Arial"/>
          <w:sz w:val="18"/>
          <w:szCs w:val="18"/>
          <w:color w:val="auto"/>
        </w:rPr>
        <w:t>Special arrangements are available in the case of interests in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222" w:lineRule="exact"/>
        <w:rPr>
          <w:sz w:val="20"/>
          <w:szCs w:val="20"/>
          <w:color w:val="auto"/>
        </w:rPr>
      </w:pPr>
    </w:p>
    <w:p>
      <w:pPr>
        <w:ind w:left="1160" w:right="220" w:hanging="571"/>
        <w:spacing w:after="0" w:line="23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depositary has been authorized by the Irish Revenue Commissioners as a qualifying intermediary and such authorization has not expired or been revoked; and either</w:t>
      </w:r>
    </w:p>
    <w:p>
      <w:pPr>
        <w:spacing w:after="0" w:line="141"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depositary bank’s ADS register shows that the beneficial owner has a U.S. address on the register; or</w:t>
      </w:r>
    </w:p>
    <w:p>
      <w:pPr>
        <w:spacing w:after="0" w:line="144" w:lineRule="exact"/>
        <w:rPr>
          <w:rFonts w:ascii="Arial" w:cs="Arial" w:eastAsia="Arial" w:hAnsi="Arial"/>
          <w:sz w:val="18"/>
          <w:szCs w:val="18"/>
          <w:color w:val="auto"/>
        </w:rPr>
      </w:pPr>
    </w:p>
    <w:p>
      <w:pPr>
        <w:ind w:left="1160" w:right="680" w:hanging="571"/>
        <w:spacing w:after="0" w:line="299"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34" w:lineRule="exact"/>
        <w:rPr>
          <w:sz w:val="20"/>
          <w:szCs w:val="20"/>
          <w:color w:val="auto"/>
        </w:rPr>
      </w:pPr>
    </w:p>
    <w:p>
      <w:pPr>
        <w:ind w:right="20" w:firstLine="488"/>
        <w:spacing w:after="0" w:line="239" w:lineRule="auto"/>
        <w:rPr>
          <w:sz w:val="20"/>
          <w:szCs w:val="20"/>
          <w:color w:val="auto"/>
        </w:rPr>
      </w:pPr>
      <w:r>
        <w:rPr>
          <w:rFonts w:ascii="Arial" w:cs="Arial" w:eastAsia="Arial" w:hAnsi="Arial"/>
          <w:sz w:val="18"/>
          <w:szCs w:val="18"/>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0" w:name="page31"/>
    <w:bookmarkEnd w:id="30"/>
    <w:p>
      <w:pPr>
        <w:ind w:right="320" w:firstLine="488"/>
        <w:spacing w:after="0" w:line="239" w:lineRule="auto"/>
        <w:rPr>
          <w:sz w:val="20"/>
          <w:szCs w:val="20"/>
          <w:color w:val="auto"/>
        </w:rPr>
      </w:pPr>
      <w:r>
        <w:rPr>
          <w:rFonts w:ascii="Arial" w:cs="Arial" w:eastAsia="Arial" w:hAnsi="Arial"/>
          <w:sz w:val="18"/>
          <w:szCs w:val="18"/>
          <w:color w:val="auto"/>
        </w:rPr>
        <w:t>However, a U.S. Holder will not have an Irish income tax liability on dividends from the company if the U.S. Holder is neither resident nor ordinarily resident in the Republic of Ireland and the U.S. Holder is:</w:t>
      </w:r>
    </w:p>
    <w:p>
      <w:pPr>
        <w:spacing w:after="0" w:line="223" w:lineRule="exact"/>
        <w:rPr>
          <w:sz w:val="20"/>
          <w:szCs w:val="20"/>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resident in the U.S. (or any other country with which Ireland has a double taxation treaty);</w:t>
      </w:r>
    </w:p>
    <w:p>
      <w:pPr>
        <w:spacing w:after="0" w:line="144" w:lineRule="exact"/>
        <w:rPr>
          <w:rFonts w:ascii="Arial" w:cs="Arial" w:eastAsia="Arial" w:hAnsi="Arial"/>
          <w:sz w:val="18"/>
          <w:szCs w:val="18"/>
          <w:color w:val="auto"/>
        </w:rPr>
      </w:pPr>
    </w:p>
    <w:p>
      <w:pPr>
        <w:ind w:left="1160" w:right="460" w:hanging="571"/>
        <w:spacing w:after="0" w:line="23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that is ultimately controlled by persons resident in the U.S. (or any other country with which Ireland has a double taxation treaty);</w:t>
      </w:r>
    </w:p>
    <w:p>
      <w:pPr>
        <w:spacing w:after="0" w:line="141" w:lineRule="exact"/>
        <w:rPr>
          <w:rFonts w:ascii="Arial" w:cs="Arial" w:eastAsia="Arial" w:hAnsi="Arial"/>
          <w:sz w:val="18"/>
          <w:szCs w:val="18"/>
          <w:color w:val="auto"/>
        </w:rPr>
      </w:pPr>
    </w:p>
    <w:p>
      <w:pPr>
        <w:ind w:left="1160" w:right="120" w:hanging="571"/>
        <w:spacing w:after="0" w:line="299"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95" w:lineRule="exact"/>
        <w:rPr>
          <w:rFonts w:ascii="Arial" w:cs="Arial" w:eastAsia="Arial" w:hAnsi="Arial"/>
          <w:sz w:val="16"/>
          <w:szCs w:val="16"/>
          <w:color w:val="auto"/>
        </w:rPr>
      </w:pPr>
    </w:p>
    <w:p>
      <w:pPr>
        <w:ind w:left="1160" w:right="80" w:hanging="571"/>
        <w:spacing w:after="0" w:line="23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resident in another EU member state or in a country with which Ireland has concluded a double taxation treaty, which is not controlled directly or indirectly by Irish residents; or</w:t>
      </w:r>
    </w:p>
    <w:p>
      <w:pPr>
        <w:spacing w:after="0" w:line="141" w:lineRule="exact"/>
        <w:rPr>
          <w:rFonts w:ascii="Arial" w:cs="Arial" w:eastAsia="Arial" w:hAnsi="Arial"/>
          <w:sz w:val="18"/>
          <w:szCs w:val="18"/>
          <w:color w:val="auto"/>
        </w:rPr>
      </w:pPr>
    </w:p>
    <w:p>
      <w:pPr>
        <w:ind w:left="1160" w:hanging="571"/>
        <w:spacing w:after="0" w:line="299"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163" w:lineRule="exact"/>
        <w:rPr>
          <w:sz w:val="20"/>
          <w:szCs w:val="20"/>
          <w:color w:val="auto"/>
        </w:rPr>
      </w:pPr>
    </w:p>
    <w:p>
      <w:pPr>
        <w:ind w:right="140" w:firstLine="488"/>
        <w:spacing w:after="0" w:line="238" w:lineRule="auto"/>
        <w:rPr>
          <w:sz w:val="20"/>
          <w:szCs w:val="20"/>
          <w:color w:val="auto"/>
        </w:rPr>
      </w:pPr>
      <w:r>
        <w:rPr>
          <w:rFonts w:ascii="Arial" w:cs="Arial" w:eastAsia="Arial" w:hAnsi="Arial"/>
          <w:sz w:val="18"/>
          <w:szCs w:val="18"/>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w:t>
      </w:r>
    </w:p>
    <w:p>
      <w:pPr>
        <w:spacing w:after="0" w:line="234" w:lineRule="exact"/>
        <w:rPr>
          <w:sz w:val="20"/>
          <w:szCs w:val="20"/>
          <w:color w:val="auto"/>
        </w:rPr>
      </w:pPr>
    </w:p>
    <w:p>
      <w:pPr>
        <w:ind w:right="20" w:firstLine="478"/>
        <w:spacing w:after="0" w:line="236" w:lineRule="auto"/>
        <w:rPr>
          <w:sz w:val="20"/>
          <w:szCs w:val="20"/>
          <w:color w:val="auto"/>
        </w:rPr>
      </w:pPr>
      <w:r>
        <w:rPr>
          <w:rFonts w:ascii="Arial" w:cs="Arial" w:eastAsia="Arial" w:hAnsi="Arial"/>
          <w:sz w:val="18"/>
          <w:szCs w:val="18"/>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There are provisions to subject a person who disposes of an interest in a company while temporarily being non-Irish tax resident, to Irish capital gains tax. This treatment will apply to Irish-domiciled individuals:</w:t>
      </w:r>
    </w:p>
    <w:p>
      <w:pPr>
        <w:spacing w:after="0" w:line="225" w:lineRule="exact"/>
        <w:rPr>
          <w:sz w:val="20"/>
          <w:szCs w:val="20"/>
          <w:color w:val="auto"/>
        </w:rPr>
      </w:pPr>
    </w:p>
    <w:p>
      <w:pPr>
        <w:ind w:left="1160" w:hanging="571"/>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who cease to be Irish resident;</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who own the shares when they cease to be resident;</w:t>
      </w:r>
    </w:p>
    <w:p>
      <w:pPr>
        <w:spacing w:after="0" w:line="144" w:lineRule="exact"/>
        <w:rPr>
          <w:rFonts w:ascii="Arial" w:cs="Arial" w:eastAsia="Arial" w:hAnsi="Arial"/>
          <w:sz w:val="18"/>
          <w:szCs w:val="18"/>
          <w:color w:val="auto"/>
        </w:rPr>
      </w:pPr>
    </w:p>
    <w:p>
      <w:pPr>
        <w:ind w:left="1160" w:right="160" w:hanging="571"/>
        <w:spacing w:after="0" w:line="239"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there are not more than five years of assessment between the last year of Irish tax residence prior to becoming temporarily non-resident and the tax year that such individual resumes Irish tax residency;</w:t>
      </w:r>
    </w:p>
    <w:p>
      <w:pPr>
        <w:spacing w:after="0" w:line="141" w:lineRule="exact"/>
        <w:rPr>
          <w:rFonts w:ascii="Arial" w:cs="Arial" w:eastAsia="Arial" w:hAnsi="Arial"/>
          <w:sz w:val="18"/>
          <w:szCs w:val="18"/>
          <w:color w:val="auto"/>
        </w:rPr>
      </w:pPr>
    </w:p>
    <w:p>
      <w:pPr>
        <w:ind w:left="1160" w:hanging="571"/>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who dispose of an interest in a company during this temporary non-residence; and</w:t>
      </w:r>
    </w:p>
    <w:p>
      <w:pPr>
        <w:spacing w:after="0" w:line="144" w:lineRule="exact"/>
        <w:rPr>
          <w:rFonts w:ascii="Arial" w:cs="Arial" w:eastAsia="Arial" w:hAnsi="Arial"/>
          <w:sz w:val="18"/>
          <w:szCs w:val="18"/>
          <w:color w:val="auto"/>
        </w:rPr>
      </w:pPr>
    </w:p>
    <w:p>
      <w:pPr>
        <w:ind w:left="900" w:hanging="45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disposed of represents 5% or greater of the share capital of the company or is worth at least €500,000.</w:t>
      </w:r>
    </w:p>
    <w:p>
      <w:pPr>
        <w:spacing w:after="0" w:line="212" w:lineRule="exact"/>
        <w:rPr>
          <w:sz w:val="20"/>
          <w:szCs w:val="20"/>
          <w:color w:val="auto"/>
        </w:rPr>
      </w:pPr>
    </w:p>
    <w:p>
      <w:pPr>
        <w:ind w:right="60" w:firstLine="488"/>
        <w:spacing w:after="0" w:line="239" w:lineRule="auto"/>
        <w:rPr>
          <w:sz w:val="20"/>
          <w:szCs w:val="20"/>
          <w:color w:val="auto"/>
        </w:rPr>
      </w:pPr>
      <w:r>
        <w:rPr>
          <w:rFonts w:ascii="Arial" w:cs="Arial" w:eastAsia="Arial" w:hAnsi="Arial"/>
          <w:sz w:val="18"/>
          <w:szCs w:val="18"/>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1" w:name="page32"/>
    <w:bookmarkEnd w:id="31"/>
    <w:p>
      <w:pPr>
        <w:ind w:right="60" w:firstLine="478"/>
        <w:spacing w:after="0" w:line="237" w:lineRule="auto"/>
        <w:rPr>
          <w:sz w:val="20"/>
          <w:szCs w:val="20"/>
          <w:color w:val="auto"/>
        </w:rPr>
      </w:pPr>
      <w:r>
        <w:rPr>
          <w:rFonts w:ascii="Arial" w:cs="Arial" w:eastAsia="Arial" w:hAnsi="Arial"/>
          <w:sz w:val="18"/>
          <w:szCs w:val="18"/>
          <w:color w:val="auto"/>
        </w:rPr>
        <w:t>A transfer of assets between spouses will not give rise to a gain or loss for a capital gains tax purposes. The spouse who receives the asset is deemed to have acquired it on the date and at the cost at which the other spouse acquired it. However, these provisions will not apply and a charge to capital gains tax may arise where the spouse acquiring the asset would not be liable to Irish capital gains tax if he/she disposed of such assets in the year in which they were acquired.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Duty–Ordinary Shares</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10" w:lineRule="exact"/>
        <w:rPr>
          <w:sz w:val="20"/>
          <w:szCs w:val="20"/>
          <w:color w:val="auto"/>
        </w:rPr>
      </w:pPr>
    </w:p>
    <w:p>
      <w:pPr>
        <w:ind w:right="100" w:firstLine="485"/>
        <w:spacing w:after="0" w:line="237" w:lineRule="auto"/>
        <w:rPr>
          <w:sz w:val="20"/>
          <w:szCs w:val="20"/>
          <w:color w:val="auto"/>
        </w:rPr>
      </w:pPr>
      <w:r>
        <w:rPr>
          <w:rFonts w:ascii="Arial" w:cs="Arial" w:eastAsia="Arial" w:hAnsi="Arial"/>
          <w:sz w:val="18"/>
          <w:szCs w:val="18"/>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€12.70 (the nominal rate) will apply.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Duty–ADSs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€12.70 applies.</w:t>
      </w:r>
    </w:p>
    <w:p>
      <w:pPr>
        <w:spacing w:after="0" w:line="208" w:lineRule="exact"/>
        <w:rPr>
          <w:sz w:val="20"/>
          <w:szCs w:val="20"/>
          <w:color w:val="auto"/>
        </w:rPr>
      </w:pPr>
    </w:p>
    <w:p>
      <w:pPr>
        <w:ind w:right="380" w:firstLine="485"/>
        <w:spacing w:after="0" w:line="239" w:lineRule="auto"/>
        <w:rPr>
          <w:sz w:val="20"/>
          <w:szCs w:val="20"/>
          <w:color w:val="auto"/>
        </w:rPr>
      </w:pPr>
      <w:r>
        <w:rPr>
          <w:rFonts w:ascii="Arial" w:cs="Arial" w:eastAsia="Arial" w:hAnsi="Arial"/>
          <w:sz w:val="18"/>
          <w:szCs w:val="18"/>
          <w:color w:val="auto"/>
        </w:rPr>
        <w:t>Transfers of ADSs are exempt from Irish stamp duty as long as the ADSs are dealt in on the Nasdaq National Market or any recognized stock exchange in the United States or Canada.</w:t>
      </w:r>
    </w:p>
    <w:p>
      <w:pPr>
        <w:spacing w:after="0" w:line="209" w:lineRule="exact"/>
        <w:rPr>
          <w:sz w:val="20"/>
          <w:szCs w:val="20"/>
          <w:color w:val="auto"/>
        </w:rPr>
      </w:pPr>
    </w:p>
    <w:p>
      <w:pPr>
        <w:ind w:right="80" w:firstLine="485"/>
        <w:spacing w:after="0" w:line="299" w:lineRule="auto"/>
        <w:rPr>
          <w:sz w:val="20"/>
          <w:szCs w:val="20"/>
          <w:color w:val="auto"/>
        </w:rPr>
      </w:pPr>
      <w:r>
        <w:rPr>
          <w:rFonts w:ascii="Arial" w:cs="Arial" w:eastAsia="Arial" w:hAnsi="Arial"/>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Acquisitions Tax</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2" w:name="page33"/>
    <w:bookmarkEnd w:id="32"/>
    <w:p>
      <w:pPr>
        <w:ind w:right="60" w:firstLine="485"/>
        <w:spacing w:after="0" w:line="237" w:lineRule="auto"/>
        <w:rPr>
          <w:sz w:val="20"/>
          <w:szCs w:val="20"/>
          <w:color w:val="auto"/>
        </w:rPr>
      </w:pPr>
      <w:r>
        <w:rPr>
          <w:rFonts w:ascii="Arial" w:cs="Arial" w:eastAsia="Arial" w:hAnsi="Arial"/>
          <w:sz w:val="18"/>
          <w:szCs w:val="18"/>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right="380" w:firstLine="488"/>
        <w:spacing w:after="0" w:line="239" w:lineRule="auto"/>
        <w:rPr>
          <w:sz w:val="20"/>
          <w:szCs w:val="20"/>
          <w:color w:val="auto"/>
        </w:rPr>
      </w:pPr>
      <w:r>
        <w:rPr>
          <w:rFonts w:ascii="Arial" w:cs="Arial" w:eastAsia="Arial" w:hAnsi="Arial"/>
          <w:sz w:val="18"/>
          <w:szCs w:val="18"/>
          <w:color w:val="auto"/>
        </w:rPr>
        <w:t>We and the selling shareholders may sell the securities offered by this prospectus in and outside the United States in one or more of the following ways:</w:t>
      </w:r>
    </w:p>
    <w:p>
      <w:pPr>
        <w:spacing w:after="0" w:line="223" w:lineRule="exact"/>
        <w:rPr>
          <w:sz w:val="20"/>
          <w:szCs w:val="20"/>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212"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We and the selling shareholders may sell, either directly or through agents, and underwriters may resell, the offered securities in one or more transactions, including negotiated transactions, at a fixed public offering price or prices, which may be changed, at market prices prevailing at the time of sale, at prices related to such prevailing market prices or at negotiated prices. Underwriters, dealers and agents may engage in transactions with, or perform services for, us or our affiliates in the ordinary course of their business.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prospectus supplement relating to any offering will include the following information:</w:t>
      </w:r>
    </w:p>
    <w:p>
      <w:pPr>
        <w:spacing w:after="0" w:line="225" w:lineRule="exact"/>
        <w:rPr>
          <w:sz w:val="20"/>
          <w:szCs w:val="20"/>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the offering, including the aggregate number of securities being offered;</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net proceeds to us from the sale of the securities;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underwriting discounts or other underwriters’ compensation; and</w:t>
      </w:r>
    </w:p>
    <w:p>
      <w:pPr>
        <w:spacing w:after="0" w:line="144"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through Underwriters or Dealers</w:t>
      </w:r>
    </w:p>
    <w:p>
      <w:pPr>
        <w:spacing w:after="0" w:line="230"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If we or the selling shareholders use underwriters in an offering using this prospectus, we or the selling shareholders will execute an underwriting agreement with one or more underwriters. The underwriting agreement will provide that the obligations of the underwriters with respect to a sale of the offered securities are subject to specified conditions precedent and that the underwriters will be obligated to purchase all of the offered securities if they purchase any. Compensation to the underwriters may be in the form of discounts, concessions or commissions. Underwriters may sell the securities through dealers. The underwriters may change the initial offering price and any discounts or concessions allowed or re-allowed or paid to dealers. If we or the selling shareholders use underwriters in an offering of securities using this prospectus, the applicable prospectus supplement will contain a statement regarding the intention, if any, of the underwriters to make a market in the offered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ind w:right="100" w:firstLine="488"/>
        <w:spacing w:after="0" w:line="237" w:lineRule="auto"/>
        <w:rPr>
          <w:sz w:val="20"/>
          <w:szCs w:val="20"/>
          <w:color w:val="auto"/>
        </w:rPr>
      </w:pPr>
      <w:r>
        <w:rPr>
          <w:rFonts w:ascii="Arial" w:cs="Arial" w:eastAsia="Arial" w:hAnsi="Arial"/>
          <w:sz w:val="18"/>
          <w:szCs w:val="18"/>
          <w:color w:val="auto"/>
        </w:rPr>
        <w:t>We or the selling shareholders may grant to the underwriters an option to purchase additional offered securities to cover over-allotments, if any, at the public offering price (with additional underwriting discounts or commissions), as may be set forth in the related prospectus supplement. If we or the selling shareholders grant any over-allotment option, the terms of the over-allotment option will be set forth in the prospectus supplement relating to such offered securities.</w:t>
      </w:r>
    </w:p>
    <w:p>
      <w:pPr>
        <w:spacing w:after="0" w:line="209" w:lineRule="exact"/>
        <w:rPr>
          <w:sz w:val="20"/>
          <w:szCs w:val="20"/>
          <w:color w:val="auto"/>
        </w:rPr>
      </w:pPr>
    </w:p>
    <w:p>
      <w:pPr>
        <w:jc w:val="both"/>
        <w:ind w:right="340" w:firstLine="488"/>
        <w:spacing w:after="0" w:line="238" w:lineRule="auto"/>
        <w:rPr>
          <w:sz w:val="20"/>
          <w:szCs w:val="20"/>
          <w:color w:val="auto"/>
        </w:rPr>
      </w:pPr>
      <w:r>
        <w:rPr>
          <w:rFonts w:ascii="Arial" w:cs="Arial" w:eastAsia="Arial" w:hAnsi="Arial"/>
          <w:sz w:val="18"/>
          <w:szCs w:val="18"/>
          <w:color w:val="auto"/>
        </w:rPr>
        <w:t>If we or the selling shareholders use a dealer in an offering of securities using this prospectus, we or the selling shareholders will sell the offered securities to the dealer as principal. The dealer may then resell those securities to the public or other dealers at a fixed price or varying prices to be determined at the time of resale.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and Sales through Agents</w:t>
      </w:r>
    </w:p>
    <w:p>
      <w:pPr>
        <w:spacing w:after="0" w:line="230" w:lineRule="exact"/>
        <w:rPr>
          <w:sz w:val="20"/>
          <w:szCs w:val="20"/>
          <w:color w:val="auto"/>
        </w:rPr>
      </w:pPr>
    </w:p>
    <w:p>
      <w:pPr>
        <w:ind w:right="200" w:firstLine="488"/>
        <w:spacing w:after="0" w:line="237" w:lineRule="auto"/>
        <w:rPr>
          <w:sz w:val="20"/>
          <w:szCs w:val="20"/>
          <w:color w:val="auto"/>
        </w:rPr>
      </w:pPr>
      <w:r>
        <w:rPr>
          <w:rFonts w:ascii="Arial" w:cs="Arial" w:eastAsia="Arial" w:hAnsi="Arial"/>
          <w:sz w:val="18"/>
          <w:szCs w:val="18"/>
          <w:color w:val="auto"/>
        </w:rPr>
        <w:t>We or the selling shareholders may also use this prospectus to directly solicit offers to purchase securities. In this case, no underwriters or agents would be involved. Except as set forth in the applicable prospectus supplement, none of our directors, officers or employees will solicit or receive a commission in connection with those direct sales. Those persons may respond to inquiries by potential purchasers and perform ministerial and clerical work in connection with direct sales.</w:t>
      </w:r>
    </w:p>
    <w:p>
      <w:pPr>
        <w:spacing w:after="0" w:line="209" w:lineRule="exact"/>
        <w:rPr>
          <w:sz w:val="20"/>
          <w:szCs w:val="20"/>
          <w:color w:val="auto"/>
        </w:rPr>
      </w:pPr>
    </w:p>
    <w:p>
      <w:pPr>
        <w:ind w:right="100" w:firstLine="488"/>
        <w:spacing w:after="0" w:line="281" w:lineRule="auto"/>
        <w:rPr>
          <w:sz w:val="20"/>
          <w:szCs w:val="20"/>
          <w:color w:val="auto"/>
        </w:rPr>
      </w:pPr>
      <w:r>
        <w:rPr>
          <w:rFonts w:ascii="Arial" w:cs="Arial" w:eastAsia="Arial" w:hAnsi="Arial"/>
          <w:sz w:val="16"/>
          <w:szCs w:val="16"/>
          <w:color w:val="auto"/>
        </w:rPr>
        <w:t>We or the selling shareholders may also sell the offered securities through agents we or they designate from time to time. In the prospectus supplement, we or the selling shareholders will describe any commission payable by us or them to the agent. Unless we inform you otherwise in the prospectus supplement, any agent will agree to use its reasonable best efforts to solicit purchases for the period of its appointment.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Delayed Delivery Contracts</w:t>
      </w:r>
    </w:p>
    <w:p>
      <w:pPr>
        <w:spacing w:after="0" w:line="230"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If so indicated in the prospectus supplement relating to a particular issue of offered securities, we or the selling shareholders may authorize underwriters and agents to solicit offers by certain institutions to purchase securities pursuant to delayed delivery contracts providing for payment and delivery on a future date. Institutions with which delayed delivery contracts may be made include commercial and savings banks, insurance companies, educational and charitable institutions and other institutions we or the selling shareholders may approve. The obligations of any purchaser under any delayed delivery contract will not be subject to any conditions except that any related sale of offered securities to underwriters shall have occurred and the purchase by an institution of the securities covered by its delayed delivery contract shall not at the time of delivery be prohibited under the laws of any jurisdiction to which that institution is subject. Any commission paid to agents and underwriters soliciting purchases of securities pursuant to delayed delivery contracts accepted by us or the selling shareholders will be detailed in the prospectus supplement.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30"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Underwriters, dealers or agents participating in a distribution of securities using this prospectus may be deemed to be underwriters under the Securities Act. Pursuant to agreements that we or the selling shareholders may enter into, underwriters, dealers or agents who participate in the distribution of securities by use of this prospectus may be entitled to indemnification by us and the selling shareholders against certain liabilities, including liabilities under the Securities Act, or contribution with respect to payments that those underwriters, dealers or agents may be required to make in respect of those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Denominations</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offered securities will be sold in minimum units of 50,000 (or the U.S. dollar equivalent thereof).</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EXCHANGE CONTROLS AND OTHER LIMITATIONS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AFFECTING SECURITY HOLDERS</w:t>
      </w:r>
    </w:p>
    <w:p>
      <w:pPr>
        <w:spacing w:after="0" w:line="212" w:lineRule="exact"/>
        <w:rPr>
          <w:sz w:val="20"/>
          <w:szCs w:val="20"/>
          <w:color w:val="auto"/>
        </w:rPr>
      </w:pPr>
    </w:p>
    <w:p>
      <w:pPr>
        <w:ind w:right="180" w:firstLine="488"/>
        <w:spacing w:after="0" w:line="281" w:lineRule="auto"/>
        <w:rPr>
          <w:sz w:val="20"/>
          <w:szCs w:val="20"/>
          <w:color w:val="auto"/>
        </w:rPr>
      </w:pPr>
      <w:r>
        <w:rPr>
          <w:rFonts w:ascii="Arial" w:cs="Arial" w:eastAsia="Arial" w:hAnsi="Arial"/>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78"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certain persons connected with the former regime in Iraq, certain persons indicted by the International Criminal Tribunal for the former Yugoslavia, Zimbabwe, the Taliban of Afghanistan, Osama bin Laden and Al-Qaeda, Liberia, Burma/Myanmar, Uzbekistan, Sudan, Cote D’Ivoire and countries that harbour certain terrorist groups, without the prior permission of the Central Bank of Ireland.</w:t>
      </w:r>
    </w:p>
    <w:p>
      <w:pPr>
        <w:spacing w:after="0" w:line="215" w:lineRule="exact"/>
        <w:rPr>
          <w:sz w:val="20"/>
          <w:szCs w:val="20"/>
          <w:color w:val="auto"/>
        </w:rPr>
      </w:pPr>
    </w:p>
    <w:p>
      <w:pPr>
        <w:ind w:right="260" w:firstLine="478"/>
        <w:spacing w:after="0" w:line="236" w:lineRule="auto"/>
        <w:rPr>
          <w:sz w:val="20"/>
          <w:szCs w:val="20"/>
          <w:color w:val="auto"/>
        </w:rPr>
      </w:pPr>
      <w:r>
        <w:rPr>
          <w:rFonts w:ascii="Arial" w:cs="Arial" w:eastAsia="Arial" w:hAnsi="Arial"/>
          <w:sz w:val="18"/>
          <w:szCs w:val="18"/>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Somalia, Sudan, Uzbekistan, Democratic Republic of Congo,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THE ORDINARY SHARES</w:t>
      </w:r>
    </w:p>
    <w:p>
      <w:pPr>
        <w:spacing w:after="0" w:line="234" w:lineRule="exact"/>
        <w:rPr>
          <w:sz w:val="20"/>
          <w:szCs w:val="20"/>
          <w:color w:val="auto"/>
        </w:rPr>
      </w:pPr>
    </w:p>
    <w:p>
      <w:pPr>
        <w:ind w:right="160" w:firstLine="485"/>
        <w:spacing w:after="0" w:line="238" w:lineRule="auto"/>
        <w:rPr>
          <w:sz w:val="20"/>
          <w:szCs w:val="20"/>
          <w:color w:val="auto"/>
        </w:rPr>
      </w:pPr>
      <w:r>
        <w:rPr>
          <w:rFonts w:ascii="Arial" w:cs="Arial" w:eastAsia="Arial" w:hAnsi="Arial"/>
          <w:sz w:val="18"/>
          <w:szCs w:val="18"/>
          <w:color w:val="auto"/>
        </w:rPr>
        <w:t>The validity of the ordinary shares will be passed upon by A&amp;L Goodbody, solicitors, IFSC, Dublin 1, Ireland. Certain matters of U.S. and New York law with respect to this offering will be passed upon for us by Cahill Gordon &amp; Reindel LLP, 80 Pine Street, New York, New York. Cahill Gordon &amp; Reindel LLP may rely upon A&amp;L Goodbody with respect to certain matters governed by Irish law.</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right="160" w:firstLine="485"/>
        <w:spacing w:after="0" w:line="237" w:lineRule="auto"/>
        <w:rPr>
          <w:sz w:val="20"/>
          <w:szCs w:val="20"/>
          <w:color w:val="auto"/>
        </w:rPr>
      </w:pPr>
      <w:r>
        <w:rPr>
          <w:rFonts w:ascii="Arial" w:cs="Arial" w:eastAsia="Arial" w:hAnsi="Arial"/>
          <w:sz w:val="18"/>
          <w:szCs w:val="18"/>
          <w:color w:val="auto"/>
        </w:rPr>
        <w:t>The consolidated financial statements of ICON plc as of December 31, 2005, May 31, 2005 and 2004 and for the seven months ended December 31, 2005 and each of the years in the three-year period ended May 31, 2005, have been incorporated by reference herein in reliance upon the report of KPMG, independent registered public accounting firm, incorporated by reference herein, and upon the authority of said firm as experts in accounting and auditing.</w:t>
      </w:r>
    </w:p>
    <w:p>
      <w:pPr>
        <w:spacing w:after="0" w:line="209" w:lineRule="exact"/>
        <w:rPr>
          <w:sz w:val="20"/>
          <w:szCs w:val="20"/>
          <w:color w:val="auto"/>
        </w:rPr>
      </w:pPr>
    </w:p>
    <w:p>
      <w:pPr>
        <w:ind w:right="660" w:firstLine="485"/>
        <w:spacing w:after="0" w:line="239" w:lineRule="auto"/>
        <w:rPr>
          <w:sz w:val="20"/>
          <w:szCs w:val="20"/>
          <w:color w:val="auto"/>
        </w:rPr>
      </w:pPr>
      <w:r>
        <w:rPr>
          <w:rFonts w:ascii="Arial" w:cs="Arial" w:eastAsia="Arial" w:hAnsi="Arial"/>
          <w:sz w:val="18"/>
          <w:szCs w:val="18"/>
          <w:color w:val="auto"/>
        </w:rPr>
        <w:t>The discussions included under the heading “Irish Taxation Considerations” were prepared for the Company by KPMG, independent registered public accounting firm, and have been included herein upon the authority of said firm as experts in tax matters.</w:t>
      </w:r>
    </w:p>
    <w:p>
      <w:pPr>
        <w:spacing w:after="0" w:line="209" w:lineRule="exact"/>
        <w:rPr>
          <w:sz w:val="20"/>
          <w:szCs w:val="20"/>
          <w:color w:val="auto"/>
        </w:rPr>
      </w:pPr>
    </w:p>
    <w:p>
      <w:pPr>
        <w:ind w:right="120" w:firstLine="478"/>
        <w:spacing w:after="0" w:line="239" w:lineRule="auto"/>
        <w:rPr>
          <w:sz w:val="20"/>
          <w:szCs w:val="20"/>
          <w:color w:val="auto"/>
        </w:rPr>
      </w:pPr>
      <w:r>
        <w:rPr>
          <w:rFonts w:ascii="Arial" w:cs="Arial" w:eastAsia="Arial" w:hAnsi="Arial"/>
          <w:sz w:val="18"/>
          <w:szCs w:val="18"/>
          <w:color w:val="auto"/>
        </w:rPr>
        <w:t>A&amp;L Goodbody have given and have not withdrawn their written consent to the references in this prospectus to their names in the form and context in which they appear.</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EXPENSES OF ISSUANCE AND DISTRIBUTION</w:t>
      </w:r>
    </w:p>
    <w:p>
      <w:pPr>
        <w:spacing w:after="0" w:line="234" w:lineRule="exact"/>
        <w:rPr>
          <w:sz w:val="20"/>
          <w:szCs w:val="20"/>
          <w:color w:val="auto"/>
        </w:rPr>
      </w:pPr>
    </w:p>
    <w:p>
      <w:pPr>
        <w:ind w:right="200" w:firstLine="485"/>
        <w:spacing w:after="0" w:line="239" w:lineRule="auto"/>
        <w:rPr>
          <w:sz w:val="20"/>
          <w:szCs w:val="20"/>
          <w:color w:val="auto"/>
        </w:rPr>
      </w:pPr>
      <w:r>
        <w:rPr>
          <w:rFonts w:ascii="Arial" w:cs="Arial" w:eastAsia="Arial" w:hAnsi="Arial"/>
          <w:sz w:val="18"/>
          <w:szCs w:val="18"/>
          <w:color w:val="auto"/>
        </w:rPr>
        <w:t>The following table sets forth the estimated expenses in connection with the issuance and distribution of the shares, which will be borne by us and the selling shareholders proportionately to the ADSs being offered unless otherwise indicated:</w:t>
      </w:r>
    </w:p>
    <w:p>
      <w:pPr>
        <w:spacing w:after="0" w:line="215"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9580" w:type="dxa"/>
            <w:vAlign w:val="bottom"/>
            <w:shd w:val="clear" w:color="auto" w:fill="E6E6E6"/>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30" w:type="dxa"/>
            <w:vAlign w:val="bottom"/>
            <w:gridSpan w:val="2"/>
            <w:shd w:val="clear" w:color="auto" w:fill="E6E6E6"/>
          </w:tcPr>
          <w:p>
            <w:pPr>
              <w:jc w:val="right"/>
              <w:ind w:right="30"/>
              <w:spacing w:after="0"/>
              <w:rPr>
                <w:sz w:val="20"/>
                <w:szCs w:val="20"/>
                <w:color w:val="auto"/>
              </w:rPr>
            </w:pPr>
            <w:r>
              <w:rPr>
                <w:rFonts w:ascii="Arial" w:cs="Arial" w:eastAsia="Arial" w:hAnsi="Arial"/>
                <w:sz w:val="18"/>
                <w:szCs w:val="18"/>
                <w:color w:val="auto"/>
                <w:w w:val="79"/>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13,375</w:t>
            </w:r>
          </w:p>
        </w:tc>
        <w:tc>
          <w:tcPr>
            <w:tcW w:w="100" w:type="dxa"/>
            <w:vAlign w:val="bottom"/>
            <w:shd w:val="clear" w:color="auto" w:fill="E6E6E6"/>
          </w:tcPr>
          <w:p>
            <w:pPr>
              <w:spacing w:after="0"/>
              <w:rPr>
                <w:sz w:val="17"/>
                <w:szCs w:val="17"/>
                <w:color w:val="auto"/>
              </w:rPr>
            </w:pPr>
          </w:p>
        </w:tc>
      </w:tr>
      <w:tr>
        <w:trPr>
          <w:trHeight w:val="203"/>
        </w:trPr>
        <w:tc>
          <w:tcPr>
            <w:tcW w:w="9580" w:type="dxa"/>
            <w:vAlign w:val="bottom"/>
          </w:tcPr>
          <w:p>
            <w:pPr>
              <w:spacing w:after="0" w:line="202" w:lineRule="exact"/>
              <w:rPr>
                <w:sz w:val="20"/>
                <w:szCs w:val="20"/>
                <w:color w:val="auto"/>
              </w:rPr>
            </w:pPr>
            <w:r>
              <w:rPr>
                <w:rFonts w:ascii="Arial" w:cs="Arial" w:eastAsia="Arial" w:hAnsi="Arial"/>
                <w:sz w:val="18"/>
                <w:szCs w:val="18"/>
                <w:color w:val="auto"/>
              </w:rPr>
              <w:t>Nasdaq National Market fees</w:t>
            </w: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30" w:type="dxa"/>
            <w:vAlign w:val="bottom"/>
          </w:tcPr>
          <w:p>
            <w:pPr>
              <w:jc w:val="right"/>
              <w:spacing w:after="0" w:line="202" w:lineRule="exact"/>
              <w:rPr>
                <w:sz w:val="20"/>
                <w:szCs w:val="20"/>
                <w:color w:val="auto"/>
              </w:rPr>
            </w:pPr>
            <w:r>
              <w:rPr>
                <w:rFonts w:ascii="Arial" w:cs="Arial" w:eastAsia="Arial" w:hAnsi="Arial"/>
                <w:sz w:val="18"/>
                <w:szCs w:val="18"/>
                <w:color w:val="auto"/>
              </w:rPr>
              <w:t>12,500</w:t>
            </w:r>
          </w:p>
        </w:tc>
        <w:tc>
          <w:tcPr>
            <w:tcW w:w="100" w:type="dxa"/>
            <w:vAlign w:val="bottom"/>
          </w:tcPr>
          <w:p>
            <w:pPr>
              <w:spacing w:after="0"/>
              <w:rPr>
                <w:sz w:val="17"/>
                <w:szCs w:val="17"/>
                <w:color w:val="auto"/>
              </w:rPr>
            </w:pPr>
          </w:p>
        </w:tc>
      </w:tr>
      <w:tr>
        <w:trPr>
          <w:trHeight w:val="203"/>
        </w:trPr>
        <w:tc>
          <w:tcPr>
            <w:tcW w:w="9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E6E6E6"/>
          </w:tcPr>
          <w:p>
            <w:pPr>
              <w:spacing w:after="0"/>
              <w:rPr>
                <w:sz w:val="17"/>
                <w:szCs w:val="17"/>
                <w:color w:val="auto"/>
              </w:rPr>
            </w:pPr>
          </w:p>
        </w:tc>
        <w:tc>
          <w:tcPr>
            <w:tcW w:w="110" w:type="dxa"/>
            <w:vAlign w:val="bottom"/>
            <w:shd w:val="clear" w:color="auto" w:fill="E6E6E6"/>
          </w:tcPr>
          <w:p>
            <w:pPr>
              <w:spacing w:after="0"/>
              <w:rPr>
                <w:sz w:val="17"/>
                <w:szCs w:val="17"/>
                <w:color w:val="auto"/>
              </w:rPr>
            </w:pPr>
          </w:p>
        </w:tc>
        <w:tc>
          <w:tcPr>
            <w:tcW w:w="9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270,000</w:t>
            </w:r>
          </w:p>
        </w:tc>
        <w:tc>
          <w:tcPr>
            <w:tcW w:w="100" w:type="dxa"/>
            <w:vAlign w:val="bottom"/>
            <w:shd w:val="clear" w:color="auto" w:fill="E6E6E6"/>
          </w:tcPr>
          <w:p>
            <w:pPr>
              <w:spacing w:after="0"/>
              <w:rPr>
                <w:sz w:val="17"/>
                <w:szCs w:val="17"/>
                <w:color w:val="auto"/>
              </w:rPr>
            </w:pPr>
          </w:p>
        </w:tc>
      </w:tr>
      <w:tr>
        <w:trPr>
          <w:trHeight w:val="203"/>
        </w:trPr>
        <w:tc>
          <w:tcPr>
            <w:tcW w:w="958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3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7"/>
                <w:szCs w:val="17"/>
                <w:color w:val="auto"/>
              </w:rPr>
            </w:pPr>
          </w:p>
        </w:tc>
      </w:tr>
      <w:tr>
        <w:trPr>
          <w:trHeight w:val="203"/>
        </w:trPr>
        <w:tc>
          <w:tcPr>
            <w:tcW w:w="9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Printing expenses</w:t>
            </w:r>
          </w:p>
        </w:tc>
        <w:tc>
          <w:tcPr>
            <w:tcW w:w="20" w:type="dxa"/>
            <w:vAlign w:val="bottom"/>
            <w:shd w:val="clear" w:color="auto" w:fill="E6E6E6"/>
          </w:tcPr>
          <w:p>
            <w:pPr>
              <w:spacing w:after="0"/>
              <w:rPr>
                <w:sz w:val="17"/>
                <w:szCs w:val="17"/>
                <w:color w:val="auto"/>
              </w:rPr>
            </w:pPr>
          </w:p>
        </w:tc>
        <w:tc>
          <w:tcPr>
            <w:tcW w:w="110" w:type="dxa"/>
            <w:vAlign w:val="bottom"/>
            <w:shd w:val="clear" w:color="auto" w:fill="E6E6E6"/>
          </w:tcPr>
          <w:p>
            <w:pPr>
              <w:spacing w:after="0"/>
              <w:rPr>
                <w:sz w:val="17"/>
                <w:szCs w:val="17"/>
                <w:color w:val="auto"/>
              </w:rPr>
            </w:pPr>
          </w:p>
        </w:tc>
        <w:tc>
          <w:tcPr>
            <w:tcW w:w="9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175,000</w:t>
            </w:r>
          </w:p>
        </w:tc>
        <w:tc>
          <w:tcPr>
            <w:tcW w:w="100" w:type="dxa"/>
            <w:vAlign w:val="bottom"/>
            <w:shd w:val="clear" w:color="auto" w:fill="E6E6E6"/>
          </w:tcPr>
          <w:p>
            <w:pPr>
              <w:spacing w:after="0"/>
              <w:rPr>
                <w:sz w:val="17"/>
                <w:szCs w:val="17"/>
                <w:color w:val="auto"/>
              </w:rPr>
            </w:pPr>
          </w:p>
        </w:tc>
      </w:tr>
      <w:tr>
        <w:trPr>
          <w:trHeight w:val="203"/>
        </w:trPr>
        <w:tc>
          <w:tcPr>
            <w:tcW w:w="9580" w:type="dxa"/>
            <w:vAlign w:val="bottom"/>
          </w:tcPr>
          <w:p>
            <w:pPr>
              <w:spacing w:after="0" w:line="202" w:lineRule="exact"/>
              <w:rPr>
                <w:sz w:val="20"/>
                <w:szCs w:val="20"/>
                <w:color w:val="auto"/>
              </w:rPr>
            </w:pPr>
            <w:r>
              <w:rPr>
                <w:rFonts w:ascii="Arial" w:cs="Arial" w:eastAsia="Arial" w:hAnsi="Arial"/>
                <w:sz w:val="18"/>
                <w:szCs w:val="18"/>
                <w:color w:val="auto"/>
              </w:rPr>
              <w:t>Transfer and Registrar fee</w:t>
            </w: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3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100" w:type="dxa"/>
            <w:vAlign w:val="bottom"/>
          </w:tcPr>
          <w:p>
            <w:pPr>
              <w:spacing w:after="0"/>
              <w:rPr>
                <w:sz w:val="17"/>
                <w:szCs w:val="17"/>
                <w:color w:val="auto"/>
              </w:rPr>
            </w:pPr>
          </w:p>
        </w:tc>
      </w:tr>
      <w:tr>
        <w:trPr>
          <w:trHeight w:val="203"/>
        </w:trPr>
        <w:tc>
          <w:tcPr>
            <w:tcW w:w="9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Miscellaneous</w:t>
            </w:r>
          </w:p>
        </w:tc>
        <w:tc>
          <w:tcPr>
            <w:tcW w:w="20" w:type="dxa"/>
            <w:vAlign w:val="bottom"/>
            <w:shd w:val="clear" w:color="auto" w:fill="E6E6E6"/>
          </w:tcPr>
          <w:p>
            <w:pPr>
              <w:spacing w:after="0"/>
              <w:rPr>
                <w:sz w:val="17"/>
                <w:szCs w:val="17"/>
                <w:color w:val="auto"/>
              </w:rPr>
            </w:pPr>
          </w:p>
        </w:tc>
        <w:tc>
          <w:tcPr>
            <w:tcW w:w="110" w:type="dxa"/>
            <w:vAlign w:val="bottom"/>
            <w:shd w:val="clear" w:color="auto" w:fill="E6E6E6"/>
          </w:tcPr>
          <w:p>
            <w:pPr>
              <w:spacing w:after="0"/>
              <w:rPr>
                <w:sz w:val="17"/>
                <w:szCs w:val="17"/>
                <w:color w:val="auto"/>
              </w:rPr>
            </w:pPr>
          </w:p>
        </w:tc>
        <w:tc>
          <w:tcPr>
            <w:tcW w:w="9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150,000</w:t>
            </w:r>
          </w:p>
        </w:tc>
        <w:tc>
          <w:tcPr>
            <w:tcW w:w="100" w:type="dxa"/>
            <w:vAlign w:val="bottom"/>
            <w:shd w:val="clear" w:color="auto" w:fill="E6E6E6"/>
          </w:tcPr>
          <w:p>
            <w:pPr>
              <w:spacing w:after="0"/>
              <w:rPr>
                <w:sz w:val="17"/>
                <w:szCs w:val="17"/>
                <w:color w:val="auto"/>
              </w:rPr>
            </w:pPr>
          </w:p>
        </w:tc>
      </w:tr>
      <w:tr>
        <w:trPr>
          <w:trHeight w:val="108"/>
        </w:trPr>
        <w:tc>
          <w:tcPr>
            <w:tcW w:w="9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3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9580" w:type="dxa"/>
            <w:vAlign w:val="bottom"/>
          </w:tcPr>
          <w:p>
            <w:pPr>
              <w:ind w:left="160"/>
              <w:spacing w:after="0"/>
              <w:rPr>
                <w:sz w:val="20"/>
                <w:szCs w:val="20"/>
                <w:color w:val="auto"/>
              </w:rPr>
            </w:pPr>
            <w:r>
              <w:rPr>
                <w:rFonts w:ascii="Arial" w:cs="Arial" w:eastAsia="Arial" w:hAnsi="Arial"/>
                <w:sz w:val="18"/>
                <w:szCs w:val="18"/>
                <w:color w:val="auto"/>
              </w:rPr>
              <w:t>Total</w:t>
            </w:r>
          </w:p>
        </w:tc>
        <w:tc>
          <w:tcPr>
            <w:tcW w:w="13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30" w:type="dxa"/>
            <w:vAlign w:val="bottom"/>
          </w:tcPr>
          <w:p>
            <w:pPr>
              <w:jc w:val="right"/>
              <w:spacing w:after="0"/>
              <w:rPr>
                <w:sz w:val="20"/>
                <w:szCs w:val="20"/>
                <w:color w:val="auto"/>
              </w:rPr>
            </w:pPr>
            <w:r>
              <w:rPr>
                <w:rFonts w:ascii="Arial" w:cs="Arial" w:eastAsia="Arial" w:hAnsi="Arial"/>
                <w:sz w:val="18"/>
                <w:szCs w:val="18"/>
                <w:color w:val="auto"/>
              </w:rPr>
              <w:t>770,875</w:t>
            </w:r>
          </w:p>
        </w:tc>
        <w:tc>
          <w:tcPr>
            <w:tcW w:w="100" w:type="dxa"/>
            <w:vAlign w:val="bottom"/>
          </w:tcPr>
          <w:p>
            <w:pPr>
              <w:spacing w:after="0"/>
              <w:rPr>
                <w:sz w:val="24"/>
                <w:szCs w:val="24"/>
                <w:color w:val="auto"/>
              </w:rPr>
            </w:pPr>
          </w:p>
        </w:tc>
      </w:tr>
      <w:tr>
        <w:trPr>
          <w:trHeight w:val="120"/>
        </w:trPr>
        <w:tc>
          <w:tcPr>
            <w:tcW w:w="95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3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ENFORCEABILITY OF CIVIL LIABILITIES PROVISIONS OF FEDERAL</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LAWS AGAINST FOREIGN PERSONS; SHAREHOLDER RIGHTS UNDER IRISH LAW</w:t>
      </w:r>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United States court or State court in the State of New York or County of New York, it would be necessary to obtain an order of the Irish Court. Such order would be granted upon proper proof of such judgment and that such United States or State court had jurisdiction, and the merits of the case would not be considered unless it were contended that the judgment of the United States or State court had been obtained by fraud or was contrary to natural justice as understood in Irish law or was repugnant to public policy of Irish law.</w:t>
      </w:r>
    </w:p>
    <w:p>
      <w:pPr>
        <w:spacing w:after="0" w:line="215" w:lineRule="exact"/>
        <w:rPr>
          <w:sz w:val="20"/>
          <w:szCs w:val="20"/>
          <w:color w:val="auto"/>
        </w:rPr>
      </w:pPr>
    </w:p>
    <w:p>
      <w:pPr>
        <w:ind w:right="240" w:firstLine="488"/>
        <w:spacing w:after="0" w:line="281" w:lineRule="auto"/>
        <w:rPr>
          <w:sz w:val="20"/>
          <w:szCs w:val="20"/>
          <w:color w:val="auto"/>
        </w:rPr>
      </w:pPr>
      <w:r>
        <w:rPr>
          <w:rFonts w:ascii="Arial" w:cs="Arial" w:eastAsia="Arial" w:hAnsi="Arial"/>
          <w:sz w:val="16"/>
          <w:szCs w:val="16"/>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 Officers may also be liable for breach of duty and negligence, and may be held liable to the Company under various provisions of Irish company law.</w:t>
      </w:r>
    </w:p>
    <w:p>
      <w:pPr>
        <w:spacing w:after="0" w:line="178"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Under Irish Law</w:t>
      </w:r>
    </w:p>
    <w:p>
      <w:pPr>
        <w:spacing w:after="0" w:line="234"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attend, and review minutes of, shareholder meetings, but are not entitled to review board or other corporate minutes.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right="260" w:firstLine="488"/>
        <w:spacing w:after="0" w:line="239" w:lineRule="auto"/>
        <w:rPr>
          <w:sz w:val="20"/>
          <w:szCs w:val="20"/>
          <w:color w:val="auto"/>
        </w:rPr>
      </w:pPr>
      <w:r>
        <w:rPr>
          <w:rFonts w:ascii="Arial" w:cs="Arial" w:eastAsia="Arial" w:hAnsi="Arial"/>
          <w:sz w:val="18"/>
          <w:szCs w:val="18"/>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Under Irish law, shareholders holding 10% or more of the Company’s issued and paid up voting shares may call a shareholder meeting.</w:t>
      </w:r>
    </w:p>
    <w:p>
      <w:pPr>
        <w:spacing w:after="0" w:line="212" w:lineRule="exact"/>
        <w:rPr>
          <w:sz w:val="20"/>
          <w:szCs w:val="20"/>
          <w:color w:val="auto"/>
        </w:rPr>
      </w:pPr>
    </w:p>
    <w:p>
      <w:pPr>
        <w:ind w:right="100" w:firstLine="488"/>
        <w:spacing w:after="0" w:line="237" w:lineRule="auto"/>
        <w:rPr>
          <w:sz w:val="20"/>
          <w:szCs w:val="20"/>
          <w:color w:val="auto"/>
        </w:rPr>
      </w:pPr>
      <w:r>
        <w:rPr>
          <w:rFonts w:ascii="Arial" w:cs="Arial" w:eastAsia="Arial" w:hAnsi="Arial"/>
          <w:sz w:val="18"/>
          <w:szCs w:val="18"/>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209" w:lineRule="exact"/>
        <w:rPr>
          <w:sz w:val="20"/>
          <w:szCs w:val="20"/>
          <w:color w:val="auto"/>
        </w:rPr>
      </w:pPr>
    </w:p>
    <w:p>
      <w:pPr>
        <w:ind w:right="240" w:firstLine="488"/>
        <w:spacing w:after="0" w:line="238" w:lineRule="auto"/>
        <w:rPr>
          <w:sz w:val="20"/>
          <w:szCs w:val="20"/>
          <w:color w:val="auto"/>
        </w:rPr>
      </w:pPr>
      <w:r>
        <w:rPr>
          <w:rFonts w:ascii="Arial" w:cs="Arial" w:eastAsia="Arial" w:hAnsi="Arial"/>
          <w:sz w:val="18"/>
          <w:szCs w:val="18"/>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208" w:lineRule="exact"/>
        <w:rPr>
          <w:sz w:val="20"/>
          <w:szCs w:val="20"/>
          <w:color w:val="auto"/>
        </w:rPr>
      </w:pPr>
    </w:p>
    <w:p>
      <w:pPr>
        <w:ind w:firstLine="478"/>
        <w:spacing w:after="0" w:line="237" w:lineRule="auto"/>
        <w:rPr>
          <w:sz w:val="20"/>
          <w:szCs w:val="20"/>
          <w:color w:val="auto"/>
        </w:rPr>
      </w:pPr>
      <w:r>
        <w:rPr>
          <w:rFonts w:ascii="Arial" w:cs="Arial" w:eastAsia="Arial" w:hAnsi="Arial"/>
          <w:sz w:val="18"/>
          <w:szCs w:val="18"/>
          <w:color w:val="auto"/>
        </w:rPr>
        <w:t>All matters relating to the management and control of an Irish company are generally delegated to its board of directors under the company’s constitutional documents, except for those actions which require a vote of the shareholders. ICON’s constitutional documents contain standard provisions delegating management and control to its board of directors. In certain situations, specific authority is delegated to officers, auditors and examiners.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34" w:lineRule="exact"/>
        <w:rPr>
          <w:sz w:val="20"/>
          <w:szCs w:val="20"/>
          <w:color w:val="auto"/>
        </w:rPr>
      </w:pPr>
    </w:p>
    <w:p>
      <w:pPr>
        <w:ind w:right="40" w:firstLine="488"/>
        <w:spacing w:after="0" w:line="275" w:lineRule="auto"/>
        <w:rPr>
          <w:sz w:val="20"/>
          <w:szCs w:val="20"/>
          <w:color w:val="auto"/>
        </w:rPr>
      </w:pPr>
      <w:r>
        <w:rPr>
          <w:rFonts w:ascii="Arial" w:cs="Arial" w:eastAsia="Arial" w:hAnsi="Arial"/>
          <w:sz w:val="16"/>
          <w:szCs w:val="16"/>
          <w:color w:val="auto"/>
        </w:rPr>
        <w:t>We file annual and special reports and other information with the Securities and Exchange Commission, or the Commission. You may read and copy any of our reports, statements or other information at the Commission’s Public Reference Room at 100 F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83" w:lineRule="exact"/>
        <w:rPr>
          <w:sz w:val="20"/>
          <w:szCs w:val="20"/>
          <w:color w:val="auto"/>
        </w:rPr>
      </w:pPr>
    </w:p>
    <w:p>
      <w:pPr>
        <w:ind w:firstLine="488"/>
        <w:spacing w:after="0" w:line="275" w:lineRule="auto"/>
        <w:rPr>
          <w:sz w:val="20"/>
          <w:szCs w:val="20"/>
          <w:color w:val="auto"/>
        </w:rPr>
      </w:pPr>
      <w:r>
        <w:rPr>
          <w:rFonts w:ascii="Arial" w:cs="Arial" w:eastAsia="Arial" w:hAnsi="Arial"/>
          <w:sz w:val="16"/>
          <w:szCs w:val="16"/>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183" w:lineRule="exact"/>
        <w:rPr>
          <w:sz w:val="20"/>
          <w:szCs w:val="20"/>
          <w:color w:val="auto"/>
        </w:rPr>
      </w:pPr>
    </w:p>
    <w:p>
      <w:pPr>
        <w:jc w:val="both"/>
        <w:ind w:right="140" w:firstLine="488"/>
        <w:spacing w:after="0" w:line="238" w:lineRule="auto"/>
        <w:rPr>
          <w:sz w:val="20"/>
          <w:szCs w:val="20"/>
          <w:color w:val="auto"/>
        </w:rPr>
      </w:pPr>
      <w:r>
        <w:rPr>
          <w:rFonts w:ascii="Arial" w:cs="Arial" w:eastAsia="Arial" w:hAnsi="Arial"/>
          <w:sz w:val="18"/>
          <w:szCs w:val="18"/>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34"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209" w:lineRule="exact"/>
        <w:rPr>
          <w:sz w:val="20"/>
          <w:szCs w:val="20"/>
          <w:color w:val="auto"/>
        </w:rPr>
      </w:pPr>
    </w:p>
    <w:p>
      <w:pPr>
        <w:ind w:right="40" w:firstLine="485"/>
        <w:spacing w:after="0" w:line="239" w:lineRule="auto"/>
        <w:rPr>
          <w:sz w:val="20"/>
          <w:szCs w:val="20"/>
          <w:color w:val="auto"/>
        </w:rPr>
      </w:pPr>
      <w:r>
        <w:rPr>
          <w:rFonts w:ascii="Arial" w:cs="Arial" w:eastAsia="Arial" w:hAnsi="Arial"/>
          <w:sz w:val="18"/>
          <w:szCs w:val="18"/>
          <w:color w:val="auto"/>
        </w:rPr>
        <w:t>This prospectus incorporates by reference the following documents that we previously filed with the Commission and any future filings made with the Commission:</w:t>
      </w:r>
    </w:p>
    <w:p>
      <w:pPr>
        <w:spacing w:after="0" w:line="223" w:lineRule="exact"/>
        <w:rPr>
          <w:sz w:val="20"/>
          <w:szCs w:val="20"/>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Transition Report on Form 20-F for the period ended December 31, 2005, filed with the Commission on March 15, 2006;</w:t>
      </w:r>
    </w:p>
    <w:p>
      <w:pPr>
        <w:spacing w:after="0" w:line="144" w:lineRule="exact"/>
        <w:rPr>
          <w:rFonts w:ascii="Arial" w:cs="Arial" w:eastAsia="Arial" w:hAnsi="Arial"/>
          <w:sz w:val="18"/>
          <w:szCs w:val="18"/>
          <w:color w:val="auto"/>
        </w:rPr>
      </w:pPr>
    </w:p>
    <w:p>
      <w:pPr>
        <w:ind w:left="1160" w:right="860" w:hanging="571"/>
        <w:spacing w:after="0" w:line="23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current report on Form 6-K, filed with the Commission on February 3, 2006 (as amended by Form 6-K/A filed with the Commission on April 12, 2006);</w:t>
      </w:r>
    </w:p>
    <w:p>
      <w:pPr>
        <w:spacing w:after="0" w:line="141" w:lineRule="exact"/>
        <w:rPr>
          <w:rFonts w:ascii="Arial" w:cs="Arial" w:eastAsia="Arial" w:hAnsi="Arial"/>
          <w:sz w:val="18"/>
          <w:szCs w:val="18"/>
          <w:color w:val="auto"/>
        </w:rPr>
      </w:pPr>
    </w:p>
    <w:p>
      <w:pPr>
        <w:ind w:left="1160" w:right="360" w:hanging="571"/>
        <w:spacing w:after="0" w:line="23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description of our Ordinary Shares and American Depositary Shares contained on Form 6-K/A filed with the Commission on March 7, 2003;</w:t>
      </w:r>
    </w:p>
    <w:p>
      <w:pPr>
        <w:spacing w:after="0" w:line="141" w:lineRule="exact"/>
        <w:rPr>
          <w:rFonts w:ascii="Arial" w:cs="Arial" w:eastAsia="Arial" w:hAnsi="Arial"/>
          <w:sz w:val="18"/>
          <w:szCs w:val="18"/>
          <w:color w:val="auto"/>
        </w:rPr>
      </w:pPr>
    </w:p>
    <w:p>
      <w:pPr>
        <w:ind w:left="1160" w:right="240" w:hanging="571"/>
        <w:spacing w:after="0" w:line="23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description of our Memorandum and Articles of Association contained on Form 6-K, filed with the Commission on January 31, 2003; and</w:t>
      </w:r>
    </w:p>
    <w:p>
      <w:pPr>
        <w:spacing w:after="0" w:line="141" w:lineRule="exact"/>
        <w:rPr>
          <w:rFonts w:ascii="Arial" w:cs="Arial" w:eastAsia="Arial" w:hAnsi="Arial"/>
          <w:sz w:val="18"/>
          <w:szCs w:val="18"/>
          <w:color w:val="auto"/>
        </w:rPr>
      </w:pPr>
    </w:p>
    <w:p>
      <w:pPr>
        <w:ind w:left="1160" w:right="660" w:hanging="571"/>
        <w:spacing w:after="0" w:line="23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description of our Registration Rights Agreement, dated as of December 12, 1997, contained on Form 6-K, filed with the Commission on January 31, 2003.</w:t>
      </w:r>
    </w:p>
    <w:p>
      <w:pPr>
        <w:spacing w:after="0" w:line="209" w:lineRule="exact"/>
        <w:rPr>
          <w:sz w:val="20"/>
          <w:szCs w:val="20"/>
          <w:color w:val="auto"/>
        </w:rPr>
      </w:pPr>
    </w:p>
    <w:p>
      <w:pPr>
        <w:ind w:right="60" w:firstLine="478"/>
        <w:spacing w:after="0" w:line="237" w:lineRule="auto"/>
        <w:rPr>
          <w:sz w:val="20"/>
          <w:szCs w:val="20"/>
          <w:color w:val="auto"/>
        </w:rPr>
      </w:pPr>
      <w:r>
        <w:rPr>
          <w:rFonts w:ascii="Arial" w:cs="Arial" w:eastAsia="Arial" w:hAnsi="Arial"/>
          <w:sz w:val="18"/>
          <w:szCs w:val="18"/>
          <w:color w:val="auto"/>
        </w:rPr>
        <w:t>All annual reports that we file with the Commission pursuant to the Securities Exchange Act of 1934 on Form 20-F after the date of this prospectus and prior to all ADSs offered by this prospectus being sold shall be deemed to be incorporated by reference into this prospectus and to be part hereof from the date of filing of such documents. We may incorporate by reference any Form 6-K subsequently submitted to the Commission by identifying in such form that it is being incorporated by reference into this prospectus.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You may request a copy of these filings, at no cost, by writing or telephoning us at our principal executive offices at this address: ICON plc,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Attention: Ciaran Murray, Chief Financial Officer, South County Business Park, Leopardstown, Dublin 18, Ireland, (353) 1-291-2000.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Rule 13a - 16 under</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March 31, 2006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ICON plc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name)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0-29714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x  No o</w:t>
      </w:r>
    </w:p>
    <w:p>
      <w:pPr>
        <w:spacing w:after="0" w:line="225" w:lineRule="exact"/>
        <w:rPr>
          <w:sz w:val="20"/>
          <w:szCs w:val="20"/>
          <w:color w:val="auto"/>
        </w:rPr>
      </w:pPr>
    </w:p>
    <w:p>
      <w:pPr>
        <w:ind w:right="3000"/>
        <w:spacing w:after="0" w:line="268" w:lineRule="auto"/>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25" w:lineRule="exact"/>
        <w:rPr>
          <w:sz w:val="20"/>
          <w:szCs w:val="20"/>
          <w:color w:val="auto"/>
        </w:rPr>
      </w:pPr>
    </w:p>
    <w:p>
      <w:pPr>
        <w:ind w:right="3000"/>
        <w:spacing w:after="0" w:line="268" w:lineRule="auto"/>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12g3-2(b):82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jc w:val="both"/>
        <w:ind w:firstLine="436"/>
        <w:spacing w:after="0" w:line="256"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used herein, “ICON”, the “Company” and “we” refer to ICON plc and its consolidated subsidiaries, unless the context requires otherwise.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31"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3,200 employees worldwide, with operations in 41 locations in 27 countries, including the United States and major markets in Europe and Rest of World. For the three months ended March 31, 2006, we derived approximately 61.8%, 31.3%, and 6.9% of our net revenue in the United States, Europe and Rest of World, respectively.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Headquartered in Dublin, Ireland, we began operations in 1990 and have expanded our business through internal growth and strategic acquisitions.</w:t>
      </w:r>
    </w:p>
    <w:p>
      <w:pPr>
        <w:spacing w:after="0" w:line="248"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On July 27, 2005 the Board of Directors of the Company approved a change of the Company’s fiscal year end from a twelve-month period ending on May 31 to a twelve-month period ending on December 31. The Company made this change in order to align its fiscal year end with the majority of other contract research organizations. As a requirement of this change, the Company reported results for the seven-month period from June 1, 2005 to December 31, 2005 as a separate transition period in a Transition Report filed on Form 20-F. From January 1, 2006, the Company’s fiscal quarters will end on the last day of March, June, September and December of each year. Information set out in this report for the current quarter is for the three months ending March 31, 2006. Comparative income statement and cash flow information, together with related notes, is for the three months ending February 28, 2005. Comparative balance sheet information and related notes are stated as at December 31, 2005.</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MARCH 31, 2006 AND DECEMBER 31, 2005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gridSpan w:val="6"/>
          </w:tcPr>
          <w:p>
            <w:pPr>
              <w:jc w:val="right"/>
              <w:ind w:right="65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62,469</w:t>
            </w:r>
          </w:p>
        </w:tc>
        <w:tc>
          <w:tcPr>
            <w:tcW w:w="320" w:type="dxa"/>
            <w:vAlign w:val="bottom"/>
            <w:gridSpan w:val="4"/>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59,509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Short term investments – available for sale</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78,648</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71,450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Unbilled revenue</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6,559</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6,435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Deferred tax asset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Prepayments and other current assets</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12,777</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11,089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248,494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235,116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66,050</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65,731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Non-current deferred tax asset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0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364,458</w:t>
            </w: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06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10,252</w:t>
            </w:r>
          </w:p>
        </w:tc>
        <w:tc>
          <w:tcPr>
            <w:tcW w:w="320" w:type="dxa"/>
            <w:vAlign w:val="bottom"/>
            <w:gridSpan w:val="4"/>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7,575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Payments on account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31,327</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33,184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Bank credit lines and loan facilities</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8,757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106,095</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102,804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Long term government grants</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1,157</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Long term finance leases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Non-current deferred tax liability</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2,627</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Minority interest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080" w:type="dxa"/>
            <w:vAlign w:val="bottom"/>
            <w:gridSpan w:val="3"/>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110,938</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107,509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908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w w:val="89"/>
              </w:rPr>
              <w:t>Ordinary shares, par value 6 euro cents per share; 20,000,000 shares authorized, 14,091,097 shares issued and outstanding</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60" w:type="dxa"/>
            <w:vAlign w:val="bottom"/>
            <w:gridSpan w:val="2"/>
            <w:shd w:val="clear" w:color="auto" w:fill="E6E6E6"/>
          </w:tcPr>
          <w:p>
            <w:pPr>
              <w:ind w:left="300"/>
              <w:spacing w:after="0"/>
              <w:rPr>
                <w:sz w:val="20"/>
                <w:szCs w:val="20"/>
                <w:color w:val="auto"/>
              </w:rPr>
            </w:pPr>
            <w:r>
              <w:rPr>
                <w:rFonts w:ascii="Arial" w:cs="Arial" w:eastAsia="Arial" w:hAnsi="Arial"/>
                <w:sz w:val="18"/>
                <w:szCs w:val="18"/>
                <w:color w:val="auto"/>
              </w:rPr>
              <w:t>at March 31, 2006 and 14,018,092 shares issued and outstanding at December 31, 2005</w:t>
            </w:r>
          </w:p>
        </w:tc>
        <w:tc>
          <w:tcPr>
            <w:tcW w:w="80" w:type="dxa"/>
            <w:vAlign w:val="bottom"/>
            <w:shd w:val="clear" w:color="auto" w:fill="E6E6E6"/>
          </w:tcPr>
          <w:p>
            <w:pPr>
              <w:spacing w:after="0"/>
              <w:rPr>
                <w:sz w:val="19"/>
                <w:szCs w:val="19"/>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998</w:t>
            </w: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126,135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5,023</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40"/>
              <w:spacing w:after="0"/>
              <w:rPr>
                <w:sz w:val="20"/>
                <w:szCs w:val="20"/>
                <w:color w:val="auto"/>
              </w:rPr>
            </w:pPr>
            <w:r>
              <w:rPr>
                <w:rFonts w:ascii="Arial" w:cs="Arial" w:eastAsia="Arial" w:hAnsi="Arial"/>
                <w:sz w:val="18"/>
                <w:szCs w:val="18"/>
                <w:color w:val="auto"/>
              </w:rPr>
              <w:t>Merger reserve</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121,317</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113,776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80" w:type="dxa"/>
            <w:vAlign w:val="bottom"/>
            <w:gridSpan w:val="3"/>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08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253,520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6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gridSpan w:val="3"/>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gridSpan w:val="4"/>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E6E6E6"/>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364,458</w:t>
            </w:r>
          </w:p>
        </w:tc>
        <w:tc>
          <w:tcPr>
            <w:tcW w:w="320" w:type="dxa"/>
            <w:vAlign w:val="bottom"/>
            <w:gridSpan w:val="4"/>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-4163060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-4163060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-4163060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-4163060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-4163060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-4163060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MARCH 31, 2006 AND FEBRUARY 28,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7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3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70" w:type="dxa"/>
            <w:vAlign w:val="bottom"/>
          </w:tcPr>
          <w:p>
            <w:pPr>
              <w:jc w:val="right"/>
              <w:ind w:right="33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7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140"/>
              <w:spacing w:after="0"/>
              <w:rPr>
                <w:sz w:val="20"/>
                <w:szCs w:val="20"/>
                <w:color w:val="auto"/>
              </w:rPr>
            </w:pPr>
            <w:r>
              <w:rPr>
                <w:rFonts w:ascii="Arial" w:cs="Arial" w:eastAsia="Arial" w:hAnsi="Arial"/>
                <w:sz w:val="18"/>
                <w:szCs w:val="18"/>
                <w:color w:val="auto"/>
              </w:rPr>
              <w:t>Gross revenue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140,644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70" w:type="dxa"/>
            <w:vAlign w:val="bottom"/>
          </w:tcPr>
          <w:p>
            <w:pPr>
              <w:jc w:val="right"/>
              <w:spacing w:after="0"/>
              <w:rPr>
                <w:sz w:val="20"/>
                <w:szCs w:val="20"/>
                <w:color w:val="auto"/>
              </w:rPr>
            </w:pPr>
            <w:r>
              <w:rPr>
                <w:rFonts w:ascii="Arial" w:cs="Arial" w:eastAsia="Arial" w:hAnsi="Arial"/>
                <w:sz w:val="18"/>
                <w:szCs w:val="18"/>
                <w:color w:val="auto"/>
              </w:rPr>
              <w:t>113,341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Subcontractor costs</w:t>
            </w:r>
          </w:p>
        </w:tc>
        <w:tc>
          <w:tcPr>
            <w:tcW w:w="120" w:type="dxa"/>
            <w:vAlign w:val="bottom"/>
            <w:shd w:val="clear" w:color="auto" w:fill="E6E6E6"/>
          </w:tcPr>
          <w:p>
            <w:pPr>
              <w:spacing w:after="0"/>
              <w:rPr>
                <w:sz w:val="18"/>
                <w:szCs w:val="18"/>
                <w:color w:val="auto"/>
              </w:rPr>
            </w:pPr>
          </w:p>
        </w:tc>
        <w:tc>
          <w:tcPr>
            <w:tcW w:w="114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(42,149)</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107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(30,486)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7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9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98,495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82,855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7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140"/>
              <w:spacing w:after="0"/>
              <w:rPr>
                <w:sz w:val="20"/>
                <w:szCs w:val="20"/>
                <w:color w:val="auto"/>
              </w:rPr>
            </w:pPr>
            <w:r>
              <w:rPr>
                <w:rFonts w:ascii="Arial" w:cs="Arial" w:eastAsia="Arial" w:hAnsi="Arial"/>
                <w:sz w:val="18"/>
                <w:szCs w:val="18"/>
                <w:color w:val="auto"/>
              </w:rPr>
              <w:t>Direct costs (note 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46,008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Selling, general and administrative (note 4)</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30,280</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27,385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Other charges</w:t>
            </w:r>
          </w:p>
        </w:tc>
        <w:tc>
          <w:tcPr>
            <w:tcW w:w="120" w:type="dxa"/>
            <w:vAlign w:val="bottom"/>
            <w:shd w:val="clear" w:color="auto" w:fill="E6E6E6"/>
          </w:tcPr>
          <w:p>
            <w:pPr>
              <w:spacing w:after="0"/>
              <w:rPr>
                <w:sz w:val="18"/>
                <w:szCs w:val="18"/>
                <w:color w:val="auto"/>
              </w:rPr>
            </w:pPr>
          </w:p>
        </w:tc>
        <w:tc>
          <w:tcPr>
            <w:tcW w:w="1140" w:type="dxa"/>
            <w:vAlign w:val="bottom"/>
            <w:gridSpan w:val="3"/>
            <w:shd w:val="clear" w:color="auto" w:fill="E6E6E6"/>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9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7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960" w:type="dxa"/>
            <w:vAlign w:val="bottom"/>
            <w:gridSpan w:val="3"/>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88,429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88,092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9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7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Income/(loss) from operations</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10,066</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107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E6E6E6"/>
          </w:tcPr>
          <w:p>
            <w:pPr>
              <w:spacing w:after="0"/>
              <w:rPr>
                <w:sz w:val="18"/>
                <w:szCs w:val="18"/>
                <w:color w:val="auto"/>
              </w:rPr>
            </w:pPr>
          </w:p>
        </w:tc>
        <w:tc>
          <w:tcPr>
            <w:tcW w:w="114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(11)</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107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08"/>
        </w:trPr>
        <w:tc>
          <w:tcPr>
            <w:tcW w:w="89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7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960" w:type="dxa"/>
            <w:vAlign w:val="bottom"/>
            <w:gridSpan w:val="3"/>
          </w:tcPr>
          <w:p>
            <w:pPr>
              <w:spacing w:after="0"/>
              <w:rPr>
                <w:sz w:val="20"/>
                <w:szCs w:val="20"/>
                <w:color w:val="auto"/>
              </w:rPr>
            </w:pPr>
            <w:r>
              <w:rPr>
                <w:rFonts w:ascii="Arial" w:cs="Arial" w:eastAsia="Arial" w:hAnsi="Arial"/>
                <w:sz w:val="18"/>
                <w:szCs w:val="18"/>
                <w:color w:val="auto"/>
              </w:rPr>
              <w:t>Income/(loss) before provision for income taxes</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10,713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70" w:type="dxa"/>
            <w:vAlign w:val="bottom"/>
            <w:gridSpan w:val="2"/>
          </w:tcPr>
          <w:p>
            <w:pPr>
              <w:jc w:val="right"/>
              <w:ind w:right="6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E6E6E6"/>
          </w:tcPr>
          <w:p>
            <w:pPr>
              <w:spacing w:after="0"/>
              <w:rPr>
                <w:sz w:val="18"/>
                <w:szCs w:val="18"/>
                <w:color w:val="auto"/>
              </w:rPr>
            </w:pPr>
          </w:p>
        </w:tc>
        <w:tc>
          <w:tcPr>
            <w:tcW w:w="114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(3,130)</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107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7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2"/>
        </w:trPr>
        <w:tc>
          <w:tcPr>
            <w:tcW w:w="89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7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gridSpan w:val="2"/>
          </w:tcPr>
          <w:p>
            <w:pPr>
              <w:spacing w:after="0"/>
              <w:rPr>
                <w:sz w:val="8"/>
                <w:szCs w:val="8"/>
                <w:color w:val="auto"/>
              </w:rPr>
            </w:pPr>
          </w:p>
        </w:tc>
        <w:tc>
          <w:tcPr>
            <w:tcW w:w="9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7,541</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30" w:type="dxa"/>
            <w:vAlign w:val="bottom"/>
            <w:gridSpan w:val="2"/>
            <w:shd w:val="clear" w:color="auto" w:fill="E6E6E6"/>
          </w:tcPr>
          <w:p>
            <w:pPr>
              <w:jc w:val="right"/>
              <w:ind w:right="30"/>
              <w:spacing w:after="0"/>
              <w:rPr>
                <w:sz w:val="20"/>
                <w:szCs w:val="20"/>
                <w:color w:val="auto"/>
              </w:rPr>
            </w:pPr>
            <w:r>
              <w:rPr>
                <w:rFonts w:ascii="Arial" w:cs="Arial" w:eastAsia="Arial" w:hAnsi="Arial"/>
                <w:sz w:val="18"/>
                <w:szCs w:val="18"/>
                <w:color w:val="auto"/>
                <w:w w:val="79"/>
              </w:rPr>
              <w:t>$</w:t>
            </w:r>
          </w:p>
        </w:tc>
        <w:tc>
          <w:tcPr>
            <w:tcW w:w="107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132"/>
        </w:trPr>
        <w:tc>
          <w:tcPr>
            <w:tcW w:w="894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97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8960" w:type="dxa"/>
            <w:vAlign w:val="bottom"/>
            <w:gridSpan w:val="3"/>
          </w:tcPr>
          <w:p>
            <w:pPr>
              <w:spacing w:after="0"/>
              <w:rPr>
                <w:sz w:val="20"/>
                <w:szCs w:val="20"/>
                <w:color w:val="auto"/>
              </w:rPr>
            </w:pPr>
            <w:r>
              <w:rPr>
                <w:rFonts w:ascii="Arial" w:cs="Arial" w:eastAsia="Arial" w:hAnsi="Arial"/>
                <w:sz w:val="18"/>
                <w:szCs w:val="18"/>
                <w:color w:val="auto"/>
              </w:rPr>
              <w:t>Net income/(loss) per ordinary share:</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7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0.54</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30" w:type="dxa"/>
            <w:vAlign w:val="bottom"/>
            <w:gridSpan w:val="2"/>
            <w:shd w:val="clear" w:color="auto" w:fill="E6E6E6"/>
          </w:tcPr>
          <w:p>
            <w:pPr>
              <w:jc w:val="right"/>
              <w:ind w:right="30"/>
              <w:spacing w:after="0"/>
              <w:rPr>
                <w:sz w:val="20"/>
                <w:szCs w:val="20"/>
                <w:color w:val="auto"/>
              </w:rPr>
            </w:pPr>
            <w:r>
              <w:rPr>
                <w:rFonts w:ascii="Arial" w:cs="Arial" w:eastAsia="Arial" w:hAnsi="Arial"/>
                <w:sz w:val="18"/>
                <w:szCs w:val="18"/>
                <w:color w:val="auto"/>
                <w:w w:val="79"/>
              </w:rPr>
              <w:t>$</w:t>
            </w:r>
          </w:p>
        </w:tc>
        <w:tc>
          <w:tcPr>
            <w:tcW w:w="107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40" w:type="dxa"/>
            <w:vAlign w:val="bottom"/>
            <w:gridSpan w:val="2"/>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808080"/>
            </w:tcBorders>
            <w:gridSpan w:val="2"/>
          </w:tcPr>
          <w:p>
            <w:pPr>
              <w:spacing w:after="0"/>
              <w:rPr>
                <w:sz w:val="11"/>
                <w:szCs w:val="11"/>
                <w:color w:val="auto"/>
              </w:rPr>
            </w:pPr>
          </w:p>
        </w:tc>
        <w:tc>
          <w:tcPr>
            <w:tcW w:w="97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94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7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34"/>
        </w:trPr>
        <w:tc>
          <w:tcPr>
            <w:tcW w:w="8960" w:type="dxa"/>
            <w:vAlign w:val="bottom"/>
            <w:gridSpan w:val="3"/>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97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7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14,042,017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13,866,236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9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7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E6E6E6"/>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9"/>
              </w:rPr>
              <w:t>14,109,534</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14,077,910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97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-1504315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-1504315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-1504315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-1504315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-1504315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-1504315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-1066800</wp:posOffset>
            </wp:positionV>
            <wp:extent cx="152209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2209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-766445</wp:posOffset>
            </wp:positionV>
            <wp:extent cx="152209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2209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-329565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-329565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-329565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-329565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-329565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-329565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MONTHS ENDED MARCH 31, 2006 AND FEBRUARY 28, 2005</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2195"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125" w:type="dxa"/>
            <w:vAlign w:val="bottom"/>
          </w:tcPr>
          <w:p>
            <w:pPr>
              <w:spacing w:after="0"/>
              <w:rPr>
                <w:sz w:val="12"/>
                <w:szCs w:val="12"/>
                <w:color w:val="auto"/>
              </w:rPr>
            </w:pPr>
          </w:p>
        </w:tc>
        <w:tc>
          <w:tcPr>
            <w:tcW w:w="1135"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February 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815" w:type="dxa"/>
            <w:vAlign w:val="bottom"/>
          </w:tcPr>
          <w:p>
            <w:pPr>
              <w:jc w:val="right"/>
              <w:ind w:right="255"/>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815"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8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2195"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5" w:type="dxa"/>
            <w:vAlign w:val="bottom"/>
            <w:shd w:val="clear" w:color="auto" w:fill="E6E6E6"/>
          </w:tcPr>
          <w:p>
            <w:pPr>
              <w:spacing w:after="0"/>
              <w:rPr>
                <w:sz w:val="18"/>
                <w:szCs w:val="18"/>
                <w:color w:val="auto"/>
              </w:rPr>
            </w:pPr>
          </w:p>
        </w:tc>
        <w:tc>
          <w:tcPr>
            <w:tcW w:w="815"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income/(loss)</w:t>
            </w: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15" w:type="dxa"/>
            <w:vAlign w:val="bottom"/>
          </w:tcPr>
          <w:p>
            <w:pPr>
              <w:jc w:val="right"/>
              <w:spacing w:after="0"/>
              <w:rPr>
                <w:sz w:val="20"/>
                <w:szCs w:val="20"/>
                <w:color w:val="auto"/>
              </w:rPr>
            </w:pPr>
            <w:r>
              <w:rPr>
                <w:rFonts w:ascii="Arial" w:cs="Arial" w:eastAsia="Arial" w:hAnsi="Arial"/>
                <w:sz w:val="18"/>
                <w:szCs w:val="18"/>
                <w:color w:val="auto"/>
              </w:rPr>
              <w:t>7,541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5" w:type="dxa"/>
            <w:vAlign w:val="bottom"/>
            <w:shd w:val="clear" w:color="auto" w:fill="E6E6E6"/>
          </w:tcPr>
          <w:p>
            <w:pPr>
              <w:spacing w:after="0"/>
              <w:rPr>
                <w:sz w:val="18"/>
                <w:szCs w:val="18"/>
                <w:color w:val="auto"/>
              </w:rPr>
            </w:pPr>
          </w:p>
        </w:tc>
        <w:tc>
          <w:tcPr>
            <w:tcW w:w="815"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Loss on disposal of property, plant and equipment</w:t>
            </w:r>
          </w:p>
        </w:tc>
        <w:tc>
          <w:tcPr>
            <w:tcW w:w="125" w:type="dxa"/>
            <w:vAlign w:val="bottom"/>
          </w:tcPr>
          <w:p>
            <w:pPr>
              <w:spacing w:after="0"/>
              <w:rPr>
                <w:sz w:val="18"/>
                <w:szCs w:val="18"/>
                <w:color w:val="auto"/>
              </w:rPr>
            </w:pPr>
          </w:p>
        </w:tc>
        <w:tc>
          <w:tcPr>
            <w:tcW w:w="1135"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Depreciation and amortization</w:t>
            </w:r>
          </w:p>
        </w:tc>
        <w:tc>
          <w:tcPr>
            <w:tcW w:w="125" w:type="dxa"/>
            <w:vAlign w:val="bottom"/>
            <w:shd w:val="clear" w:color="auto" w:fill="E6E6E6"/>
          </w:tcPr>
          <w:p>
            <w:pPr>
              <w:spacing w:after="0"/>
              <w:rPr>
                <w:sz w:val="18"/>
                <w:szCs w:val="18"/>
                <w:color w:val="auto"/>
              </w:rPr>
            </w:pPr>
          </w:p>
        </w:tc>
        <w:tc>
          <w:tcPr>
            <w:tcW w:w="815"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3,445</w:t>
            </w: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3,424</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Amortization of grants</w:t>
            </w:r>
          </w:p>
        </w:tc>
        <w:tc>
          <w:tcPr>
            <w:tcW w:w="125" w:type="dxa"/>
            <w:vAlign w:val="bottom"/>
          </w:tcPr>
          <w:p>
            <w:pPr>
              <w:spacing w:after="0"/>
              <w:rPr>
                <w:sz w:val="18"/>
                <w:szCs w:val="18"/>
                <w:color w:val="auto"/>
              </w:rPr>
            </w:pPr>
          </w:p>
        </w:tc>
        <w:tc>
          <w:tcPr>
            <w:tcW w:w="1135"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Non-cash stock compensation expense</w:t>
            </w:r>
          </w:p>
        </w:tc>
        <w:tc>
          <w:tcPr>
            <w:tcW w:w="125" w:type="dxa"/>
            <w:vAlign w:val="bottom"/>
            <w:shd w:val="clear" w:color="auto" w:fill="E6E6E6"/>
          </w:tcPr>
          <w:p>
            <w:pPr>
              <w:spacing w:after="0"/>
              <w:rPr>
                <w:sz w:val="18"/>
                <w:szCs w:val="18"/>
                <w:color w:val="auto"/>
              </w:rPr>
            </w:pPr>
          </w:p>
        </w:tc>
        <w:tc>
          <w:tcPr>
            <w:tcW w:w="815" w:type="dxa"/>
            <w:vAlign w:val="bottom"/>
            <w:shd w:val="clear" w:color="auto" w:fill="E6E6E6"/>
          </w:tcPr>
          <w:p>
            <w:pPr>
              <w:jc w:val="right"/>
              <w:spacing w:after="0"/>
              <w:rPr>
                <w:sz w:val="20"/>
                <w:szCs w:val="20"/>
                <w:color w:val="auto"/>
              </w:rPr>
            </w:pPr>
            <w:r>
              <w:rPr>
                <w:rFonts w:ascii="Arial" w:cs="Arial" w:eastAsia="Arial" w:hAnsi="Arial"/>
                <w:sz w:val="18"/>
                <w:szCs w:val="18"/>
                <w:color w:val="auto"/>
              </w:rPr>
              <w:t>930</w:t>
            </w: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Deferred taxes</w:t>
            </w:r>
          </w:p>
        </w:tc>
        <w:tc>
          <w:tcPr>
            <w:tcW w:w="125" w:type="dxa"/>
            <w:vAlign w:val="bottom"/>
          </w:tcPr>
          <w:p>
            <w:pPr>
              <w:spacing w:after="0"/>
              <w:rPr>
                <w:sz w:val="18"/>
                <w:szCs w:val="18"/>
                <w:color w:val="auto"/>
              </w:rPr>
            </w:pPr>
          </w:p>
        </w:tc>
        <w:tc>
          <w:tcPr>
            <w:tcW w:w="1135"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Minority interest</w:t>
            </w:r>
          </w:p>
        </w:tc>
        <w:tc>
          <w:tcPr>
            <w:tcW w:w="125" w:type="dxa"/>
            <w:vAlign w:val="bottom"/>
            <w:shd w:val="clear" w:color="auto" w:fill="E6E6E6"/>
          </w:tcPr>
          <w:p>
            <w:pPr>
              <w:spacing w:after="0"/>
              <w:rPr>
                <w:sz w:val="18"/>
                <w:szCs w:val="18"/>
                <w:color w:val="auto"/>
              </w:rPr>
            </w:pPr>
          </w:p>
        </w:tc>
        <w:tc>
          <w:tcPr>
            <w:tcW w:w="815"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Other Charges</w:t>
            </w:r>
          </w:p>
        </w:tc>
        <w:tc>
          <w:tcPr>
            <w:tcW w:w="125" w:type="dxa"/>
            <w:vAlign w:val="bottom"/>
          </w:tcPr>
          <w:p>
            <w:pPr>
              <w:spacing w:after="0"/>
              <w:rPr>
                <w:sz w:val="18"/>
                <w:szCs w:val="18"/>
                <w:color w:val="auto"/>
              </w:rPr>
            </w:pPr>
          </w:p>
        </w:tc>
        <w:tc>
          <w:tcPr>
            <w:tcW w:w="1135"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color w:val="auto"/>
              </w:rPr>
              <w:t>Changes in assets and liabilities:</w:t>
            </w:r>
          </w:p>
        </w:tc>
        <w:tc>
          <w:tcPr>
            <w:tcW w:w="125" w:type="dxa"/>
            <w:vAlign w:val="bottom"/>
            <w:shd w:val="clear" w:color="auto" w:fill="E6E6E6"/>
          </w:tcPr>
          <w:p>
            <w:pPr>
              <w:spacing w:after="0"/>
              <w:rPr>
                <w:sz w:val="18"/>
                <w:szCs w:val="18"/>
                <w:color w:val="auto"/>
              </w:rPr>
            </w:pPr>
          </w:p>
        </w:tc>
        <w:tc>
          <w:tcPr>
            <w:tcW w:w="815"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(Increase)/decrease in accounts receivable</w:t>
            </w:r>
          </w:p>
        </w:tc>
        <w:tc>
          <w:tcPr>
            <w:tcW w:w="125" w:type="dxa"/>
            <w:vAlign w:val="bottom"/>
          </w:tcPr>
          <w:p>
            <w:pPr>
              <w:spacing w:after="0"/>
              <w:rPr>
                <w:sz w:val="18"/>
                <w:szCs w:val="18"/>
                <w:color w:val="auto"/>
              </w:rPr>
            </w:pPr>
          </w:p>
        </w:tc>
        <w:tc>
          <w:tcPr>
            <w:tcW w:w="1135" w:type="dxa"/>
            <w:vAlign w:val="bottom"/>
            <w:gridSpan w:val="2"/>
          </w:tcPr>
          <w:p>
            <w:pPr>
              <w:jc w:val="right"/>
              <w:ind w:right="280"/>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 in unbilled revenue</w:t>
            </w:r>
          </w:p>
        </w:tc>
        <w:tc>
          <w:tcPr>
            <w:tcW w:w="125" w:type="dxa"/>
            <w:vAlign w:val="bottom"/>
            <w:shd w:val="clear" w:color="auto" w:fill="E6E6E6"/>
          </w:tcPr>
          <w:p>
            <w:pPr>
              <w:spacing w:after="0"/>
              <w:rPr>
                <w:sz w:val="18"/>
                <w:szCs w:val="18"/>
                <w:color w:val="auto"/>
              </w:rPr>
            </w:pPr>
          </w:p>
        </w:tc>
        <w:tc>
          <w:tcPr>
            <w:tcW w:w="1135"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E6E6E6"/>
          </w:tcPr>
          <w:p>
            <w:pPr>
              <w:spacing w:after="0"/>
              <w:rPr>
                <w:sz w:val="18"/>
                <w:szCs w:val="18"/>
                <w:color w:val="auto"/>
              </w:rPr>
            </w:pPr>
          </w:p>
        </w:tc>
        <w:tc>
          <w:tcPr>
            <w:tcW w:w="9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(11,141)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Decrease/(increase) in other receivables</w:t>
            </w:r>
          </w:p>
        </w:tc>
        <w:tc>
          <w:tcPr>
            <w:tcW w:w="125" w:type="dxa"/>
            <w:vAlign w:val="bottom"/>
          </w:tcPr>
          <w:p>
            <w:pPr>
              <w:spacing w:after="0"/>
              <w:rPr>
                <w:sz w:val="18"/>
                <w:szCs w:val="18"/>
                <w:color w:val="auto"/>
              </w:rPr>
            </w:pPr>
          </w:p>
        </w:tc>
        <w:tc>
          <w:tcPr>
            <w:tcW w:w="815" w:type="dxa"/>
            <w:vAlign w:val="bottom"/>
          </w:tcPr>
          <w:p>
            <w:pPr>
              <w:jc w:val="right"/>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 in prepayments and other current assets</w:t>
            </w:r>
          </w:p>
        </w:tc>
        <w:tc>
          <w:tcPr>
            <w:tcW w:w="125" w:type="dxa"/>
            <w:vAlign w:val="bottom"/>
            <w:shd w:val="clear" w:color="auto" w:fill="E6E6E6"/>
          </w:tcPr>
          <w:p>
            <w:pPr>
              <w:spacing w:after="0"/>
              <w:rPr>
                <w:sz w:val="18"/>
                <w:szCs w:val="18"/>
                <w:color w:val="auto"/>
              </w:rPr>
            </w:pPr>
          </w:p>
        </w:tc>
        <w:tc>
          <w:tcPr>
            <w:tcW w:w="1135"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E6E6E6"/>
          </w:tcPr>
          <w:p>
            <w:pPr>
              <w:spacing w:after="0"/>
              <w:rPr>
                <w:sz w:val="18"/>
                <w:szCs w:val="18"/>
                <w:color w:val="auto"/>
              </w:rPr>
            </w:pPr>
          </w:p>
        </w:tc>
        <w:tc>
          <w:tcPr>
            <w:tcW w:w="9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Increase in payments on account</w:t>
            </w:r>
          </w:p>
        </w:tc>
        <w:tc>
          <w:tcPr>
            <w:tcW w:w="125" w:type="dxa"/>
            <w:vAlign w:val="bottom"/>
          </w:tcPr>
          <w:p>
            <w:pPr>
              <w:spacing w:after="0"/>
              <w:rPr>
                <w:sz w:val="18"/>
                <w:szCs w:val="18"/>
                <w:color w:val="auto"/>
              </w:rPr>
            </w:pPr>
          </w:p>
        </w:tc>
        <w:tc>
          <w:tcPr>
            <w:tcW w:w="815" w:type="dxa"/>
            <w:vAlign w:val="bottom"/>
          </w:tcPr>
          <w:p>
            <w:pPr>
              <w:jc w:val="right"/>
              <w:spacing w:after="0"/>
              <w:rPr>
                <w:sz w:val="20"/>
                <w:szCs w:val="20"/>
                <w:color w:val="auto"/>
              </w:rPr>
            </w:pPr>
            <w:r>
              <w:rPr>
                <w:rFonts w:ascii="Arial" w:cs="Arial" w:eastAsia="Arial" w:hAnsi="Arial"/>
                <w:sz w:val="18"/>
                <w:szCs w:val="18"/>
                <w:color w:val="auto"/>
              </w:rPr>
              <w:t>4,832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(Decrease)/increase in other liabilities</w:t>
            </w:r>
          </w:p>
        </w:tc>
        <w:tc>
          <w:tcPr>
            <w:tcW w:w="125" w:type="dxa"/>
            <w:vAlign w:val="bottom"/>
            <w:shd w:val="clear" w:color="auto" w:fill="E6E6E6"/>
          </w:tcPr>
          <w:p>
            <w:pPr>
              <w:spacing w:after="0"/>
              <w:rPr>
                <w:sz w:val="18"/>
                <w:szCs w:val="18"/>
                <w:color w:val="auto"/>
              </w:rPr>
            </w:pPr>
          </w:p>
        </w:tc>
        <w:tc>
          <w:tcPr>
            <w:tcW w:w="1135"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Increase/(decrease) in income taxes payable</w:t>
            </w:r>
          </w:p>
        </w:tc>
        <w:tc>
          <w:tcPr>
            <w:tcW w:w="125" w:type="dxa"/>
            <w:vAlign w:val="bottom"/>
          </w:tcPr>
          <w:p>
            <w:pPr>
              <w:spacing w:after="0"/>
              <w:rPr>
                <w:sz w:val="18"/>
                <w:szCs w:val="18"/>
                <w:color w:val="auto"/>
              </w:rPr>
            </w:pPr>
          </w:p>
        </w:tc>
        <w:tc>
          <w:tcPr>
            <w:tcW w:w="815" w:type="dxa"/>
            <w:vAlign w:val="bottom"/>
          </w:tcPr>
          <w:p>
            <w:pPr>
              <w:jc w:val="right"/>
              <w:spacing w:after="0"/>
              <w:rPr>
                <w:sz w:val="20"/>
                <w:szCs w:val="20"/>
                <w:color w:val="auto"/>
              </w:rPr>
            </w:pPr>
            <w:r>
              <w:rPr>
                <w:rFonts w:ascii="Arial" w:cs="Arial" w:eastAsia="Arial" w:hAnsi="Arial"/>
                <w:sz w:val="18"/>
                <w:szCs w:val="18"/>
                <w:color w:val="auto"/>
              </w:rPr>
              <w:t>2,380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 in accounts payable</w:t>
            </w:r>
          </w:p>
        </w:tc>
        <w:tc>
          <w:tcPr>
            <w:tcW w:w="125" w:type="dxa"/>
            <w:vAlign w:val="bottom"/>
            <w:shd w:val="clear" w:color="auto" w:fill="E6E6E6"/>
          </w:tcPr>
          <w:p>
            <w:pPr>
              <w:spacing w:after="0"/>
              <w:rPr>
                <w:sz w:val="18"/>
                <w:szCs w:val="18"/>
                <w:color w:val="auto"/>
              </w:rPr>
            </w:pPr>
          </w:p>
        </w:tc>
        <w:tc>
          <w:tcPr>
            <w:tcW w:w="815"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2,639</w:t>
            </w: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25" w:type="dxa"/>
            <w:vAlign w:val="bottom"/>
            <w:tcBorders>
              <w:bottom w:val="single" w:sz="8" w:color="808080"/>
            </w:tcBorders>
          </w:tcPr>
          <w:p>
            <w:pPr>
              <w:spacing w:after="0"/>
              <w:rPr>
                <w:sz w:val="9"/>
                <w:szCs w:val="9"/>
                <w:color w:val="auto"/>
              </w:rPr>
            </w:pPr>
          </w:p>
        </w:tc>
        <w:tc>
          <w:tcPr>
            <w:tcW w:w="815"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1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5" w:type="dxa"/>
            <w:vAlign w:val="bottom"/>
          </w:tcPr>
          <w:p>
            <w:pPr>
              <w:spacing w:after="0"/>
              <w:rPr>
                <w:sz w:val="24"/>
                <w:szCs w:val="24"/>
                <w:color w:val="auto"/>
              </w:rPr>
            </w:pPr>
          </w:p>
        </w:tc>
        <w:tc>
          <w:tcPr>
            <w:tcW w:w="815" w:type="dxa"/>
            <w:vAlign w:val="bottom"/>
          </w:tcPr>
          <w:p>
            <w:pPr>
              <w:jc w:val="right"/>
              <w:spacing w:after="0"/>
              <w:rPr>
                <w:sz w:val="20"/>
                <w:szCs w:val="20"/>
                <w:color w:val="auto"/>
              </w:rPr>
            </w:pPr>
            <w:r>
              <w:rPr>
                <w:rFonts w:ascii="Arial" w:cs="Arial" w:eastAsia="Arial" w:hAnsi="Arial"/>
                <w:sz w:val="18"/>
                <w:szCs w:val="18"/>
                <w:color w:val="auto"/>
              </w:rPr>
              <w:t>10,544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12,610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9080" w:type="dxa"/>
            <w:vAlign w:val="bottom"/>
          </w:tcPr>
          <w:p>
            <w:pPr>
              <w:spacing w:after="0"/>
              <w:rPr>
                <w:sz w:val="13"/>
                <w:szCs w:val="13"/>
                <w:color w:val="auto"/>
              </w:rPr>
            </w:pPr>
          </w:p>
        </w:tc>
        <w:tc>
          <w:tcPr>
            <w:tcW w:w="125" w:type="dxa"/>
            <w:vAlign w:val="bottom"/>
          </w:tcPr>
          <w:p>
            <w:pPr>
              <w:spacing w:after="0"/>
              <w:rPr>
                <w:sz w:val="13"/>
                <w:szCs w:val="13"/>
                <w:color w:val="auto"/>
              </w:rPr>
            </w:pPr>
          </w:p>
        </w:tc>
        <w:tc>
          <w:tcPr>
            <w:tcW w:w="815"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5" w:type="dxa"/>
            <w:vAlign w:val="bottom"/>
            <w:shd w:val="clear" w:color="auto" w:fill="E6E6E6"/>
          </w:tcPr>
          <w:p>
            <w:pPr>
              <w:spacing w:after="0"/>
              <w:rPr>
                <w:sz w:val="18"/>
                <w:szCs w:val="18"/>
                <w:color w:val="auto"/>
              </w:rPr>
            </w:pPr>
          </w:p>
        </w:tc>
        <w:tc>
          <w:tcPr>
            <w:tcW w:w="815"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Purchase of property, plant and equipment</w:t>
            </w:r>
          </w:p>
        </w:tc>
        <w:tc>
          <w:tcPr>
            <w:tcW w:w="125" w:type="dxa"/>
            <w:vAlign w:val="bottom"/>
          </w:tcPr>
          <w:p>
            <w:pPr>
              <w:spacing w:after="0"/>
              <w:rPr>
                <w:sz w:val="18"/>
                <w:szCs w:val="18"/>
                <w:color w:val="auto"/>
              </w:rPr>
            </w:pPr>
          </w:p>
        </w:tc>
        <w:tc>
          <w:tcPr>
            <w:tcW w:w="1135" w:type="dxa"/>
            <w:vAlign w:val="bottom"/>
            <w:gridSpan w:val="2"/>
          </w:tcPr>
          <w:p>
            <w:pPr>
              <w:jc w:val="right"/>
              <w:ind w:right="280"/>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Purchase of intangible asset</w:t>
            </w:r>
          </w:p>
        </w:tc>
        <w:tc>
          <w:tcPr>
            <w:tcW w:w="125" w:type="dxa"/>
            <w:vAlign w:val="bottom"/>
            <w:shd w:val="clear" w:color="auto" w:fill="E6E6E6"/>
          </w:tcPr>
          <w:p>
            <w:pPr>
              <w:spacing w:after="0"/>
              <w:rPr>
                <w:sz w:val="18"/>
                <w:szCs w:val="18"/>
                <w:color w:val="auto"/>
              </w:rPr>
            </w:pPr>
          </w:p>
        </w:tc>
        <w:tc>
          <w:tcPr>
            <w:tcW w:w="1135" w:type="dxa"/>
            <w:vAlign w:val="bottom"/>
            <w:gridSpan w:val="2"/>
            <w:shd w:val="clear" w:color="auto" w:fill="E6E6E6"/>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9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Purchase of subsidiary undertakings and acquisition costs</w:t>
            </w:r>
          </w:p>
        </w:tc>
        <w:tc>
          <w:tcPr>
            <w:tcW w:w="125" w:type="dxa"/>
            <w:vAlign w:val="bottom"/>
          </w:tcPr>
          <w:p>
            <w:pPr>
              <w:spacing w:after="0"/>
              <w:rPr>
                <w:sz w:val="18"/>
                <w:szCs w:val="18"/>
                <w:color w:val="auto"/>
              </w:rPr>
            </w:pPr>
          </w:p>
        </w:tc>
        <w:tc>
          <w:tcPr>
            <w:tcW w:w="1135"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Deferred payments in respect of historical acquisitions</w:t>
            </w:r>
          </w:p>
        </w:tc>
        <w:tc>
          <w:tcPr>
            <w:tcW w:w="125" w:type="dxa"/>
            <w:vAlign w:val="bottom"/>
            <w:shd w:val="clear" w:color="auto" w:fill="E6E6E6"/>
          </w:tcPr>
          <w:p>
            <w:pPr>
              <w:spacing w:after="0"/>
              <w:rPr>
                <w:sz w:val="18"/>
                <w:szCs w:val="18"/>
                <w:color w:val="auto"/>
              </w:rPr>
            </w:pPr>
          </w:p>
        </w:tc>
        <w:tc>
          <w:tcPr>
            <w:tcW w:w="1135" w:type="dxa"/>
            <w:vAlign w:val="bottom"/>
            <w:gridSpan w:val="2"/>
            <w:shd w:val="clear" w:color="auto" w:fill="E6E6E6"/>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9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5" w:type="dxa"/>
            <w:vAlign w:val="bottom"/>
          </w:tcPr>
          <w:p>
            <w:pPr>
              <w:spacing w:after="0"/>
              <w:rPr>
                <w:sz w:val="19"/>
                <w:szCs w:val="19"/>
                <w:color w:val="auto"/>
              </w:rPr>
            </w:pPr>
          </w:p>
        </w:tc>
        <w:tc>
          <w:tcPr>
            <w:tcW w:w="1135" w:type="dxa"/>
            <w:vAlign w:val="bottom"/>
            <w:gridSpan w:val="2"/>
          </w:tcPr>
          <w:p>
            <w:pPr>
              <w:jc w:val="right"/>
              <w:ind w:right="280"/>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080" w:type="dxa"/>
            <w:vAlign w:val="bottom"/>
          </w:tcPr>
          <w:p>
            <w:pPr>
              <w:spacing w:after="0"/>
              <w:rPr>
                <w:sz w:val="12"/>
                <w:szCs w:val="12"/>
                <w:color w:val="auto"/>
              </w:rPr>
            </w:pPr>
          </w:p>
        </w:tc>
        <w:tc>
          <w:tcPr>
            <w:tcW w:w="125" w:type="dxa"/>
            <w:vAlign w:val="bottom"/>
          </w:tcPr>
          <w:p>
            <w:pPr>
              <w:spacing w:after="0"/>
              <w:rPr>
                <w:sz w:val="12"/>
                <w:szCs w:val="12"/>
                <w:color w:val="auto"/>
              </w:rPr>
            </w:pPr>
          </w:p>
        </w:tc>
        <w:tc>
          <w:tcPr>
            <w:tcW w:w="815"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5" w:type="dxa"/>
            <w:vAlign w:val="bottom"/>
            <w:shd w:val="clear" w:color="auto" w:fill="E6E6E6"/>
          </w:tcPr>
          <w:p>
            <w:pPr>
              <w:spacing w:after="0"/>
              <w:rPr>
                <w:sz w:val="18"/>
                <w:szCs w:val="18"/>
                <w:color w:val="auto"/>
              </w:rPr>
            </w:pPr>
          </w:p>
        </w:tc>
        <w:tc>
          <w:tcPr>
            <w:tcW w:w="815"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Repayment of bank overdraft</w:t>
            </w:r>
          </w:p>
        </w:tc>
        <w:tc>
          <w:tcPr>
            <w:tcW w:w="125" w:type="dxa"/>
            <w:vAlign w:val="bottom"/>
          </w:tcPr>
          <w:p>
            <w:pPr>
              <w:spacing w:after="0"/>
              <w:rPr>
                <w:sz w:val="18"/>
                <w:szCs w:val="18"/>
                <w:color w:val="auto"/>
              </w:rPr>
            </w:pPr>
          </w:p>
        </w:tc>
        <w:tc>
          <w:tcPr>
            <w:tcW w:w="1135" w:type="dxa"/>
            <w:vAlign w:val="bottom"/>
            <w:gridSpan w:val="2"/>
          </w:tcPr>
          <w:p>
            <w:pPr>
              <w:jc w:val="right"/>
              <w:ind w:right="280"/>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Proceeds from exercise of share options</w:t>
            </w:r>
          </w:p>
        </w:tc>
        <w:tc>
          <w:tcPr>
            <w:tcW w:w="125" w:type="dxa"/>
            <w:vAlign w:val="bottom"/>
            <w:shd w:val="clear" w:color="auto" w:fill="E6E6E6"/>
          </w:tcPr>
          <w:p>
            <w:pPr>
              <w:spacing w:after="0"/>
              <w:rPr>
                <w:sz w:val="18"/>
                <w:szCs w:val="18"/>
                <w:color w:val="auto"/>
              </w:rPr>
            </w:pPr>
          </w:p>
        </w:tc>
        <w:tc>
          <w:tcPr>
            <w:tcW w:w="815"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1,882</w:t>
            </w: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Share issuance costs</w:t>
            </w:r>
          </w:p>
        </w:tc>
        <w:tc>
          <w:tcPr>
            <w:tcW w:w="125" w:type="dxa"/>
            <w:vAlign w:val="bottom"/>
          </w:tcPr>
          <w:p>
            <w:pPr>
              <w:spacing w:after="0"/>
              <w:rPr>
                <w:sz w:val="18"/>
                <w:szCs w:val="18"/>
                <w:color w:val="auto"/>
              </w:rPr>
            </w:pPr>
          </w:p>
        </w:tc>
        <w:tc>
          <w:tcPr>
            <w:tcW w:w="1135"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Repayment of other liabilities</w:t>
            </w:r>
          </w:p>
        </w:tc>
        <w:tc>
          <w:tcPr>
            <w:tcW w:w="125" w:type="dxa"/>
            <w:vAlign w:val="bottom"/>
            <w:shd w:val="clear" w:color="auto" w:fill="E6E6E6"/>
          </w:tcPr>
          <w:p>
            <w:pPr>
              <w:spacing w:after="0"/>
              <w:rPr>
                <w:sz w:val="18"/>
                <w:szCs w:val="18"/>
                <w:color w:val="auto"/>
              </w:rPr>
            </w:pPr>
          </w:p>
        </w:tc>
        <w:tc>
          <w:tcPr>
            <w:tcW w:w="1135"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25" w:type="dxa"/>
            <w:vAlign w:val="bottom"/>
            <w:tcBorders>
              <w:bottom w:val="single" w:sz="8" w:color="808080"/>
            </w:tcBorders>
          </w:tcPr>
          <w:p>
            <w:pPr>
              <w:spacing w:after="0"/>
              <w:rPr>
                <w:sz w:val="9"/>
                <w:szCs w:val="9"/>
                <w:color w:val="auto"/>
              </w:rPr>
            </w:pPr>
          </w:p>
        </w:tc>
        <w:tc>
          <w:tcPr>
            <w:tcW w:w="815"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1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25" w:type="dxa"/>
            <w:vAlign w:val="bottom"/>
          </w:tcPr>
          <w:p>
            <w:pPr>
              <w:spacing w:after="0"/>
              <w:rPr>
                <w:sz w:val="24"/>
                <w:szCs w:val="24"/>
                <w:color w:val="auto"/>
              </w:rPr>
            </w:pPr>
          </w:p>
        </w:tc>
        <w:tc>
          <w:tcPr>
            <w:tcW w:w="1135" w:type="dxa"/>
            <w:vAlign w:val="bottom"/>
            <w:gridSpan w:val="2"/>
          </w:tcPr>
          <w:p>
            <w:pPr>
              <w:jc w:val="right"/>
              <w:ind w:right="280"/>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color w:val="auto"/>
              </w:rPr>
              <w:t>Effect of exchange rate movements on cash</w:t>
            </w:r>
          </w:p>
        </w:tc>
        <w:tc>
          <w:tcPr>
            <w:tcW w:w="125" w:type="dxa"/>
            <w:vAlign w:val="bottom"/>
            <w:shd w:val="clear" w:color="auto" w:fill="E6E6E6"/>
          </w:tcPr>
          <w:p>
            <w:pPr>
              <w:spacing w:after="0"/>
              <w:rPr>
                <w:sz w:val="18"/>
                <w:szCs w:val="18"/>
                <w:color w:val="auto"/>
              </w:rPr>
            </w:pPr>
          </w:p>
        </w:tc>
        <w:tc>
          <w:tcPr>
            <w:tcW w:w="1135"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25" w:type="dxa"/>
            <w:vAlign w:val="bottom"/>
            <w:tcBorders>
              <w:bottom w:val="single" w:sz="8" w:color="808080"/>
            </w:tcBorders>
          </w:tcPr>
          <w:p>
            <w:pPr>
              <w:spacing w:after="0"/>
              <w:rPr>
                <w:sz w:val="9"/>
                <w:szCs w:val="9"/>
                <w:color w:val="auto"/>
              </w:rPr>
            </w:pPr>
          </w:p>
        </w:tc>
        <w:tc>
          <w:tcPr>
            <w:tcW w:w="815"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9100" w:type="dxa"/>
            <w:vAlign w:val="bottom"/>
            <w:gridSpan w:val="2"/>
            <w:vMerge w:val="continue"/>
          </w:tcPr>
          <w:p>
            <w:pPr>
              <w:spacing w:after="0"/>
              <w:rPr>
                <w:sz w:val="24"/>
                <w:szCs w:val="24"/>
                <w:color w:val="auto"/>
              </w:rPr>
            </w:pPr>
          </w:p>
        </w:tc>
        <w:tc>
          <w:tcPr>
            <w:tcW w:w="125" w:type="dxa"/>
            <w:vAlign w:val="bottom"/>
          </w:tcPr>
          <w:p>
            <w:pPr>
              <w:spacing w:after="0"/>
              <w:rPr>
                <w:sz w:val="24"/>
                <w:szCs w:val="24"/>
                <w:color w:val="auto"/>
              </w:rPr>
            </w:pPr>
          </w:p>
        </w:tc>
        <w:tc>
          <w:tcPr>
            <w:tcW w:w="815" w:type="dxa"/>
            <w:vAlign w:val="bottom"/>
          </w:tcPr>
          <w:p>
            <w:pPr>
              <w:jc w:val="right"/>
              <w:spacing w:after="0"/>
              <w:rPr>
                <w:sz w:val="20"/>
                <w:szCs w:val="20"/>
                <w:color w:val="auto"/>
              </w:rPr>
            </w:pPr>
            <w:r>
              <w:rPr>
                <w:rFonts w:ascii="Arial" w:cs="Arial" w:eastAsia="Arial" w:hAnsi="Arial"/>
                <w:sz w:val="18"/>
                <w:szCs w:val="18"/>
                <w:color w:val="auto"/>
              </w:rPr>
              <w:t>2,960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E6E6E6"/>
          </w:tcPr>
          <w:p>
            <w:pPr>
              <w:spacing w:after="0"/>
              <w:rPr>
                <w:sz w:val="20"/>
                <w:szCs w:val="20"/>
                <w:color w:val="auto"/>
              </w:rPr>
            </w:pPr>
            <w:r>
              <w:rPr>
                <w:rFonts w:ascii="Arial" w:cs="Arial" w:eastAsia="Arial" w:hAnsi="Arial"/>
                <w:sz w:val="18"/>
                <w:szCs w:val="18"/>
                <w:color w:val="auto"/>
              </w:rPr>
              <w:t>Cash and cash equivalents at beginning of period</w:t>
            </w:r>
          </w:p>
        </w:tc>
        <w:tc>
          <w:tcPr>
            <w:tcW w:w="125" w:type="dxa"/>
            <w:vAlign w:val="bottom"/>
            <w:shd w:val="clear" w:color="auto" w:fill="E6E6E6"/>
          </w:tcPr>
          <w:p>
            <w:pPr>
              <w:spacing w:after="0"/>
              <w:rPr>
                <w:sz w:val="18"/>
                <w:szCs w:val="18"/>
                <w:color w:val="auto"/>
              </w:rPr>
            </w:pPr>
          </w:p>
        </w:tc>
        <w:tc>
          <w:tcPr>
            <w:tcW w:w="815"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59,509</w:t>
            </w:r>
          </w:p>
        </w:tc>
        <w:tc>
          <w:tcPr>
            <w:tcW w:w="3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41,975</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5" w:type="dxa"/>
            <w:vAlign w:val="bottom"/>
            <w:tcBorders>
              <w:bottom w:val="single" w:sz="8" w:color="808080"/>
            </w:tcBorders>
          </w:tcPr>
          <w:p>
            <w:pPr>
              <w:spacing w:after="0"/>
              <w:rPr>
                <w:sz w:val="9"/>
                <w:szCs w:val="9"/>
                <w:color w:val="auto"/>
              </w:rPr>
            </w:pPr>
          </w:p>
        </w:tc>
        <w:tc>
          <w:tcPr>
            <w:tcW w:w="815"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9100" w:type="dxa"/>
            <w:vAlign w:val="bottom"/>
            <w:gridSpan w:val="2"/>
            <w:vMerge w:val="continue"/>
          </w:tcPr>
          <w:p>
            <w:pPr>
              <w:spacing w:after="0"/>
              <w:rPr>
                <w:sz w:val="24"/>
                <w:szCs w:val="24"/>
                <w:color w:val="auto"/>
              </w:rPr>
            </w:pPr>
          </w:p>
        </w:tc>
        <w:tc>
          <w:tcPr>
            <w:tcW w:w="12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15" w:type="dxa"/>
            <w:vAlign w:val="bottom"/>
          </w:tcPr>
          <w:p>
            <w:pPr>
              <w:jc w:val="right"/>
              <w:spacing w:after="0"/>
              <w:rPr>
                <w:sz w:val="20"/>
                <w:szCs w:val="20"/>
                <w:color w:val="auto"/>
              </w:rPr>
            </w:pPr>
            <w:r>
              <w:rPr>
                <w:rFonts w:ascii="Arial" w:cs="Arial" w:eastAsia="Arial" w:hAnsi="Arial"/>
                <w:sz w:val="18"/>
                <w:szCs w:val="18"/>
                <w:color w:val="auto"/>
              </w:rPr>
              <w:t>62,469</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41,897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080" w:type="dxa"/>
            <w:vAlign w:val="bottom"/>
            <w:vMerge w:val="restart"/>
          </w:tcPr>
          <w:p>
            <w:pPr>
              <w:ind w:left="5600"/>
              <w:spacing w:after="0"/>
              <w:rPr>
                <w:sz w:val="20"/>
                <w:szCs w:val="20"/>
                <w:color w:val="auto"/>
              </w:rPr>
            </w:pPr>
            <w:r>
              <w:rPr>
                <w:rFonts w:ascii="Arial" w:cs="Arial" w:eastAsia="Arial" w:hAnsi="Arial"/>
                <w:sz w:val="18"/>
                <w:szCs w:val="18"/>
                <w:color w:val="auto"/>
              </w:rPr>
              <w:t>I-4</w:t>
            </w:r>
          </w:p>
        </w:tc>
        <w:tc>
          <w:tcPr>
            <w:tcW w:w="125" w:type="dxa"/>
            <w:vAlign w:val="bottom"/>
            <w:tcBorders>
              <w:bottom w:val="single" w:sz="8" w:color="808080"/>
            </w:tcBorders>
          </w:tcPr>
          <w:p>
            <w:pPr>
              <w:spacing w:after="0"/>
              <w:rPr>
                <w:sz w:val="11"/>
                <w:szCs w:val="11"/>
                <w:color w:val="auto"/>
              </w:rPr>
            </w:pPr>
          </w:p>
        </w:tc>
        <w:tc>
          <w:tcPr>
            <w:tcW w:w="815"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9080" w:type="dxa"/>
            <w:vAlign w:val="bottom"/>
            <w:vMerge w:val="continue"/>
          </w:tcPr>
          <w:p>
            <w:pPr>
              <w:spacing w:after="0"/>
              <w:rPr>
                <w:sz w:val="24"/>
                <w:szCs w:val="24"/>
                <w:color w:val="auto"/>
              </w:rPr>
            </w:pPr>
          </w:p>
        </w:tc>
        <w:tc>
          <w:tcPr>
            <w:tcW w:w="125" w:type="dxa"/>
            <w:vAlign w:val="bottom"/>
          </w:tcPr>
          <w:p>
            <w:pPr>
              <w:spacing w:after="0"/>
              <w:rPr>
                <w:sz w:val="24"/>
                <w:szCs w:val="24"/>
                <w:color w:val="auto"/>
              </w:rPr>
            </w:pPr>
          </w:p>
        </w:tc>
        <w:tc>
          <w:tcPr>
            <w:tcW w:w="815"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815"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080" w:type="dxa"/>
            <w:vAlign w:val="bottom"/>
            <w:shd w:val="clear" w:color="auto" w:fill="808080"/>
          </w:tcPr>
          <w:p>
            <w:pPr>
              <w:spacing w:after="0"/>
              <w:rPr>
                <w:sz w:val="5"/>
                <w:szCs w:val="5"/>
                <w:color w:val="auto"/>
              </w:rPr>
            </w:pPr>
          </w:p>
        </w:tc>
        <w:tc>
          <w:tcPr>
            <w:tcW w:w="125" w:type="dxa"/>
            <w:vAlign w:val="bottom"/>
            <w:shd w:val="clear" w:color="auto" w:fill="808080"/>
          </w:tcPr>
          <w:p>
            <w:pPr>
              <w:spacing w:after="0"/>
              <w:rPr>
                <w:sz w:val="5"/>
                <w:szCs w:val="5"/>
                <w:color w:val="auto"/>
              </w:rPr>
            </w:pPr>
          </w:p>
        </w:tc>
        <w:tc>
          <w:tcPr>
            <w:tcW w:w="815"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-543560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-543560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-543560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-543560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-543560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-543560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895"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88"/>
              </w:rPr>
              <w:t>Accumulated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5" w:type="dxa"/>
            <w:vAlign w:val="bottom"/>
          </w:tcPr>
          <w:p>
            <w:pPr>
              <w:spacing w:after="0"/>
              <w:rPr>
                <w:sz w:val="12"/>
                <w:szCs w:val="12"/>
                <w:color w:val="auto"/>
              </w:rPr>
            </w:pPr>
          </w:p>
        </w:tc>
        <w:tc>
          <w:tcPr>
            <w:tcW w:w="1115"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0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5" w:type="dxa"/>
            <w:vAlign w:val="bottom"/>
          </w:tcPr>
          <w:p>
            <w:pPr>
              <w:spacing w:after="0"/>
              <w:rPr>
                <w:sz w:val="12"/>
                <w:szCs w:val="12"/>
                <w:color w:val="auto"/>
              </w:rPr>
            </w:pPr>
          </w:p>
        </w:tc>
        <w:tc>
          <w:tcPr>
            <w:tcW w:w="1115"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0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w w:val="91"/>
              </w:rPr>
              <w:t>Retained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8"/>
              </w:rPr>
              <w:t>Merger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16"/>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5"/>
                <w:szCs w:val="15"/>
                <w:color w:val="auto"/>
              </w:rPr>
            </w:pPr>
          </w:p>
        </w:tc>
        <w:tc>
          <w:tcPr>
            <w:tcW w:w="145" w:type="dxa"/>
            <w:vAlign w:val="bottom"/>
          </w:tcPr>
          <w:p>
            <w:pPr>
              <w:spacing w:after="0"/>
              <w:rPr>
                <w:sz w:val="15"/>
                <w:szCs w:val="15"/>
                <w:color w:val="auto"/>
              </w:rPr>
            </w:pPr>
          </w:p>
        </w:tc>
        <w:tc>
          <w:tcPr>
            <w:tcW w:w="1115"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7"/>
              <w:spacing w:after="0"/>
              <w:rPr>
                <w:sz w:val="20"/>
                <w:szCs w:val="20"/>
                <w:color w:val="auto"/>
              </w:rPr>
            </w:pPr>
            <w:r>
              <w:rPr>
                <w:rFonts w:ascii="Arial" w:cs="Arial" w:eastAsia="Arial" w:hAnsi="Arial"/>
                <w:sz w:val="14"/>
                <w:szCs w:val="14"/>
                <w:b w:val="1"/>
                <w:bCs w:val="1"/>
                <w:color w:val="auto"/>
                <w:w w:val="90"/>
              </w:rPr>
              <w:t>Earnings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w w:val="84"/>
              </w:rPr>
              <w:t>Reserve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5" w:type="dxa"/>
            <w:vAlign w:val="bottom"/>
            <w:tcBorders>
              <w:bottom w:val="single" w:sz="8" w:color="auto"/>
            </w:tcBorders>
          </w:tcPr>
          <w:p>
            <w:pPr>
              <w:spacing w:after="0"/>
              <w:rPr>
                <w:sz w:val="8"/>
                <w:szCs w:val="8"/>
                <w:color w:val="auto"/>
              </w:rPr>
            </w:pPr>
          </w:p>
        </w:tc>
        <w:tc>
          <w:tcPr>
            <w:tcW w:w="895"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5" w:type="dxa"/>
            <w:vAlign w:val="bottom"/>
          </w:tcPr>
          <w:p>
            <w:pPr>
              <w:spacing w:after="0"/>
              <w:rPr>
                <w:sz w:val="21"/>
                <w:szCs w:val="21"/>
                <w:color w:val="auto"/>
              </w:rPr>
            </w:pPr>
          </w:p>
        </w:tc>
        <w:tc>
          <w:tcPr>
            <w:tcW w:w="3395" w:type="dxa"/>
            <w:vAlign w:val="bottom"/>
            <w:gridSpan w:val="7"/>
          </w:tcPr>
          <w:p>
            <w:pPr>
              <w:jc w:val="right"/>
              <w:ind w:right="537"/>
              <w:spacing w:after="0"/>
              <w:rPr>
                <w:sz w:val="20"/>
                <w:szCs w:val="20"/>
                <w:color w:val="auto"/>
              </w:rPr>
            </w:pPr>
            <w:r>
              <w:rPr>
                <w:rFonts w:ascii="Arial" w:cs="Arial" w:eastAsia="Arial" w:hAnsi="Arial"/>
                <w:sz w:val="14"/>
                <w:szCs w:val="14"/>
                <w:b w:val="1"/>
                <w:bCs w:val="1"/>
                <w:color w:val="auto"/>
                <w:w w:val="92"/>
              </w:rPr>
              <w:t>(dollars in thousands, except per share data)</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Balance at December 31, 2005</w:t>
            </w:r>
          </w:p>
        </w:tc>
        <w:tc>
          <w:tcPr>
            <w:tcW w:w="11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14,018,092</w:t>
            </w:r>
          </w:p>
        </w:tc>
        <w:tc>
          <w:tcPr>
            <w:tcW w:w="3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993</w:t>
            </w:r>
          </w:p>
        </w:tc>
        <w:tc>
          <w:tcPr>
            <w:tcW w:w="345" w:type="dxa"/>
            <w:vAlign w:val="bottom"/>
            <w:gridSpan w:val="2"/>
            <w:shd w:val="clear" w:color="auto" w:fill="E6E6E6"/>
          </w:tcPr>
          <w:p>
            <w:pPr>
              <w:jc w:val="right"/>
              <w:ind w:right="45"/>
              <w:spacing w:after="0"/>
              <w:rPr>
                <w:sz w:val="20"/>
                <w:szCs w:val="20"/>
                <w:color w:val="auto"/>
              </w:rPr>
            </w:pPr>
            <w:r>
              <w:rPr>
                <w:rFonts w:ascii="Arial" w:cs="Arial" w:eastAsia="Arial" w:hAnsi="Arial"/>
                <w:sz w:val="18"/>
                <w:szCs w:val="18"/>
                <w:color w:val="auto"/>
              </w:rPr>
              <w:t>$</w:t>
            </w:r>
          </w:p>
        </w:tc>
        <w:tc>
          <w:tcPr>
            <w:tcW w:w="895"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123,333</w:t>
            </w:r>
          </w:p>
        </w:tc>
        <w:tc>
          <w:tcPr>
            <w:tcW w:w="220" w:type="dxa"/>
            <w:vAlign w:val="bottom"/>
            <w:shd w:val="clear" w:color="auto" w:fill="E6E6E6"/>
          </w:tcPr>
          <w:p>
            <w:pPr>
              <w:spacing w:after="0"/>
              <w:rPr>
                <w:sz w:val="18"/>
                <w:szCs w:val="18"/>
                <w:color w:val="auto"/>
              </w:rPr>
            </w:pPr>
          </w:p>
        </w:tc>
        <w:tc>
          <w:tcPr>
            <w:tcW w:w="1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3,409</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113,776</w:t>
            </w:r>
          </w:p>
        </w:tc>
        <w:tc>
          <w:tcPr>
            <w:tcW w:w="3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42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5" w:type="dxa"/>
            <w:vAlign w:val="bottom"/>
          </w:tcPr>
          <w:p>
            <w:pPr>
              <w:spacing w:after="0"/>
              <w:rPr>
                <w:sz w:val="18"/>
                <w:szCs w:val="18"/>
                <w:color w:val="auto"/>
              </w:rPr>
            </w:pPr>
          </w:p>
        </w:tc>
        <w:tc>
          <w:tcPr>
            <w:tcW w:w="895"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6E6E6"/>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8"/>
                <w:szCs w:val="18"/>
                <w:color w:val="auto"/>
              </w:rPr>
            </w:pPr>
          </w:p>
        </w:tc>
        <w:tc>
          <w:tcPr>
            <w:tcW w:w="145" w:type="dxa"/>
            <w:vAlign w:val="bottom"/>
            <w:shd w:val="clear" w:color="auto" w:fill="E6E6E6"/>
          </w:tcPr>
          <w:p>
            <w:pPr>
              <w:spacing w:after="0"/>
              <w:rPr>
                <w:sz w:val="18"/>
                <w:szCs w:val="18"/>
                <w:color w:val="auto"/>
              </w:rPr>
            </w:pPr>
          </w:p>
        </w:tc>
        <w:tc>
          <w:tcPr>
            <w:tcW w:w="1115" w:type="dxa"/>
            <w:vAlign w:val="bottom"/>
            <w:gridSpan w:val="2"/>
            <w:shd w:val="clear" w:color="auto" w:fill="E6E6E6"/>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7,541</w:t>
            </w:r>
          </w:p>
        </w:tc>
        <w:tc>
          <w:tcPr>
            <w:tcW w:w="2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5" w:type="dxa"/>
            <w:vAlign w:val="bottom"/>
          </w:tcPr>
          <w:p>
            <w:pPr>
              <w:spacing w:after="0"/>
              <w:rPr>
                <w:sz w:val="18"/>
                <w:szCs w:val="18"/>
                <w:color w:val="auto"/>
              </w:rPr>
            </w:pPr>
          </w:p>
        </w:tc>
        <w:tc>
          <w:tcPr>
            <w:tcW w:w="1115"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6E6E6"/>
          </w:tcPr>
          <w:p>
            <w:pPr>
              <w:spacing w:after="0"/>
              <w:rPr>
                <w:sz w:val="20"/>
                <w:szCs w:val="20"/>
                <w:color w:val="auto"/>
              </w:rPr>
            </w:pPr>
            <w:r>
              <w:rPr>
                <w:rFonts w:ascii="Arial" w:cs="Arial" w:eastAsia="Arial" w:hAnsi="Arial"/>
                <w:sz w:val="18"/>
                <w:szCs w:val="18"/>
                <w:color w:val="auto"/>
              </w:rPr>
              <w:t>Total comprehensive income</w:t>
            </w:r>
          </w:p>
        </w:tc>
        <w:tc>
          <w:tcPr>
            <w:tcW w:w="11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9,155</w:t>
            </w:r>
          </w:p>
        </w:tc>
        <w:tc>
          <w:tcPr>
            <w:tcW w:w="2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68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45" w:type="dxa"/>
            <w:vAlign w:val="bottom"/>
            <w:shd w:val="clear" w:color="auto" w:fill="E6E6E6"/>
          </w:tcPr>
          <w:p>
            <w:pPr>
              <w:spacing w:after="0"/>
              <w:rPr>
                <w:sz w:val="18"/>
                <w:szCs w:val="18"/>
                <w:color w:val="auto"/>
              </w:rPr>
            </w:pPr>
          </w:p>
        </w:tc>
        <w:tc>
          <w:tcPr>
            <w:tcW w:w="895"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73,005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45" w:type="dxa"/>
            <w:vAlign w:val="bottom"/>
          </w:tcPr>
          <w:p>
            <w:pPr>
              <w:spacing w:after="0"/>
              <w:rPr>
                <w:sz w:val="18"/>
                <w:szCs w:val="18"/>
                <w:color w:val="auto"/>
              </w:rPr>
            </w:pPr>
          </w:p>
        </w:tc>
        <w:tc>
          <w:tcPr>
            <w:tcW w:w="895" w:type="dxa"/>
            <w:vAlign w:val="bottom"/>
          </w:tcPr>
          <w:p>
            <w:pPr>
              <w:jc w:val="right"/>
              <w:spacing w:after="0"/>
              <w:rPr>
                <w:sz w:val="20"/>
                <w:szCs w:val="20"/>
                <w:color w:val="auto"/>
              </w:rPr>
            </w:pPr>
            <w:r>
              <w:rPr>
                <w:rFonts w:ascii="Arial" w:cs="Arial" w:eastAsia="Arial" w:hAnsi="Arial"/>
                <w:sz w:val="18"/>
                <w:szCs w:val="18"/>
                <w:color w:val="auto"/>
              </w:rPr>
              <w:t>1,877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6E6E6"/>
          </w:tcPr>
          <w:p>
            <w:pPr>
              <w:spacing w:after="0"/>
              <w:rPr>
                <w:sz w:val="20"/>
                <w:szCs w:val="20"/>
                <w:color w:val="auto"/>
              </w:rPr>
            </w:pPr>
            <w:r>
              <w:rPr>
                <w:rFonts w:ascii="Arial" w:cs="Arial" w:eastAsia="Arial" w:hAnsi="Arial"/>
                <w:sz w:val="18"/>
                <w:szCs w:val="18"/>
                <w:color w:val="auto"/>
              </w:rPr>
              <w:t>Share issue costs</w:t>
            </w:r>
          </w:p>
        </w:tc>
        <w:tc>
          <w:tcPr>
            <w:tcW w:w="160" w:type="dxa"/>
            <w:vAlign w:val="bottom"/>
            <w:shd w:val="clear" w:color="auto" w:fill="E6E6E6"/>
          </w:tcPr>
          <w:p>
            <w:pPr>
              <w:spacing w:after="0"/>
              <w:rPr>
                <w:sz w:val="18"/>
                <w:szCs w:val="18"/>
                <w:color w:val="auto"/>
              </w:rPr>
            </w:pPr>
          </w:p>
        </w:tc>
        <w:tc>
          <w:tcPr>
            <w:tcW w:w="10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8"/>
                <w:szCs w:val="18"/>
                <w:color w:val="auto"/>
              </w:rPr>
            </w:pPr>
          </w:p>
        </w:tc>
        <w:tc>
          <w:tcPr>
            <w:tcW w:w="145" w:type="dxa"/>
            <w:vAlign w:val="bottom"/>
            <w:shd w:val="clear" w:color="auto" w:fill="E6E6E6"/>
          </w:tcPr>
          <w:p>
            <w:pPr>
              <w:spacing w:after="0"/>
              <w:rPr>
                <w:sz w:val="18"/>
                <w:szCs w:val="18"/>
                <w:color w:val="auto"/>
              </w:rPr>
            </w:pPr>
          </w:p>
        </w:tc>
        <w:tc>
          <w:tcPr>
            <w:tcW w:w="1115" w:type="dxa"/>
            <w:vAlign w:val="bottom"/>
            <w:gridSpan w:val="2"/>
            <w:shd w:val="clear" w:color="auto" w:fill="E6E6E6"/>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8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5" w:type="dxa"/>
            <w:vAlign w:val="bottom"/>
          </w:tcPr>
          <w:p>
            <w:pPr>
              <w:spacing w:after="0"/>
              <w:rPr>
                <w:sz w:val="19"/>
                <w:szCs w:val="19"/>
                <w:color w:val="auto"/>
              </w:rPr>
            </w:pPr>
          </w:p>
        </w:tc>
        <w:tc>
          <w:tcPr>
            <w:tcW w:w="895" w:type="dxa"/>
            <w:vAlign w:val="bottom"/>
          </w:tcPr>
          <w:p>
            <w:pPr>
              <w:jc w:val="right"/>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280" w:type="dxa"/>
            <w:vAlign w:val="bottom"/>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5" w:type="dxa"/>
            <w:vAlign w:val="bottom"/>
            <w:tcBorders>
              <w:bottom w:val="single" w:sz="8" w:color="808080"/>
            </w:tcBorders>
          </w:tcPr>
          <w:p>
            <w:pPr>
              <w:spacing w:after="0"/>
              <w:rPr>
                <w:sz w:val="8"/>
                <w:szCs w:val="8"/>
                <w:color w:val="auto"/>
              </w:rPr>
            </w:pPr>
          </w:p>
        </w:tc>
        <w:tc>
          <w:tcPr>
            <w:tcW w:w="895"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5" w:type="dxa"/>
            <w:vAlign w:val="bottom"/>
          </w:tcPr>
          <w:p>
            <w:pPr>
              <w:spacing w:after="0"/>
              <w:rPr>
                <w:sz w:val="8"/>
                <w:szCs w:val="8"/>
                <w:color w:val="auto"/>
              </w:rPr>
            </w:pPr>
          </w:p>
        </w:tc>
        <w:tc>
          <w:tcPr>
            <w:tcW w:w="895"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Balance at March 31, 2006</w:t>
            </w:r>
          </w:p>
        </w:tc>
        <w:tc>
          <w:tcPr>
            <w:tcW w:w="11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14,091,097</w:t>
            </w:r>
          </w:p>
        </w:tc>
        <w:tc>
          <w:tcPr>
            <w:tcW w:w="32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998</w:t>
            </w:r>
          </w:p>
        </w:tc>
        <w:tc>
          <w:tcPr>
            <w:tcW w:w="345" w:type="dxa"/>
            <w:vAlign w:val="bottom"/>
            <w:gridSpan w:val="2"/>
            <w:shd w:val="clear" w:color="auto" w:fill="E6E6E6"/>
          </w:tcPr>
          <w:p>
            <w:pPr>
              <w:jc w:val="right"/>
              <w:ind w:right="45"/>
              <w:spacing w:after="0"/>
              <w:rPr>
                <w:sz w:val="20"/>
                <w:szCs w:val="20"/>
                <w:color w:val="auto"/>
              </w:rPr>
            </w:pPr>
            <w:r>
              <w:rPr>
                <w:rFonts w:ascii="Arial" w:cs="Arial" w:eastAsia="Arial" w:hAnsi="Arial"/>
                <w:sz w:val="18"/>
                <w:szCs w:val="18"/>
                <w:color w:val="auto"/>
              </w:rPr>
              <w:t>$</w:t>
            </w:r>
          </w:p>
        </w:tc>
        <w:tc>
          <w:tcPr>
            <w:tcW w:w="895"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126,135</w:t>
            </w:r>
          </w:p>
        </w:tc>
        <w:tc>
          <w:tcPr>
            <w:tcW w:w="220" w:type="dxa"/>
            <w:vAlign w:val="bottom"/>
            <w:shd w:val="clear" w:color="auto" w:fill="E6E6E6"/>
          </w:tcPr>
          <w:p>
            <w:pPr>
              <w:spacing w:after="0"/>
              <w:rPr>
                <w:sz w:val="18"/>
                <w:szCs w:val="18"/>
                <w:color w:val="auto"/>
              </w:rPr>
            </w:pPr>
          </w:p>
        </w:tc>
        <w:tc>
          <w:tcPr>
            <w:tcW w:w="1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5,023</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121,317</w:t>
            </w:r>
          </w:p>
        </w:tc>
        <w:tc>
          <w:tcPr>
            <w:tcW w:w="3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42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253,520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45" w:type="dxa"/>
            <w:vAlign w:val="bottom"/>
            <w:tcBorders>
              <w:bottom w:val="single" w:sz="8" w:color="808080"/>
            </w:tcBorders>
          </w:tcPr>
          <w:p>
            <w:pPr>
              <w:spacing w:after="0"/>
              <w:rPr>
                <w:sz w:val="11"/>
                <w:szCs w:val="11"/>
                <w:color w:val="auto"/>
              </w:rPr>
            </w:pPr>
          </w:p>
        </w:tc>
        <w:tc>
          <w:tcPr>
            <w:tcW w:w="895"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-29210</wp:posOffset>
            </wp:positionV>
            <wp:extent cx="510667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0667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ind w:right="120" w:firstLine="436"/>
        <w:spacing w:after="0" w:line="312" w:lineRule="auto"/>
        <w:rPr>
          <w:sz w:val="20"/>
          <w:szCs w:val="20"/>
          <w:color w:val="auto"/>
        </w:rPr>
      </w:pPr>
      <w:r>
        <w:rPr>
          <w:rFonts w:ascii="Arial" w:cs="Arial" w:eastAsia="Arial" w:hAnsi="Arial"/>
          <w:sz w:val="15"/>
          <w:szCs w:val="15"/>
          <w:color w:val="auto"/>
        </w:rPr>
        <w:t xml:space="preserve">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As discussed in note 4, the Company adopted Statement of Accounting Standard (“SFAS”) 123 (revised 2004) </w:t>
      </w:r>
      <w:r>
        <w:rPr>
          <w:rFonts w:ascii="Arial" w:cs="Arial" w:eastAsia="Arial" w:hAnsi="Arial"/>
          <w:sz w:val="15"/>
          <w:szCs w:val="15"/>
          <w:i w:val="1"/>
          <w:iCs w:val="1"/>
          <w:color w:val="auto"/>
        </w:rPr>
        <w:t>Share Based Payment</w:t>
      </w:r>
      <w:r>
        <w:rPr>
          <w:rFonts w:ascii="Arial" w:cs="Arial" w:eastAsia="Arial" w:hAnsi="Arial"/>
          <w:sz w:val="15"/>
          <w:szCs w:val="15"/>
          <w:color w:val="auto"/>
        </w:rPr>
        <w:t xml:space="preserve"> (“SFAS 123R”) effective from January 1, 2006. There were no other significant change in ICON plc’s accounting policies from those outlined in ICON’s Transition Report on Form 20-F for the seven month period ended December 31, 2005.</w:t>
      </w:r>
    </w:p>
    <w:p>
      <w:pPr>
        <w:spacing w:after="0" w:line="159" w:lineRule="exact"/>
        <w:rPr>
          <w:sz w:val="20"/>
          <w:szCs w:val="20"/>
          <w:color w:val="auto"/>
        </w:rPr>
      </w:pPr>
    </w:p>
    <w:p>
      <w:pPr>
        <w:ind w:right="380" w:firstLine="436"/>
        <w:spacing w:after="0" w:line="306" w:lineRule="auto"/>
        <w:rPr>
          <w:sz w:val="20"/>
          <w:szCs w:val="20"/>
          <w:color w:val="auto"/>
        </w:rPr>
      </w:pPr>
      <w:r>
        <w:rPr>
          <w:rFonts w:ascii="Arial" w:cs="Arial" w:eastAsia="Arial" w:hAnsi="Arial"/>
          <w:sz w:val="16"/>
          <w:szCs w:val="16"/>
          <w:color w:val="auto"/>
        </w:rPr>
        <w:t>The condensed consolidated financial statements should be read in conjunction with the accounting policies and notes to the consolidated financial statements included in ICON’s Transition Report on Form 20-F for the seven months ended December 31, 2005. Operating results for the three months ended March 31, 2006 are not necessarily indicative of the results that may be expected for the fiscal period ending December 31, 2006.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42"/>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0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4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Opening balance</w:t>
            </w:r>
          </w:p>
        </w:tc>
        <w:tc>
          <w:tcPr>
            <w:tcW w:w="35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65,731</w:t>
            </w:r>
          </w:p>
        </w:tc>
        <w:tc>
          <w:tcPr>
            <w:tcW w:w="3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67,440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Closing balance</w:t>
            </w:r>
          </w:p>
        </w:tc>
        <w:tc>
          <w:tcPr>
            <w:tcW w:w="35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66,050</w:t>
            </w:r>
          </w:p>
        </w:tc>
        <w:tc>
          <w:tcPr>
            <w:tcW w:w="3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65,731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-29210</wp:posOffset>
            </wp:positionV>
            <wp:extent cx="156464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6464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goodwill balance relates entirely to the clinical research segment.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ordinary share</w:t>
      </w:r>
    </w:p>
    <w:p>
      <w:pPr>
        <w:spacing w:after="0" w:line="231"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97" w:lineRule="exact"/>
        <w:rPr>
          <w:sz w:val="20"/>
          <w:szCs w:val="20"/>
          <w:color w:val="auto"/>
        </w:rPr>
      </w:pPr>
    </w:p>
    <w:p>
      <w:pPr>
        <w:ind w:right="600" w:firstLine="436"/>
        <w:spacing w:after="0" w:line="268"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46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2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February 28,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200" w:type="dxa"/>
            <w:vAlign w:val="bottom"/>
          </w:tcPr>
          <w:p>
            <w:pPr>
              <w:jc w:val="right"/>
              <w:ind w:right="402"/>
              <w:spacing w:after="0"/>
              <w:rPr>
                <w:sz w:val="20"/>
                <w:szCs w:val="20"/>
                <w:color w:val="auto"/>
              </w:rPr>
            </w:pPr>
            <w:r>
              <w:rPr>
                <w:rFonts w:ascii="Arial" w:cs="Arial" w:eastAsia="Arial" w:hAnsi="Arial"/>
                <w:sz w:val="14"/>
                <w:szCs w:val="14"/>
                <w:b w:val="1"/>
                <w:bCs w:val="1"/>
                <w:color w:val="auto"/>
              </w:rPr>
              <w:t>2006</w:t>
            </w:r>
          </w:p>
        </w:tc>
        <w:tc>
          <w:tcPr>
            <w:tcW w:w="12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E6E6E6"/>
          </w:tcPr>
          <w:p>
            <w:pPr>
              <w:spacing w:after="0"/>
              <w:rPr>
                <w:sz w:val="20"/>
                <w:szCs w:val="20"/>
                <w:color w:val="auto"/>
              </w:rPr>
            </w:pPr>
            <w:r>
              <w:rPr>
                <w:rFonts w:ascii="Arial" w:cs="Arial" w:eastAsia="Arial" w:hAnsi="Arial"/>
                <w:sz w:val="18"/>
                <w:szCs w:val="18"/>
                <w:color w:val="auto"/>
              </w:rPr>
              <w:t>Weighted average number of ordinary shares outstanding for basic net income per ordinary share</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14,042,017</w:t>
            </w:r>
          </w:p>
        </w:tc>
        <w:tc>
          <w:tcPr>
            <w:tcW w:w="12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13,866,236</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Effect of dilutive share options outstanding</w:t>
            </w:r>
          </w:p>
        </w:tc>
        <w:tc>
          <w:tcPr>
            <w:tcW w:w="1200" w:type="dxa"/>
            <w:vAlign w:val="bottom"/>
          </w:tcPr>
          <w:p>
            <w:pPr>
              <w:jc w:val="right"/>
              <w:spacing w:after="0"/>
              <w:rPr>
                <w:sz w:val="20"/>
                <w:szCs w:val="20"/>
                <w:color w:val="auto"/>
              </w:rPr>
            </w:pPr>
            <w:r>
              <w:rPr>
                <w:rFonts w:ascii="Arial" w:cs="Arial" w:eastAsia="Arial" w:hAnsi="Arial"/>
                <w:sz w:val="18"/>
                <w:szCs w:val="18"/>
                <w:color w:val="auto"/>
              </w:rPr>
              <w:t>67,517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211,674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E6E6E6"/>
          </w:tcPr>
          <w:p>
            <w:pPr>
              <w:spacing w:after="0"/>
              <w:rPr>
                <w:sz w:val="20"/>
                <w:szCs w:val="20"/>
                <w:color w:val="auto"/>
              </w:rPr>
            </w:pPr>
            <w:r>
              <w:rPr>
                <w:rFonts w:ascii="Arial" w:cs="Arial" w:eastAsia="Arial" w:hAnsi="Arial"/>
                <w:sz w:val="18"/>
                <w:szCs w:val="18"/>
                <w:color w:val="auto"/>
              </w:rPr>
              <w:t>Weighted average number of ordinary shares for diluted net income per ordinary share</w:t>
            </w:r>
          </w:p>
        </w:tc>
        <w:tc>
          <w:tcPr>
            <w:tcW w:w="12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14,109,534</w:t>
            </w:r>
          </w:p>
        </w:tc>
        <w:tc>
          <w:tcPr>
            <w:tcW w:w="12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14,077,910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840" w:type="dxa"/>
            <w:vAlign w:val="bottom"/>
          </w:tcPr>
          <w:p>
            <w:pPr>
              <w:ind w:left="5600"/>
              <w:spacing w:after="0"/>
              <w:rPr>
                <w:sz w:val="20"/>
                <w:szCs w:val="20"/>
                <w:color w:val="auto"/>
              </w:rPr>
            </w:pPr>
            <w:r>
              <w:rPr>
                <w:rFonts w:ascii="Arial" w:cs="Arial" w:eastAsia="Arial" w:hAnsi="Arial"/>
                <w:sz w:val="18"/>
                <w:szCs w:val="18"/>
                <w:color w:val="auto"/>
              </w:rPr>
              <w:t>I-6</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8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-543560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-543560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-543560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-543560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-543560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-543560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4. Stock Options</w:t>
      </w:r>
    </w:p>
    <w:p>
      <w:pPr>
        <w:spacing w:after="0" w:line="231"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98" w:lineRule="exact"/>
        <w:rPr>
          <w:sz w:val="20"/>
          <w:szCs w:val="20"/>
          <w:color w:val="auto"/>
        </w:rPr>
      </w:pPr>
    </w:p>
    <w:p>
      <w:pPr>
        <w:ind w:right="80" w:firstLine="429"/>
        <w:spacing w:after="0" w:line="256" w:lineRule="auto"/>
        <w:rPr>
          <w:sz w:val="20"/>
          <w:szCs w:val="20"/>
          <w:color w:val="auto"/>
        </w:rPr>
      </w:pPr>
      <w:r>
        <w:rPr>
          <w:rFonts w:ascii="Arial" w:cs="Arial" w:eastAsia="Arial" w:hAnsi="Arial"/>
          <w:sz w:val="18"/>
          <w:szCs w:val="18"/>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options can be granted after January 17, 2013.</w:t>
      </w:r>
    </w:p>
    <w:p>
      <w:pPr>
        <w:spacing w:after="0" w:line="225" w:lineRule="exact"/>
        <w:rPr>
          <w:sz w:val="20"/>
          <w:szCs w:val="20"/>
          <w:color w:val="auto"/>
        </w:rPr>
      </w:pPr>
    </w:p>
    <w:p>
      <w:pPr>
        <w:ind w:right="120" w:firstLine="439"/>
        <w:spacing w:after="0" w:line="298" w:lineRule="auto"/>
        <w:rPr>
          <w:sz w:val="20"/>
          <w:szCs w:val="20"/>
          <w:color w:val="auto"/>
        </w:rPr>
      </w:pPr>
      <w:r>
        <w:rPr>
          <w:rFonts w:ascii="Arial" w:cs="Arial" w:eastAsia="Arial" w:hAnsi="Arial"/>
          <w:sz w:val="16"/>
          <w:szCs w:val="16"/>
          <w:color w:val="auto"/>
        </w:rPr>
        <w:t xml:space="preserve">In December 2004, the Financial Accounting Standards Board (“FASB”) issued Statement of Accounting Standards (“SFAS”) 123 (revised 2004), </w:t>
      </w:r>
      <w:r>
        <w:rPr>
          <w:rFonts w:ascii="Arial" w:cs="Arial" w:eastAsia="Arial" w:hAnsi="Arial"/>
          <w:sz w:val="16"/>
          <w:szCs w:val="16"/>
          <w:i w:val="1"/>
          <w:iCs w:val="1"/>
          <w:color w:val="auto"/>
        </w:rPr>
        <w:t>Share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Based Payment </w:t>
      </w:r>
      <w:r>
        <w:rPr>
          <w:rFonts w:ascii="Arial" w:cs="Arial" w:eastAsia="Arial" w:hAnsi="Arial"/>
          <w:sz w:val="16"/>
          <w:szCs w:val="16"/>
          <w:color w:val="auto"/>
        </w:rPr>
        <w:t>(“SFAS 123R”) which replaced SFAS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and supersedes Accounting Principles Board (“APB”)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SFAS 123R requires, with effect from accounting periods beginning after June 15 2005, that all share based payments to employees, including stock options granted, be recognized in the financial statements based on their grant date fair values.</w:t>
      </w:r>
    </w:p>
    <w:p>
      <w:pPr>
        <w:spacing w:after="0" w:line="167" w:lineRule="exact"/>
        <w:rPr>
          <w:sz w:val="20"/>
          <w:szCs w:val="20"/>
          <w:color w:val="auto"/>
        </w:rPr>
      </w:pPr>
    </w:p>
    <w:p>
      <w:pPr>
        <w:ind w:right="80" w:firstLine="436"/>
        <w:spacing w:after="0" w:line="254" w:lineRule="auto"/>
        <w:rPr>
          <w:sz w:val="20"/>
          <w:szCs w:val="20"/>
          <w:color w:val="auto"/>
        </w:rPr>
      </w:pPr>
      <w:r>
        <w:rPr>
          <w:rFonts w:ascii="Arial" w:cs="Arial" w:eastAsia="Arial" w:hAnsi="Arial"/>
          <w:sz w:val="18"/>
          <w:szCs w:val="18"/>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first quarter ended March 31, 2006,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option activity for the three months ended March 31, 2006: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92"/>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Options</w:t>
            </w:r>
          </w:p>
        </w:tc>
        <w:tc>
          <w:tcPr>
            <w:tcW w:w="200" w:type="dxa"/>
            <w:vAlign w:val="bottom"/>
          </w:tcPr>
          <w:p>
            <w:pPr>
              <w:spacing w:after="0"/>
              <w:rPr>
                <w:sz w:val="12"/>
                <w:szCs w:val="12"/>
                <w:color w:val="auto"/>
              </w:rPr>
            </w:pPr>
          </w:p>
        </w:tc>
        <w:tc>
          <w:tcPr>
            <w:tcW w:w="12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00" w:type="dxa"/>
            <w:vAlign w:val="bottom"/>
          </w:tcPr>
          <w:p>
            <w:pPr>
              <w:spacing w:after="0"/>
              <w:rPr>
                <w:sz w:val="12"/>
                <w:szCs w:val="12"/>
                <w:color w:val="auto"/>
              </w:rPr>
            </w:pPr>
          </w:p>
        </w:tc>
        <w:tc>
          <w:tcPr>
            <w:tcW w:w="12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9"/>
              </w:rPr>
              <w:t>Average Fair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Number of Shares</w:t>
            </w:r>
          </w:p>
        </w:tc>
        <w:tc>
          <w:tcPr>
            <w:tcW w:w="200" w:type="dxa"/>
            <w:vAlign w:val="bottom"/>
          </w:tcPr>
          <w:p>
            <w:pPr>
              <w:spacing w:after="0"/>
              <w:rPr>
                <w:sz w:val="15"/>
                <w:szCs w:val="15"/>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w w:val="85"/>
              </w:rPr>
              <w:t>Exercise Price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92"/>
              <w:spacing w:after="0"/>
              <w:rPr>
                <w:sz w:val="20"/>
                <w:szCs w:val="20"/>
                <w:color w:val="auto"/>
              </w:rPr>
            </w:pPr>
            <w:r>
              <w:rPr>
                <w:rFonts w:ascii="Arial" w:cs="Arial" w:eastAsia="Arial" w:hAnsi="Arial"/>
                <w:sz w:val="14"/>
                <w:szCs w:val="14"/>
                <w:b w:val="1"/>
                <w:bCs w:val="1"/>
                <w:color w:val="auto"/>
                <w:w w:val="91"/>
              </w:rPr>
              <w:t>Contractual Life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6E6E6"/>
          </w:tcPr>
          <w:p>
            <w:pPr>
              <w:spacing w:after="0"/>
              <w:rPr>
                <w:sz w:val="20"/>
                <w:szCs w:val="20"/>
                <w:color w:val="auto"/>
              </w:rPr>
            </w:pPr>
            <w:r>
              <w:rPr>
                <w:rFonts w:ascii="Arial" w:cs="Arial" w:eastAsia="Arial" w:hAnsi="Arial"/>
                <w:sz w:val="18"/>
                <w:szCs w:val="18"/>
                <w:color w:val="auto"/>
              </w:rPr>
              <w:t>Outstanding at December 31, 2005</w:t>
            </w:r>
          </w:p>
        </w:tc>
        <w:tc>
          <w:tcPr>
            <w:tcW w:w="1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1,132,146</w:t>
            </w:r>
          </w:p>
        </w:tc>
        <w:tc>
          <w:tcPr>
            <w:tcW w:w="320" w:type="dxa"/>
            <w:vAlign w:val="bottom"/>
            <w:shd w:val="clear" w:color="auto" w:fill="E6E6E6"/>
          </w:tcPr>
          <w:p>
            <w:pPr>
              <w:spacing w:after="0"/>
              <w:rPr>
                <w:sz w:val="18"/>
                <w:szCs w:val="18"/>
                <w:color w:val="auto"/>
              </w:rPr>
            </w:pPr>
          </w:p>
        </w:tc>
        <w:tc>
          <w:tcPr>
            <w:tcW w:w="200" w:type="dxa"/>
            <w:vAlign w:val="bottom"/>
            <w:shd w:val="clear" w:color="auto" w:fill="E6E6E6"/>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31.50</w:t>
            </w:r>
          </w:p>
        </w:tc>
        <w:tc>
          <w:tcPr>
            <w:tcW w:w="520" w:type="dxa"/>
            <w:vAlign w:val="bottom"/>
            <w:gridSpan w:val="4"/>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14.60</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8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372,611</w:t>
            </w:r>
          </w:p>
        </w:tc>
        <w:tc>
          <w:tcPr>
            <w:tcW w:w="3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43.91</w:t>
            </w: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19.64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E6E6E6"/>
          </w:tcPr>
          <w:p>
            <w:pPr>
              <w:spacing w:after="0"/>
              <w:rPr>
                <w:sz w:val="20"/>
                <w:szCs w:val="20"/>
                <w:color w:val="auto"/>
              </w:rPr>
            </w:pPr>
            <w:r>
              <w:rPr>
                <w:rFonts w:ascii="Arial" w:cs="Arial" w:eastAsia="Arial" w:hAnsi="Arial"/>
                <w:sz w:val="18"/>
                <w:szCs w:val="18"/>
                <w:color w:val="auto"/>
              </w:rPr>
              <w:t>Exercised</w:t>
            </w:r>
          </w:p>
        </w:tc>
        <w:tc>
          <w:tcPr>
            <w:tcW w:w="198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(73,005)</w:t>
            </w:r>
          </w:p>
        </w:tc>
        <w:tc>
          <w:tcPr>
            <w:tcW w:w="200" w:type="dxa"/>
            <w:vAlign w:val="bottom"/>
            <w:shd w:val="clear" w:color="auto" w:fill="E6E6E6"/>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25.60</w:t>
            </w:r>
          </w:p>
        </w:tc>
        <w:tc>
          <w:tcPr>
            <w:tcW w:w="520" w:type="dxa"/>
            <w:vAlign w:val="bottom"/>
            <w:gridSpan w:val="4"/>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13.89</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Forfeited</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(71,860)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30.24</w:t>
            </w: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380" w:type="dxa"/>
            <w:vAlign w:val="bottom"/>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6E6E6"/>
          </w:tcPr>
          <w:p>
            <w:pPr>
              <w:spacing w:after="0"/>
              <w:rPr>
                <w:sz w:val="20"/>
                <w:szCs w:val="20"/>
                <w:color w:val="auto"/>
              </w:rPr>
            </w:pPr>
            <w:r>
              <w:rPr>
                <w:rFonts w:ascii="Arial" w:cs="Arial" w:eastAsia="Arial" w:hAnsi="Arial"/>
                <w:sz w:val="18"/>
                <w:szCs w:val="18"/>
                <w:color w:val="auto"/>
              </w:rPr>
              <w:t>Outstanding at March 31, 2006</w:t>
            </w:r>
          </w:p>
        </w:tc>
        <w:tc>
          <w:tcPr>
            <w:tcW w:w="1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1,359,892</w:t>
            </w:r>
          </w:p>
        </w:tc>
        <w:tc>
          <w:tcPr>
            <w:tcW w:w="320" w:type="dxa"/>
            <w:vAlign w:val="bottom"/>
            <w:shd w:val="clear" w:color="auto" w:fill="E6E6E6"/>
          </w:tcPr>
          <w:p>
            <w:pPr>
              <w:spacing w:after="0"/>
              <w:rPr>
                <w:sz w:val="18"/>
                <w:szCs w:val="18"/>
                <w:color w:val="auto"/>
              </w:rPr>
            </w:pPr>
          </w:p>
        </w:tc>
        <w:tc>
          <w:tcPr>
            <w:tcW w:w="200" w:type="dxa"/>
            <w:vAlign w:val="bottom"/>
            <w:shd w:val="clear" w:color="auto" w:fill="E6E6E6"/>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35.98</w:t>
            </w:r>
          </w:p>
        </w:tc>
        <w:tc>
          <w:tcPr>
            <w:tcW w:w="520" w:type="dxa"/>
            <w:vAlign w:val="bottom"/>
            <w:gridSpan w:val="4"/>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16.06</w:t>
            </w:r>
          </w:p>
        </w:tc>
        <w:tc>
          <w:tcPr>
            <w:tcW w:w="188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380" w:type="dxa"/>
            <w:vAlign w:val="bottom"/>
            <w:gridSpan w:val="2"/>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Borders>
              <w:bottom w:val="single" w:sz="8" w:color="808080"/>
            </w:tcBorders>
            <w:gridSpan w:val="2"/>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4380" w:type="dxa"/>
            <w:vAlign w:val="bottom"/>
            <w:gridSpan w:val="2"/>
          </w:tcPr>
          <w:p>
            <w:pPr>
              <w:spacing w:after="0"/>
              <w:rPr>
                <w:sz w:val="20"/>
                <w:szCs w:val="20"/>
                <w:color w:val="auto"/>
              </w:rPr>
            </w:pPr>
            <w:r>
              <w:rPr>
                <w:rFonts w:ascii="Arial" w:cs="Arial" w:eastAsia="Arial" w:hAnsi="Arial"/>
                <w:sz w:val="18"/>
                <w:szCs w:val="18"/>
                <w:color w:val="auto"/>
              </w:rPr>
              <w:t>Exercisable at March 31, 2006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399,856</w:t>
            </w:r>
          </w:p>
        </w:tc>
        <w:tc>
          <w:tcPr>
            <w:tcW w:w="3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29.44</w:t>
            </w: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14.03</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-329565</wp:posOffset>
            </wp:positionV>
            <wp:extent cx="441198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41198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441198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411980" cy="29845"/>
                    </a:xfrm>
                    <a:prstGeom prst="rect">
                      <a:avLst/>
                    </a:prstGeom>
                    <a:noFill/>
                  </pic:spPr>
                </pic:pic>
              </a:graphicData>
            </a:graphic>
          </wp:anchor>
        </w:drawing>
      </w:r>
    </w:p>
    <w:p>
      <w:pPr>
        <w:spacing w:after="0" w:line="293"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2006 is eight years.</w:t>
      </w:r>
    </w:p>
    <w:p>
      <w:pPr>
        <w:spacing w:after="0" w:line="194"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The weighted average fair value of stock options granted during the three months ended March 31, 2006, calculated using the Black-Scholes option pricing model, was $19.64 based on the following assumptions; dividend yield - 0%, risk free interest rate - 4.6%, expected volatility - 45% and weighted average expected life - 4.81 years.</w:t>
      </w:r>
    </w:p>
    <w:p>
      <w:pPr>
        <w:spacing w:after="0" w:line="194" w:lineRule="exact"/>
        <w:rPr>
          <w:sz w:val="20"/>
          <w:szCs w:val="20"/>
          <w:color w:val="auto"/>
        </w:rPr>
      </w:pPr>
    </w:p>
    <w:p>
      <w:pPr>
        <w:jc w:val="both"/>
        <w:ind w:right="20" w:firstLine="439"/>
        <w:spacing w:after="0" w:line="259" w:lineRule="auto"/>
        <w:rPr>
          <w:sz w:val="20"/>
          <w:szCs w:val="20"/>
          <w:color w:val="auto"/>
        </w:rPr>
      </w:pPr>
      <w:r>
        <w:rPr>
          <w:rFonts w:ascii="Arial" w:cs="Arial" w:eastAsia="Arial" w:hAnsi="Arial"/>
          <w:sz w:val="18"/>
          <w:szCs w:val="18"/>
          <w:color w:val="auto"/>
        </w:rPr>
        <w:t>On January 17, 2006, 15,000 share options, with an exercise price of $41.68, were granted to certain key employee of the Company. These options will vest between 2009 and 2014 subject to the Company’s diluted earnings achieving $4.20 per share. If the Company does not achieve diluted earnings of $4.20 per share before January 16, 2014, the option grant expires.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both"/>
        <w:ind w:right="20" w:firstLine="439"/>
        <w:spacing w:after="0" w:line="256" w:lineRule="auto"/>
        <w:rPr>
          <w:sz w:val="20"/>
          <w:szCs w:val="20"/>
          <w:color w:val="auto"/>
        </w:rPr>
      </w:pPr>
      <w:r>
        <w:rPr>
          <w:rFonts w:ascii="Arial" w:cs="Arial" w:eastAsia="Arial" w:hAnsi="Arial"/>
          <w:sz w:val="18"/>
          <w:szCs w:val="18"/>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part vesting and termination patterns. The risk-free rate is based on the U.S. gilts zero-coupon yield curve in effect at time of grant for periods corresponding with the expected life of the option.</w:t>
      </w:r>
    </w:p>
    <w:p>
      <w:pPr>
        <w:spacing w:after="0" w:line="197"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Income from operations for the three months ended March 31, 2006, is stated after charging $0.9 million in respect of non-cash stock compensation expense. Basic and diluted earnings per share for the three months ended March 31, 2006, had SFAS 123R not been introduced would have been $0.60 and $0.59 respectively. Non-cash stock compensation expense for the three months ended March 31, 2006, has been allocated to direct costs and selling, general and administrative expenses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23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70" w:type="dxa"/>
            <w:vAlign w:val="bottom"/>
          </w:tcPr>
          <w:p>
            <w:pPr>
              <w:jc w:val="center"/>
              <w:ind w:left="82"/>
              <w:spacing w:after="0" w:line="149" w:lineRule="exact"/>
              <w:rPr>
                <w:sz w:val="20"/>
                <w:szCs w:val="20"/>
                <w:color w:val="auto"/>
              </w:rPr>
            </w:pPr>
            <w:r>
              <w:rPr>
                <w:rFonts w:ascii="Arial" w:cs="Arial" w:eastAsia="Arial" w:hAnsi="Arial"/>
                <w:sz w:val="14"/>
                <w:szCs w:val="14"/>
                <w:b w:val="1"/>
                <w:bCs w:val="1"/>
                <w:color w:val="auto"/>
                <w:w w:val="89"/>
              </w:rPr>
              <w:t>March 31,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February 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11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30" w:type="dxa"/>
            <w:vAlign w:val="bottom"/>
          </w:tcPr>
          <w:p>
            <w:pPr>
              <w:spacing w:after="0"/>
              <w:rPr>
                <w:sz w:val="8"/>
                <w:szCs w:val="8"/>
                <w:color w:val="auto"/>
              </w:rPr>
            </w:pPr>
          </w:p>
        </w:tc>
        <w:tc>
          <w:tcPr>
            <w:tcW w:w="77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E6E6E6"/>
          </w:tcPr>
          <w:p>
            <w:pPr>
              <w:spacing w:after="0"/>
              <w:rPr>
                <w:sz w:val="20"/>
                <w:szCs w:val="20"/>
                <w:color w:val="auto"/>
              </w:rPr>
            </w:pPr>
            <w:r>
              <w:rPr>
                <w:rFonts w:ascii="Arial" w:cs="Arial" w:eastAsia="Arial" w:hAnsi="Arial"/>
                <w:sz w:val="18"/>
                <w:szCs w:val="18"/>
                <w:color w:val="auto"/>
              </w:rPr>
              <w:t>Direct costs</w:t>
            </w:r>
          </w:p>
        </w:tc>
        <w:tc>
          <w:tcPr>
            <w:tcW w:w="13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770" w:type="dxa"/>
            <w:vAlign w:val="bottom"/>
            <w:shd w:val="clear" w:color="auto" w:fill="E6E6E6"/>
          </w:tcPr>
          <w:p>
            <w:pPr>
              <w:spacing w:after="0"/>
              <w:rPr>
                <w:sz w:val="18"/>
                <w:szCs w:val="18"/>
                <w:color w:val="auto"/>
              </w:rPr>
            </w:pPr>
          </w:p>
        </w:tc>
        <w:tc>
          <w:tcPr>
            <w:tcW w:w="3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512</w:t>
            </w:r>
          </w:p>
        </w:tc>
        <w:tc>
          <w:tcPr>
            <w:tcW w:w="1160" w:type="dxa"/>
            <w:vAlign w:val="bottom"/>
            <w:gridSpan w:val="2"/>
            <w:shd w:val="clear" w:color="auto" w:fill="E6E6E6"/>
          </w:tcPr>
          <w:p>
            <w:pPr>
              <w:jc w:val="right"/>
              <w:ind w:right="8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0" w:type="dxa"/>
            <w:vAlign w:val="bottom"/>
          </w:tcPr>
          <w:p>
            <w:pPr>
              <w:spacing w:after="0"/>
              <w:rPr>
                <w:sz w:val="19"/>
                <w:szCs w:val="19"/>
                <w:color w:val="auto"/>
              </w:rPr>
            </w:pPr>
          </w:p>
        </w:tc>
        <w:tc>
          <w:tcPr>
            <w:tcW w:w="77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418</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30" w:type="dxa"/>
            <w:vAlign w:val="bottom"/>
            <w:tcBorders>
              <w:bottom w:val="single" w:sz="8" w:color="808080"/>
            </w:tcBorders>
          </w:tcPr>
          <w:p>
            <w:pPr>
              <w:spacing w:after="0"/>
              <w:rPr>
                <w:sz w:val="8"/>
                <w:szCs w:val="8"/>
                <w:color w:val="auto"/>
              </w:rPr>
            </w:pPr>
          </w:p>
        </w:tc>
        <w:tc>
          <w:tcPr>
            <w:tcW w:w="77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30" w:type="dxa"/>
            <w:vAlign w:val="bottom"/>
          </w:tcPr>
          <w:p>
            <w:pPr>
              <w:spacing w:after="0"/>
              <w:rPr>
                <w:sz w:val="8"/>
                <w:szCs w:val="8"/>
                <w:color w:val="auto"/>
              </w:rPr>
            </w:pPr>
          </w:p>
        </w:tc>
        <w:tc>
          <w:tcPr>
            <w:tcW w:w="77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E6E6E6"/>
          </w:tcPr>
          <w:p>
            <w:pPr>
              <w:spacing w:after="0"/>
              <w:rPr>
                <w:sz w:val="18"/>
                <w:szCs w:val="18"/>
                <w:color w:val="auto"/>
              </w:rPr>
            </w:pPr>
          </w:p>
        </w:tc>
        <w:tc>
          <w:tcPr>
            <w:tcW w:w="13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770" w:type="dxa"/>
            <w:vAlign w:val="bottom"/>
            <w:shd w:val="clear" w:color="auto" w:fill="E6E6E6"/>
          </w:tcPr>
          <w:p>
            <w:pPr>
              <w:spacing w:after="0"/>
              <w:rPr>
                <w:sz w:val="18"/>
                <w:szCs w:val="18"/>
                <w:color w:val="auto"/>
              </w:rPr>
            </w:pPr>
          </w:p>
        </w:tc>
        <w:tc>
          <w:tcPr>
            <w:tcW w:w="30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930</w:t>
            </w:r>
          </w:p>
        </w:tc>
        <w:tc>
          <w:tcPr>
            <w:tcW w:w="1160" w:type="dxa"/>
            <w:vAlign w:val="bottom"/>
            <w:gridSpan w:val="2"/>
            <w:shd w:val="clear" w:color="auto" w:fill="E6E6E6"/>
          </w:tcPr>
          <w:p>
            <w:pPr>
              <w:jc w:val="right"/>
              <w:ind w:right="812"/>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130" w:type="dxa"/>
            <w:vAlign w:val="bottom"/>
            <w:tcBorders>
              <w:bottom w:val="single" w:sz="8" w:color="808080"/>
            </w:tcBorders>
          </w:tcPr>
          <w:p>
            <w:pPr>
              <w:spacing w:after="0"/>
              <w:rPr>
                <w:sz w:val="11"/>
                <w:szCs w:val="11"/>
                <w:color w:val="auto"/>
              </w:rPr>
            </w:pPr>
          </w:p>
        </w:tc>
        <w:tc>
          <w:tcPr>
            <w:tcW w:w="77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 vested shares outstanding as March 31, 2006,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Options</w:t>
            </w:r>
          </w:p>
        </w:tc>
        <w:tc>
          <w:tcPr>
            <w:tcW w:w="140" w:type="dxa"/>
            <w:vAlign w:val="bottom"/>
          </w:tcPr>
          <w:p>
            <w:pPr>
              <w:spacing w:after="0"/>
              <w:rPr>
                <w:sz w:val="14"/>
                <w:szCs w:val="14"/>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2"/>
                <w:szCs w:val="12"/>
                <w:color w:val="auto"/>
              </w:rPr>
            </w:pPr>
          </w:p>
        </w:tc>
        <w:tc>
          <w:tcPr>
            <w:tcW w:w="10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Average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Number of Shares</w:t>
            </w:r>
          </w:p>
        </w:tc>
        <w:tc>
          <w:tcPr>
            <w:tcW w:w="140" w:type="dxa"/>
            <w:vAlign w:val="bottom"/>
          </w:tcPr>
          <w:p>
            <w:pPr>
              <w:spacing w:after="0"/>
              <w:rPr>
                <w:sz w:val="15"/>
                <w:szCs w:val="15"/>
                <w:color w:val="auto"/>
              </w:rPr>
            </w:pPr>
          </w:p>
        </w:tc>
        <w:tc>
          <w:tcPr>
            <w:tcW w:w="108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E6E6E6"/>
          </w:tcPr>
          <w:p>
            <w:pPr>
              <w:spacing w:after="0"/>
              <w:rPr>
                <w:sz w:val="20"/>
                <w:szCs w:val="20"/>
                <w:color w:val="auto"/>
              </w:rPr>
            </w:pPr>
            <w:r>
              <w:rPr>
                <w:rFonts w:ascii="Arial" w:cs="Arial" w:eastAsia="Arial" w:hAnsi="Arial"/>
                <w:sz w:val="18"/>
                <w:szCs w:val="18"/>
                <w:color w:val="auto"/>
              </w:rPr>
              <w:t>Non vested outstanding at December 31, 2005</w:t>
            </w:r>
          </w:p>
        </w:tc>
        <w:tc>
          <w:tcPr>
            <w:tcW w:w="15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803,389</w:t>
            </w:r>
          </w:p>
        </w:tc>
        <w:tc>
          <w:tcPr>
            <w:tcW w:w="18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33.20</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900" w:type="dxa"/>
            <w:vAlign w:val="bottom"/>
            <w:gridSpan w:val="2"/>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9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372,611</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43.91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E6E6E6"/>
          </w:tcPr>
          <w:p>
            <w:pPr>
              <w:spacing w:after="0"/>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(144,104)</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32.05</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(71,860)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900" w:type="dxa"/>
            <w:vAlign w:val="bottom"/>
            <w:gridSpan w:val="2"/>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E6E6E6"/>
          </w:tcPr>
          <w:p>
            <w:pPr>
              <w:spacing w:after="0"/>
              <w:rPr>
                <w:sz w:val="20"/>
                <w:szCs w:val="20"/>
                <w:color w:val="auto"/>
              </w:rPr>
            </w:pPr>
            <w:r>
              <w:rPr>
                <w:rFonts w:ascii="Arial" w:cs="Arial" w:eastAsia="Arial" w:hAnsi="Arial"/>
                <w:sz w:val="18"/>
                <w:szCs w:val="18"/>
                <w:color w:val="auto"/>
              </w:rPr>
              <w:t>Non vested outstanding at March 31, 2006</w:t>
            </w:r>
          </w:p>
        </w:tc>
        <w:tc>
          <w:tcPr>
            <w:tcW w:w="15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960,036</w:t>
            </w:r>
          </w:p>
        </w:tc>
        <w:tc>
          <w:tcPr>
            <w:tcW w:w="18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37.62</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60" w:firstLine="429"/>
        <w:spacing w:after="0" w:line="294" w:lineRule="auto"/>
        <w:rPr>
          <w:sz w:val="20"/>
          <w:szCs w:val="20"/>
          <w:color w:val="auto"/>
        </w:rPr>
      </w:pPr>
      <w:r>
        <w:rPr>
          <w:rFonts w:ascii="Arial" w:cs="Arial" w:eastAsia="Arial" w:hAnsi="Arial"/>
          <w:sz w:val="16"/>
          <w:szCs w:val="16"/>
          <w:color w:val="auto"/>
        </w:rPr>
        <w:t>As at March 31, 2006, total unrecognized compensation cost related to unvested options, which the Company expects to recognize over a weighted average period of 3.6 years, amounted to $12.0 million. The Company has granted options with fair values ranging from $11.55 to $19.64 per option or a weighted average fair value of $15.86 per option. The Company issues new ordinary shares for all options exercised. The total amount of fully vested share options which remained outstanding at March 31, 2006 was 72,588. The options have an average remaining contractual term of 2.1 years and average exercise price of $18.17. The total intrinsic value of options exercised during this period was $1.02 million.</w:t>
      </w:r>
    </w:p>
    <w:p>
      <w:pPr>
        <w:spacing w:after="0" w:line="170"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Prior to the adoption of SFAS 123R, the Company accounted for its share options in accordance with the provisions of SFAS No. 123 which allowed entities to continue to apply the provisions of APB 25 and provide pro forma net income and pro forma earnings per share disclosures for employee stock option grants as if the fair-value-based method defined in SFAS No. 123 had been applied. The impact on net loss and earnings per share, had SFAS 123R been applied are as follows: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Net loss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hanging="155"/>
        <w:spacing w:after="0" w:line="261" w:lineRule="auto"/>
        <w:rPr>
          <w:sz w:val="20"/>
          <w:szCs w:val="20"/>
          <w:color w:val="auto"/>
        </w:rPr>
      </w:pPr>
      <w:r>
        <w:rPr>
          <w:rFonts w:ascii="Arial" w:cs="Arial" w:eastAsia="Arial" w:hAnsi="Arial"/>
          <w:sz w:val="18"/>
          <w:szCs w:val="18"/>
          <w:color w:val="auto"/>
        </w:rPr>
        <w:t>Deduct: Total non-cash stock compensation expense determined under fair value based method for all awards, net of related tax effects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Pro forma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(in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Basic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Basic – pro forma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Diluted – proforma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Three Months</w:t>
      </w:r>
    </w:p>
    <w:p>
      <w:pPr>
        <w:jc w:val="center"/>
        <w:ind w:right="120"/>
        <w:spacing w:after="0" w:line="223" w:lineRule="auto"/>
        <w:rPr>
          <w:sz w:val="20"/>
          <w:szCs w:val="20"/>
          <w:color w:val="auto"/>
        </w:rPr>
      </w:pPr>
      <w:r>
        <w:rPr>
          <w:rFonts w:ascii="Arial" w:cs="Arial" w:eastAsia="Arial" w:hAnsi="Arial"/>
          <w:sz w:val="14"/>
          <w:szCs w:val="14"/>
          <w:b w:val="1"/>
          <w:bCs w:val="1"/>
          <w:color w:val="auto"/>
        </w:rPr>
        <w:t>Ended</w:t>
      </w:r>
    </w:p>
    <w:p>
      <w:pPr>
        <w:jc w:val="center"/>
        <w:ind w:right="120"/>
        <w:spacing w:after="0"/>
        <w:rPr>
          <w:sz w:val="20"/>
          <w:szCs w:val="20"/>
          <w:color w:val="auto"/>
        </w:rPr>
      </w:pPr>
      <w:r>
        <w:rPr>
          <w:rFonts w:ascii="Arial" w:cs="Arial" w:eastAsia="Arial" w:hAnsi="Arial"/>
          <w:sz w:val="14"/>
          <w:szCs w:val="14"/>
          <w:b w:val="1"/>
          <w:bCs w:val="1"/>
          <w:color w:val="auto"/>
        </w:rPr>
        <w:t>February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10547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88" w:lineRule="exact"/>
        <w:rPr>
          <w:sz w:val="20"/>
          <w:szCs w:val="20"/>
          <w:color w:val="auto"/>
        </w:rPr>
      </w:pPr>
    </w:p>
    <w:p>
      <w:pPr>
        <w:ind w:left="1180" w:hanging="1176"/>
        <w:spacing w:after="0"/>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(5,528)</w:t>
      </w:r>
    </w:p>
    <w:p>
      <w:pPr>
        <w:spacing w:after="0" w:line="248" w:lineRule="exact"/>
        <w:rPr>
          <w:sz w:val="20"/>
          <w:szCs w:val="20"/>
          <w:color w:val="auto"/>
        </w:rPr>
      </w:pPr>
    </w:p>
    <w:p>
      <w:pPr>
        <w:ind w:left="1320" w:hanging="1316"/>
        <w:spacing w:after="0"/>
        <w:tabs>
          <w:tab w:leader="none" w:pos="1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10547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42" w:lineRule="exact"/>
        <w:rPr>
          <w:sz w:val="20"/>
          <w:szCs w:val="20"/>
          <w:color w:val="auto"/>
        </w:rPr>
      </w:pPr>
    </w:p>
    <w:p>
      <w:pPr>
        <w:ind w:left="1180" w:hanging="1176"/>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(6,332)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10547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(0.40)</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(0.45)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(0.40)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10547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80" w:space="680"/>
            <w:col w:w="1760"/>
          </w:cols>
          <w:pgMar w:left="240" w:top="131" w:right="239" w:bottom="1440" w:gutter="0" w:footer="0" w:header="0"/>
          <w:type w:val="continuous"/>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8" w:name="page49"/>
    <w:bookmarkEnd w:id="48"/>
    <w:p>
      <w:pPr>
        <w:jc w:val="both"/>
        <w:ind w:right="380" w:firstLine="436"/>
        <w:spacing w:after="0" w:line="259" w:lineRule="auto"/>
        <w:rPr>
          <w:sz w:val="20"/>
          <w:szCs w:val="20"/>
          <w:color w:val="auto"/>
        </w:rPr>
      </w:pPr>
      <w:r>
        <w:rPr>
          <w:rFonts w:ascii="Arial" w:cs="Arial" w:eastAsia="Arial" w:hAnsi="Arial"/>
          <w:sz w:val="18"/>
          <w:szCs w:val="18"/>
          <w:color w:val="auto"/>
        </w:rPr>
        <w:t>The weighted average fair value of stock options granted during the three months ended February 28, 2005, calculated using the Black-Scholes option pricing model, was $15.07 based on the following assumptions; dividend yield - 0%, risk free interest rate -3.9/4.1%, expected volatility - 45% and weighted average expected life -4.81 years.</w:t>
      </w:r>
    </w:p>
    <w:p>
      <w:pPr>
        <w:spacing w:after="0" w:line="194"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exercise and termination patterns; and the risk-free rate is based on the U.S. gilts zero-coupon yield curve in effect at time of grant for periods corresponding with the expected life of the option.</w:t>
      </w:r>
    </w:p>
    <w:p>
      <w:pPr>
        <w:spacing w:after="0" w:line="197"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On February 7, 2005, 120,000 share options, with an exercise price of $34.40, were granted to certain key employees of the Company. These options will vest between 2008 and 2013 subject to the Company’s diluted earnings achieving $4.00 per share. If the Company does not achieve diluted earnings of $4.00 per share before February 6, 2013, the option grant expires.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Business Segment Information</w:t>
      </w:r>
    </w:p>
    <w:p>
      <w:pPr>
        <w:spacing w:after="0" w:line="231" w:lineRule="exact"/>
        <w:rPr>
          <w:sz w:val="20"/>
          <w:szCs w:val="20"/>
          <w:color w:val="auto"/>
        </w:rPr>
      </w:pPr>
    </w:p>
    <w:p>
      <w:pPr>
        <w:jc w:val="both"/>
        <w:ind w:right="40" w:firstLine="436"/>
        <w:spacing w:after="0" w:line="306" w:lineRule="auto"/>
        <w:rPr>
          <w:sz w:val="20"/>
          <w:szCs w:val="20"/>
          <w:color w:val="auto"/>
        </w:rPr>
      </w:pPr>
      <w:r>
        <w:rPr>
          <w:rFonts w:ascii="Arial" w:cs="Arial" w:eastAsia="Arial" w:hAnsi="Arial"/>
          <w:sz w:val="16"/>
          <w:szCs w:val="16"/>
          <w:color w:val="auto"/>
        </w:rPr>
        <w:t>The Company’s areas of operation outside of Ireland principally include the United Kingdom, United States, Germany, Australia, Argentina, France, Japan, Israel, Singapore, Canada, Sweden, The Netherlands, Latvia, South Africa, India, Hong Kong, Taiwan, Mexico, Brazil, Russia, Hungary, Spain, Thailand, South Korea, Chile and Italy. Segment information for the three month periods ended March 31, 2006 and February 28, 2005 are as follows: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distribution of net revenue by geographical area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Ireland*</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7,888</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Rest of Europe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22,951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900" w:type="dxa"/>
            <w:vAlign w:val="bottom"/>
            <w:shd w:val="clear" w:color="auto" w:fill="E6E6E6"/>
          </w:tcPr>
          <w:p>
            <w:pPr>
              <w:spacing w:after="0"/>
              <w:rPr>
                <w:sz w:val="18"/>
                <w:szCs w:val="18"/>
                <w:color w:val="auto"/>
              </w:rPr>
            </w:pPr>
          </w:p>
        </w:tc>
        <w:tc>
          <w:tcPr>
            <w:tcW w:w="65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60,850</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48,399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Other</w:t>
            </w:r>
          </w:p>
        </w:tc>
        <w:tc>
          <w:tcPr>
            <w:tcW w:w="190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0" w:type="dxa"/>
            <w:vAlign w:val="bottom"/>
            <w:gridSpan w:val="2"/>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E6E6E6"/>
          </w:tcPr>
          <w:p>
            <w:pPr>
              <w:spacing w:after="0"/>
              <w:rPr>
                <w:sz w:val="20"/>
                <w:szCs w:val="20"/>
                <w:color w:val="auto"/>
              </w:rPr>
            </w:pPr>
            <w:r>
              <w:rPr>
                <w:rFonts w:ascii="Arial" w:cs="Arial" w:eastAsia="Arial" w:hAnsi="Arial"/>
                <w:sz w:val="18"/>
                <w:szCs w:val="18"/>
                <w:color w:val="auto"/>
                <w:w w:val="94"/>
              </w:rPr>
              <w:t>Total</w:t>
            </w:r>
          </w:p>
        </w:tc>
        <w:tc>
          <w:tcPr>
            <w:tcW w:w="1900" w:type="dxa"/>
            <w:vAlign w:val="bottom"/>
            <w:shd w:val="clear" w:color="auto" w:fill="E6E6E6"/>
          </w:tcPr>
          <w:p>
            <w:pPr>
              <w:spacing w:after="0"/>
              <w:rPr>
                <w:sz w:val="18"/>
                <w:szCs w:val="18"/>
                <w:color w:val="auto"/>
              </w:rPr>
            </w:pPr>
          </w:p>
        </w:tc>
        <w:tc>
          <w:tcPr>
            <w:tcW w:w="6580" w:type="dxa"/>
            <w:vAlign w:val="bottom"/>
            <w:shd w:val="clear" w:color="auto" w:fill="E6E6E6"/>
          </w:tcPr>
          <w:p>
            <w:pPr>
              <w:spacing w:after="0"/>
              <w:rPr>
                <w:sz w:val="18"/>
                <w:szCs w:val="18"/>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98,495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82,855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20" w:type="dxa"/>
            <w:vAlign w:val="bottom"/>
            <w:gridSpan w:val="2"/>
          </w:tcPr>
          <w:p>
            <w:pPr>
              <w:spacing w:after="0"/>
              <w:rPr>
                <w:sz w:val="11"/>
                <w:szCs w:val="11"/>
                <w:color w:val="auto"/>
              </w:rPr>
            </w:pPr>
          </w:p>
        </w:tc>
        <w:tc>
          <w:tcPr>
            <w:tcW w:w="190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20"/>
              <w:spacing w:after="0"/>
              <w:rPr>
                <w:sz w:val="20"/>
                <w:szCs w:val="20"/>
                <w:color w:val="auto"/>
              </w:rPr>
            </w:pPr>
            <w:r>
              <w:rPr>
                <w:rFonts w:ascii="Arial" w:cs="Arial" w:eastAsia="Arial" w:hAnsi="Arial"/>
                <w:sz w:val="18"/>
                <w:szCs w:val="18"/>
                <w:color w:val="auto"/>
              </w:rPr>
              <w:t>All sales shown for Ireland are export sales.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80" w:type="dxa"/>
            <w:vAlign w:val="bottom"/>
            <w:gridSpan w:val="2"/>
          </w:tcPr>
          <w:p>
            <w:pPr>
              <w:ind w:left="20"/>
              <w:spacing w:after="0"/>
              <w:rPr>
                <w:sz w:val="20"/>
                <w:szCs w:val="20"/>
                <w:color w:val="auto"/>
              </w:rPr>
            </w:pPr>
            <w:r>
              <w:rPr>
                <w:rFonts w:ascii="Arial" w:cs="Arial" w:eastAsia="Arial" w:hAnsi="Arial"/>
                <w:sz w:val="18"/>
                <w:szCs w:val="18"/>
                <w:color w:val="auto"/>
              </w:rPr>
              <w:t>b) The distribution of net revenue by business segment was as follows: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9,289</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6,371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Clinical research</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89,206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0" w:type="dxa"/>
            <w:vAlign w:val="bottom"/>
            <w:gridSpan w:val="2"/>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E6E6E6"/>
          </w:tcPr>
          <w:p>
            <w:pPr>
              <w:spacing w:after="0"/>
              <w:rPr>
                <w:sz w:val="20"/>
                <w:szCs w:val="20"/>
                <w:color w:val="auto"/>
              </w:rPr>
            </w:pPr>
            <w:r>
              <w:rPr>
                <w:rFonts w:ascii="Arial" w:cs="Arial" w:eastAsia="Arial" w:hAnsi="Arial"/>
                <w:sz w:val="18"/>
                <w:szCs w:val="18"/>
                <w:color w:val="auto"/>
                <w:w w:val="94"/>
              </w:rPr>
              <w:t>Total</w:t>
            </w:r>
          </w:p>
        </w:tc>
        <w:tc>
          <w:tcPr>
            <w:tcW w:w="1900" w:type="dxa"/>
            <w:vAlign w:val="bottom"/>
            <w:shd w:val="clear" w:color="auto" w:fill="E6E6E6"/>
          </w:tcPr>
          <w:p>
            <w:pPr>
              <w:spacing w:after="0"/>
              <w:rPr>
                <w:sz w:val="18"/>
                <w:szCs w:val="18"/>
                <w:color w:val="auto"/>
              </w:rPr>
            </w:pPr>
          </w:p>
        </w:tc>
        <w:tc>
          <w:tcPr>
            <w:tcW w:w="6580" w:type="dxa"/>
            <w:vAlign w:val="bottom"/>
            <w:shd w:val="clear" w:color="auto" w:fill="E6E6E6"/>
          </w:tcPr>
          <w:p>
            <w:pPr>
              <w:spacing w:after="0"/>
              <w:rPr>
                <w:sz w:val="18"/>
                <w:szCs w:val="18"/>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98,495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82,855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80" w:type="dxa"/>
            <w:vAlign w:val="bottom"/>
            <w:gridSpan w:val="2"/>
            <w:vMerge w:val="restart"/>
          </w:tcPr>
          <w:p>
            <w:pPr>
              <w:ind w:left="20"/>
              <w:spacing w:after="0"/>
              <w:rPr>
                <w:sz w:val="20"/>
                <w:szCs w:val="20"/>
                <w:color w:val="auto"/>
              </w:rPr>
            </w:pPr>
            <w:r>
              <w:rPr>
                <w:rFonts w:ascii="Arial" w:cs="Arial" w:eastAsia="Arial" w:hAnsi="Arial"/>
                <w:sz w:val="18"/>
                <w:szCs w:val="18"/>
                <w:color w:val="auto"/>
              </w:rPr>
              <w:t>c) The distribution of income/(loss) from operations by geographical area was as follows:</w:t>
            </w: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March 31,</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gridSpan w:val="2"/>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Ireland</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(1,034)</w:t>
            </w: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Rest of Europe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900" w:type="dxa"/>
            <w:vAlign w:val="bottom"/>
            <w:shd w:val="clear" w:color="auto" w:fill="E6E6E6"/>
          </w:tcPr>
          <w:p>
            <w:pPr>
              <w:spacing w:after="0"/>
              <w:rPr>
                <w:sz w:val="18"/>
                <w:szCs w:val="18"/>
                <w:color w:val="auto"/>
              </w:rPr>
            </w:pPr>
          </w:p>
        </w:tc>
        <w:tc>
          <w:tcPr>
            <w:tcW w:w="65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4,906</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0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(8,592)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Other</w:t>
            </w:r>
          </w:p>
        </w:tc>
        <w:tc>
          <w:tcPr>
            <w:tcW w:w="190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0" w:type="dxa"/>
            <w:vAlign w:val="bottom"/>
            <w:gridSpan w:val="2"/>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 w:type="dxa"/>
            <w:vAlign w:val="bottom"/>
            <w:shd w:val="clear" w:color="auto" w:fill="E6E6E6"/>
          </w:tcPr>
          <w:p>
            <w:pPr>
              <w:spacing w:after="0"/>
              <w:rPr>
                <w:sz w:val="20"/>
                <w:szCs w:val="20"/>
                <w:color w:val="auto"/>
              </w:rPr>
            </w:pPr>
            <w:r>
              <w:rPr>
                <w:rFonts w:ascii="Arial" w:cs="Arial" w:eastAsia="Arial" w:hAnsi="Arial"/>
                <w:sz w:val="18"/>
                <w:szCs w:val="18"/>
                <w:color w:val="auto"/>
                <w:w w:val="94"/>
              </w:rPr>
              <w:t>Total</w:t>
            </w:r>
          </w:p>
        </w:tc>
        <w:tc>
          <w:tcPr>
            <w:tcW w:w="1900" w:type="dxa"/>
            <w:vAlign w:val="bottom"/>
            <w:shd w:val="clear" w:color="auto" w:fill="E6E6E6"/>
          </w:tcPr>
          <w:p>
            <w:pPr>
              <w:spacing w:after="0"/>
              <w:rPr>
                <w:sz w:val="18"/>
                <w:szCs w:val="18"/>
                <w:color w:val="auto"/>
              </w:rPr>
            </w:pPr>
          </w:p>
        </w:tc>
        <w:tc>
          <w:tcPr>
            <w:tcW w:w="6580" w:type="dxa"/>
            <w:vAlign w:val="bottom"/>
            <w:shd w:val="clear" w:color="auto" w:fill="E6E6E6"/>
          </w:tcPr>
          <w:p>
            <w:pPr>
              <w:spacing w:after="0"/>
              <w:rPr>
                <w:sz w:val="18"/>
                <w:szCs w:val="18"/>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10,066</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-4068445</wp:posOffset>
            </wp:positionV>
            <wp:extent cx="154749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4749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-1967230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-1967230</wp:posOffset>
            </wp:positionV>
            <wp:extent cx="147891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7891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47891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7891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ind w:left="440"/>
        <w:spacing w:after="0"/>
        <w:rPr>
          <w:sz w:val="20"/>
          <w:szCs w:val="20"/>
          <w:color w:val="auto"/>
        </w:rPr>
      </w:pPr>
      <w:r>
        <w:rPr>
          <w:rFonts w:ascii="Arial" w:cs="Arial" w:eastAsia="Arial" w:hAnsi="Arial"/>
          <w:sz w:val="18"/>
          <w:szCs w:val="18"/>
          <w:color w:val="auto"/>
        </w:rPr>
        <w:t>d) The distribution of income/(loss) from operations by business segment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(586)</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(10,533)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Clinical research</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10,652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10,066</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80" w:type="dxa"/>
            <w:vAlign w:val="bottom"/>
            <w:vMerge w:val="restart"/>
          </w:tcPr>
          <w:p>
            <w:pPr>
              <w:ind w:left="420"/>
              <w:spacing w:after="0"/>
              <w:rPr>
                <w:sz w:val="20"/>
                <w:szCs w:val="20"/>
                <w:color w:val="auto"/>
              </w:rPr>
            </w:pPr>
            <w:r>
              <w:rPr>
                <w:rFonts w:ascii="Arial" w:cs="Arial" w:eastAsia="Arial" w:hAnsi="Arial"/>
                <w:sz w:val="18"/>
                <w:szCs w:val="18"/>
                <w:color w:val="auto"/>
              </w:rPr>
              <w:t>e) The distribution of property, plant and equipment, net, by geographical area was as follows:</w:t>
            </w: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23,192</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22,538</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Rest of Europe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17,189</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16,720</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49,279</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47,652</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80" w:type="dxa"/>
            <w:vAlign w:val="bottom"/>
            <w:vMerge w:val="restart"/>
          </w:tcPr>
          <w:p>
            <w:pPr>
              <w:ind w:left="420"/>
              <w:spacing w:after="0"/>
              <w:rPr>
                <w:sz w:val="20"/>
                <w:szCs w:val="20"/>
                <w:color w:val="auto"/>
              </w:rPr>
            </w:pPr>
            <w:r>
              <w:rPr>
                <w:rFonts w:ascii="Arial" w:cs="Arial" w:eastAsia="Arial" w:hAnsi="Arial"/>
                <w:sz w:val="18"/>
                <w:szCs w:val="18"/>
                <w:color w:val="auto"/>
              </w:rPr>
              <w:t>f ) The distribution of property, plant and equipment, net, by business segment was as follows:</w:t>
            </w: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3,322</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3,380</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Clinical research</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45,957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49,279</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47,652</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vMerge w:val="restart"/>
          </w:tcPr>
          <w:p>
            <w:pPr>
              <w:ind w:left="420"/>
              <w:spacing w:after="0"/>
              <w:rPr>
                <w:sz w:val="20"/>
                <w:szCs w:val="20"/>
                <w:color w:val="auto"/>
              </w:rPr>
            </w:pPr>
            <w:r>
              <w:rPr>
                <w:rFonts w:ascii="Arial" w:cs="Arial" w:eastAsia="Arial" w:hAnsi="Arial"/>
                <w:sz w:val="18"/>
                <w:szCs w:val="18"/>
                <w:color w:val="auto"/>
              </w:rPr>
              <w:t>g) The distribution of depreciation and amortization by geographical area was as follows:</w:t>
            </w: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1,218</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1,378</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Rest of Europe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1,505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1,382</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3,445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3,424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vMerge w:val="restart"/>
          </w:tcPr>
          <w:p>
            <w:pPr>
              <w:ind w:left="420"/>
              <w:spacing w:after="0"/>
              <w:rPr>
                <w:sz w:val="20"/>
                <w:szCs w:val="20"/>
                <w:color w:val="auto"/>
              </w:rPr>
            </w:pPr>
            <w:r>
              <w:rPr>
                <w:rFonts w:ascii="Arial" w:cs="Arial" w:eastAsia="Arial" w:hAnsi="Arial"/>
                <w:sz w:val="18"/>
                <w:szCs w:val="18"/>
                <w:color w:val="auto"/>
              </w:rPr>
              <w:t>h) The distribution of depreciation and amortization by business segment was as follows:</w:t>
            </w: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306</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Clinical research</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3,445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3,424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-7044055</wp:posOffset>
            </wp:positionV>
            <wp:extent cx="154749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4749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-5200650</wp:posOffset>
            </wp:positionV>
            <wp:extent cx="154749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4749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-3630930</wp:posOffset>
            </wp:positionV>
            <wp:extent cx="154749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4749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-1692910</wp:posOffset>
            </wp:positionV>
            <wp:extent cx="154749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4749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0" w:name="page51"/>
    <w:bookmarkEnd w:id="50"/>
    <w:p>
      <w:pPr>
        <w:ind w:left="440"/>
        <w:spacing w:after="0"/>
        <w:rPr>
          <w:sz w:val="20"/>
          <w:szCs w:val="20"/>
          <w:color w:val="auto"/>
        </w:rPr>
      </w:pPr>
      <w:r>
        <w:rPr>
          <w:rFonts w:ascii="Arial" w:cs="Arial" w:eastAsia="Arial" w:hAnsi="Arial"/>
          <w:sz w:val="18"/>
          <w:szCs w:val="18"/>
          <w:color w:val="auto"/>
        </w:rPr>
        <w:t>i) The distribution of total assets by geographical area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5" w:type="dxa"/>
            <w:vAlign w:val="bottom"/>
          </w:tcPr>
          <w:p>
            <w:pPr>
              <w:spacing w:after="0"/>
              <w:rPr>
                <w:sz w:val="14"/>
                <w:szCs w:val="14"/>
                <w:color w:val="auto"/>
              </w:rPr>
            </w:pPr>
          </w:p>
        </w:tc>
        <w:tc>
          <w:tcPr>
            <w:tcW w:w="935"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February 28,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81"/>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935"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gridSpan w:val="6"/>
          </w:tcPr>
          <w:p>
            <w:pPr>
              <w:jc w:val="right"/>
              <w:ind w:right="739"/>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358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102,770</w:t>
            </w:r>
          </w:p>
        </w:tc>
        <w:tc>
          <w:tcPr>
            <w:tcW w:w="445" w:type="dxa"/>
            <w:vAlign w:val="bottom"/>
            <w:gridSpan w:val="4"/>
            <w:shd w:val="clear" w:color="auto" w:fill="E6E6E6"/>
          </w:tcPr>
          <w:p>
            <w:pPr>
              <w:jc w:val="right"/>
              <w:ind w:right="45"/>
              <w:spacing w:after="0"/>
              <w:rPr>
                <w:sz w:val="20"/>
                <w:szCs w:val="20"/>
                <w:color w:val="auto"/>
              </w:rPr>
            </w:pPr>
            <w:r>
              <w:rPr>
                <w:rFonts w:ascii="Arial" w:cs="Arial" w:eastAsia="Arial" w:hAnsi="Arial"/>
                <w:sz w:val="18"/>
                <w:szCs w:val="18"/>
                <w:color w:val="auto"/>
              </w:rPr>
              <w:t>$</w:t>
            </w: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91,826</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Rest of Europe</w:t>
            </w: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63,515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80,700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3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189,985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5" w:type="dxa"/>
            <w:vAlign w:val="bottom"/>
            <w:shd w:val="clear" w:color="auto" w:fill="E6E6E6"/>
          </w:tcPr>
          <w:p>
            <w:pPr>
              <w:spacing w:after="0"/>
              <w:rPr>
                <w:sz w:val="18"/>
                <w:szCs w:val="18"/>
                <w:color w:val="auto"/>
              </w:rPr>
            </w:pP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169,799</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8,188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6,742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bottom w:val="single" w:sz="8" w:color="808080"/>
            </w:tcBorders>
          </w:tcPr>
          <w:p>
            <w:pPr>
              <w:spacing w:after="0"/>
              <w:rPr>
                <w:sz w:val="8"/>
                <w:szCs w:val="8"/>
                <w:color w:val="auto"/>
              </w:rPr>
            </w:pPr>
          </w:p>
        </w:tc>
        <w:tc>
          <w:tcPr>
            <w:tcW w:w="935"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5" w:type="dxa"/>
            <w:vAlign w:val="bottom"/>
            <w:gridSpan w:val="2"/>
          </w:tcPr>
          <w:p>
            <w:pPr>
              <w:spacing w:after="0"/>
              <w:rPr>
                <w:sz w:val="8"/>
                <w:szCs w:val="8"/>
                <w:color w:val="auto"/>
              </w:rPr>
            </w:pPr>
          </w:p>
        </w:tc>
        <w:tc>
          <w:tcPr>
            <w:tcW w:w="935"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358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364,458</w:t>
            </w:r>
          </w:p>
        </w:tc>
        <w:tc>
          <w:tcPr>
            <w:tcW w:w="445" w:type="dxa"/>
            <w:vAlign w:val="bottom"/>
            <w:gridSpan w:val="4"/>
            <w:shd w:val="clear" w:color="auto" w:fill="E6E6E6"/>
          </w:tcPr>
          <w:p>
            <w:pPr>
              <w:jc w:val="right"/>
              <w:ind w:right="45"/>
              <w:spacing w:after="0"/>
              <w:rPr>
                <w:sz w:val="20"/>
                <w:szCs w:val="20"/>
                <w:color w:val="auto"/>
              </w:rPr>
            </w:pPr>
            <w:r>
              <w:rPr>
                <w:rFonts w:ascii="Arial" w:cs="Arial" w:eastAsia="Arial" w:hAnsi="Arial"/>
                <w:sz w:val="18"/>
                <w:szCs w:val="18"/>
                <w:color w:val="auto"/>
              </w:rPr>
              <w:t>$</w:t>
            </w: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vMerge w:val="restart"/>
          </w:tcPr>
          <w:p>
            <w:pPr>
              <w:ind w:left="420"/>
              <w:spacing w:after="0"/>
              <w:rPr>
                <w:sz w:val="20"/>
                <w:szCs w:val="20"/>
                <w:color w:val="auto"/>
              </w:rPr>
            </w:pPr>
            <w:r>
              <w:rPr>
                <w:rFonts w:ascii="Arial" w:cs="Arial" w:eastAsia="Arial" w:hAnsi="Arial"/>
                <w:sz w:val="18"/>
                <w:szCs w:val="18"/>
                <w:color w:val="auto"/>
                <w:w w:val="90"/>
              </w:rPr>
              <w:t>j) The distribution of total assets by business segment was as follows:</w:t>
            </w:r>
          </w:p>
        </w:tc>
        <w:tc>
          <w:tcPr>
            <w:tcW w:w="3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5" w:type="dxa"/>
            <w:vAlign w:val="bottom"/>
            <w:tcBorders>
              <w:bottom w:val="single" w:sz="8" w:color="808080"/>
            </w:tcBorders>
          </w:tcPr>
          <w:p>
            <w:pPr>
              <w:spacing w:after="0"/>
              <w:rPr>
                <w:sz w:val="11"/>
                <w:szCs w:val="11"/>
                <w:color w:val="auto"/>
              </w:rPr>
            </w:pPr>
          </w:p>
        </w:tc>
        <w:tc>
          <w:tcPr>
            <w:tcW w:w="935"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935"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February 28,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81"/>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935"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gridSpan w:val="3"/>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gridSpan w:val="6"/>
          </w:tcPr>
          <w:p>
            <w:pPr>
              <w:jc w:val="right"/>
              <w:ind w:right="739"/>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358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20,058</w:t>
            </w:r>
          </w:p>
        </w:tc>
        <w:tc>
          <w:tcPr>
            <w:tcW w:w="445" w:type="dxa"/>
            <w:vAlign w:val="bottom"/>
            <w:gridSpan w:val="4"/>
            <w:shd w:val="clear" w:color="auto" w:fill="E6E6E6"/>
          </w:tcPr>
          <w:p>
            <w:pPr>
              <w:jc w:val="right"/>
              <w:ind w:right="45"/>
              <w:spacing w:after="0"/>
              <w:rPr>
                <w:sz w:val="20"/>
                <w:szCs w:val="20"/>
                <w:color w:val="auto"/>
              </w:rPr>
            </w:pPr>
            <w:r>
              <w:rPr>
                <w:rFonts w:ascii="Arial" w:cs="Arial" w:eastAsia="Arial" w:hAnsi="Arial"/>
                <w:sz w:val="18"/>
                <w:szCs w:val="18"/>
                <w:color w:val="auto"/>
              </w:rPr>
              <w:t>$</w:t>
            </w: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Clinical research</w:t>
            </w: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344,400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331,917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46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gridSpan w:val="3"/>
          </w:tcPr>
          <w:p>
            <w:pPr>
              <w:spacing w:after="0"/>
              <w:rPr>
                <w:sz w:val="8"/>
                <w:szCs w:val="8"/>
                <w:color w:val="auto"/>
              </w:rPr>
            </w:pPr>
          </w:p>
        </w:tc>
        <w:tc>
          <w:tcPr>
            <w:tcW w:w="105" w:type="dxa"/>
            <w:vAlign w:val="bottom"/>
            <w:tcBorders>
              <w:bottom w:val="single" w:sz="8" w:color="808080"/>
            </w:tcBorders>
          </w:tcPr>
          <w:p>
            <w:pPr>
              <w:spacing w:after="0"/>
              <w:rPr>
                <w:sz w:val="8"/>
                <w:szCs w:val="8"/>
                <w:color w:val="auto"/>
              </w:rPr>
            </w:pPr>
          </w:p>
        </w:tc>
        <w:tc>
          <w:tcPr>
            <w:tcW w:w="935"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580" w:type="dxa"/>
            <w:vAlign w:val="bottom"/>
            <w:gridSpan w:val="3"/>
          </w:tcPr>
          <w:p>
            <w:pPr>
              <w:spacing w:after="0"/>
              <w:rPr>
                <w:sz w:val="8"/>
                <w:szCs w:val="8"/>
                <w:color w:val="auto"/>
              </w:rPr>
            </w:pPr>
          </w:p>
        </w:tc>
        <w:tc>
          <w:tcPr>
            <w:tcW w:w="900" w:type="dxa"/>
            <w:vAlign w:val="bottom"/>
          </w:tcPr>
          <w:p>
            <w:pPr>
              <w:spacing w:after="0"/>
              <w:rPr>
                <w:sz w:val="8"/>
                <w:szCs w:val="8"/>
                <w:color w:val="auto"/>
              </w:rPr>
            </w:pPr>
          </w:p>
        </w:tc>
        <w:tc>
          <w:tcPr>
            <w:tcW w:w="445" w:type="dxa"/>
            <w:vAlign w:val="bottom"/>
            <w:gridSpan w:val="4"/>
          </w:tcPr>
          <w:p>
            <w:pPr>
              <w:spacing w:after="0"/>
              <w:rPr>
                <w:sz w:val="8"/>
                <w:szCs w:val="8"/>
                <w:color w:val="auto"/>
              </w:rPr>
            </w:pPr>
          </w:p>
        </w:tc>
        <w:tc>
          <w:tcPr>
            <w:tcW w:w="935"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3580" w:type="dxa"/>
            <w:vAlign w:val="bottom"/>
            <w:gridSpan w:val="3"/>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364,458</w:t>
            </w:r>
          </w:p>
        </w:tc>
        <w:tc>
          <w:tcPr>
            <w:tcW w:w="445" w:type="dxa"/>
            <w:vAlign w:val="bottom"/>
            <w:gridSpan w:val="4"/>
            <w:shd w:val="clear" w:color="auto" w:fill="E6E6E6"/>
          </w:tcPr>
          <w:p>
            <w:pPr>
              <w:jc w:val="right"/>
              <w:ind w:right="45"/>
              <w:spacing w:after="0"/>
              <w:rPr>
                <w:sz w:val="20"/>
                <w:szCs w:val="20"/>
                <w:color w:val="auto"/>
              </w:rPr>
            </w:pPr>
            <w:r>
              <w:rPr>
                <w:rFonts w:ascii="Arial" w:cs="Arial" w:eastAsia="Arial" w:hAnsi="Arial"/>
                <w:sz w:val="18"/>
                <w:szCs w:val="18"/>
                <w:color w:val="auto"/>
              </w:rPr>
              <w:t>$</w:t>
            </w: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40" w:type="dxa"/>
            <w:vAlign w:val="bottom"/>
            <w:tcBorders>
              <w:bottom w:val="single" w:sz="8" w:color="808080"/>
            </w:tcBorders>
            <w:gridSpan w:val="2"/>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5" w:type="dxa"/>
            <w:vAlign w:val="bottom"/>
            <w:tcBorders>
              <w:bottom w:val="single" w:sz="8" w:color="808080"/>
            </w:tcBorders>
          </w:tcPr>
          <w:p>
            <w:pPr>
              <w:spacing w:after="0"/>
              <w:rPr>
                <w:sz w:val="11"/>
                <w:szCs w:val="11"/>
                <w:color w:val="auto"/>
              </w:rPr>
            </w:pPr>
          </w:p>
        </w:tc>
        <w:tc>
          <w:tcPr>
            <w:tcW w:w="935"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580" w:type="dxa"/>
            <w:vAlign w:val="bottom"/>
            <w:gridSpan w:val="3"/>
          </w:tcPr>
          <w:p>
            <w:pPr>
              <w:jc w:val="right"/>
              <w:ind w:right="3180"/>
              <w:spacing w:after="0"/>
              <w:rPr>
                <w:sz w:val="20"/>
                <w:szCs w:val="20"/>
                <w:color w:val="auto"/>
              </w:rPr>
            </w:pPr>
            <w:r>
              <w:rPr>
                <w:rFonts w:ascii="Arial" w:cs="Arial" w:eastAsia="Arial" w:hAnsi="Arial"/>
                <w:sz w:val="18"/>
                <w:szCs w:val="18"/>
                <w:color w:val="auto"/>
              </w:rPr>
              <w:t>I-11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93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44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5" w:type="dxa"/>
            <w:vAlign w:val="bottom"/>
            <w:shd w:val="clear" w:color="auto" w:fill="808080"/>
          </w:tcPr>
          <w:p>
            <w:pPr>
              <w:spacing w:after="0"/>
              <w:rPr>
                <w:sz w:val="5"/>
                <w:szCs w:val="5"/>
                <w:color w:val="auto"/>
              </w:rPr>
            </w:pPr>
          </w:p>
        </w:tc>
        <w:tc>
          <w:tcPr>
            <w:tcW w:w="935"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-2113280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-2113280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-2113280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-2113280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-2113280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-2113280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-543560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-543560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-543560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-543560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-543560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-543560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1"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Transition Report on Form 20-F for the seven months ended December 31, 2005. The Consolidated Financial Statements have been prepared in accordance with accounting principles generally accepted in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3,200 employees worldwide, with operations in 41 locations in 27 countries including the United States and major markets in Europe and Rest of World. For the three months ended March 31, 2006, we derived approximately 61.8%, 31.3%, and 6.9% of our net revenue in the United States, Europe and Rest of World, respectively.</w:t>
      </w:r>
    </w:p>
    <w:p>
      <w:pPr>
        <w:spacing w:after="0" w:line="174" w:lineRule="exact"/>
        <w:rPr>
          <w:sz w:val="20"/>
          <w:szCs w:val="20"/>
          <w:color w:val="auto"/>
        </w:rPr>
      </w:pPr>
    </w:p>
    <w:p>
      <w:pPr>
        <w:ind w:right="60" w:firstLine="436"/>
        <w:spacing w:after="0" w:line="291" w:lineRule="auto"/>
        <w:rPr>
          <w:sz w:val="20"/>
          <w:szCs w:val="20"/>
          <w:color w:val="auto"/>
        </w:rPr>
      </w:pPr>
      <w:r>
        <w:rPr>
          <w:rFonts w:ascii="Arial" w:cs="Arial" w:eastAsia="Arial" w:hAnsi="Arial"/>
          <w:sz w:val="16"/>
          <w:szCs w:val="16"/>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174" w:lineRule="exact"/>
        <w:rPr>
          <w:sz w:val="20"/>
          <w:szCs w:val="20"/>
          <w:color w:val="auto"/>
        </w:rPr>
      </w:pPr>
    </w:p>
    <w:p>
      <w:pPr>
        <w:ind w:right="100" w:firstLine="436"/>
        <w:spacing w:after="0" w:line="291" w:lineRule="auto"/>
        <w:rPr>
          <w:sz w:val="20"/>
          <w:szCs w:val="20"/>
          <w:color w:val="auto"/>
        </w:rPr>
      </w:pPr>
      <w:r>
        <w:rPr>
          <w:rFonts w:ascii="Arial" w:cs="Arial" w:eastAsia="Arial" w:hAnsi="Arial"/>
          <w:sz w:val="16"/>
          <w:szCs w:val="16"/>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174" w:lineRule="exact"/>
        <w:rPr>
          <w:sz w:val="20"/>
          <w:szCs w:val="20"/>
          <w:color w:val="auto"/>
        </w:rPr>
      </w:pPr>
    </w:p>
    <w:p>
      <w:pPr>
        <w:ind w:right="80" w:firstLine="429"/>
        <w:spacing w:after="0" w:line="306" w:lineRule="auto"/>
        <w:rPr>
          <w:sz w:val="20"/>
          <w:szCs w:val="20"/>
          <w:color w:val="auto"/>
        </w:rPr>
      </w:pPr>
      <w:r>
        <w:rPr>
          <w:rFonts w:ascii="Arial" w:cs="Arial" w:eastAsia="Arial" w:hAnsi="Arial"/>
          <w:sz w:val="16"/>
          <w:szCs w:val="16"/>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61" w:lineRule="exact"/>
        <w:rPr>
          <w:sz w:val="20"/>
          <w:szCs w:val="20"/>
          <w:color w:val="auto"/>
        </w:rPr>
      </w:pPr>
    </w:p>
    <w:p>
      <w:pPr>
        <w:ind w:right="280" w:firstLine="439"/>
        <w:spacing w:after="0" w:line="259" w:lineRule="auto"/>
        <w:rPr>
          <w:sz w:val="20"/>
          <w:szCs w:val="20"/>
          <w:color w:val="auto"/>
        </w:rPr>
      </w:pPr>
      <w:r>
        <w:rPr>
          <w:rFonts w:ascii="Arial" w:cs="Arial" w:eastAsia="Arial" w:hAnsi="Arial"/>
          <w:sz w:val="18"/>
          <w:szCs w:val="18"/>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94" w:lineRule="exact"/>
        <w:rPr>
          <w:sz w:val="20"/>
          <w:szCs w:val="20"/>
          <w:color w:val="auto"/>
        </w:rPr>
      </w:pPr>
    </w:p>
    <w:p>
      <w:pPr>
        <w:ind w:right="220" w:firstLine="429"/>
        <w:spacing w:after="0" w:line="256"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right="680" w:firstLine="429"/>
        <w:spacing w:after="0" w:line="370" w:lineRule="auto"/>
        <w:rPr>
          <w:sz w:val="20"/>
          <w:szCs w:val="20"/>
          <w:color w:val="auto"/>
        </w:rPr>
      </w:pPr>
      <w:r>
        <w:rPr>
          <w:rFonts w:ascii="Arial" w:cs="Arial" w:eastAsia="Arial" w:hAnsi="Arial"/>
          <w:sz w:val="15"/>
          <w:szCs w:val="15"/>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116" w:lineRule="exact"/>
        <w:rPr>
          <w:sz w:val="20"/>
          <w:szCs w:val="20"/>
          <w:color w:val="auto"/>
        </w:rPr>
      </w:pPr>
    </w:p>
    <w:p>
      <w:pPr>
        <w:ind w:right="120" w:firstLine="439"/>
        <w:spacing w:after="0" w:line="286"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13 operations operating in U.S. dollars, 6 trading in Euros, 3 in pounds Sterling, and 1 each in Australian dollars, Singapore dollars, Yen, Israeli New Shekels, Latvian Lats, Swedish Krona, Argentine Peso, South African Rand, Indian Rupee, Russian Rouble, Canadian dollar, Hungarian Forint, Hong Kong dollar, Taiwan dollar, Mexican Peso, Brazilian Real, Chiliean Peso, South Korean Won and Thai Baht.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181" w:lineRule="exact"/>
        <w:rPr>
          <w:sz w:val="20"/>
          <w:szCs w:val="20"/>
          <w:color w:val="auto"/>
        </w:rPr>
      </w:pPr>
    </w:p>
    <w:p>
      <w:pPr>
        <w:jc w:val="both"/>
        <w:ind w:right="180" w:firstLine="436"/>
        <w:spacing w:after="0" w:line="303" w:lineRule="auto"/>
        <w:rPr>
          <w:sz w:val="20"/>
          <w:szCs w:val="20"/>
          <w:color w:val="auto"/>
        </w:rPr>
      </w:pPr>
      <w:r>
        <w:rPr>
          <w:rFonts w:ascii="Arial" w:cs="Arial" w:eastAsia="Arial" w:hAnsi="Arial"/>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These circumstances include sale of the related asset, liquidation of the Company or failing to comply in other respects with the grant agreements. The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expenditure grant agreements provide for repayment in the event of downsizing of the Company calculated by reference to any reduction in employee numbers.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have not recognized any loss contingency having assessed as remote the likelihood of these events arising. Up to March 31, 2006, we have received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$2,447,579 and $1,841,504 under the capital grants and operating grants, respectively. Pursuant to the terms of the grant agreements, we are restricted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distributing some of these amounts by way of dividend or otherwise.</w:t>
      </w:r>
    </w:p>
    <w:p>
      <w:pPr>
        <w:spacing w:after="0" w:line="219" w:lineRule="exact"/>
        <w:rPr>
          <w:sz w:val="20"/>
          <w:szCs w:val="20"/>
          <w:color w:val="auto"/>
        </w:rPr>
      </w:pPr>
    </w:p>
    <w:p>
      <w:pPr>
        <w:jc w:val="both"/>
        <w:ind w:right="60" w:firstLine="429"/>
        <w:spacing w:after="0" w:line="335" w:lineRule="auto"/>
        <w:rPr>
          <w:sz w:val="20"/>
          <w:szCs w:val="20"/>
          <w:color w:val="auto"/>
        </w:rPr>
      </w:pPr>
      <w:r>
        <w:rPr>
          <w:rFonts w:ascii="Arial" w:cs="Arial" w:eastAsia="Arial" w:hAnsi="Arial"/>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Three Months Ended March 31, 2006 compared with Three Months Ended February 28, 2005</w:t>
      </w:r>
    </w:p>
    <w:p>
      <w:pPr>
        <w:spacing w:after="0" w:line="225" w:lineRule="exact"/>
        <w:rPr>
          <w:sz w:val="20"/>
          <w:szCs w:val="20"/>
          <w:color w:val="auto"/>
        </w:rPr>
      </w:pPr>
    </w:p>
    <w:p>
      <w:pPr>
        <w:ind w:right="600" w:firstLine="436"/>
        <w:spacing w:after="0" w:line="332"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2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60" w:type="dxa"/>
            <w:vAlign w:val="bottom"/>
          </w:tcPr>
          <w:p>
            <w:pPr>
              <w:jc w:val="right"/>
              <w:ind w:right="187"/>
              <w:spacing w:after="0" w:line="149"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2"/>
                <w:szCs w:val="12"/>
                <w:color w:val="auto"/>
              </w:rPr>
            </w:pPr>
          </w:p>
        </w:tc>
        <w:tc>
          <w:tcPr>
            <w:tcW w:w="10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February 28,</w:t>
            </w:r>
          </w:p>
        </w:tc>
        <w:tc>
          <w:tcPr>
            <w:tcW w:w="1980" w:type="dxa"/>
            <w:vAlign w:val="bottom"/>
            <w:gridSpan w:val="2"/>
            <w:vMerge w:val="restart"/>
          </w:tcPr>
          <w:p>
            <w:pPr>
              <w:jc w:val="center"/>
              <w:ind w:left="215"/>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580" w:type="dxa"/>
            <w:vAlign w:val="bottom"/>
            <w:gridSpan w:val="2"/>
            <w:vMerge w:val="restart"/>
          </w:tcPr>
          <w:p>
            <w:pPr>
              <w:jc w:val="right"/>
              <w:ind w:right="347"/>
              <w:spacing w:after="0"/>
              <w:rPr>
                <w:sz w:val="20"/>
                <w:szCs w:val="20"/>
                <w:color w:val="auto"/>
              </w:rPr>
            </w:pPr>
            <w:r>
              <w:rPr>
                <w:rFonts w:ascii="Arial" w:cs="Arial" w:eastAsia="Arial" w:hAnsi="Arial"/>
                <w:sz w:val="14"/>
                <w:szCs w:val="14"/>
                <w:b w:val="1"/>
                <w:bCs w:val="1"/>
                <w:color w:val="auto"/>
              </w:rPr>
              <w:t>2006</w:t>
            </w:r>
          </w:p>
        </w:tc>
        <w:tc>
          <w:tcPr>
            <w:tcW w:w="1360" w:type="dxa"/>
            <w:vAlign w:val="bottom"/>
            <w:gridSpan w:val="2"/>
            <w:vMerge w:val="restart"/>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1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3580" w:type="dxa"/>
            <w:vAlign w:val="bottom"/>
            <w:gridSpan w:val="2"/>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2006</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80" w:type="dxa"/>
            <w:vAlign w:val="bottom"/>
          </w:tcPr>
          <w:p>
            <w:pPr>
              <w:spacing w:after="0"/>
              <w:rPr>
                <w:sz w:val="4"/>
                <w:szCs w:val="4"/>
                <w:color w:val="auto"/>
              </w:rPr>
            </w:pPr>
          </w:p>
        </w:tc>
        <w:tc>
          <w:tcPr>
            <w:tcW w:w="39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80" w:type="dxa"/>
            <w:vAlign w:val="bottom"/>
          </w:tcPr>
          <w:p>
            <w:pPr>
              <w:spacing w:after="0"/>
              <w:rPr>
                <w:sz w:val="7"/>
                <w:szCs w:val="7"/>
                <w:color w:val="auto"/>
              </w:rPr>
            </w:pPr>
          </w:p>
        </w:tc>
        <w:tc>
          <w:tcPr>
            <w:tcW w:w="39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2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Percentage of Net Revenue</w:t>
            </w:r>
          </w:p>
        </w:tc>
        <w:tc>
          <w:tcPr>
            <w:tcW w:w="3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5"/>
              </w:rPr>
              <w:t>Increase/(decrease)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3580" w:type="dxa"/>
            <w:vAlign w:val="bottom"/>
            <w:gridSpan w:val="2"/>
          </w:tcPr>
          <w:p>
            <w:pPr>
              <w:spacing w:after="0"/>
              <w:rPr>
                <w:sz w:val="8"/>
                <w:szCs w:val="8"/>
                <w:color w:val="auto"/>
              </w:rPr>
            </w:pPr>
          </w:p>
        </w:tc>
        <w:tc>
          <w:tcPr>
            <w:tcW w:w="1360" w:type="dxa"/>
            <w:vAlign w:val="bottom"/>
            <w:gridSpan w:val="2"/>
          </w:tcPr>
          <w:p>
            <w:pPr>
              <w:spacing w:after="0"/>
              <w:rPr>
                <w:sz w:val="8"/>
                <w:szCs w:val="8"/>
                <w:color w:val="auto"/>
              </w:rPr>
            </w:pPr>
          </w:p>
        </w:tc>
        <w:tc>
          <w:tcPr>
            <w:tcW w:w="198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3920" w:type="dxa"/>
            <w:vAlign w:val="bottom"/>
            <w:shd w:val="clear" w:color="auto" w:fill="E6E6E6"/>
          </w:tcPr>
          <w:p>
            <w:pPr>
              <w:spacing w:after="0"/>
              <w:rPr>
                <w:sz w:val="20"/>
                <w:szCs w:val="20"/>
                <w:color w:val="auto"/>
              </w:rPr>
            </w:pPr>
            <w:r>
              <w:rPr>
                <w:rFonts w:ascii="Arial" w:cs="Arial" w:eastAsia="Arial" w:hAnsi="Arial"/>
                <w:sz w:val="18"/>
                <w:szCs w:val="18"/>
                <w:color w:val="auto"/>
              </w:rPr>
              <w:t>Net revenue</w:t>
            </w:r>
          </w:p>
        </w:tc>
        <w:tc>
          <w:tcPr>
            <w:tcW w:w="3580" w:type="dxa"/>
            <w:vAlign w:val="bottom"/>
            <w:gridSpan w:val="2"/>
            <w:shd w:val="clear" w:color="auto" w:fill="E6E6E6"/>
          </w:tcPr>
          <w:p>
            <w:pPr>
              <w:jc w:val="right"/>
              <w:ind w:right="147"/>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E6E6E6"/>
          </w:tcPr>
          <w:p>
            <w:pPr>
              <w:jc w:val="right"/>
              <w:ind w:right="272"/>
              <w:spacing w:after="0"/>
              <w:rPr>
                <w:sz w:val="20"/>
                <w:szCs w:val="20"/>
                <w:color w:val="auto"/>
              </w:rPr>
            </w:pPr>
            <w:r>
              <w:rPr>
                <w:rFonts w:ascii="Arial" w:cs="Arial" w:eastAsia="Arial" w:hAnsi="Arial"/>
                <w:sz w:val="18"/>
                <w:szCs w:val="18"/>
                <w:color w:val="auto"/>
              </w:rPr>
              <w:t>100.0%</w:t>
            </w:r>
          </w:p>
        </w:tc>
        <w:tc>
          <w:tcPr>
            <w:tcW w:w="1980" w:type="dxa"/>
            <w:vAlign w:val="bottom"/>
            <w:gridSpan w:val="2"/>
            <w:shd w:val="clear" w:color="auto" w:fill="E6E6E6"/>
          </w:tcPr>
          <w:p>
            <w:pPr>
              <w:jc w:val="right"/>
              <w:ind w:right="392"/>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E6E6E6"/>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Costs and expenses:</w:t>
            </w:r>
          </w:p>
        </w:tc>
        <w:tc>
          <w:tcPr>
            <w:tcW w:w="2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20" w:type="dxa"/>
            <w:vAlign w:val="bottom"/>
            <w:shd w:val="clear" w:color="auto" w:fill="E6E6E6"/>
          </w:tcPr>
          <w:p>
            <w:pPr>
              <w:spacing w:after="0"/>
              <w:rPr>
                <w:sz w:val="20"/>
                <w:szCs w:val="20"/>
                <w:color w:val="auto"/>
              </w:rPr>
            </w:pPr>
            <w:r>
              <w:rPr>
                <w:rFonts w:ascii="Arial" w:cs="Arial" w:eastAsia="Arial" w:hAnsi="Arial"/>
                <w:sz w:val="18"/>
                <w:szCs w:val="18"/>
                <w:color w:val="auto"/>
              </w:rPr>
              <w:t>Direct costs</w:t>
            </w:r>
          </w:p>
        </w:tc>
        <w:tc>
          <w:tcPr>
            <w:tcW w:w="3580" w:type="dxa"/>
            <w:vAlign w:val="bottom"/>
            <w:gridSpan w:val="2"/>
            <w:shd w:val="clear" w:color="auto" w:fill="E6E6E6"/>
          </w:tcPr>
          <w:p>
            <w:pPr>
              <w:jc w:val="right"/>
              <w:ind w:right="147"/>
              <w:spacing w:after="0"/>
              <w:rPr>
                <w:sz w:val="20"/>
                <w:szCs w:val="20"/>
                <w:color w:val="auto"/>
              </w:rPr>
            </w:pPr>
            <w:r>
              <w:rPr>
                <w:rFonts w:ascii="Arial" w:cs="Arial" w:eastAsia="Arial" w:hAnsi="Arial"/>
                <w:sz w:val="18"/>
                <w:szCs w:val="18"/>
                <w:color w:val="auto"/>
              </w:rPr>
              <w:t>55.6%</w:t>
            </w:r>
          </w:p>
        </w:tc>
        <w:tc>
          <w:tcPr>
            <w:tcW w:w="1360" w:type="dxa"/>
            <w:vAlign w:val="bottom"/>
            <w:gridSpan w:val="2"/>
            <w:shd w:val="clear" w:color="auto" w:fill="E6E6E6"/>
          </w:tcPr>
          <w:p>
            <w:pPr>
              <w:jc w:val="right"/>
              <w:ind w:right="272"/>
              <w:spacing w:after="0"/>
              <w:rPr>
                <w:sz w:val="20"/>
                <w:szCs w:val="20"/>
                <w:color w:val="auto"/>
              </w:rPr>
            </w:pPr>
            <w:r>
              <w:rPr>
                <w:rFonts w:ascii="Arial" w:cs="Arial" w:eastAsia="Arial" w:hAnsi="Arial"/>
                <w:sz w:val="18"/>
                <w:szCs w:val="18"/>
                <w:color w:val="auto"/>
              </w:rPr>
              <w:t>55.5%</w:t>
            </w:r>
          </w:p>
        </w:tc>
        <w:tc>
          <w:tcPr>
            <w:tcW w:w="1980" w:type="dxa"/>
            <w:vAlign w:val="bottom"/>
            <w:gridSpan w:val="2"/>
            <w:shd w:val="clear" w:color="auto" w:fill="E6E6E6"/>
          </w:tcPr>
          <w:p>
            <w:pPr>
              <w:jc w:val="right"/>
              <w:ind w:right="392"/>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E6E6E6"/>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580" w:type="dxa"/>
            <w:vAlign w:val="bottom"/>
            <w:gridSpan w:val="2"/>
          </w:tcPr>
          <w:p>
            <w:pPr>
              <w:jc w:val="right"/>
              <w:ind w:right="147"/>
              <w:spacing w:after="0"/>
              <w:rPr>
                <w:sz w:val="20"/>
                <w:szCs w:val="20"/>
                <w:color w:val="auto"/>
              </w:rPr>
            </w:pPr>
            <w:r>
              <w:rPr>
                <w:rFonts w:ascii="Arial" w:cs="Arial" w:eastAsia="Arial" w:hAnsi="Arial"/>
                <w:sz w:val="18"/>
                <w:szCs w:val="18"/>
                <w:color w:val="auto"/>
              </w:rPr>
              <w:t>30.7%</w:t>
            </w:r>
          </w:p>
        </w:tc>
        <w:tc>
          <w:tcPr>
            <w:tcW w:w="1360" w:type="dxa"/>
            <w:vAlign w:val="bottom"/>
            <w:gridSpan w:val="2"/>
          </w:tcPr>
          <w:p>
            <w:pPr>
              <w:jc w:val="right"/>
              <w:ind w:right="272"/>
              <w:spacing w:after="0"/>
              <w:rPr>
                <w:sz w:val="20"/>
                <w:szCs w:val="20"/>
                <w:color w:val="auto"/>
              </w:rPr>
            </w:pPr>
            <w:r>
              <w:rPr>
                <w:rFonts w:ascii="Arial" w:cs="Arial" w:eastAsia="Arial" w:hAnsi="Arial"/>
                <w:sz w:val="18"/>
                <w:szCs w:val="18"/>
                <w:color w:val="auto"/>
              </w:rPr>
              <w:t>33.1%</w:t>
            </w:r>
          </w:p>
        </w:tc>
        <w:tc>
          <w:tcPr>
            <w:tcW w:w="1980" w:type="dxa"/>
            <w:vAlign w:val="bottom"/>
            <w:gridSpan w:val="2"/>
          </w:tcPr>
          <w:p>
            <w:pPr>
              <w:jc w:val="right"/>
              <w:ind w:right="392"/>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20" w:type="dxa"/>
            <w:vAlign w:val="bottom"/>
            <w:shd w:val="clear" w:color="auto" w:fill="E6E6E6"/>
          </w:tcPr>
          <w:p>
            <w:pPr>
              <w:spacing w:after="0"/>
              <w:rPr>
                <w:sz w:val="20"/>
                <w:szCs w:val="20"/>
                <w:color w:val="auto"/>
              </w:rPr>
            </w:pPr>
            <w:r>
              <w:rPr>
                <w:rFonts w:ascii="Arial" w:cs="Arial" w:eastAsia="Arial" w:hAnsi="Arial"/>
                <w:sz w:val="18"/>
                <w:szCs w:val="18"/>
                <w:color w:val="auto"/>
              </w:rPr>
              <w:t>Depreciation and amortization</w:t>
            </w:r>
          </w:p>
        </w:tc>
        <w:tc>
          <w:tcPr>
            <w:tcW w:w="3580" w:type="dxa"/>
            <w:vAlign w:val="bottom"/>
            <w:gridSpan w:val="2"/>
            <w:shd w:val="clear" w:color="auto" w:fill="E6E6E6"/>
          </w:tcPr>
          <w:p>
            <w:pPr>
              <w:jc w:val="right"/>
              <w:ind w:right="147"/>
              <w:spacing w:after="0"/>
              <w:rPr>
                <w:sz w:val="20"/>
                <w:szCs w:val="20"/>
                <w:color w:val="auto"/>
              </w:rPr>
            </w:pPr>
            <w:r>
              <w:rPr>
                <w:rFonts w:ascii="Arial" w:cs="Arial" w:eastAsia="Arial" w:hAnsi="Arial"/>
                <w:sz w:val="18"/>
                <w:szCs w:val="18"/>
                <w:color w:val="auto"/>
              </w:rPr>
              <w:t>3.5%</w:t>
            </w:r>
          </w:p>
        </w:tc>
        <w:tc>
          <w:tcPr>
            <w:tcW w:w="1360" w:type="dxa"/>
            <w:vAlign w:val="bottom"/>
            <w:gridSpan w:val="2"/>
            <w:shd w:val="clear" w:color="auto" w:fill="E6E6E6"/>
          </w:tcPr>
          <w:p>
            <w:pPr>
              <w:jc w:val="right"/>
              <w:ind w:right="272"/>
              <w:spacing w:after="0"/>
              <w:rPr>
                <w:sz w:val="20"/>
                <w:szCs w:val="20"/>
                <w:color w:val="auto"/>
              </w:rPr>
            </w:pPr>
            <w:r>
              <w:rPr>
                <w:rFonts w:ascii="Arial" w:cs="Arial" w:eastAsia="Arial" w:hAnsi="Arial"/>
                <w:sz w:val="18"/>
                <w:szCs w:val="18"/>
                <w:color w:val="auto"/>
              </w:rPr>
              <w:t>4.1%</w:t>
            </w:r>
          </w:p>
        </w:tc>
        <w:tc>
          <w:tcPr>
            <w:tcW w:w="1980" w:type="dxa"/>
            <w:vAlign w:val="bottom"/>
            <w:gridSpan w:val="2"/>
            <w:shd w:val="clear" w:color="auto" w:fill="E6E6E6"/>
          </w:tcPr>
          <w:p>
            <w:pPr>
              <w:jc w:val="right"/>
              <w:ind w:right="392"/>
              <w:spacing w:after="0"/>
              <w:rPr>
                <w:sz w:val="20"/>
                <w:szCs w:val="20"/>
                <w:color w:val="auto"/>
              </w:rPr>
            </w:pPr>
            <w:r>
              <w:rPr>
                <w:rFonts w:ascii="Arial" w:cs="Arial" w:eastAsia="Arial" w:hAnsi="Arial"/>
                <w:sz w:val="18"/>
                <w:szCs w:val="18"/>
                <w:color w:val="auto"/>
              </w:rPr>
              <w:t>0.6%</w:t>
            </w:r>
          </w:p>
        </w:tc>
        <w:tc>
          <w:tcPr>
            <w:tcW w:w="220" w:type="dxa"/>
            <w:vAlign w:val="bottom"/>
            <w:shd w:val="clear" w:color="auto" w:fill="E6E6E6"/>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charges</w:t>
            </w:r>
          </w:p>
        </w:tc>
        <w:tc>
          <w:tcPr>
            <w:tcW w:w="2520" w:type="dxa"/>
            <w:vAlign w:val="bottom"/>
          </w:tcPr>
          <w:p>
            <w:pPr>
              <w:spacing w:after="0"/>
              <w:rPr>
                <w:sz w:val="18"/>
                <w:szCs w:val="18"/>
                <w:color w:val="auto"/>
              </w:rPr>
            </w:pPr>
          </w:p>
        </w:tc>
        <w:tc>
          <w:tcPr>
            <w:tcW w:w="1060" w:type="dxa"/>
            <w:vAlign w:val="bottom"/>
          </w:tcPr>
          <w:p>
            <w:pPr>
              <w:jc w:val="right"/>
              <w:ind w:right="28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72"/>
              <w:spacing w:after="0"/>
              <w:rPr>
                <w:sz w:val="20"/>
                <w:szCs w:val="20"/>
                <w:color w:val="auto"/>
              </w:rPr>
            </w:pPr>
            <w:r>
              <w:rPr>
                <w:rFonts w:ascii="Arial" w:cs="Arial" w:eastAsia="Arial" w:hAnsi="Arial"/>
                <w:sz w:val="18"/>
                <w:szCs w:val="18"/>
                <w:color w:val="auto"/>
              </w:rPr>
              <w:t>13.6%</w:t>
            </w:r>
          </w:p>
        </w:tc>
        <w:tc>
          <w:tcPr>
            <w:tcW w:w="1980" w:type="dxa"/>
            <w:vAlign w:val="bottom"/>
            <w:gridSpan w:val="2"/>
          </w:tcPr>
          <w:p>
            <w:pPr>
              <w:jc w:val="right"/>
              <w:ind w:right="292"/>
              <w:spacing w:after="0"/>
              <w:rPr>
                <w:sz w:val="20"/>
                <w:szCs w:val="20"/>
                <w:color w:val="auto"/>
              </w:rPr>
            </w:pPr>
            <w:r>
              <w:rPr>
                <w:rFonts w:ascii="Arial" w:cs="Arial" w:eastAsia="Arial" w:hAnsi="Arial"/>
                <w:sz w:val="18"/>
                <w:szCs w:val="18"/>
                <w:color w:val="auto"/>
              </w:rPr>
              <w:t>(100.0)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20" w:type="dxa"/>
            <w:vAlign w:val="bottom"/>
            <w:shd w:val="clear" w:color="auto" w:fill="E6E6E6"/>
          </w:tcPr>
          <w:p>
            <w:pPr>
              <w:spacing w:after="0"/>
              <w:rPr>
                <w:sz w:val="20"/>
                <w:szCs w:val="20"/>
                <w:color w:val="auto"/>
              </w:rPr>
            </w:pPr>
            <w:r>
              <w:rPr>
                <w:rFonts w:ascii="Arial" w:cs="Arial" w:eastAsia="Arial" w:hAnsi="Arial"/>
                <w:sz w:val="18"/>
                <w:szCs w:val="18"/>
                <w:color w:val="auto"/>
              </w:rPr>
              <w:t>Income from operations</w:t>
            </w:r>
          </w:p>
        </w:tc>
        <w:tc>
          <w:tcPr>
            <w:tcW w:w="3580" w:type="dxa"/>
            <w:vAlign w:val="bottom"/>
            <w:gridSpan w:val="2"/>
            <w:shd w:val="clear" w:color="auto" w:fill="E6E6E6"/>
          </w:tcPr>
          <w:p>
            <w:pPr>
              <w:jc w:val="right"/>
              <w:ind w:right="147"/>
              <w:spacing w:after="0"/>
              <w:rPr>
                <w:sz w:val="20"/>
                <w:szCs w:val="20"/>
                <w:color w:val="auto"/>
              </w:rPr>
            </w:pPr>
            <w:r>
              <w:rPr>
                <w:rFonts w:ascii="Arial" w:cs="Arial" w:eastAsia="Arial" w:hAnsi="Arial"/>
                <w:sz w:val="18"/>
                <w:szCs w:val="18"/>
                <w:color w:val="auto"/>
              </w:rPr>
              <w:t>10.2%</w:t>
            </w:r>
          </w:p>
        </w:tc>
        <w:tc>
          <w:tcPr>
            <w:tcW w:w="1360" w:type="dxa"/>
            <w:vAlign w:val="bottom"/>
            <w:gridSpan w:val="2"/>
            <w:shd w:val="clear" w:color="auto" w:fill="E6E6E6"/>
          </w:tcPr>
          <w:p>
            <w:pPr>
              <w:jc w:val="right"/>
              <w:ind w:right="172"/>
              <w:spacing w:after="0"/>
              <w:rPr>
                <w:sz w:val="20"/>
                <w:szCs w:val="20"/>
                <w:color w:val="auto"/>
              </w:rPr>
            </w:pPr>
            <w:r>
              <w:rPr>
                <w:rFonts w:ascii="Arial" w:cs="Arial" w:eastAsia="Arial" w:hAnsi="Arial"/>
                <w:sz w:val="18"/>
                <w:szCs w:val="18"/>
                <w:color w:val="auto"/>
              </w:rPr>
              <w:t>(6.3) %</w:t>
            </w:r>
          </w:p>
        </w:tc>
        <w:tc>
          <w:tcPr>
            <w:tcW w:w="1980" w:type="dxa"/>
            <w:vAlign w:val="bottom"/>
            <w:gridSpan w:val="2"/>
            <w:shd w:val="clear" w:color="auto" w:fill="E6E6E6"/>
          </w:tcPr>
          <w:p>
            <w:pPr>
              <w:jc w:val="right"/>
              <w:ind w:right="392"/>
              <w:spacing w:after="0"/>
              <w:rPr>
                <w:sz w:val="20"/>
                <w:szCs w:val="20"/>
                <w:color w:val="auto"/>
              </w:rPr>
            </w:pPr>
            <w:r>
              <w:rPr>
                <w:rFonts w:ascii="Arial" w:cs="Arial" w:eastAsia="Arial" w:hAnsi="Arial"/>
                <w:sz w:val="18"/>
                <w:szCs w:val="18"/>
                <w:color w:val="auto"/>
              </w:rPr>
              <w:t>292.2%</w:t>
            </w:r>
          </w:p>
        </w:tc>
        <w:tc>
          <w:tcPr>
            <w:tcW w:w="220" w:type="dxa"/>
            <w:vAlign w:val="bottom"/>
            <w:shd w:val="clear" w:color="auto" w:fill="E6E6E6"/>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580" w:type="dxa"/>
            <w:vAlign w:val="bottom"/>
            <w:gridSpan w:val="2"/>
          </w:tcPr>
          <w:p>
            <w:pPr>
              <w:jc w:val="right"/>
              <w:ind w:right="1747"/>
              <w:spacing w:after="0"/>
              <w:rPr>
                <w:sz w:val="20"/>
                <w:szCs w:val="20"/>
                <w:color w:val="auto"/>
              </w:rPr>
            </w:pPr>
            <w:r>
              <w:rPr>
                <w:rFonts w:ascii="Arial" w:cs="Arial" w:eastAsia="Arial" w:hAnsi="Arial"/>
                <w:sz w:val="18"/>
                <w:szCs w:val="18"/>
                <w:color w:val="auto"/>
              </w:rPr>
              <w:t>I-13</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80" w:type="dxa"/>
            <w:vAlign w:val="bottom"/>
            <w:shd w:val="clear" w:color="auto" w:fill="808080"/>
          </w:tcPr>
          <w:p>
            <w:pPr>
              <w:spacing w:after="0"/>
              <w:rPr>
                <w:sz w:val="5"/>
                <w:szCs w:val="5"/>
                <w:color w:val="auto"/>
              </w:rPr>
            </w:pPr>
          </w:p>
        </w:tc>
        <w:tc>
          <w:tcPr>
            <w:tcW w:w="3920" w:type="dxa"/>
            <w:vAlign w:val="bottom"/>
            <w:shd w:val="clear" w:color="auto" w:fill="808080"/>
          </w:tcPr>
          <w:p>
            <w:pPr>
              <w:spacing w:after="0"/>
              <w:rPr>
                <w:sz w:val="5"/>
                <w:szCs w:val="5"/>
                <w:color w:val="auto"/>
              </w:rPr>
            </w:pPr>
          </w:p>
        </w:tc>
        <w:tc>
          <w:tcPr>
            <w:tcW w:w="25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31" w:right="199" w:bottom="1440" w:gutter="0" w:footer="0" w:header="0"/>
        </w:sectPr>
      </w:pPr>
    </w:p>
    <w:bookmarkStart w:id="53" w:name="page54"/>
    <w:bookmarkEnd w:id="53"/>
    <w:p>
      <w:pPr>
        <w:ind w:right="60" w:firstLine="439"/>
        <w:spacing w:after="0" w:line="290" w:lineRule="auto"/>
        <w:rPr>
          <w:sz w:val="20"/>
          <w:szCs w:val="20"/>
          <w:color w:val="auto"/>
        </w:rPr>
      </w:pPr>
      <w:r>
        <w:rPr>
          <w:rFonts w:ascii="Arial" w:cs="Arial" w:eastAsia="Arial" w:hAnsi="Arial"/>
          <w:sz w:val="16"/>
          <w:szCs w:val="16"/>
          <w:color w:val="auto"/>
        </w:rPr>
        <w:t>Net revenue increased by $15.6 million, or 18.9%, from $82.8 million to $98.4 million. This improvement arose through a combination of increased business from existing clients and business won from new clients. Revenues in the United States, Europe and the Rest of World grew by 25.7%, 2.7% and 53.9% respectively. In the three months ended March 31, 2006, net revenue from our central laboratory business increased by 45.8% from $6.4 million to $9.3 million, while our clinical research segment grew by 16.6% from $76.5 million to $89.2 million over the period ended February 28, 2005. The increase in net revenue in our central laboratory segment is primarily due to higher testing volumes in the first quarter of fiscal 2006.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172" w:lineRule="exact"/>
        <w:rPr>
          <w:sz w:val="20"/>
          <w:szCs w:val="20"/>
          <w:color w:val="auto"/>
        </w:rPr>
      </w:pPr>
    </w:p>
    <w:p>
      <w:pPr>
        <w:jc w:val="both"/>
        <w:ind w:right="20" w:firstLine="439"/>
        <w:spacing w:after="0" w:line="306" w:lineRule="auto"/>
        <w:rPr>
          <w:sz w:val="20"/>
          <w:szCs w:val="20"/>
          <w:color w:val="auto"/>
        </w:rPr>
      </w:pPr>
      <w:r>
        <w:rPr>
          <w:rFonts w:ascii="Arial" w:cs="Arial" w:eastAsia="Arial" w:hAnsi="Arial"/>
          <w:sz w:val="16"/>
          <w:szCs w:val="16"/>
          <w:color w:val="auto"/>
        </w:rPr>
        <w:t>Direct costs increased by $8.7 million, or 18.9%, from $46.0 million to $54.7 million, primarily due to increased staff numbers needed to support increased project related activity and the inclusion of $0.5 million non-cash stock compensation expense for the quarter ended March 31, 2006. Direct costs as a percentage of net revenue increased from 55.5% for the three months to February 28, 2005 to 55.6% for the three months to March 31, 2006.</w:t>
      </w:r>
    </w:p>
    <w:p>
      <w:pPr>
        <w:spacing w:after="0" w:line="161"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Selling, general and administrative expenses increased by $2.9 million, or 10.6%, from $27.4 million to $30.3 million. This increase is due to the continued expansion of our operations and the inclusion of $0.4 million non-cash stock compensation expense for the quarter ended March 31, 2006. As a percentage of net revenue, selling, general and administrative expenses, decreased from 33.1% in the three months ended February 28, 2005 to 30.7% in the three months ended March 31, 2006.</w:t>
      </w:r>
    </w:p>
    <w:p>
      <w:pPr>
        <w:spacing w:after="0" w:line="197" w:lineRule="exact"/>
        <w:rPr>
          <w:sz w:val="20"/>
          <w:szCs w:val="20"/>
          <w:color w:val="auto"/>
        </w:rPr>
      </w:pPr>
    </w:p>
    <w:p>
      <w:pPr>
        <w:ind w:right="380" w:firstLine="439"/>
        <w:spacing w:after="0" w:line="306" w:lineRule="auto"/>
        <w:rPr>
          <w:sz w:val="20"/>
          <w:szCs w:val="20"/>
          <w:color w:val="auto"/>
        </w:rPr>
      </w:pPr>
      <w:r>
        <w:rPr>
          <w:rFonts w:ascii="Arial" w:cs="Arial" w:eastAsia="Arial" w:hAnsi="Arial"/>
          <w:sz w:val="16"/>
          <w:szCs w:val="16"/>
          <w:color w:val="auto"/>
        </w:rPr>
        <w:t>Depreciation and amortization expense increased by $0.02 million, or 0.6%, from $3.42 million to $3.44 million. This increase is due to the continued investment in facilities and information technology to support the growth in activity and in providing for future capacity. As a percentage of net revenue, depreciation and amortization decreased from 4.1% in the three months ended February 28, 2005 to 3.5% in the three months ended March 31, 2006.</w:t>
      </w:r>
    </w:p>
    <w:p>
      <w:pPr>
        <w:spacing w:after="0" w:line="161"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Other charges of $11.3 million were recognised in the three months ended February 28, 2005. These charges related to the recognition of an impairment in the carrying value of our investment in the central laboratory, a write down of certain fixed assets and the lease termination and exit costs associated with the consolidation of some of our office facilities in the US.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Income from operations increased by $15.3 million, or 292.2%, from a loss of $5.2 million for the three months ended February 28, 2005, to a profit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$10.1 million for the three months ended March 31, 2006. As a percentage of net revenue, income from operations increased from (6.3)% for the three months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2005, to 10.2% of net revenues for the three months ended March 31, 2006.</w:t>
      </w:r>
    </w:p>
    <w:p>
      <w:pPr>
        <w:spacing w:after="0" w:line="219"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color w:val="auto"/>
        </w:rPr>
        <w:t>For three months ended March 31, 2006, losses from operations, as a percentage of net revenue for the central laboratory decreased from 165.3% for the three months ended February 28, 2005, to 6.3% for the three months ended March 31, 2006. The loss for the three months ended February 28, 2005, included the effects of other charges. The central laboratory constitutes approximately 9.4% of our business revenues in the period under review. Operating margins for our clinical research segment increased from 6.9% for the three months ended February 28, 2005, to 11.9% for the three months ended March 31, 2006. Income from operations for the clinical research segment is stated after the inclusion of a non-cash stock compensation expense of US$0.9 million for the three months ended March 31, 2006. No non-cash stock compensation expense was recorded in the three months ended February 28, 2005.</w:t>
      </w:r>
    </w:p>
    <w:p>
      <w:pPr>
        <w:spacing w:after="0" w:line="174" w:lineRule="exact"/>
        <w:rPr>
          <w:sz w:val="20"/>
          <w:szCs w:val="20"/>
          <w:color w:val="auto"/>
        </w:rPr>
      </w:pPr>
    </w:p>
    <w:p>
      <w:pPr>
        <w:jc w:val="both"/>
        <w:ind w:right="20" w:firstLine="439"/>
        <w:spacing w:after="0" w:line="259" w:lineRule="auto"/>
        <w:rPr>
          <w:sz w:val="20"/>
          <w:szCs w:val="20"/>
          <w:color w:val="auto"/>
        </w:rPr>
      </w:pPr>
      <w:r>
        <w:rPr>
          <w:rFonts w:ascii="Arial" w:cs="Arial" w:eastAsia="Arial" w:hAnsi="Arial"/>
          <w:sz w:val="18"/>
          <w:szCs w:val="18"/>
          <w:color w:val="auto"/>
        </w:rPr>
        <w:t>Net interest income for the three months ended March 31, 2006 was $0.6 million, an increase of $0.4 million over the amount of net interest income for the three months ended February 28, 2005. Higher average level of funds invested and higher interest rates over the prior period contributed to the increased interest income.</w:t>
      </w:r>
    </w:p>
    <w:p>
      <w:pPr>
        <w:spacing w:after="0" w:line="194"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ICON’s effective tax rate for the three months ended March 31, 2006 was 29.2% compared with (10.5)% for the three months ended February 28, 2005. The increase is due mainly to the impact of non-cash stock compensation expense recorded in the current quarter and other charges recorded in the comparative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60" w:firstLine="436"/>
        <w:spacing w:after="0" w:line="254" w:lineRule="auto"/>
        <w:rPr>
          <w:sz w:val="20"/>
          <w:szCs w:val="20"/>
          <w:color w:val="auto"/>
        </w:rPr>
      </w:pPr>
      <w:r>
        <w:rPr>
          <w:rFonts w:ascii="Arial" w:cs="Arial" w:eastAsia="Arial" w:hAnsi="Arial"/>
          <w:sz w:val="18"/>
          <w:szCs w:val="18"/>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three months ended March 31, 2006 amounted to $59.2 million and $50.6 million for the three months ended February 28, 2005. Investing activities primarily reflect capital expenditures for facilities and for information systems enhancements, the sale and purchase of short-term investments and acquisitions.</w:t>
      </w:r>
    </w:p>
    <w:p>
      <w:pPr>
        <w:spacing w:after="0" w:line="198"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70" w:lineRule="exact"/>
        <w:rPr>
          <w:sz w:val="20"/>
          <w:szCs w:val="20"/>
          <w:color w:val="auto"/>
        </w:rPr>
      </w:pPr>
    </w:p>
    <w:p>
      <w:pPr>
        <w:ind w:right="80" w:firstLine="429"/>
        <w:spacing w:after="0" w:line="298" w:lineRule="auto"/>
        <w:rPr>
          <w:sz w:val="20"/>
          <w:szCs w:val="20"/>
          <w:color w:val="auto"/>
        </w:rPr>
      </w:pPr>
      <w:r>
        <w:rPr>
          <w:rFonts w:ascii="Arial" w:cs="Arial" w:eastAsia="Arial" w:hAnsi="Arial"/>
          <w:sz w:val="16"/>
          <w:szCs w:val="16"/>
          <w:color w:val="auto"/>
        </w:rPr>
        <w:t>As of March 31, 2006, our working capital amounted to $142.4 million, compared to $132.3 million at December 31, 2005.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56 days at March 31, 2006, compared to 65 days at December 31, 2005.</w:t>
      </w:r>
    </w:p>
    <w:p>
      <w:pPr>
        <w:spacing w:after="0" w:line="167"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color w:val="auto"/>
        </w:rPr>
        <w:t>Net cash provided by operating activities was $10.5 million in the three months ended March 31, 2006, compared to $12.6 million in the three months ended February 28, 2005.</w:t>
      </w:r>
    </w:p>
    <w:p>
      <w:pPr>
        <w:spacing w:after="0" w:line="186" w:lineRule="exact"/>
        <w:rPr>
          <w:sz w:val="20"/>
          <w:szCs w:val="20"/>
          <w:color w:val="auto"/>
        </w:rPr>
      </w:pPr>
    </w:p>
    <w:p>
      <w:pPr>
        <w:ind w:right="480" w:firstLine="439"/>
        <w:spacing w:after="0" w:line="268" w:lineRule="auto"/>
        <w:rPr>
          <w:sz w:val="20"/>
          <w:szCs w:val="20"/>
          <w:color w:val="auto"/>
        </w:rPr>
      </w:pPr>
      <w:r>
        <w:rPr>
          <w:rFonts w:ascii="Arial" w:cs="Arial" w:eastAsia="Arial" w:hAnsi="Arial"/>
          <w:sz w:val="18"/>
          <w:szCs w:val="18"/>
          <w:color w:val="auto"/>
        </w:rPr>
        <w:t>Net cash used in investing activities was $4.5 million in the three months ended March 31, 2006, compared to $3.2 million in the three months ended February 28, 2005, due to additional capital expenditure on property, plant and equipment during the period.</w:t>
      </w:r>
    </w:p>
    <w:p>
      <w:pPr>
        <w:spacing w:after="0" w:line="186" w:lineRule="exact"/>
        <w:rPr>
          <w:sz w:val="20"/>
          <w:szCs w:val="20"/>
          <w:color w:val="auto"/>
        </w:rPr>
      </w:pPr>
    </w:p>
    <w:p>
      <w:pPr>
        <w:ind w:right="460" w:firstLine="439"/>
        <w:spacing w:after="0" w:line="268" w:lineRule="auto"/>
        <w:rPr>
          <w:sz w:val="20"/>
          <w:szCs w:val="20"/>
          <w:color w:val="auto"/>
        </w:rPr>
      </w:pPr>
      <w:r>
        <w:rPr>
          <w:rFonts w:ascii="Arial" w:cs="Arial" w:eastAsia="Arial" w:hAnsi="Arial"/>
          <w:sz w:val="18"/>
          <w:szCs w:val="18"/>
          <w:color w:val="auto"/>
        </w:rPr>
        <w:t>Net cash used in financing activities was $3.0 million in the three months ended March 31, 2006, compared to $9.6 million in the three months ended February 28, 2005, primarily due to reduced bank overdraft repayments.</w:t>
      </w:r>
    </w:p>
    <w:p>
      <w:pPr>
        <w:spacing w:after="0" w:line="186" w:lineRule="exact"/>
        <w:rPr>
          <w:sz w:val="20"/>
          <w:szCs w:val="20"/>
          <w:color w:val="auto"/>
        </w:rPr>
      </w:pPr>
    </w:p>
    <w:p>
      <w:pPr>
        <w:ind w:right="160" w:firstLine="429"/>
        <w:spacing w:after="0" w:line="268" w:lineRule="auto"/>
        <w:rPr>
          <w:sz w:val="20"/>
          <w:szCs w:val="20"/>
          <w:color w:val="auto"/>
        </w:rPr>
      </w:pPr>
      <w:r>
        <w:rPr>
          <w:rFonts w:ascii="Arial" w:cs="Arial" w:eastAsia="Arial" w:hAnsi="Arial"/>
          <w:sz w:val="18"/>
          <w:szCs w:val="18"/>
          <w:color w:val="auto"/>
        </w:rPr>
        <w:t>As a result of these cash flows, cash and cash equivalents increased by $3.0 million in the three months ended March 31, 2006, compared to a decrease of $0.08 million in the three months ended February 28, 2005.</w:t>
      </w:r>
    </w:p>
    <w:p>
      <w:pPr>
        <w:spacing w:after="0" w:line="186"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the term loan facility of $40 million and the multi currency overdraft facility of $5 million. As at March 31, 2006, the full amounts of the term loan facility and the multi currency overdraft were available to be drawn down. As at March 31, 2006, the full amount of the $15 million revolving credit facility was available to be drawn down.</w:t>
      </w:r>
    </w:p>
    <w:p>
      <w:pPr>
        <w:spacing w:after="0" w:line="172" w:lineRule="exact"/>
        <w:rPr>
          <w:sz w:val="20"/>
          <w:szCs w:val="20"/>
          <w:color w:val="auto"/>
        </w:rPr>
      </w:pPr>
    </w:p>
    <w:p>
      <w:pPr>
        <w:ind w:right="360" w:firstLine="436"/>
        <w:spacing w:after="0" w:line="332" w:lineRule="auto"/>
        <w:rPr>
          <w:sz w:val="20"/>
          <w:szCs w:val="20"/>
          <w:color w:val="auto"/>
        </w:rPr>
      </w:pPr>
      <w:r>
        <w:rPr>
          <w:rFonts w:ascii="Arial" w:cs="Arial" w:eastAsia="Arial" w:hAnsi="Arial"/>
          <w:sz w:val="16"/>
          <w:szCs w:val="16"/>
          <w:color w:val="auto"/>
        </w:rPr>
        <w:t>The Company also entered into an overdraft agreement with Allied Irish Banks, plc (“AIB”) whereby the company guarantees any overdraft of its subsidiary ICON Clinical Research GmbH up to an amount 120,000 (U.S.$144,912). As of March 31, 2006, the full facility was available to be drawn down.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6" w:name="page57"/>
    <w:bookmarkEnd w:id="56"/>
    <w:p>
      <w:pPr>
        <w:jc w:val="center"/>
        <w:ind w:right="-8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ICON plc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April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92646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12"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80010</wp:posOffset>
            </wp:positionV>
            <wp:extent cx="2727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1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Ciaran Murray</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540"/>
          </w:cols>
          <w:pgMar w:left="240" w:top="125" w:right="11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Annex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Rule 13a - 16 under</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June 30, 2006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ICON plc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name)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0-29714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x  No 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25" w:lineRule="exact"/>
        <w:rPr>
          <w:sz w:val="20"/>
          <w:szCs w:val="20"/>
          <w:color w:val="auto"/>
        </w:rPr>
      </w:pPr>
    </w:p>
    <w:p>
      <w:pPr>
        <w:ind w:right="620" w:firstLine="439"/>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Yes o  No x</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12g3-2(b):82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 w:name="page59"/>
    <w:bookmarkEnd w:id="58"/>
    <w:p>
      <w:pPr>
        <w:jc w:val="both"/>
        <w:ind w:firstLine="436"/>
        <w:spacing w:after="0" w:line="256"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used herein, “ICON”, the “Company” and “we” refer to ICON plc and its consolidated subsidiaries, unless the context requires otherwise.</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Business</w:t>
      </w:r>
    </w:p>
    <w:p>
      <w:pPr>
        <w:spacing w:after="0" w:line="231" w:lineRule="exact"/>
        <w:rPr>
          <w:sz w:val="20"/>
          <w:szCs w:val="20"/>
          <w:color w:val="auto"/>
        </w:rPr>
      </w:pPr>
    </w:p>
    <w:p>
      <w:pPr>
        <w:ind w:right="60" w:firstLine="436"/>
        <w:spacing w:after="0" w:line="291"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3,600 employees worldwide, with operations in 45 locations in 30 countries, including the United States and major markets in Europe and Rest of World. For the six months ended June 30, 2006, we derived approximately 61.1%, 31.8%, and 7.1% of our net revenue in the United States, Europe and Rest of World, respectively.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Headquartered in Dublin, Ireland, we began operations in 1990 and have expanded our business through internal growth and strategic acquisitions.</w:t>
      </w:r>
    </w:p>
    <w:p>
      <w:pPr>
        <w:spacing w:after="0" w:line="248"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On July 27, 2005 the Board of Directors of the Company approved a change of the Company’s fiscal year-end from a twelve-month period ending on May 31 to a twelve-month period ending on December 31. The Company made this change in order to align its fiscal year end with the majority of other contract research organizations. As a requirement of this change, the Company reported results for the seven-month period from June 1, 2005 to December 31, 2005 as a separate transition period in a Transition Report filed on Form 20-F. From January 1, 2006, the Company’s fiscal quarters will end on the last day of March, June, September and December of each year. Information set out in this report is for the three and six months ending June 30, 2006. Comparative income statement and cash flow information, together with related notes, is for the three and six months ending May 31, 2005. Comparative balance sheet information and related notes are stated as at December 31, 2005.</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JUNE 30, 2006 AND DECEMBER 31, 2005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3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tcPr>
          <w:p>
            <w:pPr>
              <w:jc w:val="center"/>
              <w:ind w:right="44"/>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310" w:type="dxa"/>
            <w:vAlign w:val="bottom"/>
            <w:gridSpan w:val="5"/>
          </w:tcPr>
          <w:p>
            <w:pPr>
              <w:jc w:val="right"/>
              <w:ind w:right="73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63,186</w:t>
            </w:r>
          </w:p>
        </w:tc>
        <w:tc>
          <w:tcPr>
            <w:tcW w:w="4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59,509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Short term investments - available for sale</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37,827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Accounts receivable</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81,233</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71,450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Unbilled revenue</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69,379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Other receivables</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5,092</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6,435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1,526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Prepayments and other current assets</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13,480</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11,089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3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110" w:type="dxa"/>
            <w:vAlign w:val="bottom"/>
          </w:tcPr>
          <w:p>
            <w:pPr>
              <w:spacing w:after="0"/>
              <w:rPr>
                <w:sz w:val="24"/>
                <w:szCs w:val="24"/>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271,723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235,116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Other Assets:</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52,974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Goodwill</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67,395</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65,731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Non-current deferred tax asset</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Intangible assets</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900" w:type="dxa"/>
            <w:vAlign w:val="bottom"/>
            <w:gridSpan w:val="2"/>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3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tcPr>
          <w:p>
            <w:pPr>
              <w:jc w:val="right"/>
              <w:spacing w:after="0"/>
              <w:rPr>
                <w:sz w:val="20"/>
                <w:szCs w:val="20"/>
                <w:color w:val="auto"/>
              </w:rPr>
            </w:pPr>
            <w:r>
              <w:rPr>
                <w:rFonts w:ascii="Arial" w:cs="Arial" w:eastAsia="Arial" w:hAnsi="Arial"/>
                <w:sz w:val="18"/>
                <w:szCs w:val="18"/>
                <w:color w:val="auto"/>
              </w:rPr>
              <w:t>392,566</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900" w:type="dxa"/>
            <w:vAlign w:val="bottom"/>
            <w:gridSpan w:val="2"/>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93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888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93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Accounts payable</w:t>
            </w:r>
          </w:p>
        </w:tc>
        <w:tc>
          <w:tcPr>
            <w:tcW w:w="11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9,262</w:t>
            </w:r>
          </w:p>
        </w:tc>
        <w:tc>
          <w:tcPr>
            <w:tcW w:w="4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7,575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Payments on account</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65,436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Other liabilities</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35,911</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33,184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Deferred tax liability</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Bank credit lines and loan facilities</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11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7,260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3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118,462</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102,804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Liabilities:</w:t>
            </w: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Long term government grants</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1,179</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Long term finance leases</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Non-current deferred tax liability</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2,526</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Minority interest</w:t>
            </w:r>
          </w:p>
        </w:tc>
        <w:tc>
          <w:tcPr>
            <w:tcW w:w="11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900" w:type="dxa"/>
            <w:vAlign w:val="bottom"/>
            <w:gridSpan w:val="2"/>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3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 Liabilities</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123,237</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107,509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Shareholders’ Equity:</w:t>
            </w: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w w:val="97"/>
              </w:rPr>
              <w:t>Ordinary shares, par value 6 euro cents per share; 20,000,000 shares authorized, 14,176,636 shares issued and</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shd w:val="clear" w:color="auto" w:fill="E6E6E6"/>
          </w:tcPr>
          <w:p>
            <w:pPr>
              <w:ind w:left="300"/>
              <w:spacing w:after="0"/>
              <w:rPr>
                <w:sz w:val="20"/>
                <w:szCs w:val="20"/>
                <w:color w:val="auto"/>
              </w:rPr>
            </w:pPr>
            <w:r>
              <w:rPr>
                <w:rFonts w:ascii="Arial" w:cs="Arial" w:eastAsia="Arial" w:hAnsi="Arial"/>
                <w:sz w:val="18"/>
                <w:szCs w:val="18"/>
                <w:color w:val="auto"/>
              </w:rPr>
              <w:t>outstanding at June 30, 2006 and 14,018,092 shares issued and outstanding at December 31, 2005</w:t>
            </w:r>
          </w:p>
        </w:tc>
        <w:tc>
          <w:tcPr>
            <w:tcW w:w="110" w:type="dxa"/>
            <w:vAlign w:val="bottom"/>
            <w:shd w:val="clear" w:color="auto" w:fill="E6E6E6"/>
          </w:tcPr>
          <w:p>
            <w:pPr>
              <w:spacing w:after="0"/>
              <w:rPr>
                <w:sz w:val="19"/>
                <w:szCs w:val="19"/>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1,005</w:t>
            </w: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129,443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8,220</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Arial" w:cs="Arial" w:eastAsia="Arial" w:hAnsi="Arial"/>
                <w:sz w:val="18"/>
                <w:szCs w:val="18"/>
                <w:color w:val="auto"/>
              </w:rPr>
              <w:t>Merger reserve</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Retained earnings</w:t>
            </w:r>
          </w:p>
        </w:tc>
        <w:tc>
          <w:tcPr>
            <w:tcW w:w="110" w:type="dxa"/>
            <w:vAlign w:val="bottom"/>
            <w:shd w:val="clear" w:color="auto" w:fill="E6E6E6"/>
          </w:tcPr>
          <w:p>
            <w:pPr>
              <w:spacing w:after="0"/>
              <w:rPr>
                <w:sz w:val="18"/>
                <w:szCs w:val="18"/>
                <w:color w:val="auto"/>
              </w:rPr>
            </w:pP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130,614</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113,776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900" w:type="dxa"/>
            <w:vAlign w:val="bottom"/>
            <w:gridSpan w:val="2"/>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3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9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10" w:type="dxa"/>
            <w:vAlign w:val="bottom"/>
          </w:tcPr>
          <w:p>
            <w:pPr>
              <w:spacing w:after="0"/>
              <w:rPr>
                <w:sz w:val="24"/>
                <w:szCs w:val="24"/>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269,329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E6E6E6"/>
          </w:tcPr>
          <w:p>
            <w:pPr>
              <w:spacing w:after="0"/>
              <w:rPr>
                <w:sz w:val="20"/>
                <w:szCs w:val="20"/>
                <w:color w:val="auto"/>
              </w:rPr>
            </w:pPr>
            <w:r>
              <w:rPr>
                <w:rFonts w:ascii="Arial" w:cs="Arial" w:eastAsia="Arial" w:hAnsi="Arial"/>
                <w:sz w:val="18"/>
                <w:szCs w:val="18"/>
                <w:color w:val="auto"/>
              </w:rPr>
              <w:t>Total Liabilities and Shareholders’ Equity</w:t>
            </w:r>
          </w:p>
        </w:tc>
        <w:tc>
          <w:tcPr>
            <w:tcW w:w="11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392,566</w:t>
            </w:r>
          </w:p>
        </w:tc>
        <w:tc>
          <w:tcPr>
            <w:tcW w:w="4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93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-4017010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-4017010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-4017010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-4017010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-4017010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-4017010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CONDENSED CONSOLIDATED STATEMENTS OF OPERATIONS FOR THE THREE AND SIX MONTHS ENDED JUNE 30, 2006 AND MAY 31, 2005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63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07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May 31,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90" w:type="dxa"/>
            <w:vAlign w:val="bottom"/>
          </w:tcPr>
          <w:p>
            <w:pPr>
              <w:jc w:val="right"/>
              <w:ind w:right="355"/>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bottom w:val="single" w:sz="8" w:color="auto"/>
            </w:tcBorders>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9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10"/>
          </w:tcPr>
          <w:p>
            <w:pPr>
              <w:ind w:left="60"/>
              <w:spacing w:after="0"/>
              <w:rPr>
                <w:sz w:val="20"/>
                <w:szCs w:val="20"/>
                <w:color w:val="auto"/>
              </w:rPr>
            </w:pPr>
            <w:r>
              <w:rPr>
                <w:rFonts w:ascii="Arial" w:cs="Arial" w:eastAsia="Arial" w:hAnsi="Arial"/>
                <w:sz w:val="14"/>
                <w:szCs w:val="14"/>
                <w:b w:val="1"/>
                <w:bCs w:val="1"/>
                <w:color w:val="auto"/>
                <w:w w:val="89"/>
              </w:rPr>
              <w:t>(in thousands except share and per share data)</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9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Gross revenue</w:t>
            </w:r>
          </w:p>
        </w:tc>
        <w:tc>
          <w:tcPr>
            <w:tcW w:w="13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153,744</w:t>
            </w: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121,979</w:t>
            </w:r>
          </w:p>
        </w:tc>
        <w:tc>
          <w:tcPr>
            <w:tcW w:w="20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294,388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Subcontractor costs</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107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(46,308)</w:t>
            </w: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20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(36,010)</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12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(88,457)</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(66,496)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9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107,436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85,969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205,931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168,824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Costs and expenses:</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9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Direct costs</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60,014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47,529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114,718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9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32,397</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27,540</w:t>
            </w: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62,677</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54,925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3,689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Other Charges</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107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200" w:type="dxa"/>
            <w:vAlign w:val="bottom"/>
            <w:gridSpan w:val="2"/>
            <w:shd w:val="clear" w:color="auto" w:fill="E6E6E6"/>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140" w:type="dxa"/>
            <w:vAlign w:val="bottom"/>
            <w:gridSpan w:val="4"/>
            <w:shd w:val="clear" w:color="auto" w:fill="E6E6E6"/>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9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96,100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78,618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184,529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166,710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9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9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9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11,336</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7,351</w:t>
            </w: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21,402</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107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20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(51)</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12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(66)</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08"/>
        </w:trPr>
        <w:tc>
          <w:tcPr>
            <w:tcW w:w="6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99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0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12,274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22,987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107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(2,943)</w:t>
            </w: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20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(1,699)</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12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(6,073)</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7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02"/>
        </w:trPr>
        <w:tc>
          <w:tcPr>
            <w:tcW w:w="6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99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30" w:type="dxa"/>
            <w:vAlign w:val="bottom"/>
            <w:gridSpan w:val="2"/>
          </w:tcPr>
          <w:p>
            <w:pPr>
              <w:spacing w:after="0"/>
              <w:rPr>
                <w:sz w:val="8"/>
                <w:szCs w:val="8"/>
                <w:color w:val="auto"/>
              </w:rPr>
            </w:pPr>
          </w:p>
        </w:tc>
        <w:tc>
          <w:tcPr>
            <w:tcW w:w="99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Net income</w:t>
            </w:r>
          </w:p>
        </w:tc>
        <w:tc>
          <w:tcPr>
            <w:tcW w:w="130" w:type="dxa"/>
            <w:vAlign w:val="bottom"/>
            <w:gridSpan w:val="2"/>
            <w:shd w:val="clear" w:color="auto" w:fill="E6E6E6"/>
          </w:tcPr>
          <w:p>
            <w:pPr>
              <w:jc w:val="right"/>
              <w:ind w:right="30"/>
              <w:spacing w:after="0"/>
              <w:rPr>
                <w:sz w:val="20"/>
                <w:szCs w:val="20"/>
                <w:color w:val="auto"/>
              </w:rPr>
            </w:pPr>
            <w:r>
              <w:rPr>
                <w:rFonts w:ascii="Arial" w:cs="Arial" w:eastAsia="Arial" w:hAnsi="Arial"/>
                <w:sz w:val="18"/>
                <w:szCs w:val="18"/>
                <w:color w:val="auto"/>
                <w:w w:val="79"/>
              </w:rPr>
              <w:t>$</w:t>
            </w:r>
          </w:p>
        </w:tc>
        <w:tc>
          <w:tcPr>
            <w:tcW w:w="99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9,297</w:t>
            </w:r>
          </w:p>
        </w:tc>
        <w:tc>
          <w:tcPr>
            <w:tcW w:w="80" w:type="dxa"/>
            <w:vAlign w:val="bottom"/>
            <w:shd w:val="clear" w:color="auto" w:fill="E6E6E6"/>
          </w:tcPr>
          <w:p>
            <w:pPr>
              <w:spacing w:after="0"/>
              <w:rPr>
                <w:sz w:val="18"/>
                <w:szCs w:val="18"/>
                <w:color w:val="auto"/>
              </w:rPr>
            </w:pP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5,949</w:t>
            </w:r>
          </w:p>
        </w:tc>
        <w:tc>
          <w:tcPr>
            <w:tcW w:w="200" w:type="dxa"/>
            <w:vAlign w:val="bottom"/>
            <w:shd w:val="clear" w:color="auto" w:fill="E6E6E6"/>
          </w:tcPr>
          <w:p>
            <w:pPr>
              <w:spacing w:after="0"/>
              <w:rPr>
                <w:sz w:val="18"/>
                <w:szCs w:val="18"/>
                <w:color w:val="auto"/>
              </w:rPr>
            </w:pPr>
          </w:p>
        </w:tc>
        <w:tc>
          <w:tcPr>
            <w:tcW w:w="2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16,838</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Net income per Ordinary Share:</w:t>
            </w:r>
          </w:p>
        </w:tc>
        <w:tc>
          <w:tcPr>
            <w:tcW w:w="20" w:type="dxa"/>
            <w:vAlign w:val="bottom"/>
            <w:tcBorders>
              <w:bottom w:val="single" w:sz="8" w:color="808080"/>
            </w:tcBorders>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99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61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9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Basic</w:t>
            </w:r>
          </w:p>
        </w:tc>
        <w:tc>
          <w:tcPr>
            <w:tcW w:w="130" w:type="dxa"/>
            <w:vAlign w:val="bottom"/>
            <w:gridSpan w:val="2"/>
            <w:shd w:val="clear" w:color="auto" w:fill="E6E6E6"/>
          </w:tcPr>
          <w:p>
            <w:pPr>
              <w:jc w:val="right"/>
              <w:ind w:right="30"/>
              <w:spacing w:after="0"/>
              <w:rPr>
                <w:sz w:val="20"/>
                <w:szCs w:val="20"/>
                <w:color w:val="auto"/>
              </w:rPr>
            </w:pPr>
            <w:r>
              <w:rPr>
                <w:rFonts w:ascii="Arial" w:cs="Arial" w:eastAsia="Arial" w:hAnsi="Arial"/>
                <w:sz w:val="18"/>
                <w:szCs w:val="18"/>
                <w:color w:val="auto"/>
                <w:w w:val="79"/>
              </w:rPr>
              <w:t>$</w:t>
            </w:r>
          </w:p>
        </w:tc>
        <w:tc>
          <w:tcPr>
            <w:tcW w:w="99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0.66</w:t>
            </w:r>
          </w:p>
        </w:tc>
        <w:tc>
          <w:tcPr>
            <w:tcW w:w="80" w:type="dxa"/>
            <w:vAlign w:val="bottom"/>
            <w:shd w:val="clear" w:color="auto" w:fill="E6E6E6"/>
          </w:tcPr>
          <w:p>
            <w:pPr>
              <w:spacing w:after="0"/>
              <w:rPr>
                <w:sz w:val="18"/>
                <w:szCs w:val="18"/>
                <w:color w:val="auto"/>
              </w:rPr>
            </w:pPr>
          </w:p>
        </w:tc>
        <w:tc>
          <w:tcPr>
            <w:tcW w:w="360" w:type="dxa"/>
            <w:vAlign w:val="bottom"/>
            <w:gridSpan w:val="2"/>
            <w:shd w:val="clear" w:color="auto" w:fill="E6E6E6"/>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E6E6E6"/>
          </w:tcPr>
          <w:p>
            <w:pPr>
              <w:spacing w:after="0"/>
              <w:rPr>
                <w:sz w:val="18"/>
                <w:szCs w:val="18"/>
                <w:color w:val="auto"/>
              </w:rPr>
            </w:pPr>
          </w:p>
        </w:tc>
        <w:tc>
          <w:tcPr>
            <w:tcW w:w="2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1.19</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30" w:type="dxa"/>
            <w:vAlign w:val="bottom"/>
            <w:tcBorders>
              <w:bottom w:val="single" w:sz="8" w:color="808080"/>
            </w:tcBorders>
            <w:gridSpan w:val="2"/>
          </w:tcPr>
          <w:p>
            <w:pPr>
              <w:spacing w:after="0"/>
              <w:rPr>
                <w:sz w:val="11"/>
                <w:szCs w:val="11"/>
                <w:color w:val="auto"/>
              </w:rPr>
            </w:pPr>
          </w:p>
        </w:tc>
        <w:tc>
          <w:tcPr>
            <w:tcW w:w="99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808080"/>
            </w:tcBorders>
            <w:gridSpan w:val="2"/>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Diluted</w:t>
            </w:r>
          </w:p>
        </w:tc>
        <w:tc>
          <w:tcPr>
            <w:tcW w:w="13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24"/>
                <w:szCs w:val="2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10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99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9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6E6E6"/>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9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14,132,745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13,887,989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14,087,381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13,877,113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99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9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E6E6E6"/>
          </w:tcPr>
          <w:p>
            <w:pPr>
              <w:spacing w:after="0"/>
              <w:rPr>
                <w:sz w:val="18"/>
                <w:szCs w:val="18"/>
                <w:color w:val="auto"/>
              </w:rPr>
            </w:pPr>
          </w:p>
        </w:tc>
        <w:tc>
          <w:tcPr>
            <w:tcW w:w="110" w:type="dxa"/>
            <w:vAlign w:val="bottom"/>
            <w:shd w:val="clear" w:color="auto" w:fill="E6E6E6"/>
          </w:tcPr>
          <w:p>
            <w:pPr>
              <w:spacing w:after="0"/>
              <w:rPr>
                <w:sz w:val="18"/>
                <w:szCs w:val="18"/>
                <w:color w:val="auto"/>
              </w:rPr>
            </w:pPr>
          </w:p>
        </w:tc>
        <w:tc>
          <w:tcPr>
            <w:tcW w:w="99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14,347,765</w:t>
            </w:r>
          </w:p>
        </w:tc>
        <w:tc>
          <w:tcPr>
            <w:tcW w:w="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14,100,098</w:t>
            </w:r>
          </w:p>
        </w:tc>
        <w:tc>
          <w:tcPr>
            <w:tcW w:w="2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14,249,678</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14,089,004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0" w:type="dxa"/>
            <w:vAlign w:val="bottom"/>
            <w:tcBorders>
              <w:bottom w:val="single" w:sz="8" w:color="808080"/>
            </w:tcBorders>
          </w:tcPr>
          <w:p>
            <w:pPr>
              <w:spacing w:after="0"/>
              <w:rPr>
                <w:sz w:val="11"/>
                <w:szCs w:val="11"/>
                <w:color w:val="auto"/>
              </w:rPr>
            </w:pPr>
          </w:p>
        </w:tc>
        <w:tc>
          <w:tcPr>
            <w:tcW w:w="99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-1504315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-1504315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-1504315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-1504315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-1504315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-1504315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-1504315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-1504315</wp:posOffset>
            </wp:positionV>
            <wp:extent cx="149606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9606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-1066800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-1066800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-1066800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-1066800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-1066800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-1066800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-1066800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-1066800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-1066800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-1066800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-1066800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-1066800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-766445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-766445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-766445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-766445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-766445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-766445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-766445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-766445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-766445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-766445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-766445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-766445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-329565</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-329565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-329565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-329565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-329565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-329565</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-329565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-329565</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-329565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-329565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-329565</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-329565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2006 AND MAY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4"/>
          </w:tcPr>
          <w:p>
            <w:pPr>
              <w:jc w:val="center"/>
              <w:ind w:left="554"/>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16,838</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Loss on disposal of property, plant and equipment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7,134</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6,973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Amortization of grants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Share compensation expense</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1,968</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Deferred taxes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Minority interest</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Other charges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spacing w:after="0"/>
              <w:rPr>
                <w:sz w:val="20"/>
                <w:szCs w:val="20"/>
                <w:color w:val="auto"/>
              </w:rPr>
            </w:pPr>
            <w:r>
              <w:rPr>
                <w:rFonts w:ascii="Arial" w:cs="Arial" w:eastAsia="Arial" w:hAnsi="Arial"/>
                <w:sz w:val="18"/>
                <w:szCs w:val="18"/>
                <w:color w:val="auto"/>
              </w:rPr>
              <w:t>Changes in assets and liabilities:</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(Increase)/decrease in accounts receivable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(Increase)/decrease in unbilled revenue</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4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(6,759)</w:t>
            </w: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14,688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Decrease/(increase) in other receivables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 in prepayments and other current assets</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4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(2,072)</w:t>
            </w: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Increase/(decrease) in payments on account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 in other liabilities</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2,288</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8,379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Increase/(decrease) in income taxes payable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Increase in accounts payable</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1,465</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5,132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00" w:type="dxa"/>
            <w:vAlign w:val="bottom"/>
            <w:gridSpan w:val="2"/>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73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30,384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(10,827)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Purchase of intangible asset</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40" w:type="dxa"/>
            <w:vAlign w:val="bottom"/>
            <w:gridSpan w:val="2"/>
            <w:shd w:val="clear" w:color="auto" w:fill="E6E6E6"/>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Purchase of subsidiary undertakings and acquisition costs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ind w:left="140"/>
              <w:spacing w:after="0"/>
              <w:rPr>
                <w:sz w:val="20"/>
                <w:szCs w:val="20"/>
                <w:color w:val="auto"/>
              </w:rPr>
            </w:pPr>
            <w:r>
              <w:rPr>
                <w:rFonts w:ascii="Arial" w:cs="Arial" w:eastAsia="Arial" w:hAnsi="Arial"/>
                <w:sz w:val="18"/>
                <w:szCs w:val="18"/>
                <w:color w:val="auto"/>
              </w:rPr>
              <w:t>Purchase of short term investments</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4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(15,018)</w:t>
            </w: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Sale of short term investments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spacing w:after="0"/>
              <w:rPr>
                <w:sz w:val="20"/>
                <w:szCs w:val="20"/>
                <w:color w:val="auto"/>
              </w:rPr>
            </w:pPr>
            <w:r>
              <w:rPr>
                <w:rFonts w:ascii="Arial" w:cs="Arial" w:eastAsia="Arial" w:hAnsi="Arial"/>
                <w:sz w:val="18"/>
                <w:szCs w:val="18"/>
                <w:color w:val="auto"/>
              </w:rPr>
              <w:t>Deferred payments in respect of prior year acquisitions</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4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363"/>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(25,941)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Repayments of bank credit lines and loan facilities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(4,888)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spacing w:after="0"/>
              <w:rPr>
                <w:sz w:val="20"/>
                <w:szCs w:val="20"/>
                <w:color w:val="auto"/>
              </w:rPr>
            </w:pPr>
            <w:r>
              <w:rPr>
                <w:rFonts w:ascii="Arial" w:cs="Arial" w:eastAsia="Arial" w:hAnsi="Arial"/>
                <w:sz w:val="18"/>
                <w:szCs w:val="18"/>
                <w:color w:val="auto"/>
              </w:rPr>
              <w:t>Proceeds from exercise of share options</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4,179</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Share issuance costs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6E6E6"/>
          </w:tcPr>
          <w:p>
            <w:pPr>
              <w:spacing w:after="0"/>
              <w:rPr>
                <w:sz w:val="20"/>
                <w:szCs w:val="20"/>
                <w:color w:val="auto"/>
              </w:rPr>
            </w:pPr>
            <w:r>
              <w:rPr>
                <w:rFonts w:ascii="Arial" w:cs="Arial" w:eastAsia="Arial" w:hAnsi="Arial"/>
                <w:sz w:val="18"/>
                <w:szCs w:val="18"/>
                <w:color w:val="auto"/>
              </w:rPr>
              <w:t>Repayment of other liabilities</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40" w:type="dxa"/>
            <w:vAlign w:val="bottom"/>
            <w:gridSpan w:val="2"/>
            <w:shd w:val="clear" w:color="auto" w:fill="E6E6E6"/>
          </w:tcPr>
          <w:p>
            <w:pPr>
              <w:jc w:val="right"/>
              <w:ind w:right="28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08"/>
        </w:trPr>
        <w:tc>
          <w:tcPr>
            <w:tcW w:w="7300" w:type="dxa"/>
            <w:vAlign w:val="bottom"/>
            <w:gridSpan w:val="2"/>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(9,230)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80" w:type="dxa"/>
            <w:vAlign w:val="bottom"/>
            <w:shd w:val="clear" w:color="auto" w:fill="E6E6E6"/>
          </w:tcPr>
          <w:p>
            <w:pPr>
              <w:spacing w:after="0"/>
              <w:rPr>
                <w:sz w:val="20"/>
                <w:szCs w:val="20"/>
                <w:color w:val="auto"/>
              </w:rPr>
            </w:pPr>
            <w:r>
              <w:rPr>
                <w:rFonts w:ascii="Arial" w:cs="Arial" w:eastAsia="Arial" w:hAnsi="Arial"/>
                <w:sz w:val="18"/>
                <w:szCs w:val="18"/>
                <w:color w:val="auto"/>
              </w:rPr>
              <w:t>Effect of exchange rate movements on cash</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108"/>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6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730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80" w:type="dxa"/>
            <w:vAlign w:val="bottom"/>
            <w:shd w:val="clear" w:color="auto" w:fill="E6E6E6"/>
          </w:tcPr>
          <w:p>
            <w:pPr>
              <w:spacing w:after="0"/>
              <w:rPr>
                <w:sz w:val="20"/>
                <w:szCs w:val="20"/>
                <w:color w:val="auto"/>
              </w:rPr>
            </w:pPr>
            <w:r>
              <w:rPr>
                <w:rFonts w:ascii="Arial" w:cs="Arial" w:eastAsia="Arial" w:hAnsi="Arial"/>
                <w:sz w:val="18"/>
                <w:szCs w:val="18"/>
                <w:color w:val="auto"/>
              </w:rPr>
              <w:t>Cash and cash equivalents at beginning of period</w:t>
            </w:r>
          </w:p>
        </w:tc>
        <w:tc>
          <w:tcPr>
            <w:tcW w:w="16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59,509</w:t>
            </w:r>
          </w:p>
        </w:tc>
        <w:tc>
          <w:tcPr>
            <w:tcW w:w="3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41,975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6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7300" w:type="dxa"/>
            <w:vAlign w:val="bottom"/>
            <w:gridSpan w:val="2"/>
            <w:vMerge w:val="continue"/>
          </w:tcPr>
          <w:p>
            <w:pPr>
              <w:spacing w:after="0"/>
              <w:rPr>
                <w:sz w:val="24"/>
                <w:szCs w:val="24"/>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63,186</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-27305</wp:posOffset>
            </wp:positionV>
            <wp:extent cx="154749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47495" cy="2984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1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1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w w:val="91"/>
              </w:rPr>
              <w:t>Retained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4"/>
              </w:rPr>
              <w:t>Merger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160" w:type="dxa"/>
            <w:vAlign w:val="bottom"/>
          </w:tcPr>
          <w:p>
            <w:pPr>
              <w:jc w:val="right"/>
              <w:ind w:right="31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16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Earnings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w w:val="80"/>
              </w:rPr>
              <w:t>Reserve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80" w:type="dxa"/>
            <w:vAlign w:val="bottom"/>
            <w:gridSpan w:val="7"/>
          </w:tcPr>
          <w:p>
            <w:pPr>
              <w:jc w:val="right"/>
              <w:ind w:right="497"/>
              <w:spacing w:after="0"/>
              <w:rPr>
                <w:sz w:val="20"/>
                <w:szCs w:val="20"/>
                <w:color w:val="auto"/>
              </w:rPr>
            </w:pPr>
            <w:r>
              <w:rPr>
                <w:rFonts w:ascii="Arial" w:cs="Arial" w:eastAsia="Arial" w:hAnsi="Arial"/>
                <w:sz w:val="14"/>
                <w:szCs w:val="14"/>
                <w:b w:val="1"/>
                <w:bCs w:val="1"/>
                <w:color w:val="auto"/>
                <w:w w:val="99"/>
              </w:rPr>
              <w:t>(dollars in thousands, except per share data)</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Balance at December 31, 2005</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14,018,092</w:t>
            </w:r>
          </w:p>
        </w:tc>
        <w:tc>
          <w:tcPr>
            <w:tcW w:w="380" w:type="dxa"/>
            <w:vAlign w:val="bottom"/>
            <w:gridSpan w:val="2"/>
            <w:shd w:val="clear" w:color="auto" w:fill="E6E6E6"/>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993</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123,333</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3,409</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113,776</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38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241,558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6E6E6"/>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gridSpan w:val="2"/>
            <w:shd w:val="clear" w:color="auto" w:fill="E6E6E6"/>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16,838</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16,838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6E6E6"/>
          </w:tcPr>
          <w:p>
            <w:pPr>
              <w:spacing w:after="0"/>
              <w:rPr>
                <w:sz w:val="20"/>
                <w:szCs w:val="20"/>
                <w:color w:val="auto"/>
              </w:rPr>
            </w:pPr>
            <w:r>
              <w:rPr>
                <w:rFonts w:ascii="Arial" w:cs="Arial" w:eastAsia="Arial" w:hAnsi="Arial"/>
                <w:sz w:val="18"/>
                <w:szCs w:val="18"/>
                <w:color w:val="auto"/>
              </w:rPr>
              <w:t>Total comprehensive income</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21,649</w:t>
            </w:r>
          </w:p>
        </w:tc>
        <w:tc>
          <w:tcPr>
            <w:tcW w:w="2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48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8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64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Share issuance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6E6E6"/>
          </w:tcPr>
          <w:p>
            <w:pPr>
              <w:spacing w:after="0"/>
              <w:rPr>
                <w:sz w:val="20"/>
                <w:szCs w:val="20"/>
                <w:color w:val="auto"/>
              </w:rPr>
            </w:pPr>
            <w:r>
              <w:rPr>
                <w:rFonts w:ascii="Arial" w:cs="Arial" w:eastAsia="Arial" w:hAnsi="Arial"/>
                <w:sz w:val="18"/>
                <w:szCs w:val="18"/>
                <w:color w:val="auto"/>
              </w:rPr>
              <w:t>Exercise of share options</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158,544</w:t>
            </w:r>
          </w:p>
        </w:tc>
        <w:tc>
          <w:tcPr>
            <w:tcW w:w="2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4,167</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w w:val="96"/>
              </w:rPr>
              <w:t>Non-cash stock 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60" w:type="dxa"/>
            <w:vAlign w:val="bottom"/>
            <w:gridSpan w:val="2"/>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Balance at June 30, 2006</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14,176,636</w:t>
            </w:r>
          </w:p>
        </w:tc>
        <w:tc>
          <w:tcPr>
            <w:tcW w:w="380" w:type="dxa"/>
            <w:vAlign w:val="bottom"/>
            <w:gridSpan w:val="2"/>
            <w:shd w:val="clear" w:color="auto" w:fill="E6E6E6"/>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7"/>
              </w:rPr>
              <w:t>1,005</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129,443</w:t>
            </w:r>
          </w:p>
        </w:tc>
        <w:tc>
          <w:tcPr>
            <w:tcW w:w="22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8,220</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130,614</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w:t>
            </w:r>
          </w:p>
        </w:tc>
        <w:tc>
          <w:tcPr>
            <w:tcW w:w="38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269,329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1941195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374332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743325" cy="2984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JUNE 30,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ind w:right="80" w:firstLine="436"/>
        <w:spacing w:after="0" w:line="312" w:lineRule="auto"/>
        <w:rPr>
          <w:sz w:val="20"/>
          <w:szCs w:val="20"/>
          <w:color w:val="auto"/>
        </w:rPr>
      </w:pPr>
      <w:r>
        <w:rPr>
          <w:rFonts w:ascii="Arial" w:cs="Arial" w:eastAsia="Arial" w:hAnsi="Arial"/>
          <w:sz w:val="15"/>
          <w:szCs w:val="15"/>
          <w:color w:val="auto"/>
        </w:rPr>
        <w:t xml:space="preserve">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As discussed in note 5, the Company adopted Statement of Accounting Standard (“SFAS”) 123 (revised 2004) </w:t>
      </w:r>
      <w:r>
        <w:rPr>
          <w:rFonts w:ascii="Arial" w:cs="Arial" w:eastAsia="Arial" w:hAnsi="Arial"/>
          <w:sz w:val="15"/>
          <w:szCs w:val="15"/>
          <w:i w:val="1"/>
          <w:iCs w:val="1"/>
          <w:color w:val="auto"/>
        </w:rPr>
        <w:t>Share Based Payment</w:t>
      </w:r>
      <w:r>
        <w:rPr>
          <w:rFonts w:ascii="Arial" w:cs="Arial" w:eastAsia="Arial" w:hAnsi="Arial"/>
          <w:sz w:val="15"/>
          <w:szCs w:val="15"/>
          <w:color w:val="auto"/>
        </w:rPr>
        <w:t xml:space="preserve"> (“SFAS 123R”) effective from January 1, 2006. There were no other significant change in ICON plc’s accounting policies from those outlined in ICON’s Transition Report on Form 20-F for the seven month period ended December 31, 2005.</w:t>
      </w:r>
    </w:p>
    <w:p>
      <w:pPr>
        <w:spacing w:after="0" w:line="159" w:lineRule="exact"/>
        <w:rPr>
          <w:sz w:val="20"/>
          <w:szCs w:val="20"/>
          <w:color w:val="auto"/>
        </w:rPr>
      </w:pPr>
    </w:p>
    <w:p>
      <w:pPr>
        <w:ind w:right="120" w:firstLine="436"/>
        <w:spacing w:after="0" w:line="306" w:lineRule="auto"/>
        <w:rPr>
          <w:sz w:val="20"/>
          <w:szCs w:val="20"/>
          <w:color w:val="auto"/>
        </w:rPr>
      </w:pPr>
      <w:r>
        <w:rPr>
          <w:rFonts w:ascii="Arial" w:cs="Arial" w:eastAsia="Arial" w:hAnsi="Arial"/>
          <w:sz w:val="16"/>
          <w:szCs w:val="16"/>
          <w:color w:val="auto"/>
        </w:rPr>
        <w:t>The condensed consolidated financial statements should be read in conjunction with the accounting policies and notes to the consolidated financial statements included in ICON’s Transition Report on Form 20-F for the seven months ended December 31, 2005. Operating results for the six months ended June 30, 2006 are not necessarily indicative of the results that may be expected for the fiscal period ending December 31, 2006.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Prior Period Acquisitions</w:t>
      </w:r>
    </w:p>
    <w:p>
      <w:pPr>
        <w:spacing w:after="0" w:line="225"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On September 9, 2003, the Company acquired 100% of the outstanding shares of Globomax LLC (“GloboMax”), based in Maryland, USA, for an initial cash consideration of $10.9 million, excluding costs of acquisition.</w:t>
      </w:r>
    </w:p>
    <w:p>
      <w:pPr>
        <w:spacing w:after="0" w:line="186" w:lineRule="exact"/>
        <w:rPr>
          <w:sz w:val="20"/>
          <w:szCs w:val="20"/>
          <w:color w:val="auto"/>
        </w:rPr>
      </w:pPr>
    </w:p>
    <w:p>
      <w:pPr>
        <w:ind w:right="60" w:firstLine="439"/>
        <w:spacing w:after="0" w:line="335" w:lineRule="auto"/>
        <w:rPr>
          <w:sz w:val="20"/>
          <w:szCs w:val="20"/>
          <w:color w:val="auto"/>
        </w:rPr>
      </w:pPr>
      <w:r>
        <w:rPr>
          <w:rFonts w:ascii="Arial" w:cs="Arial" w:eastAsia="Arial" w:hAnsi="Arial"/>
          <w:sz w:val="15"/>
          <w:szCs w:val="15"/>
          <w:color w:val="auto"/>
        </w:rPr>
        <w:t>On May 31, 2006, an amount of $96,131 was paid to the former shareholders of Globomax. This $96,131 was withheld from an earn-out payment made on the August 31, 2005 due to an outstanding customer debt arising prior to the acquisition of Globomax. This customer debt has subsequently been recovered and the $96,131 in turn became due to the former shareholders of Globomax. This payment has been accounted for as goodwill. No further payments are anticipated.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December 31,</w:t>
            </w:r>
          </w:p>
        </w:tc>
      </w:tr>
      <w:tr>
        <w:trPr>
          <w:trHeight w:val="174"/>
        </w:trPr>
        <w:tc>
          <w:tcPr>
            <w:tcW w:w="9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81"/>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r>
      <w:tr>
        <w:trPr>
          <w:trHeight w:val="95"/>
        </w:trPr>
        <w:tc>
          <w:tcPr>
            <w:tcW w:w="9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9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060" w:type="dxa"/>
            <w:vAlign w:val="bottom"/>
            <w:shd w:val="clear" w:color="auto" w:fill="E6E6E6"/>
          </w:tcPr>
          <w:p>
            <w:pPr>
              <w:spacing w:after="0"/>
              <w:rPr>
                <w:sz w:val="20"/>
                <w:szCs w:val="20"/>
                <w:color w:val="auto"/>
              </w:rPr>
            </w:pPr>
            <w:r>
              <w:rPr>
                <w:rFonts w:ascii="Arial" w:cs="Arial" w:eastAsia="Arial" w:hAnsi="Arial"/>
                <w:sz w:val="18"/>
                <w:szCs w:val="18"/>
                <w:color w:val="auto"/>
              </w:rPr>
              <w:t>Opening balance</w:t>
            </w:r>
          </w:p>
        </w:tc>
        <w:tc>
          <w:tcPr>
            <w:tcW w:w="160" w:type="dxa"/>
            <w:vAlign w:val="bottom"/>
            <w:shd w:val="clear" w:color="auto" w:fill="E6E6E6"/>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65,731</w:t>
            </w:r>
          </w:p>
        </w:tc>
        <w:tc>
          <w:tcPr>
            <w:tcW w:w="320" w:type="dxa"/>
            <w:vAlign w:val="bottom"/>
            <w:gridSpan w:val="4"/>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67,440</w:t>
            </w:r>
          </w:p>
        </w:tc>
        <w:tc>
          <w:tcPr>
            <w:tcW w:w="100" w:type="dxa"/>
            <w:vAlign w:val="bottom"/>
            <w:shd w:val="clear" w:color="auto" w:fill="E6E6E6"/>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Payments made in respect of prior year acquisitions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shd w:val="clear" w:color="auto" w:fill="E6E6E6"/>
          </w:tcPr>
          <w:p>
            <w:pPr>
              <w:spacing w:after="0"/>
              <w:rPr>
                <w:sz w:val="20"/>
                <w:szCs w:val="20"/>
                <w:color w:val="auto"/>
              </w:rPr>
            </w:pPr>
            <w:r>
              <w:rPr>
                <w:rFonts w:ascii="Arial" w:cs="Arial" w:eastAsia="Arial" w:hAnsi="Arial"/>
                <w:sz w:val="18"/>
                <w:szCs w:val="18"/>
                <w:color w:val="auto"/>
              </w:rPr>
              <w:t>Foreign exchange movement</w:t>
            </w:r>
          </w:p>
        </w:tc>
        <w:tc>
          <w:tcPr>
            <w:tcW w:w="16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1,568</w:t>
            </w:r>
          </w:p>
        </w:tc>
        <w:tc>
          <w:tcPr>
            <w:tcW w:w="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08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(1,709)</w:t>
            </w:r>
          </w:p>
        </w:tc>
      </w:tr>
      <w:tr>
        <w:trPr>
          <w:trHeight w:val="108"/>
        </w:trPr>
        <w:tc>
          <w:tcPr>
            <w:tcW w:w="90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9060" w:type="dxa"/>
            <w:vAlign w:val="bottom"/>
          </w:tcPr>
          <w:p>
            <w:pPr>
              <w:spacing w:after="0"/>
              <w:rPr>
                <w:sz w:val="20"/>
                <w:szCs w:val="20"/>
                <w:color w:val="auto"/>
              </w:rPr>
            </w:pPr>
            <w:r>
              <w:rPr>
                <w:rFonts w:ascii="Arial" w:cs="Arial" w:eastAsia="Arial" w:hAnsi="Arial"/>
                <w:sz w:val="18"/>
                <w:szCs w:val="18"/>
                <w:color w:val="auto"/>
              </w:rPr>
              <w:t>Closing balance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67,395</w:t>
            </w: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65,731</w:t>
            </w:r>
          </w:p>
        </w:tc>
        <w:tc>
          <w:tcPr>
            <w:tcW w:w="100" w:type="dxa"/>
            <w:vAlign w:val="bottom"/>
          </w:tcPr>
          <w:p>
            <w:pPr>
              <w:spacing w:after="0"/>
              <w:rPr>
                <w:sz w:val="24"/>
                <w:szCs w:val="24"/>
                <w:color w:val="auto"/>
              </w:rPr>
            </w:pPr>
          </w:p>
        </w:tc>
      </w:tr>
      <w:tr>
        <w:trPr>
          <w:trHeight w:val="134"/>
        </w:trPr>
        <w:tc>
          <w:tcPr>
            <w:tcW w:w="906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goodwill balance relates entirely to the clinical research segment.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ordinary share</w:t>
      </w:r>
    </w:p>
    <w:p>
      <w:pPr>
        <w:spacing w:after="0" w:line="231" w:lineRule="exact"/>
        <w:rPr>
          <w:sz w:val="20"/>
          <w:szCs w:val="20"/>
          <w:color w:val="auto"/>
        </w:rPr>
      </w:pPr>
    </w:p>
    <w:p>
      <w:pPr>
        <w:ind w:right="240" w:firstLine="439"/>
        <w:spacing w:after="0" w:line="259"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ind w:right="60"/>
        <w:spacing w:after="0" w:line="268" w:lineRule="auto"/>
        <w:rPr>
          <w:sz w:val="20"/>
          <w:szCs w:val="20"/>
          <w:color w:val="auto"/>
        </w:rPr>
      </w:pPr>
      <w:r>
        <w:rPr>
          <w:rFonts w:ascii="Arial" w:cs="Arial" w:eastAsia="Arial" w:hAnsi="Arial"/>
          <w:sz w:val="18"/>
          <w:szCs w:val="18"/>
          <w:color w:val="auto"/>
        </w:rPr>
        <w:t>period for all potentially dilutive ordinary shares outstanding during the period and adjusting net income for any changes in income or loss that would result from the conversion of such potential ordinary shares.</w:t>
      </w:r>
    </w:p>
    <w:p>
      <w:pPr>
        <w:spacing w:after="0" w:line="186" w:lineRule="exact"/>
        <w:rPr>
          <w:sz w:val="20"/>
          <w:szCs w:val="20"/>
          <w:color w:val="auto"/>
        </w:rPr>
      </w:pPr>
    </w:p>
    <w:p>
      <w:pPr>
        <w:ind w:right="560" w:firstLine="436"/>
        <w:spacing w:after="0" w:line="268"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2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100" w:type="dxa"/>
            <w:vAlign w:val="bottom"/>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0"/>
                <w:szCs w:val="20"/>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May 31,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May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00" w:type="dxa"/>
            <w:vAlign w:val="bottom"/>
          </w:tcPr>
          <w:p>
            <w:pPr>
              <w:jc w:val="right"/>
              <w:ind w:right="342"/>
              <w:spacing w:after="0"/>
              <w:rPr>
                <w:sz w:val="20"/>
                <w:szCs w:val="20"/>
                <w:color w:val="auto"/>
              </w:rPr>
            </w:pPr>
            <w:r>
              <w:rPr>
                <w:rFonts w:ascii="Arial" w:cs="Arial" w:eastAsia="Arial" w:hAnsi="Arial"/>
                <w:sz w:val="14"/>
                <w:szCs w:val="14"/>
                <w:b w:val="1"/>
                <w:bCs w:val="1"/>
                <w:color w:val="auto"/>
              </w:rPr>
              <w:t>2006</w:t>
            </w:r>
          </w:p>
        </w:tc>
        <w:tc>
          <w:tcPr>
            <w:tcW w:w="132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144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2006</w:t>
            </w:r>
          </w:p>
        </w:tc>
        <w:tc>
          <w:tcPr>
            <w:tcW w:w="14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60" w:type="dxa"/>
            <w:vAlign w:val="bottom"/>
            <w:shd w:val="clear" w:color="auto" w:fill="E6E6E6"/>
          </w:tcPr>
          <w:p>
            <w:pPr>
              <w:spacing w:after="0"/>
              <w:rPr>
                <w:sz w:val="20"/>
                <w:szCs w:val="20"/>
                <w:color w:val="auto"/>
              </w:rPr>
            </w:pPr>
            <w:r>
              <w:rPr>
                <w:rFonts w:ascii="Arial" w:cs="Arial" w:eastAsia="Arial" w:hAnsi="Arial"/>
                <w:sz w:val="18"/>
                <w:szCs w:val="18"/>
                <w:color w:val="auto"/>
                <w:w w:val="94"/>
              </w:rPr>
              <w:t>Weighted average number of ordinary shares outstanding for basic net income</w:t>
            </w:r>
          </w:p>
        </w:tc>
        <w:tc>
          <w:tcPr>
            <w:tcW w:w="11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shd w:val="clear" w:color="auto" w:fill="E6E6E6"/>
          </w:tcPr>
          <w:p>
            <w:pPr>
              <w:ind w:left="140"/>
              <w:spacing w:after="0"/>
              <w:rPr>
                <w:sz w:val="20"/>
                <w:szCs w:val="20"/>
                <w:color w:val="auto"/>
              </w:rPr>
            </w:pPr>
            <w:r>
              <w:rPr>
                <w:rFonts w:ascii="Arial" w:cs="Arial" w:eastAsia="Arial" w:hAnsi="Arial"/>
                <w:sz w:val="18"/>
                <w:szCs w:val="18"/>
                <w:color w:val="auto"/>
              </w:rPr>
              <w:t>per ordinary share</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14,132,745</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13,887,989</w:t>
            </w:r>
          </w:p>
        </w:tc>
        <w:tc>
          <w:tcPr>
            <w:tcW w:w="144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14,087,381</w:t>
            </w:r>
          </w:p>
        </w:tc>
        <w:tc>
          <w:tcPr>
            <w:tcW w:w="148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13,877,113</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Effect of dilutive share options outstanding</w:t>
            </w:r>
          </w:p>
        </w:tc>
        <w:tc>
          <w:tcPr>
            <w:tcW w:w="1100" w:type="dxa"/>
            <w:vAlign w:val="bottom"/>
          </w:tcPr>
          <w:p>
            <w:pPr>
              <w:jc w:val="right"/>
              <w:spacing w:after="0"/>
              <w:rPr>
                <w:sz w:val="20"/>
                <w:szCs w:val="20"/>
                <w:color w:val="auto"/>
              </w:rPr>
            </w:pPr>
            <w:r>
              <w:rPr>
                <w:rFonts w:ascii="Arial" w:cs="Arial" w:eastAsia="Arial" w:hAnsi="Arial"/>
                <w:sz w:val="18"/>
                <w:szCs w:val="18"/>
                <w:color w:val="auto"/>
              </w:rPr>
              <w:t>215,020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212,109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162,297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211,891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980" w:type="dxa"/>
            <w:vAlign w:val="bottom"/>
            <w:gridSpan w:val="2"/>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60" w:type="dxa"/>
            <w:vAlign w:val="bottom"/>
            <w:shd w:val="clear" w:color="auto" w:fill="E6E6E6"/>
          </w:tcPr>
          <w:p>
            <w:pPr>
              <w:spacing w:after="0"/>
              <w:rPr>
                <w:sz w:val="20"/>
                <w:szCs w:val="20"/>
                <w:color w:val="auto"/>
              </w:rPr>
            </w:pPr>
            <w:r>
              <w:rPr>
                <w:rFonts w:ascii="Arial" w:cs="Arial" w:eastAsia="Arial" w:hAnsi="Arial"/>
                <w:sz w:val="18"/>
                <w:szCs w:val="18"/>
                <w:color w:val="auto"/>
              </w:rPr>
              <w:t>Weighted average number of ordinary shares for diluted net income per</w:t>
            </w:r>
          </w:p>
        </w:tc>
        <w:tc>
          <w:tcPr>
            <w:tcW w:w="11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1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shd w:val="clear" w:color="auto" w:fill="E6E6E6"/>
          </w:tcPr>
          <w:p>
            <w:pPr>
              <w:ind w:left="140"/>
              <w:spacing w:after="0"/>
              <w:rPr>
                <w:sz w:val="20"/>
                <w:szCs w:val="20"/>
                <w:color w:val="auto"/>
              </w:rPr>
            </w:pPr>
            <w:r>
              <w:rPr>
                <w:rFonts w:ascii="Arial" w:cs="Arial" w:eastAsia="Arial" w:hAnsi="Arial"/>
                <w:sz w:val="18"/>
                <w:szCs w:val="18"/>
                <w:color w:val="auto"/>
              </w:rPr>
              <w:t>ordinary share</w:t>
            </w:r>
          </w:p>
        </w:tc>
        <w:tc>
          <w:tcPr>
            <w:tcW w:w="11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14,347,765</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14,100,098</w:t>
            </w:r>
          </w:p>
        </w:tc>
        <w:tc>
          <w:tcPr>
            <w:tcW w:w="144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14,249,678</w:t>
            </w:r>
          </w:p>
        </w:tc>
        <w:tc>
          <w:tcPr>
            <w:tcW w:w="148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14,089,004</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249999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99995"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Options</w:t>
      </w:r>
    </w:p>
    <w:p>
      <w:pPr>
        <w:spacing w:after="0" w:line="231" w:lineRule="exact"/>
        <w:rPr>
          <w:sz w:val="20"/>
          <w:szCs w:val="20"/>
          <w:color w:val="auto"/>
        </w:rPr>
      </w:pPr>
    </w:p>
    <w:p>
      <w:pPr>
        <w:ind w:right="80" w:firstLine="439"/>
        <w:spacing w:after="0" w:line="291" w:lineRule="auto"/>
        <w:rPr>
          <w:sz w:val="20"/>
          <w:szCs w:val="20"/>
          <w:color w:val="auto"/>
        </w:rPr>
      </w:pPr>
      <w:r>
        <w:rPr>
          <w:rFonts w:ascii="Arial" w:cs="Arial" w:eastAsia="Arial" w:hAnsi="Arial"/>
          <w:sz w:val="16"/>
          <w:szCs w:val="16"/>
          <w:color w:val="auto"/>
        </w:rPr>
        <w:t>On January 17, 2003, the Company adopted the Share Option Plan 2003 (the “2003 Plan”) pursuant to which the Compensation Committee of the Company’s Board of Directors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74" w:lineRule="exact"/>
        <w:rPr>
          <w:sz w:val="20"/>
          <w:szCs w:val="20"/>
          <w:color w:val="auto"/>
        </w:rPr>
      </w:pPr>
    </w:p>
    <w:p>
      <w:pPr>
        <w:ind w:right="380" w:firstLine="429"/>
        <w:spacing w:after="0" w:line="256" w:lineRule="auto"/>
        <w:rPr>
          <w:sz w:val="20"/>
          <w:szCs w:val="20"/>
          <w:color w:val="auto"/>
        </w:rPr>
      </w:pPr>
      <w:r>
        <w:rPr>
          <w:rFonts w:ascii="Arial" w:cs="Arial" w:eastAsia="Arial" w:hAnsi="Arial"/>
          <w:sz w:val="18"/>
          <w:szCs w:val="18"/>
          <w:color w:val="auto"/>
        </w:rPr>
        <w:t>An aggregate of 1.5 million ordinary shares have been reserved under the 2003 Plan;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options can be granted after January 17, 2013.</w:t>
      </w:r>
    </w:p>
    <w:p>
      <w:pPr>
        <w:spacing w:after="0" w:line="225" w:lineRule="exact"/>
        <w:rPr>
          <w:sz w:val="20"/>
          <w:szCs w:val="20"/>
          <w:color w:val="auto"/>
        </w:rPr>
      </w:pPr>
    </w:p>
    <w:p>
      <w:pPr>
        <w:ind w:right="80" w:firstLine="439"/>
        <w:spacing w:after="0" w:line="298" w:lineRule="auto"/>
        <w:rPr>
          <w:sz w:val="20"/>
          <w:szCs w:val="20"/>
          <w:color w:val="auto"/>
        </w:rPr>
      </w:pPr>
      <w:r>
        <w:rPr>
          <w:rFonts w:ascii="Arial" w:cs="Arial" w:eastAsia="Arial" w:hAnsi="Arial"/>
          <w:sz w:val="16"/>
          <w:szCs w:val="16"/>
          <w:color w:val="auto"/>
        </w:rPr>
        <w:t xml:space="preserve">In December 2004, the Financial Accounting Standards Board (“FASB”) issued Statement of Accounting Standards (“SFAS”) 123 (revised 2004), </w:t>
      </w:r>
      <w:r>
        <w:rPr>
          <w:rFonts w:ascii="Arial" w:cs="Arial" w:eastAsia="Arial" w:hAnsi="Arial"/>
          <w:sz w:val="16"/>
          <w:szCs w:val="16"/>
          <w:i w:val="1"/>
          <w:iCs w:val="1"/>
          <w:color w:val="auto"/>
        </w:rPr>
        <w:t>Share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Based Payment </w:t>
      </w:r>
      <w:r>
        <w:rPr>
          <w:rFonts w:ascii="Arial" w:cs="Arial" w:eastAsia="Arial" w:hAnsi="Arial"/>
          <w:sz w:val="16"/>
          <w:szCs w:val="16"/>
          <w:color w:val="auto"/>
        </w:rPr>
        <w:t>(“SFAS 123R”) which replaced SFAS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and supersedes Accounting Principles Board (“APB”)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SFAS 123R requires, with effect from accounting periods beginning after June 15, 2005, that all share based payments to employees, including stock options granted, be recognized in the financial statements based on their grant date fair values.</w:t>
      </w:r>
    </w:p>
    <w:p>
      <w:pPr>
        <w:spacing w:after="0" w:line="167" w:lineRule="exact"/>
        <w:rPr>
          <w:sz w:val="20"/>
          <w:szCs w:val="20"/>
          <w:color w:val="auto"/>
        </w:rPr>
      </w:pPr>
    </w:p>
    <w:p>
      <w:pPr>
        <w:ind w:right="60" w:firstLine="436"/>
        <w:spacing w:after="0" w:line="254" w:lineRule="auto"/>
        <w:rPr>
          <w:sz w:val="20"/>
          <w:szCs w:val="20"/>
          <w:color w:val="auto"/>
        </w:rPr>
      </w:pPr>
      <w:r>
        <w:rPr>
          <w:rFonts w:ascii="Arial" w:cs="Arial" w:eastAsia="Arial" w:hAnsi="Arial"/>
          <w:sz w:val="18"/>
          <w:szCs w:val="18"/>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six months ended June 30, 2006,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color w:val="auto"/>
        </w:rPr>
        <w:t>The following table summarizes option activity for the six months ended June 30, 2006: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Average Fair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Number of 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6E6E6"/>
          </w:tcPr>
          <w:p>
            <w:pPr>
              <w:spacing w:after="0"/>
              <w:rPr>
                <w:sz w:val="20"/>
                <w:szCs w:val="20"/>
                <w:color w:val="auto"/>
              </w:rPr>
            </w:pPr>
            <w:r>
              <w:rPr>
                <w:rFonts w:ascii="Arial" w:cs="Arial" w:eastAsia="Arial" w:hAnsi="Arial"/>
                <w:sz w:val="18"/>
                <w:szCs w:val="18"/>
                <w:color w:val="auto"/>
              </w:rPr>
              <w:t>Outstanding at December 31, 2005</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1,132,146</w:t>
            </w:r>
          </w:p>
        </w:tc>
        <w:tc>
          <w:tcPr>
            <w:tcW w:w="120" w:type="dxa"/>
            <w:vAlign w:val="bottom"/>
            <w:shd w:val="clear" w:color="auto" w:fill="E6E6E6"/>
          </w:tcPr>
          <w:p>
            <w:pPr>
              <w:spacing w:after="0"/>
              <w:rPr>
                <w:sz w:val="18"/>
                <w:szCs w:val="18"/>
                <w:color w:val="auto"/>
              </w:rPr>
            </w:pPr>
          </w:p>
        </w:tc>
        <w:tc>
          <w:tcPr>
            <w:tcW w:w="2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31.50</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14.60</w:t>
            </w:r>
          </w:p>
        </w:tc>
        <w:tc>
          <w:tcPr>
            <w:tcW w:w="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5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372,611</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43.91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6E6E6"/>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(158,544)</w:t>
            </w:r>
          </w:p>
        </w:tc>
        <w:tc>
          <w:tcPr>
            <w:tcW w:w="2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26.18</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13.73</w:t>
            </w:r>
          </w:p>
        </w:tc>
        <w:tc>
          <w:tcPr>
            <w:tcW w:w="2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5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(83,565)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360" w:type="dxa"/>
            <w:vAlign w:val="bottom"/>
            <w:gridSpan w:val="2"/>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6E6E6"/>
          </w:tcPr>
          <w:p>
            <w:pPr>
              <w:spacing w:after="0"/>
              <w:rPr>
                <w:sz w:val="20"/>
                <w:szCs w:val="20"/>
                <w:color w:val="auto"/>
              </w:rPr>
            </w:pPr>
            <w:r>
              <w:rPr>
                <w:rFonts w:ascii="Arial" w:cs="Arial" w:eastAsia="Arial" w:hAnsi="Arial"/>
                <w:sz w:val="18"/>
                <w:szCs w:val="18"/>
                <w:color w:val="auto"/>
              </w:rPr>
              <w:t>Outstanding at June 30, 2006</w:t>
            </w:r>
          </w:p>
        </w:tc>
        <w:tc>
          <w:tcPr>
            <w:tcW w:w="13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1,262,648</w:t>
            </w:r>
          </w:p>
        </w:tc>
        <w:tc>
          <w:tcPr>
            <w:tcW w:w="120" w:type="dxa"/>
            <w:vAlign w:val="bottom"/>
            <w:shd w:val="clear" w:color="auto" w:fill="E6E6E6"/>
          </w:tcPr>
          <w:p>
            <w:pPr>
              <w:spacing w:after="0"/>
              <w:rPr>
                <w:sz w:val="18"/>
                <w:szCs w:val="18"/>
                <w:color w:val="auto"/>
              </w:rPr>
            </w:pPr>
          </w:p>
        </w:tc>
        <w:tc>
          <w:tcPr>
            <w:tcW w:w="22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35.66</w:t>
            </w:r>
          </w:p>
        </w:tc>
        <w:tc>
          <w:tcPr>
            <w:tcW w:w="36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16.29</w:t>
            </w:r>
          </w:p>
        </w:tc>
        <w:tc>
          <w:tcPr>
            <w:tcW w:w="1760" w:type="dxa"/>
            <w:vAlign w:val="bottom"/>
            <w:gridSpan w:val="3"/>
            <w:shd w:val="clear" w:color="auto" w:fill="E6E6E6"/>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360" w:type="dxa"/>
            <w:vAlign w:val="bottom"/>
            <w:gridSpan w:val="2"/>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5360" w:type="dxa"/>
            <w:vAlign w:val="bottom"/>
            <w:gridSpan w:val="2"/>
          </w:tcPr>
          <w:p>
            <w:pPr>
              <w:spacing w:after="0"/>
              <w:rPr>
                <w:sz w:val="20"/>
                <w:szCs w:val="20"/>
                <w:color w:val="auto"/>
              </w:rPr>
            </w:pPr>
            <w:r>
              <w:rPr>
                <w:rFonts w:ascii="Arial" w:cs="Arial" w:eastAsia="Arial" w:hAnsi="Arial"/>
                <w:sz w:val="18"/>
                <w:szCs w:val="18"/>
                <w:color w:val="auto"/>
              </w:rPr>
              <w:t>Exercisable at June 30, 2006</w:t>
            </w:r>
          </w:p>
        </w:tc>
        <w:tc>
          <w:tcPr>
            <w:tcW w:w="1380" w:type="dxa"/>
            <w:vAlign w:val="bottom"/>
          </w:tcPr>
          <w:p>
            <w:pPr>
              <w:jc w:val="right"/>
              <w:spacing w:after="0"/>
              <w:rPr>
                <w:sz w:val="20"/>
                <w:szCs w:val="20"/>
                <w:color w:val="auto"/>
              </w:rPr>
            </w:pPr>
            <w:r>
              <w:rPr>
                <w:rFonts w:ascii="Arial" w:cs="Arial" w:eastAsia="Arial" w:hAnsi="Arial"/>
                <w:sz w:val="18"/>
                <w:szCs w:val="18"/>
                <w:color w:val="auto"/>
              </w:rPr>
              <w:t>359,892</w:t>
            </w:r>
          </w:p>
        </w:tc>
        <w:tc>
          <w:tcPr>
            <w:tcW w:w="12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31.79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15.23</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-329565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-329565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-329565</wp:posOffset>
            </wp:positionV>
            <wp:extent cx="333184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31845"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333184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31845" cy="29845"/>
                    </a:xfrm>
                    <a:prstGeom prst="rect">
                      <a:avLst/>
                    </a:prstGeom>
                    <a:noFill/>
                  </pic:spPr>
                </pic:pic>
              </a:graphicData>
            </a:graphic>
          </wp:anchor>
        </w:drawing>
      </w:r>
    </w:p>
    <w:p>
      <w:pPr>
        <w:spacing w:after="0" w:line="293"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2006 is eight years.</w:t>
      </w:r>
    </w:p>
    <w:p>
      <w:pPr>
        <w:spacing w:after="0" w:line="194" w:lineRule="exact"/>
        <w:rPr>
          <w:sz w:val="20"/>
          <w:szCs w:val="20"/>
          <w:color w:val="auto"/>
        </w:rPr>
      </w:pPr>
    </w:p>
    <w:p>
      <w:pPr>
        <w:ind w:right="340" w:firstLine="436"/>
        <w:spacing w:after="0" w:line="259" w:lineRule="auto"/>
        <w:rPr>
          <w:sz w:val="20"/>
          <w:szCs w:val="20"/>
          <w:color w:val="auto"/>
        </w:rPr>
      </w:pPr>
      <w:r>
        <w:rPr>
          <w:rFonts w:ascii="Arial" w:cs="Arial" w:eastAsia="Arial" w:hAnsi="Arial"/>
          <w:sz w:val="18"/>
          <w:szCs w:val="18"/>
          <w:color w:val="auto"/>
        </w:rPr>
        <w:t>The weighted average fair value of stock options granted during the six months ended June 30, 2006, calculated using the Black-Scholes option pricing model, was $19.64 based on the following assumptions; dividend yield - 0%, risk free interest rate - 4.6%, expected volatility - 45% and weighted average expected life - 4.81 years.</w:t>
      </w:r>
    </w:p>
    <w:p>
      <w:pPr>
        <w:spacing w:after="0" w:line="194" w:lineRule="exact"/>
        <w:rPr>
          <w:sz w:val="20"/>
          <w:szCs w:val="20"/>
          <w:color w:val="auto"/>
        </w:rPr>
      </w:pPr>
    </w:p>
    <w:p>
      <w:pPr>
        <w:jc w:val="both"/>
        <w:ind w:right="380" w:firstLine="439"/>
        <w:spacing w:after="0" w:line="259" w:lineRule="auto"/>
        <w:rPr>
          <w:sz w:val="20"/>
          <w:szCs w:val="20"/>
          <w:color w:val="auto"/>
        </w:rPr>
      </w:pPr>
      <w:r>
        <w:rPr>
          <w:rFonts w:ascii="Arial" w:cs="Arial" w:eastAsia="Arial" w:hAnsi="Arial"/>
          <w:sz w:val="18"/>
          <w:szCs w:val="18"/>
          <w:color w:val="auto"/>
        </w:rPr>
        <w:t>On January 17, 2006, 15,000 share options, with an exercise price of $41.68, were granted to a key employee of the Company. These options will vest between 2009 and 2014, subject to the Company’s diluted earnings achieving $4.20 per share. If the Company does not achieve diluted earnings of $4.20 per share before January 16, 2014, the option grant expires.</w:t>
      </w:r>
    </w:p>
    <w:p>
      <w:pPr>
        <w:spacing w:after="0" w:line="194" w:lineRule="exact"/>
        <w:rPr>
          <w:sz w:val="20"/>
          <w:szCs w:val="20"/>
          <w:color w:val="auto"/>
        </w:rPr>
      </w:pPr>
    </w:p>
    <w:p>
      <w:pPr>
        <w:jc w:val="both"/>
        <w:ind w:right="20" w:firstLine="439"/>
        <w:spacing w:after="0" w:line="256" w:lineRule="auto"/>
        <w:rPr>
          <w:sz w:val="20"/>
          <w:szCs w:val="20"/>
          <w:color w:val="auto"/>
        </w:rPr>
      </w:pPr>
      <w:r>
        <w:rPr>
          <w:rFonts w:ascii="Arial" w:cs="Arial" w:eastAsia="Arial" w:hAnsi="Arial"/>
          <w:sz w:val="18"/>
          <w:szCs w:val="18"/>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part vesting and termination patterns. The risk-free rate is based on the U.S. gilts zero-coupon yield curve in effect at time of grant for periods corresponding with the expected life of the option.</w:t>
      </w:r>
    </w:p>
    <w:p>
      <w:pPr>
        <w:spacing w:after="0" w:line="197"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Income from operations for the six months ended June 30, 2006, is stated after charging $2.0 million in respect of non-cash stock compensation expense. Basic and diluted earnings per share for the six months ended June 30, 2006, had SFAS 123R not been introduced would have been $1.33 and $1.30 respectively. Non-cash stock compensation expense for the six months ended June 30, 2006, has been allocated to direct costs and selling, general and administrative expenses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ind w:left="232"/>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460"/>
              <w:spacing w:after="0"/>
              <w:rPr>
                <w:sz w:val="20"/>
                <w:szCs w:val="20"/>
                <w:color w:val="auto"/>
              </w:rPr>
            </w:pPr>
            <w:r>
              <w:rPr>
                <w:rFonts w:ascii="Arial" w:cs="Arial" w:eastAsia="Arial" w:hAnsi="Arial"/>
                <w:sz w:val="14"/>
                <w:szCs w:val="14"/>
                <w:b w:val="1"/>
                <w:bCs w:val="1"/>
                <w:color w:val="auto"/>
              </w:rPr>
              <w:t>May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8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6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6E6E6"/>
          </w:tcPr>
          <w:p>
            <w:pPr>
              <w:spacing w:after="0"/>
              <w:rPr>
                <w:sz w:val="20"/>
                <w:szCs w:val="20"/>
                <w:color w:val="auto"/>
              </w:rPr>
            </w:pPr>
            <w:r>
              <w:rPr>
                <w:rFonts w:ascii="Arial" w:cs="Arial" w:eastAsia="Arial" w:hAnsi="Arial"/>
                <w:sz w:val="18"/>
                <w:szCs w:val="18"/>
                <w:color w:val="auto"/>
              </w:rPr>
              <w:t>Direct costs</w:t>
            </w: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6E6E6"/>
          </w:tcPr>
          <w:p>
            <w:pPr>
              <w:spacing w:after="0"/>
              <w:rPr>
                <w:sz w:val="18"/>
                <w:szCs w:val="18"/>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72</w:t>
            </w:r>
          </w:p>
        </w:tc>
        <w:tc>
          <w:tcPr>
            <w:tcW w:w="340" w:type="dxa"/>
            <w:vAlign w:val="bottom"/>
            <w:gridSpan w:val="3"/>
            <w:shd w:val="clear" w:color="auto" w:fill="E6E6E6"/>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1,084</w:t>
            </w:r>
          </w:p>
        </w:tc>
        <w:tc>
          <w:tcPr>
            <w:tcW w:w="440" w:type="dxa"/>
            <w:vAlign w:val="bottom"/>
            <w:gridSpan w:val="3"/>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6E6E6"/>
          </w:tcPr>
          <w:p>
            <w:pPr>
              <w:spacing w:after="0"/>
              <w:rPr>
                <w:sz w:val="18"/>
                <w:szCs w:val="18"/>
                <w:color w:val="auto"/>
              </w:rPr>
            </w:pPr>
          </w:p>
        </w:tc>
        <w:tc>
          <w:tcPr>
            <w:tcW w:w="1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6E6E6"/>
          </w:tcPr>
          <w:p>
            <w:pPr>
              <w:spacing w:after="0"/>
              <w:rPr>
                <w:sz w:val="18"/>
                <w:szCs w:val="18"/>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88"/>
              </w:rPr>
              <w:t>1,038</w:t>
            </w:r>
          </w:p>
        </w:tc>
        <w:tc>
          <w:tcPr>
            <w:tcW w:w="340" w:type="dxa"/>
            <w:vAlign w:val="bottom"/>
            <w:gridSpan w:val="3"/>
            <w:shd w:val="clear" w:color="auto" w:fill="E6E6E6"/>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1,968</w:t>
            </w:r>
          </w:p>
        </w:tc>
        <w:tc>
          <w:tcPr>
            <w:tcW w:w="440" w:type="dxa"/>
            <w:vAlign w:val="bottom"/>
            <w:gridSpan w:val="3"/>
            <w:shd w:val="clear" w:color="auto" w:fill="E6E6E6"/>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vMerge w:val="restart"/>
          </w:tcPr>
          <w:p>
            <w:pPr>
              <w:ind w:left="420"/>
              <w:spacing w:after="0"/>
              <w:rPr>
                <w:sz w:val="20"/>
                <w:szCs w:val="20"/>
                <w:color w:val="auto"/>
              </w:rPr>
            </w:pPr>
            <w:r>
              <w:rPr>
                <w:rFonts w:ascii="Arial" w:cs="Arial" w:eastAsia="Arial" w:hAnsi="Arial"/>
                <w:sz w:val="18"/>
                <w:szCs w:val="18"/>
                <w:color w:val="auto"/>
                <w:w w:val="89"/>
              </w:rPr>
              <w:t>Non vested shares outstanding as at June 30, 2006, are as follows:</w:t>
            </w:r>
          </w:p>
        </w:tc>
        <w:tc>
          <w:tcPr>
            <w:tcW w:w="140" w:type="dxa"/>
            <w:vAlign w:val="bottom"/>
            <w:tcBorders>
              <w:bottom w:val="single" w:sz="8" w:color="808080"/>
            </w:tcBorders>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Average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ind w:left="12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Exercise Price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6E6E6"/>
          </w:tcPr>
          <w:p>
            <w:pPr>
              <w:spacing w:after="0"/>
              <w:rPr>
                <w:sz w:val="20"/>
                <w:szCs w:val="20"/>
                <w:color w:val="auto"/>
              </w:rPr>
            </w:pPr>
            <w:r>
              <w:rPr>
                <w:rFonts w:ascii="Arial" w:cs="Arial" w:eastAsia="Arial" w:hAnsi="Arial"/>
                <w:sz w:val="18"/>
                <w:szCs w:val="18"/>
                <w:color w:val="auto"/>
              </w:rPr>
              <w:t>Non vested outstanding at December 31, 2005</w:t>
            </w:r>
          </w:p>
        </w:tc>
        <w:tc>
          <w:tcPr>
            <w:tcW w:w="1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803,389</w:t>
            </w:r>
          </w:p>
        </w:tc>
        <w:tc>
          <w:tcPr>
            <w:tcW w:w="120" w:type="dxa"/>
            <w:vAlign w:val="bottom"/>
            <w:shd w:val="clear" w:color="auto" w:fill="E6E6E6"/>
          </w:tcPr>
          <w:p>
            <w:pPr>
              <w:spacing w:after="0"/>
              <w:rPr>
                <w:sz w:val="18"/>
                <w:szCs w:val="18"/>
                <w:color w:val="auto"/>
              </w:rPr>
            </w:pPr>
          </w:p>
        </w:tc>
        <w:tc>
          <w:tcPr>
            <w:tcW w:w="2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33.20</w:t>
            </w:r>
          </w:p>
        </w:tc>
        <w:tc>
          <w:tcPr>
            <w:tcW w:w="80" w:type="dxa"/>
            <w:vAlign w:val="bottom"/>
            <w:shd w:val="clear" w:color="auto" w:fill="E6E6E6"/>
          </w:tcPr>
          <w:p>
            <w:pPr>
              <w:spacing w:after="0"/>
              <w:rPr>
                <w:sz w:val="18"/>
                <w:szCs w:val="18"/>
                <w:color w:val="auto"/>
              </w:rPr>
            </w:pPr>
          </w:p>
        </w:tc>
        <w:tc>
          <w:tcPr>
            <w:tcW w:w="440" w:type="dxa"/>
            <w:vAlign w:val="bottom"/>
            <w:gridSpan w:val="3"/>
            <w:shd w:val="clear" w:color="auto" w:fill="E6E6E6"/>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372,611</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43.91</w:t>
            </w:r>
          </w:p>
        </w:tc>
        <w:tc>
          <w:tcPr>
            <w:tcW w:w="8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6E6E6"/>
          </w:tcPr>
          <w:p>
            <w:pPr>
              <w:spacing w:after="0"/>
              <w:rPr>
                <w:sz w:val="20"/>
                <w:szCs w:val="20"/>
                <w:color w:val="auto"/>
              </w:rPr>
            </w:pPr>
            <w:r>
              <w:rPr>
                <w:rFonts w:ascii="Arial" w:cs="Arial" w:eastAsia="Arial" w:hAnsi="Arial"/>
                <w:sz w:val="18"/>
                <w:szCs w:val="18"/>
                <w:color w:val="auto"/>
              </w:rPr>
              <w:t>Vested</w:t>
            </w:r>
          </w:p>
        </w:tc>
        <w:tc>
          <w:tcPr>
            <w:tcW w:w="1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80" w:type="dxa"/>
            <w:vAlign w:val="bottom"/>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(189,679)</w:t>
            </w:r>
          </w:p>
        </w:tc>
        <w:tc>
          <w:tcPr>
            <w:tcW w:w="2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35.38</w:t>
            </w:r>
          </w:p>
        </w:tc>
        <w:tc>
          <w:tcPr>
            <w:tcW w:w="80" w:type="dxa"/>
            <w:vAlign w:val="bottom"/>
            <w:shd w:val="clear" w:color="auto" w:fill="E6E6E6"/>
          </w:tcPr>
          <w:p>
            <w:pPr>
              <w:spacing w:after="0"/>
              <w:rPr>
                <w:sz w:val="18"/>
                <w:szCs w:val="18"/>
                <w:color w:val="auto"/>
              </w:rPr>
            </w:pPr>
          </w:p>
        </w:tc>
        <w:tc>
          <w:tcPr>
            <w:tcW w:w="440" w:type="dxa"/>
            <w:vAlign w:val="bottom"/>
            <w:gridSpan w:val="3"/>
            <w:shd w:val="clear" w:color="auto" w:fill="E6E6E6"/>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(83,565)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33.06</w:t>
            </w:r>
          </w:p>
        </w:tc>
        <w:tc>
          <w:tcPr>
            <w:tcW w:w="80" w:type="dxa"/>
            <w:vAlign w:val="bottom"/>
          </w:tcPr>
          <w:p>
            <w:pPr>
              <w:spacing w:after="0"/>
              <w:rPr>
                <w:sz w:val="19"/>
                <w:szCs w:val="19"/>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2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6E6E6"/>
          </w:tcPr>
          <w:p>
            <w:pPr>
              <w:spacing w:after="0"/>
              <w:rPr>
                <w:sz w:val="20"/>
                <w:szCs w:val="20"/>
                <w:color w:val="auto"/>
              </w:rPr>
            </w:pPr>
            <w:r>
              <w:rPr>
                <w:rFonts w:ascii="Arial" w:cs="Arial" w:eastAsia="Arial" w:hAnsi="Arial"/>
                <w:sz w:val="18"/>
                <w:szCs w:val="18"/>
                <w:color w:val="auto"/>
              </w:rPr>
              <w:t>Non vested outstanding at June 30, 2006</w:t>
            </w:r>
          </w:p>
        </w:tc>
        <w:tc>
          <w:tcPr>
            <w:tcW w:w="140" w:type="dxa"/>
            <w:vAlign w:val="bottom"/>
            <w:shd w:val="clear" w:color="auto" w:fill="E6E6E6"/>
          </w:tcPr>
          <w:p>
            <w:pPr>
              <w:spacing w:after="0"/>
              <w:rPr>
                <w:sz w:val="18"/>
                <w:szCs w:val="18"/>
                <w:color w:val="auto"/>
              </w:rPr>
            </w:pPr>
          </w:p>
        </w:tc>
        <w:tc>
          <w:tcPr>
            <w:tcW w:w="8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902,756</w:t>
            </w:r>
          </w:p>
        </w:tc>
        <w:tc>
          <w:tcPr>
            <w:tcW w:w="120" w:type="dxa"/>
            <w:vAlign w:val="bottom"/>
            <w:shd w:val="clear" w:color="auto" w:fill="E6E6E6"/>
          </w:tcPr>
          <w:p>
            <w:pPr>
              <w:spacing w:after="0"/>
              <w:rPr>
                <w:sz w:val="18"/>
                <w:szCs w:val="18"/>
                <w:color w:val="auto"/>
              </w:rPr>
            </w:pPr>
          </w:p>
        </w:tc>
        <w:tc>
          <w:tcPr>
            <w:tcW w:w="20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37.20</w:t>
            </w:r>
          </w:p>
        </w:tc>
        <w:tc>
          <w:tcPr>
            <w:tcW w:w="80" w:type="dxa"/>
            <w:vAlign w:val="bottom"/>
            <w:shd w:val="clear" w:color="auto" w:fill="E6E6E6"/>
          </w:tcPr>
          <w:p>
            <w:pPr>
              <w:spacing w:after="0"/>
              <w:rPr>
                <w:sz w:val="18"/>
                <w:szCs w:val="18"/>
                <w:color w:val="auto"/>
              </w:rPr>
            </w:pPr>
          </w:p>
        </w:tc>
        <w:tc>
          <w:tcPr>
            <w:tcW w:w="440" w:type="dxa"/>
            <w:vAlign w:val="bottom"/>
            <w:gridSpan w:val="3"/>
            <w:shd w:val="clear" w:color="auto" w:fill="E6E6E6"/>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-1873250</wp:posOffset>
            </wp:positionV>
            <wp:extent cx="383730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3730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246507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46507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7" w:name="page68"/>
    <w:bookmarkEnd w:id="67"/>
    <w:p>
      <w:pPr>
        <w:ind w:right="140" w:firstLine="429"/>
        <w:spacing w:after="0" w:line="294" w:lineRule="auto"/>
        <w:rPr>
          <w:sz w:val="20"/>
          <w:szCs w:val="20"/>
          <w:color w:val="auto"/>
        </w:rPr>
      </w:pPr>
      <w:r>
        <w:rPr>
          <w:rFonts w:ascii="Arial" w:cs="Arial" w:eastAsia="Arial" w:hAnsi="Arial"/>
          <w:sz w:val="16"/>
          <w:szCs w:val="16"/>
          <w:color w:val="auto"/>
        </w:rPr>
        <w:t>As at June 30, 2006, total unrecognized compensation cost related to unvested options, which the Company expects to recognize over a weighted average period of 3.4 years, amounted to $11.2 million. The Company has granted options with fair values ranging from $11.55 to $19.64 per option or a weighted average fair value of $15.86 per option. The Company issues new ordinary shares for all options exercised. The total amount of fully vested share options which remained outstanding at June 30, 2006 was 48,878. The options have an average remaining contractual term of 2.1 years and average exercise price of $20.42. The total intrinsic value of options exercised during the period was $3.60 million (3 months ended June 30, 2006 was $2.58 million).</w:t>
      </w:r>
    </w:p>
    <w:p>
      <w:pPr>
        <w:spacing w:after="0" w:line="170"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Prior to the adoption of SFAS 123R, the Company accounted for its share options in accordance with the provisions of SFAS No. 123 which allowed entities to continue to apply the provisions of APB 25 and provide pro forma net income and pro forma earnings per share disclosures for employee stock option grants as if the fair-value-based method defined in SFAS No. 123 had been applied. The impact on net profit and earnings per share, had SFAS 123R been applied are as follows: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Net profit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Deduct: Total non-cash stock compensation expense determined under fair value based method for all awards, net of related tax effects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Pro forma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(in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Basic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Basic – pro forma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Diluted – proforma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Six Months</w:t>
      </w:r>
    </w:p>
    <w:p>
      <w:pPr>
        <w:jc w:val="center"/>
        <w:ind w:right="120"/>
        <w:spacing w:after="0" w:line="223" w:lineRule="auto"/>
        <w:rPr>
          <w:sz w:val="20"/>
          <w:szCs w:val="20"/>
          <w:color w:val="auto"/>
        </w:rPr>
      </w:pPr>
      <w:r>
        <w:rPr>
          <w:rFonts w:ascii="Arial" w:cs="Arial" w:eastAsia="Arial" w:hAnsi="Arial"/>
          <w:sz w:val="14"/>
          <w:szCs w:val="14"/>
          <w:b w:val="1"/>
          <w:bCs w:val="1"/>
          <w:color w:val="auto"/>
        </w:rPr>
        <w:t>Ended</w:t>
      </w:r>
    </w:p>
    <w:p>
      <w:pPr>
        <w:jc w:val="center"/>
        <w:ind w:right="120"/>
        <w:spacing w:after="0"/>
        <w:rPr>
          <w:sz w:val="20"/>
          <w:szCs w:val="20"/>
          <w:color w:val="auto"/>
        </w:rPr>
      </w:pPr>
      <w:r>
        <w:rPr>
          <w:rFonts w:ascii="Arial" w:cs="Arial" w:eastAsia="Arial" w:hAnsi="Arial"/>
          <w:sz w:val="14"/>
          <w:szCs w:val="14"/>
          <w:b w:val="1"/>
          <w:bCs w:val="1"/>
          <w:color w:val="auto"/>
        </w:rPr>
        <w:t>May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60896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88" w:lineRule="exact"/>
        <w:rPr>
          <w:sz w:val="20"/>
          <w:szCs w:val="20"/>
          <w:color w:val="auto"/>
        </w:rPr>
      </w:pPr>
    </w:p>
    <w:p>
      <w:pPr>
        <w:ind w:left="680" w:hanging="673"/>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421</w:t>
      </w:r>
    </w:p>
    <w:p>
      <w:pPr>
        <w:spacing w:after="0" w:line="15" w:lineRule="exact"/>
        <w:rPr>
          <w:sz w:val="20"/>
          <w:szCs w:val="20"/>
          <w:color w:val="auto"/>
        </w:rPr>
      </w:pPr>
    </w:p>
    <w:p>
      <w:pPr>
        <w:ind w:left="480" w:hanging="47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(1,565)</w:t>
      </w:r>
    </w:p>
    <w:p>
      <w:pPr>
        <w:spacing w:after="0" w:line="255" w:lineRule="exact"/>
        <w:rPr>
          <w:rFonts w:ascii="Arial" w:cs="Arial" w:eastAsia="Arial" w:hAnsi="Arial"/>
          <w:sz w:val="16"/>
          <w:szCs w:val="16"/>
          <w:color w:val="auto"/>
        </w:rPr>
      </w:pPr>
    </w:p>
    <w:p>
      <w:pPr>
        <w:ind w:left="480" w:hanging="473"/>
        <w:spacing w:after="0"/>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60896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127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0.03</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0.03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6127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27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40" w:space="720"/>
            <w:col w:w="1060"/>
          </w:cols>
          <w:pgMar w:left="240" w:top="131" w:right="239" w:bottom="1440" w:gutter="0" w:footer="0" w:header="0"/>
          <w:type w:val="continuous"/>
        </w:sectPr>
      </w:pPr>
    </w:p>
    <w:p>
      <w:pPr>
        <w:spacing w:after="0" w:line="275" w:lineRule="exact"/>
        <w:rPr>
          <w:sz w:val="20"/>
          <w:szCs w:val="20"/>
          <w:color w:val="auto"/>
        </w:rPr>
      </w:pPr>
    </w:p>
    <w:p>
      <w:pPr>
        <w:jc w:val="both"/>
        <w:ind w:right="300" w:firstLine="436"/>
        <w:spacing w:after="0" w:line="259" w:lineRule="auto"/>
        <w:rPr>
          <w:sz w:val="20"/>
          <w:szCs w:val="20"/>
          <w:color w:val="auto"/>
        </w:rPr>
      </w:pPr>
      <w:r>
        <w:rPr>
          <w:rFonts w:ascii="Arial" w:cs="Arial" w:eastAsia="Arial" w:hAnsi="Arial"/>
          <w:sz w:val="18"/>
          <w:szCs w:val="18"/>
          <w:color w:val="auto"/>
        </w:rPr>
        <w:t>The weighted average fair value of stock options granted during the six months ended May 31, 2005, calculated using the Black-Scholes option pricing model, was $15.07 based on the following assumptions; dividend yield - 0%, risk free interest rate - 3.9/4.1%, expected volatility - 45% and weighted average expected life - 4.81 years.</w:t>
      </w:r>
    </w:p>
    <w:p>
      <w:pPr>
        <w:spacing w:after="0" w:line="194"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exercise and termination patterns. The risk-free rate is based on the U.S. gilts zero-coupon yield curve in effect at time of grant for periods corresponding with the expected life of the option.</w:t>
      </w:r>
    </w:p>
    <w:p>
      <w:pPr>
        <w:spacing w:after="0" w:line="197"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On February 7, 2005, 120,000 share options, with an exercise price of $34.40, were granted to certain key employees of the Company. These options will vest between 2008 and 2013 subject to the Company’s diluted earnings achieving $4.00 per share. If the Company does not achieve diluted earnings of $4.00 per share before February 6, 2013, the option grant expires.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 Information</w:t>
      </w:r>
    </w:p>
    <w:p>
      <w:pPr>
        <w:spacing w:after="0" w:line="231" w:lineRule="exact"/>
        <w:rPr>
          <w:sz w:val="20"/>
          <w:szCs w:val="20"/>
          <w:color w:val="auto"/>
        </w:rPr>
      </w:pPr>
    </w:p>
    <w:p>
      <w:pPr>
        <w:ind w:right="60" w:firstLine="436"/>
        <w:spacing w:after="0" w:line="256" w:lineRule="auto"/>
        <w:rPr>
          <w:sz w:val="20"/>
          <w:szCs w:val="20"/>
          <w:color w:val="auto"/>
        </w:rPr>
      </w:pPr>
      <w:r>
        <w:rPr>
          <w:rFonts w:ascii="Arial" w:cs="Arial" w:eastAsia="Arial" w:hAnsi="Arial"/>
          <w:sz w:val="18"/>
          <w:szCs w:val="18"/>
          <w:color w:val="auto"/>
        </w:rPr>
        <w:t>The Company’s areas of operation outside of Ireland principally include the United Kingdom, United States, Germany, Australia, Argentina, Chile, France, Italy, Japan, Israel, Singapore, Canada, Sweden, The Netherlands, Latvia, Russia, Lithuania, Poland, Taiwan, Hong Kong, South Africa, Spain, Hungary, India, Mexico, Brazil, South Korea, China and Thailand. Segment information for the three and six month periods ended June 30, 2006 and May 31, 2005 are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8" w:name="page69"/>
    <w:bookmarkEnd w:id="68"/>
    <w:p>
      <w:pPr>
        <w:ind w:left="440"/>
        <w:spacing w:after="0"/>
        <w:rPr>
          <w:sz w:val="20"/>
          <w:szCs w:val="20"/>
          <w:color w:val="auto"/>
        </w:rPr>
      </w:pPr>
      <w:r>
        <w:rPr>
          <w:rFonts w:ascii="Arial" w:cs="Arial" w:eastAsia="Arial" w:hAnsi="Arial"/>
          <w:sz w:val="18"/>
          <w:szCs w:val="18"/>
          <w:color w:val="auto"/>
        </w:rPr>
        <w:t>a) The distribution of net revenue by geographical area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4"/>
          </w:tcPr>
          <w:p>
            <w:pPr>
              <w:jc w:val="right"/>
              <w:ind w:right="61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21"/>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38"/>
              <w:spacing w:after="0"/>
              <w:rPr>
                <w:sz w:val="20"/>
                <w:szCs w:val="20"/>
                <w:color w:val="auto"/>
              </w:rPr>
            </w:pPr>
            <w:r>
              <w:rPr>
                <w:rFonts w:ascii="Arial" w:cs="Arial" w:eastAsia="Arial" w:hAnsi="Arial"/>
                <w:sz w:val="14"/>
                <w:szCs w:val="14"/>
                <w:b w:val="1"/>
                <w:bCs w:val="1"/>
                <w:color w:val="auto"/>
                <w:w w:val="90"/>
              </w:rPr>
              <w:t>May 31,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41"/>
              <w:spacing w:after="0"/>
              <w:rPr>
                <w:sz w:val="20"/>
                <w:szCs w:val="20"/>
                <w:color w:val="auto"/>
              </w:rPr>
            </w:pPr>
            <w:r>
              <w:rPr>
                <w:rFonts w:ascii="Arial" w:cs="Arial" w:eastAsia="Arial" w:hAnsi="Arial"/>
                <w:sz w:val="14"/>
                <w:szCs w:val="14"/>
                <w:b w:val="1"/>
                <w:bCs w:val="1"/>
                <w:color w:val="auto"/>
                <w:w w:val="96"/>
              </w:rPr>
              <w:t>June 30,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38"/>
              <w:spacing w:after="0"/>
              <w:rPr>
                <w:sz w:val="20"/>
                <w:szCs w:val="20"/>
                <w:color w:val="auto"/>
              </w:rPr>
            </w:pPr>
            <w:r>
              <w:rPr>
                <w:rFonts w:ascii="Arial" w:cs="Arial" w:eastAsia="Arial" w:hAnsi="Arial"/>
                <w:sz w:val="14"/>
                <w:szCs w:val="14"/>
                <w:b w:val="1"/>
                <w:bCs w:val="1"/>
                <w:color w:val="auto"/>
                <w:w w:val="90"/>
              </w:rPr>
              <w:t>May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41"/>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318"/>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41"/>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338"/>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258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11,423</w:t>
            </w:r>
          </w:p>
        </w:tc>
        <w:tc>
          <w:tcPr>
            <w:tcW w:w="5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7,339</w:t>
            </w:r>
          </w:p>
        </w:tc>
        <w:tc>
          <w:tcPr>
            <w:tcW w:w="5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19,310</w:t>
            </w:r>
          </w:p>
        </w:tc>
        <w:tc>
          <w:tcPr>
            <w:tcW w:w="580" w:type="dxa"/>
            <w:vAlign w:val="bottom"/>
            <w:gridSpan w:val="2"/>
            <w:shd w:val="clear" w:color="auto" w:fill="E6E6E6"/>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17,741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Rest of Europe</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27,049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46,125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24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65,010</w:t>
            </w:r>
          </w:p>
        </w:tc>
        <w:tc>
          <w:tcPr>
            <w:tcW w:w="30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46,641</w:t>
            </w:r>
          </w:p>
        </w:tc>
        <w:tc>
          <w:tcPr>
            <w:tcW w:w="3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125,860</w:t>
            </w:r>
          </w:p>
        </w:tc>
        <w:tc>
          <w:tcPr>
            <w:tcW w:w="30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95,040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Rest of the World</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7,830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14,636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700" w:type="dxa"/>
            <w:vAlign w:val="bottom"/>
            <w:gridSpan w:val="2"/>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580" w:type="dxa"/>
            <w:vAlign w:val="bottom"/>
            <w:gridSpan w:val="2"/>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107,436</w:t>
            </w:r>
          </w:p>
        </w:tc>
        <w:tc>
          <w:tcPr>
            <w:tcW w:w="5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85,969</w:t>
            </w:r>
          </w:p>
        </w:tc>
        <w:tc>
          <w:tcPr>
            <w:tcW w:w="500" w:type="dxa"/>
            <w:vAlign w:val="bottom"/>
            <w:gridSpan w:val="2"/>
            <w:shd w:val="clear" w:color="auto" w:fill="E6E6E6"/>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205,931</w:t>
            </w:r>
          </w:p>
        </w:tc>
        <w:tc>
          <w:tcPr>
            <w:tcW w:w="580" w:type="dxa"/>
            <w:vAlign w:val="bottom"/>
            <w:gridSpan w:val="2"/>
            <w:shd w:val="clear" w:color="auto" w:fill="E6E6E6"/>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168,824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-29210</wp:posOffset>
            </wp:positionV>
            <wp:extent cx="329755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29755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4662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25" w:lineRule="exact"/>
        <w:rPr>
          <w:rFonts w:ascii="Arial" w:cs="Arial" w:eastAsia="Arial" w:hAnsi="Arial"/>
          <w:sz w:val="18"/>
          <w:szCs w:val="18"/>
          <w:color w:val="auto"/>
        </w:rPr>
      </w:pPr>
    </w:p>
    <w:p>
      <w:pPr>
        <w:ind w:left="640" w:hanging="193"/>
        <w:spacing w:after="0"/>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distribution of net revenue by business segment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9"/>
          </w:tcPr>
          <w:p>
            <w:pPr>
              <w:jc w:val="center"/>
              <w:ind w:right="560"/>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center"/>
              <w:ind w:right="163"/>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May 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83"/>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8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6"/>
          </w:tcPr>
          <w:p>
            <w:pPr>
              <w:jc w:val="center"/>
              <w:ind w:left="463"/>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4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E6E6E6"/>
          </w:tcPr>
          <w:p>
            <w:pPr>
              <w:spacing w:after="0"/>
              <w:rPr>
                <w:sz w:val="18"/>
                <w:szCs w:val="18"/>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11,516</w:t>
            </w:r>
          </w:p>
        </w:tc>
        <w:tc>
          <w:tcPr>
            <w:tcW w:w="44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6,123</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20,805</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12,494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Clinical research</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95,920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79,846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185,126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156,330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E6E6E6"/>
          </w:tcPr>
          <w:p>
            <w:pPr>
              <w:spacing w:after="0"/>
              <w:rPr>
                <w:sz w:val="18"/>
                <w:szCs w:val="18"/>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107,436</w:t>
            </w:r>
          </w:p>
        </w:tc>
        <w:tc>
          <w:tcPr>
            <w:tcW w:w="44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85,969</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205,931</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168,824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40" w:type="dxa"/>
            <w:vAlign w:val="bottom"/>
            <w:tcBorders>
              <w:bottom w:val="single" w:sz="8" w:color="808080"/>
            </w:tcBorders>
            <w:gridSpan w:val="2"/>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340" w:type="dxa"/>
            <w:vAlign w:val="bottom"/>
            <w:gridSpan w:val="4"/>
          </w:tcPr>
          <w:p>
            <w:pPr>
              <w:ind w:left="420"/>
              <w:spacing w:after="0"/>
              <w:rPr>
                <w:sz w:val="20"/>
                <w:szCs w:val="20"/>
                <w:color w:val="auto"/>
              </w:rPr>
            </w:pPr>
            <w:r>
              <w:rPr>
                <w:rFonts w:ascii="Arial" w:cs="Arial" w:eastAsia="Arial" w:hAnsi="Arial"/>
                <w:sz w:val="18"/>
                <w:szCs w:val="18"/>
                <w:color w:val="auto"/>
                <w:w w:val="90"/>
              </w:rPr>
              <w:t>c) The distribution of income from operations by geographical area was as follows: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9"/>
          </w:tcPr>
          <w:p>
            <w:pPr>
              <w:jc w:val="center"/>
              <w:ind w:right="560"/>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center"/>
              <w:ind w:right="163"/>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May 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83"/>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8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6"/>
          </w:tcPr>
          <w:p>
            <w:pPr>
              <w:jc w:val="center"/>
              <w:ind w:left="463"/>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14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E6E6E6"/>
          </w:tcPr>
          <w:p>
            <w:pPr>
              <w:spacing w:after="0"/>
              <w:rPr>
                <w:sz w:val="18"/>
                <w:szCs w:val="18"/>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4,261</w:t>
            </w:r>
          </w:p>
        </w:tc>
        <w:tc>
          <w:tcPr>
            <w:tcW w:w="44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110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(781)</w:t>
            </w:r>
          </w:p>
        </w:tc>
        <w:tc>
          <w:tcPr>
            <w:tcW w:w="1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3,932</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E6E6E6"/>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Europe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8,344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4,496</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0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(152)</w:t>
            </w:r>
          </w:p>
        </w:tc>
        <w:tc>
          <w:tcPr>
            <w:tcW w:w="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8,905</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060" w:type="dxa"/>
            <w:vAlign w:val="bottom"/>
            <w:gridSpan w:val="4"/>
            <w:shd w:val="clear" w:color="auto" w:fill="E6E6E6"/>
          </w:tcPr>
          <w:p>
            <w:pPr>
              <w:jc w:val="right"/>
              <w:ind w:right="60"/>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the World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E6E6E6"/>
          </w:tcPr>
          <w:p>
            <w:pPr>
              <w:spacing w:after="0"/>
              <w:rPr>
                <w:sz w:val="18"/>
                <w:szCs w:val="18"/>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11,336</w:t>
            </w:r>
          </w:p>
        </w:tc>
        <w:tc>
          <w:tcPr>
            <w:tcW w:w="44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7,351</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21,402</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2,114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6340" w:type="dxa"/>
            <w:vAlign w:val="bottom"/>
            <w:gridSpan w:val="4"/>
          </w:tcPr>
          <w:p>
            <w:pPr>
              <w:ind w:left="420"/>
              <w:spacing w:after="0"/>
              <w:rPr>
                <w:sz w:val="20"/>
                <w:szCs w:val="20"/>
                <w:color w:val="auto"/>
              </w:rPr>
            </w:pPr>
            <w:r>
              <w:rPr>
                <w:rFonts w:ascii="Arial" w:cs="Arial" w:eastAsia="Arial" w:hAnsi="Arial"/>
                <w:sz w:val="18"/>
                <w:szCs w:val="18"/>
                <w:color w:val="auto"/>
                <w:w w:val="89"/>
              </w:rPr>
              <w:t>d) The distribution of income from operations by business segment was as follows: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9"/>
          </w:tcPr>
          <w:p>
            <w:pPr>
              <w:jc w:val="center"/>
              <w:ind w:right="560"/>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center"/>
              <w:ind w:right="163"/>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May 31,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83"/>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8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gridSpan w:val="3"/>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6"/>
          </w:tcPr>
          <w:p>
            <w:pPr>
              <w:jc w:val="center"/>
              <w:ind w:left="463"/>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4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E6E6E6"/>
          </w:tcPr>
          <w:p>
            <w:pPr>
              <w:spacing w:after="0"/>
              <w:rPr>
                <w:sz w:val="18"/>
                <w:szCs w:val="18"/>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323</w:t>
            </w:r>
          </w:p>
        </w:tc>
        <w:tc>
          <w:tcPr>
            <w:tcW w:w="44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110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(1,997)</w:t>
            </w:r>
          </w:p>
        </w:tc>
        <w:tc>
          <w:tcPr>
            <w:tcW w:w="1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E6E6E6"/>
          </w:tcPr>
          <w:p>
            <w:pPr>
              <w:jc w:val="right"/>
              <w:ind w:right="280"/>
              <w:spacing w:after="0"/>
              <w:rPr>
                <w:sz w:val="20"/>
                <w:szCs w:val="20"/>
                <w:color w:val="auto"/>
              </w:rPr>
            </w:pPr>
            <w:r>
              <w:rPr>
                <w:rFonts w:ascii="Arial" w:cs="Arial" w:eastAsia="Arial" w:hAnsi="Arial"/>
                <w:sz w:val="18"/>
                <w:szCs w:val="18"/>
                <w:color w:val="auto"/>
              </w:rPr>
              <w:t>(334)</w:t>
            </w:r>
          </w:p>
        </w:tc>
        <w:tc>
          <w:tcPr>
            <w:tcW w:w="1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E6E6E6"/>
          </w:tcPr>
          <w:p>
            <w:pPr>
              <w:jc w:val="right"/>
              <w:ind w:right="60"/>
              <w:spacing w:after="0"/>
              <w:rPr>
                <w:sz w:val="20"/>
                <w:szCs w:val="20"/>
                <w:color w:val="auto"/>
              </w:rPr>
            </w:pPr>
            <w:r>
              <w:rPr>
                <w:rFonts w:ascii="Arial" w:cs="Arial" w:eastAsia="Arial" w:hAnsi="Arial"/>
                <w:sz w:val="18"/>
                <w:szCs w:val="18"/>
                <w:color w:val="auto"/>
              </w:rPr>
              <w:t>(12,530)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Clinical research</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11,013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9,348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21,736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20" w:type="dxa"/>
            <w:vAlign w:val="bottom"/>
            <w:gridSpan w:val="3"/>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gridSpan w:val="4"/>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E6E6E6"/>
          </w:tcPr>
          <w:p>
            <w:pPr>
              <w:jc w:val="right"/>
              <w:ind w:right="6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E6E6E6"/>
          </w:tcPr>
          <w:p>
            <w:pPr>
              <w:spacing w:after="0"/>
              <w:rPr>
                <w:sz w:val="18"/>
                <w:szCs w:val="18"/>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11,336</w:t>
            </w:r>
          </w:p>
        </w:tc>
        <w:tc>
          <w:tcPr>
            <w:tcW w:w="44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7,351</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gridSpan w:val="2"/>
            <w:shd w:val="clear" w:color="auto" w:fill="E6E6E6"/>
          </w:tcPr>
          <w:p>
            <w:pPr>
              <w:jc w:val="right"/>
              <w:ind w:right="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21,402</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2,114</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40" w:type="dxa"/>
            <w:vAlign w:val="bottom"/>
            <w:tcBorders>
              <w:bottom w:val="single" w:sz="8" w:color="808080"/>
            </w:tcBorders>
            <w:gridSpan w:val="2"/>
          </w:tcPr>
          <w:p>
            <w:pPr>
              <w:spacing w:after="0"/>
              <w:rPr>
                <w:sz w:val="11"/>
                <w:szCs w:val="11"/>
                <w:color w:val="auto"/>
              </w:rPr>
            </w:pPr>
          </w:p>
        </w:tc>
        <w:tc>
          <w:tcPr>
            <w:tcW w:w="92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180" w:type="dxa"/>
            <w:vAlign w:val="bottom"/>
            <w:gridSpan w:val="5"/>
          </w:tcPr>
          <w:p>
            <w:pPr>
              <w:ind w:left="420"/>
              <w:spacing w:after="0"/>
              <w:rPr>
                <w:sz w:val="20"/>
                <w:szCs w:val="20"/>
                <w:color w:val="auto"/>
              </w:rPr>
            </w:pPr>
            <w:r>
              <w:rPr>
                <w:rFonts w:ascii="Arial" w:cs="Arial" w:eastAsia="Arial" w:hAnsi="Arial"/>
                <w:sz w:val="18"/>
                <w:szCs w:val="18"/>
                <w:color w:val="auto"/>
                <w:w w:val="90"/>
              </w:rPr>
              <w:t>e) The distribution of property, plant and equipment, net, by geographical area was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4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gridSpan w:val="3"/>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24,467</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22,538</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Europe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7,635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18,130</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16,720</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the World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8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gridSpan w:val="2"/>
            <w:shd w:val="clear" w:color="auto" w:fill="E6E6E6"/>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52,974</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47,652</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-5766435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-5766435</wp:posOffset>
            </wp:positionV>
            <wp:extent cx="322834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22834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-3682365</wp:posOffset>
            </wp:positionV>
            <wp:extent cx="329755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9755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-1873250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-1873250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-1873250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-1873250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-1873250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-1873250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-1873250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-1873250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-1873250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-1873250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-1873250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-1873250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47891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478915" cy="29845"/>
                    </a:xfrm>
                    <a:prstGeom prst="rect">
                      <a:avLst/>
                    </a:prstGeom>
                    <a:noFill/>
                  </pic:spPr>
                </pic:pic>
              </a:graphicData>
            </a:graphic>
          </wp:anchor>
        </w:drawing>
      </w:r>
    </w:p>
    <w:p>
      <w:pPr>
        <w:sectPr>
          <w:pgSz w:w="11900" w:h="16838" w:orient="portrait"/>
          <w:cols w:equalWidth="0" w:num="1">
            <w:col w:w="11420"/>
          </w:cols>
          <w:pgMar w:left="240" w:top="131" w:right="239" w:bottom="103"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03" w:gutter="0" w:footer="0" w:header="0"/>
          <w:type w:val="continuous"/>
        </w:sectPr>
      </w:pPr>
    </w:p>
    <w:bookmarkStart w:id="69" w:name="page70"/>
    <w:bookmarkEnd w:id="69"/>
    <w:p>
      <w:pPr>
        <w:ind w:left="440"/>
        <w:spacing w:after="0"/>
        <w:rPr>
          <w:sz w:val="20"/>
          <w:szCs w:val="20"/>
          <w:color w:val="auto"/>
        </w:rPr>
      </w:pPr>
      <w:r>
        <w:rPr>
          <w:rFonts w:ascii="Arial" w:cs="Arial" w:eastAsia="Arial" w:hAnsi="Arial"/>
          <w:sz w:val="18"/>
          <w:szCs w:val="18"/>
          <w:color w:val="auto"/>
        </w:rPr>
        <w:t>f ) The distribution of property, plant and equipment, net, by business segment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935"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58"/>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35"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935"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8"/>
          </w:tcPr>
          <w:p>
            <w:pPr>
              <w:jc w:val="center"/>
              <w:ind w:left="562"/>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6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3,730</w:t>
            </w:r>
          </w:p>
        </w:tc>
        <w:tc>
          <w:tcPr>
            <w:tcW w:w="20" w:type="dxa"/>
            <w:vAlign w:val="bottom"/>
            <w:shd w:val="clear" w:color="auto" w:fill="E6E6E6"/>
          </w:tcPr>
          <w:p>
            <w:pPr>
              <w:spacing w:after="0"/>
              <w:rPr>
                <w:sz w:val="18"/>
                <w:szCs w:val="18"/>
                <w:color w:val="auto"/>
              </w:rPr>
            </w:pPr>
          </w:p>
        </w:tc>
        <w:tc>
          <w:tcPr>
            <w:tcW w:w="42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Clinical research</w:t>
            </w:r>
          </w:p>
        </w:tc>
        <w:tc>
          <w:tcPr>
            <w:tcW w:w="125" w:type="dxa"/>
            <w:vAlign w:val="bottom"/>
          </w:tcPr>
          <w:p>
            <w:pPr>
              <w:spacing w:after="0"/>
              <w:rPr>
                <w:sz w:val="19"/>
                <w:szCs w:val="19"/>
                <w:color w:val="auto"/>
              </w:rPr>
            </w:pPr>
          </w:p>
        </w:tc>
        <w:tc>
          <w:tcPr>
            <w:tcW w:w="93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49,244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6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52,974</w:t>
            </w:r>
          </w:p>
        </w:tc>
        <w:tc>
          <w:tcPr>
            <w:tcW w:w="20" w:type="dxa"/>
            <w:vAlign w:val="bottom"/>
            <w:shd w:val="clear" w:color="auto" w:fill="E6E6E6"/>
          </w:tcPr>
          <w:p>
            <w:pPr>
              <w:spacing w:after="0"/>
              <w:rPr>
                <w:sz w:val="18"/>
                <w:szCs w:val="18"/>
                <w:color w:val="auto"/>
              </w:rPr>
            </w:pPr>
          </w:p>
        </w:tc>
        <w:tc>
          <w:tcPr>
            <w:tcW w:w="42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47,652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80" w:type="dxa"/>
            <w:vAlign w:val="bottom"/>
            <w:gridSpan w:val="3"/>
            <w:vMerge w:val="restart"/>
          </w:tcPr>
          <w:p>
            <w:pPr>
              <w:ind w:left="420"/>
              <w:spacing w:after="0"/>
              <w:rPr>
                <w:sz w:val="20"/>
                <w:szCs w:val="20"/>
                <w:color w:val="auto"/>
              </w:rPr>
            </w:pPr>
            <w:r>
              <w:rPr>
                <w:rFonts w:ascii="Arial" w:cs="Arial" w:eastAsia="Arial" w:hAnsi="Arial"/>
                <w:sz w:val="18"/>
                <w:szCs w:val="18"/>
                <w:color w:val="auto"/>
                <w:w w:val="95"/>
              </w:rPr>
              <w:t>g) The distribution of depreciation and amortization by geographical area was as follows:</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1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2295" w:type="dxa"/>
            <w:vAlign w:val="bottom"/>
            <w:gridSpan w:val="6"/>
          </w:tcPr>
          <w:p>
            <w:pPr>
              <w:jc w:val="center"/>
              <w:ind w:right="84"/>
              <w:spacing w:after="0"/>
              <w:rPr>
                <w:sz w:val="20"/>
                <w:szCs w:val="20"/>
                <w:color w:val="auto"/>
              </w:rPr>
            </w:pPr>
            <w:r>
              <w:rPr>
                <w:rFonts w:ascii="Arial" w:cs="Arial" w:eastAsia="Arial" w:hAnsi="Arial"/>
                <w:sz w:val="14"/>
                <w:szCs w:val="14"/>
                <w:b w:val="1"/>
                <w:bCs w:val="1"/>
                <w:color w:val="auto"/>
                <w:w w:val="88"/>
              </w:rPr>
              <w:t>Three Months Ended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9"/>
          </w:tcPr>
          <w:p>
            <w:pPr>
              <w:jc w:val="center"/>
              <w:ind w:right="78"/>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935" w:type="dxa"/>
            <w:vAlign w:val="bottom"/>
          </w:tcPr>
          <w:p>
            <w:pPr>
              <w:jc w:val="center"/>
              <w:ind w:right="67"/>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0"/>
              </w:rPr>
              <w:t>May 31,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May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35" w:type="dxa"/>
            <w:vAlign w:val="bottom"/>
          </w:tcPr>
          <w:p>
            <w:pPr>
              <w:jc w:val="center"/>
              <w:ind w:right="87"/>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0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218"/>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1495" w:type="dxa"/>
            <w:vAlign w:val="bottom"/>
            <w:gridSpan w:val="5"/>
          </w:tcPr>
          <w:p>
            <w:pPr>
              <w:jc w:val="center"/>
              <w:ind w:left="557"/>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8"/>
          </w:tcPr>
          <w:p>
            <w:pPr>
              <w:jc w:val="center"/>
              <w:ind w:left="562"/>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125"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1,306</w:t>
            </w:r>
          </w:p>
        </w:tc>
        <w:tc>
          <w:tcPr>
            <w:tcW w:w="44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1,304</w:t>
            </w:r>
          </w:p>
        </w:tc>
        <w:tc>
          <w:tcPr>
            <w:tcW w:w="460" w:type="dxa"/>
            <w:vAlign w:val="bottom"/>
            <w:gridSpan w:val="4"/>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2,525</w:t>
            </w:r>
          </w:p>
        </w:tc>
        <w:tc>
          <w:tcPr>
            <w:tcW w:w="20" w:type="dxa"/>
            <w:vAlign w:val="bottom"/>
            <w:shd w:val="clear" w:color="auto" w:fill="E6E6E6"/>
          </w:tcPr>
          <w:p>
            <w:pPr>
              <w:spacing w:after="0"/>
              <w:rPr>
                <w:sz w:val="18"/>
                <w:szCs w:val="18"/>
                <w:color w:val="auto"/>
              </w:rPr>
            </w:pPr>
          </w:p>
        </w:tc>
        <w:tc>
          <w:tcPr>
            <w:tcW w:w="42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Europe</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1,576</w:t>
            </w: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3,081</w:t>
            </w: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the World</w:t>
            </w: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125" w:type="dxa"/>
            <w:vAlign w:val="bottom"/>
            <w:tcBorders>
              <w:bottom w:val="single" w:sz="8" w:color="808080"/>
            </w:tcBorders>
          </w:tcPr>
          <w:p>
            <w:pPr>
              <w:spacing w:after="0"/>
              <w:rPr>
                <w:sz w:val="8"/>
                <w:szCs w:val="8"/>
                <w:color w:val="auto"/>
              </w:rPr>
            </w:pPr>
          </w:p>
        </w:tc>
        <w:tc>
          <w:tcPr>
            <w:tcW w:w="935"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gridSpan w:val="2"/>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gridSpan w:val="3"/>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4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5"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3,689</w:t>
            </w:r>
          </w:p>
        </w:tc>
        <w:tc>
          <w:tcPr>
            <w:tcW w:w="44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3,549</w:t>
            </w:r>
          </w:p>
        </w:tc>
        <w:tc>
          <w:tcPr>
            <w:tcW w:w="460" w:type="dxa"/>
            <w:vAlign w:val="bottom"/>
            <w:gridSpan w:val="4"/>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7,134</w:t>
            </w:r>
          </w:p>
        </w:tc>
        <w:tc>
          <w:tcPr>
            <w:tcW w:w="20" w:type="dxa"/>
            <w:vAlign w:val="bottom"/>
            <w:shd w:val="clear" w:color="auto" w:fill="E6E6E6"/>
          </w:tcPr>
          <w:p>
            <w:pPr>
              <w:spacing w:after="0"/>
              <w:rPr>
                <w:sz w:val="18"/>
                <w:szCs w:val="18"/>
                <w:color w:val="auto"/>
              </w:rPr>
            </w:pPr>
          </w:p>
        </w:tc>
        <w:tc>
          <w:tcPr>
            <w:tcW w:w="42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6,973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25" w:type="dxa"/>
            <w:vAlign w:val="bottom"/>
            <w:tcBorders>
              <w:bottom w:val="single" w:sz="8" w:color="808080"/>
            </w:tcBorders>
          </w:tcPr>
          <w:p>
            <w:pPr>
              <w:spacing w:after="0"/>
              <w:rPr>
                <w:sz w:val="11"/>
                <w:szCs w:val="11"/>
                <w:color w:val="auto"/>
              </w:rPr>
            </w:pPr>
          </w:p>
        </w:tc>
        <w:tc>
          <w:tcPr>
            <w:tcW w:w="935"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w w:val="95"/>
              </w:rPr>
              <w:t>h) The distribution of depreciation and amortization by business segment was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2295" w:type="dxa"/>
            <w:vAlign w:val="bottom"/>
            <w:gridSpan w:val="6"/>
          </w:tcPr>
          <w:p>
            <w:pPr>
              <w:jc w:val="center"/>
              <w:ind w:right="84"/>
              <w:spacing w:after="0"/>
              <w:rPr>
                <w:sz w:val="20"/>
                <w:szCs w:val="20"/>
                <w:color w:val="auto"/>
              </w:rPr>
            </w:pPr>
            <w:r>
              <w:rPr>
                <w:rFonts w:ascii="Arial" w:cs="Arial" w:eastAsia="Arial" w:hAnsi="Arial"/>
                <w:sz w:val="14"/>
                <w:szCs w:val="14"/>
                <w:b w:val="1"/>
                <w:bCs w:val="1"/>
                <w:color w:val="auto"/>
                <w:w w:val="88"/>
              </w:rPr>
              <w:t>Three Months Ended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9"/>
          </w:tcPr>
          <w:p>
            <w:pPr>
              <w:jc w:val="center"/>
              <w:ind w:right="78"/>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935" w:type="dxa"/>
            <w:vAlign w:val="bottom"/>
          </w:tcPr>
          <w:p>
            <w:pPr>
              <w:jc w:val="center"/>
              <w:ind w:right="67"/>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0"/>
              </w:rPr>
              <w:t>May 31,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May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35" w:type="dxa"/>
            <w:vAlign w:val="bottom"/>
          </w:tcPr>
          <w:p>
            <w:pPr>
              <w:jc w:val="center"/>
              <w:ind w:right="87"/>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10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218"/>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gridSpan w:val="4"/>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1495" w:type="dxa"/>
            <w:vAlign w:val="bottom"/>
            <w:gridSpan w:val="5"/>
          </w:tcPr>
          <w:p>
            <w:pPr>
              <w:jc w:val="center"/>
              <w:ind w:left="557"/>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8"/>
          </w:tcPr>
          <w:p>
            <w:pPr>
              <w:jc w:val="center"/>
              <w:ind w:left="562"/>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5"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316</w:t>
            </w:r>
          </w:p>
        </w:tc>
        <w:tc>
          <w:tcPr>
            <w:tcW w:w="44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260</w:t>
            </w:r>
          </w:p>
        </w:tc>
        <w:tc>
          <w:tcPr>
            <w:tcW w:w="460" w:type="dxa"/>
            <w:vAlign w:val="bottom"/>
            <w:gridSpan w:val="4"/>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622</w:t>
            </w:r>
          </w:p>
        </w:tc>
        <w:tc>
          <w:tcPr>
            <w:tcW w:w="20" w:type="dxa"/>
            <w:vAlign w:val="bottom"/>
            <w:shd w:val="clear" w:color="auto" w:fill="E6E6E6"/>
          </w:tcPr>
          <w:p>
            <w:pPr>
              <w:spacing w:after="0"/>
              <w:rPr>
                <w:sz w:val="18"/>
                <w:szCs w:val="18"/>
                <w:color w:val="auto"/>
              </w:rPr>
            </w:pPr>
          </w:p>
        </w:tc>
        <w:tc>
          <w:tcPr>
            <w:tcW w:w="42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Clinical research</w:t>
            </w: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3,373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125" w:type="dxa"/>
            <w:vAlign w:val="bottom"/>
            <w:tcBorders>
              <w:bottom w:val="single" w:sz="8" w:color="808080"/>
            </w:tcBorders>
          </w:tcPr>
          <w:p>
            <w:pPr>
              <w:spacing w:after="0"/>
              <w:rPr>
                <w:sz w:val="8"/>
                <w:szCs w:val="8"/>
                <w:color w:val="auto"/>
              </w:rPr>
            </w:pPr>
          </w:p>
        </w:tc>
        <w:tc>
          <w:tcPr>
            <w:tcW w:w="935" w:type="dxa"/>
            <w:vAlign w:val="bottom"/>
            <w:tcBorders>
              <w:bottom w:val="single" w:sz="8" w:color="808080"/>
            </w:tcBorders>
          </w:tcPr>
          <w:p>
            <w:pPr>
              <w:spacing w:after="0"/>
              <w:rPr>
                <w:sz w:val="8"/>
                <w:szCs w:val="8"/>
                <w:color w:val="auto"/>
              </w:rPr>
            </w:pPr>
          </w:p>
        </w:tc>
        <w:tc>
          <w:tcPr>
            <w:tcW w:w="300" w:type="dxa"/>
            <w:vAlign w:val="bottom"/>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gridSpan w:val="2"/>
          </w:tcPr>
          <w:p>
            <w:pPr>
              <w:spacing w:after="0"/>
              <w:rPr>
                <w:sz w:val="8"/>
                <w:szCs w:val="8"/>
                <w:color w:val="auto"/>
              </w:rPr>
            </w:pPr>
          </w:p>
        </w:tc>
        <w:tc>
          <w:tcPr>
            <w:tcW w:w="140" w:type="dxa"/>
            <w:vAlign w:val="bottom"/>
            <w:tcBorders>
              <w:bottom w:val="single" w:sz="8" w:color="808080"/>
            </w:tcBorders>
            <w:gridSpan w:val="2"/>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12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gridSpan w:val="4"/>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gridSpan w:val="5"/>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5" w:type="dxa"/>
            <w:vAlign w:val="bottom"/>
            <w:shd w:val="clear" w:color="auto" w:fill="E6E6E6"/>
          </w:tcPr>
          <w:p>
            <w:pPr>
              <w:jc w:val="right"/>
              <w:spacing w:after="0"/>
              <w:rPr>
                <w:sz w:val="20"/>
                <w:szCs w:val="20"/>
                <w:color w:val="auto"/>
              </w:rPr>
            </w:pPr>
            <w:r>
              <w:rPr>
                <w:rFonts w:ascii="Arial" w:cs="Arial" w:eastAsia="Arial" w:hAnsi="Arial"/>
                <w:sz w:val="15"/>
                <w:szCs w:val="15"/>
                <w:color w:val="auto"/>
                <w:w w:val="71"/>
              </w:rPr>
              <w:t>$</w:t>
            </w:r>
          </w:p>
        </w:tc>
        <w:tc>
          <w:tcPr>
            <w:tcW w:w="935" w:type="dxa"/>
            <w:vAlign w:val="bottom"/>
            <w:shd w:val="clear" w:color="auto" w:fill="E6E6E6"/>
          </w:tcPr>
          <w:p>
            <w:pPr>
              <w:jc w:val="right"/>
              <w:spacing w:after="0"/>
              <w:rPr>
                <w:sz w:val="20"/>
                <w:szCs w:val="20"/>
                <w:color w:val="auto"/>
              </w:rPr>
            </w:pPr>
            <w:r>
              <w:rPr>
                <w:rFonts w:ascii="Arial" w:cs="Arial" w:eastAsia="Arial" w:hAnsi="Arial"/>
                <w:sz w:val="18"/>
                <w:szCs w:val="18"/>
                <w:color w:val="auto"/>
              </w:rPr>
              <w:t>3,689</w:t>
            </w:r>
          </w:p>
        </w:tc>
        <w:tc>
          <w:tcPr>
            <w:tcW w:w="44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3,549</w:t>
            </w:r>
          </w:p>
        </w:tc>
        <w:tc>
          <w:tcPr>
            <w:tcW w:w="460" w:type="dxa"/>
            <w:vAlign w:val="bottom"/>
            <w:gridSpan w:val="4"/>
            <w:shd w:val="clear" w:color="auto" w:fill="E6E6E6"/>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7,134</w:t>
            </w:r>
          </w:p>
        </w:tc>
        <w:tc>
          <w:tcPr>
            <w:tcW w:w="20" w:type="dxa"/>
            <w:vAlign w:val="bottom"/>
            <w:shd w:val="clear" w:color="auto" w:fill="E6E6E6"/>
          </w:tcPr>
          <w:p>
            <w:pPr>
              <w:spacing w:after="0"/>
              <w:rPr>
                <w:sz w:val="18"/>
                <w:szCs w:val="18"/>
                <w:color w:val="auto"/>
              </w:rPr>
            </w:pPr>
          </w:p>
        </w:tc>
        <w:tc>
          <w:tcPr>
            <w:tcW w:w="42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6,973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i) The distribution of total assets by geographical area was as follows:</w:t>
            </w:r>
          </w:p>
        </w:tc>
        <w:tc>
          <w:tcPr>
            <w:tcW w:w="125" w:type="dxa"/>
            <w:vAlign w:val="bottom"/>
            <w:tcBorders>
              <w:bottom w:val="single" w:sz="8" w:color="808080"/>
            </w:tcBorders>
          </w:tcPr>
          <w:p>
            <w:pPr>
              <w:spacing w:after="0"/>
              <w:rPr>
                <w:sz w:val="11"/>
                <w:szCs w:val="11"/>
                <w:color w:val="auto"/>
              </w:rPr>
            </w:pPr>
          </w:p>
        </w:tc>
        <w:tc>
          <w:tcPr>
            <w:tcW w:w="935"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58"/>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35"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320" w:type="dxa"/>
            <w:vAlign w:val="bottom"/>
            <w:gridSpan w:val="4"/>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935"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8"/>
          </w:tcPr>
          <w:p>
            <w:pPr>
              <w:jc w:val="center"/>
              <w:ind w:left="562"/>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Ireland</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6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112,359</w:t>
            </w:r>
          </w:p>
        </w:tc>
        <w:tc>
          <w:tcPr>
            <w:tcW w:w="20" w:type="dxa"/>
            <w:vAlign w:val="bottom"/>
            <w:shd w:val="clear" w:color="auto" w:fill="E6E6E6"/>
          </w:tcPr>
          <w:p>
            <w:pPr>
              <w:spacing w:after="0"/>
              <w:rPr>
                <w:sz w:val="18"/>
                <w:szCs w:val="18"/>
                <w:color w:val="auto"/>
              </w:rPr>
            </w:pPr>
          </w:p>
        </w:tc>
        <w:tc>
          <w:tcPr>
            <w:tcW w:w="42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91,826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Europe</w:t>
            </w:r>
          </w:p>
        </w:tc>
        <w:tc>
          <w:tcPr>
            <w:tcW w:w="125" w:type="dxa"/>
            <w:vAlign w:val="bottom"/>
          </w:tcPr>
          <w:p>
            <w:pPr>
              <w:spacing w:after="0"/>
              <w:rPr>
                <w:sz w:val="18"/>
                <w:szCs w:val="18"/>
                <w:color w:val="auto"/>
              </w:rPr>
            </w:pPr>
          </w:p>
        </w:tc>
        <w:tc>
          <w:tcPr>
            <w:tcW w:w="93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U.S.</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188,728</w:t>
            </w: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169,799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Rest of the World</w:t>
            </w:r>
          </w:p>
        </w:tc>
        <w:tc>
          <w:tcPr>
            <w:tcW w:w="125" w:type="dxa"/>
            <w:vAlign w:val="bottom"/>
          </w:tcPr>
          <w:p>
            <w:pPr>
              <w:spacing w:after="0"/>
              <w:rPr>
                <w:sz w:val="19"/>
                <w:szCs w:val="19"/>
                <w:color w:val="auto"/>
              </w:rPr>
            </w:pPr>
          </w:p>
        </w:tc>
        <w:tc>
          <w:tcPr>
            <w:tcW w:w="93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12,177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gridSpan w:val="4"/>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gridSpan w:val="4"/>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gridSpan w:val="5"/>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6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392,566</w:t>
            </w:r>
          </w:p>
        </w:tc>
        <w:tc>
          <w:tcPr>
            <w:tcW w:w="20" w:type="dxa"/>
            <w:vAlign w:val="bottom"/>
            <w:shd w:val="clear" w:color="auto" w:fill="E6E6E6"/>
          </w:tcPr>
          <w:p>
            <w:pPr>
              <w:spacing w:after="0"/>
              <w:rPr>
                <w:sz w:val="18"/>
                <w:szCs w:val="18"/>
                <w:color w:val="auto"/>
              </w:rPr>
            </w:pPr>
          </w:p>
        </w:tc>
        <w:tc>
          <w:tcPr>
            <w:tcW w:w="42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j) The distribution of total assets by business segment was as follows:</w:t>
            </w:r>
          </w:p>
        </w:tc>
        <w:tc>
          <w:tcPr>
            <w:tcW w:w="125" w:type="dxa"/>
            <w:vAlign w:val="bottom"/>
          </w:tcPr>
          <w:p>
            <w:pPr>
              <w:spacing w:after="0"/>
              <w:rPr>
                <w:sz w:val="11"/>
                <w:szCs w:val="11"/>
                <w:color w:val="auto"/>
              </w:rPr>
            </w:pPr>
          </w:p>
        </w:tc>
        <w:tc>
          <w:tcPr>
            <w:tcW w:w="935"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58"/>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35"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198"/>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320" w:type="dxa"/>
            <w:vAlign w:val="bottom"/>
            <w:gridSpan w:val="4"/>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935"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8"/>
          </w:tcPr>
          <w:p>
            <w:pPr>
              <w:jc w:val="center"/>
              <w:ind w:left="562"/>
              <w:spacing w:after="0"/>
              <w:rPr>
                <w:sz w:val="20"/>
                <w:szCs w:val="20"/>
                <w:color w:val="auto"/>
              </w:rPr>
            </w:pPr>
            <w:r>
              <w:rPr>
                <w:rFonts w:ascii="Arial" w:cs="Arial" w:eastAsia="Arial" w:hAnsi="Arial"/>
                <w:sz w:val="14"/>
                <w:szCs w:val="14"/>
                <w:b w:val="1"/>
                <w:bCs w:val="1"/>
                <w:color w:val="auto"/>
                <w:w w:val="84"/>
              </w:rPr>
              <w:t>(in thousands)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Central laboratory</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6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20,997</w:t>
            </w:r>
          </w:p>
        </w:tc>
        <w:tc>
          <w:tcPr>
            <w:tcW w:w="20" w:type="dxa"/>
            <w:vAlign w:val="bottom"/>
            <w:shd w:val="clear" w:color="auto" w:fill="E6E6E6"/>
          </w:tcPr>
          <w:p>
            <w:pPr>
              <w:spacing w:after="0"/>
              <w:rPr>
                <w:sz w:val="18"/>
                <w:szCs w:val="18"/>
                <w:color w:val="auto"/>
              </w:rPr>
            </w:pPr>
          </w:p>
        </w:tc>
        <w:tc>
          <w:tcPr>
            <w:tcW w:w="42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Clinical research</w:t>
            </w:r>
          </w:p>
        </w:tc>
        <w:tc>
          <w:tcPr>
            <w:tcW w:w="125" w:type="dxa"/>
            <w:vAlign w:val="bottom"/>
          </w:tcPr>
          <w:p>
            <w:pPr>
              <w:spacing w:after="0"/>
              <w:rPr>
                <w:sz w:val="19"/>
                <w:szCs w:val="19"/>
                <w:color w:val="auto"/>
              </w:rPr>
            </w:pPr>
          </w:p>
        </w:tc>
        <w:tc>
          <w:tcPr>
            <w:tcW w:w="935"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371,569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gridSpan w:val="3"/>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gridSpan w:val="4"/>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gridSpan w:val="4"/>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gridSpan w:val="5"/>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6E6E6"/>
          </w:tcPr>
          <w:p>
            <w:pPr>
              <w:spacing w:after="0"/>
              <w:rPr>
                <w:sz w:val="20"/>
                <w:szCs w:val="20"/>
                <w:color w:val="auto"/>
              </w:rPr>
            </w:pPr>
            <w:r>
              <w:rPr>
                <w:rFonts w:ascii="Arial" w:cs="Arial" w:eastAsia="Arial" w:hAnsi="Arial"/>
                <w:sz w:val="18"/>
                <w:szCs w:val="18"/>
                <w:color w:val="auto"/>
              </w:rPr>
              <w:t>Total</w:t>
            </w:r>
          </w:p>
        </w:tc>
        <w:tc>
          <w:tcPr>
            <w:tcW w:w="125" w:type="dxa"/>
            <w:vAlign w:val="bottom"/>
            <w:shd w:val="clear" w:color="auto" w:fill="E6E6E6"/>
          </w:tcPr>
          <w:p>
            <w:pPr>
              <w:spacing w:after="0"/>
              <w:rPr>
                <w:sz w:val="18"/>
                <w:szCs w:val="18"/>
                <w:color w:val="auto"/>
              </w:rPr>
            </w:pPr>
          </w:p>
        </w:tc>
        <w:tc>
          <w:tcPr>
            <w:tcW w:w="935"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460" w:type="dxa"/>
            <w:vAlign w:val="bottom"/>
            <w:gridSpan w:val="4"/>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392,566</w:t>
            </w:r>
          </w:p>
        </w:tc>
        <w:tc>
          <w:tcPr>
            <w:tcW w:w="20" w:type="dxa"/>
            <w:vAlign w:val="bottom"/>
            <w:shd w:val="clear" w:color="auto" w:fill="E6E6E6"/>
          </w:tcPr>
          <w:p>
            <w:pPr>
              <w:spacing w:after="0"/>
              <w:rPr>
                <w:sz w:val="18"/>
                <w:szCs w:val="18"/>
                <w:color w:val="auto"/>
              </w:rPr>
            </w:pPr>
          </w:p>
        </w:tc>
        <w:tc>
          <w:tcPr>
            <w:tcW w:w="420" w:type="dxa"/>
            <w:vAlign w:val="bottom"/>
            <w:gridSpan w:val="5"/>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6E6E6"/>
          </w:tcPr>
          <w:p>
            <w:pPr>
              <w:spacing w:after="0"/>
              <w:rPr>
                <w:sz w:val="18"/>
                <w:szCs w:val="18"/>
                <w:color w:val="auto"/>
              </w:rPr>
            </w:pPr>
          </w:p>
        </w:tc>
        <w:tc>
          <w:tcPr>
            <w:tcW w:w="8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25" w:type="dxa"/>
            <w:vAlign w:val="bottom"/>
          </w:tcPr>
          <w:p>
            <w:pPr>
              <w:spacing w:after="0"/>
              <w:rPr>
                <w:sz w:val="11"/>
                <w:szCs w:val="11"/>
                <w:color w:val="auto"/>
              </w:rPr>
            </w:pPr>
          </w:p>
        </w:tc>
        <w:tc>
          <w:tcPr>
            <w:tcW w:w="935"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-7335520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-7335520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-7335520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-7335520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-7335520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-7335520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-5252085</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-5252085</wp:posOffset>
            </wp:positionV>
            <wp:extent cx="322834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22834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-3442335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-3442335</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-3442335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-3442335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-3442335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-3442335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-3442335</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-3442335</wp:posOffset>
            </wp:positionV>
            <wp:extent cx="149606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49606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-1598295</wp:posOffset>
            </wp:positionV>
            <wp:extent cx="154749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54749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54749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54749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1"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Transition Report on Form 20-F for the seven months ended December 31, 2005. The Consolidated Financial Statements have been prepared in accordance with accounting principles generally accepted in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firstLine="436"/>
        <w:spacing w:after="0" w:line="291"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3,600 employees worldwide, with operations in 45 locations in 30 countries including the United States and major markets in Europe and Rest of World. For the six months ended June 30, 2006, we derived approximately 61.1%, 31.8%, and 7.1% of our net revenue in the United States, Europe and Rest of World, respectively.</w:t>
      </w:r>
    </w:p>
    <w:p>
      <w:pPr>
        <w:spacing w:after="0" w:line="174" w:lineRule="exact"/>
        <w:rPr>
          <w:sz w:val="20"/>
          <w:szCs w:val="20"/>
          <w:color w:val="auto"/>
        </w:rPr>
      </w:pPr>
    </w:p>
    <w:p>
      <w:pPr>
        <w:ind w:right="60" w:firstLine="436"/>
        <w:spacing w:after="0" w:line="291" w:lineRule="auto"/>
        <w:rPr>
          <w:sz w:val="20"/>
          <w:szCs w:val="20"/>
          <w:color w:val="auto"/>
        </w:rPr>
      </w:pPr>
      <w:r>
        <w:rPr>
          <w:rFonts w:ascii="Arial" w:cs="Arial" w:eastAsia="Arial" w:hAnsi="Arial"/>
          <w:sz w:val="16"/>
          <w:szCs w:val="16"/>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174" w:lineRule="exact"/>
        <w:rPr>
          <w:sz w:val="20"/>
          <w:szCs w:val="20"/>
          <w:color w:val="auto"/>
        </w:rPr>
      </w:pPr>
    </w:p>
    <w:p>
      <w:pPr>
        <w:ind w:right="60" w:firstLine="436"/>
        <w:spacing w:after="0" w:line="291" w:lineRule="auto"/>
        <w:rPr>
          <w:sz w:val="20"/>
          <w:szCs w:val="20"/>
          <w:color w:val="auto"/>
        </w:rPr>
      </w:pPr>
      <w:r>
        <w:rPr>
          <w:rFonts w:ascii="Arial" w:cs="Arial" w:eastAsia="Arial" w:hAnsi="Arial"/>
          <w:sz w:val="16"/>
          <w:szCs w:val="16"/>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an adjustment is recorded in the period in which they become readily estimable.</w:t>
      </w:r>
    </w:p>
    <w:p>
      <w:pPr>
        <w:spacing w:after="0" w:line="174" w:lineRule="exact"/>
        <w:rPr>
          <w:sz w:val="20"/>
          <w:szCs w:val="20"/>
          <w:color w:val="auto"/>
        </w:rPr>
      </w:pPr>
    </w:p>
    <w:p>
      <w:pPr>
        <w:ind w:right="80" w:firstLine="429"/>
        <w:spacing w:after="0" w:line="306" w:lineRule="auto"/>
        <w:rPr>
          <w:sz w:val="20"/>
          <w:szCs w:val="20"/>
          <w:color w:val="auto"/>
        </w:rPr>
      </w:pPr>
      <w:r>
        <w:rPr>
          <w:rFonts w:ascii="Arial" w:cs="Arial" w:eastAsia="Arial" w:hAnsi="Arial"/>
          <w:sz w:val="16"/>
          <w:szCs w:val="16"/>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61" w:lineRule="exact"/>
        <w:rPr>
          <w:sz w:val="20"/>
          <w:szCs w:val="20"/>
          <w:color w:val="auto"/>
        </w:rPr>
      </w:pPr>
    </w:p>
    <w:p>
      <w:pPr>
        <w:ind w:right="280" w:firstLine="439"/>
        <w:spacing w:after="0" w:line="259" w:lineRule="auto"/>
        <w:rPr>
          <w:sz w:val="20"/>
          <w:szCs w:val="20"/>
          <w:color w:val="auto"/>
        </w:rPr>
      </w:pPr>
      <w:r>
        <w:rPr>
          <w:rFonts w:ascii="Arial" w:cs="Arial" w:eastAsia="Arial" w:hAnsi="Arial"/>
          <w:sz w:val="18"/>
          <w:szCs w:val="18"/>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94" w:lineRule="exact"/>
        <w:rPr>
          <w:sz w:val="20"/>
          <w:szCs w:val="20"/>
          <w:color w:val="auto"/>
        </w:rPr>
      </w:pPr>
    </w:p>
    <w:p>
      <w:pPr>
        <w:ind w:right="220" w:firstLine="429"/>
        <w:spacing w:after="0" w:line="256"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ind w:right="680" w:firstLine="429"/>
        <w:spacing w:after="0" w:line="370" w:lineRule="auto"/>
        <w:rPr>
          <w:sz w:val="20"/>
          <w:szCs w:val="20"/>
          <w:color w:val="auto"/>
        </w:rPr>
      </w:pPr>
      <w:r>
        <w:rPr>
          <w:rFonts w:ascii="Arial" w:cs="Arial" w:eastAsia="Arial" w:hAnsi="Arial"/>
          <w:sz w:val="15"/>
          <w:szCs w:val="15"/>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116" w:lineRule="exact"/>
        <w:rPr>
          <w:sz w:val="20"/>
          <w:szCs w:val="20"/>
          <w:color w:val="auto"/>
        </w:rPr>
      </w:pPr>
    </w:p>
    <w:p>
      <w:pPr>
        <w:ind w:right="80" w:firstLine="439"/>
        <w:spacing w:after="0" w:line="286"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14 operations operating in U.S. dollars, 6 in Euros, 3 in pounds Sterling, and 1 each in Australian dollars, Singapore dollars, Yen, Israeli New Shekels, Latvian Lats, Swedish Krona, Argentine Peso, South African Rand, Indian Rupee, Russian Rouble, Canadian dollar, Hungarian Forint, Polish Zloty, Lithuanian Litas, Hong Kong dollar, Taiwan dollar, Mexican Peso, Brazilian Real, Chilean Peso, South Korean Won, Chinese Yuan Renminbi and Thai Baht.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181" w:lineRule="exact"/>
        <w:rPr>
          <w:sz w:val="20"/>
          <w:szCs w:val="20"/>
          <w:color w:val="auto"/>
        </w:rPr>
      </w:pPr>
    </w:p>
    <w:p>
      <w:pPr>
        <w:jc w:val="both"/>
        <w:ind w:right="180" w:firstLine="436"/>
        <w:spacing w:after="0" w:line="303" w:lineRule="auto"/>
        <w:rPr>
          <w:sz w:val="20"/>
          <w:szCs w:val="20"/>
          <w:color w:val="auto"/>
        </w:rPr>
      </w:pPr>
      <w:r>
        <w:rPr>
          <w:rFonts w:ascii="Arial" w:cs="Arial" w:eastAsia="Arial" w:hAnsi="Arial"/>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June 30, 2006, we have received $2,575,033 and $1,913,939 under the capital grants and operating grants, respectively. Pursuant to the terms of the grant agreements, we are restricted from distributing some of these amounts by way of dividend or otherwise.</w:t>
      </w:r>
    </w:p>
    <w:p>
      <w:pPr>
        <w:spacing w:after="0" w:line="171" w:lineRule="exact"/>
        <w:rPr>
          <w:sz w:val="20"/>
          <w:szCs w:val="20"/>
          <w:color w:val="auto"/>
        </w:rPr>
      </w:pPr>
    </w:p>
    <w:p>
      <w:pPr>
        <w:jc w:val="both"/>
        <w:ind w:right="60" w:firstLine="429"/>
        <w:spacing w:after="0" w:line="335" w:lineRule="auto"/>
        <w:rPr>
          <w:sz w:val="20"/>
          <w:szCs w:val="20"/>
          <w:color w:val="auto"/>
        </w:rPr>
      </w:pPr>
      <w:r>
        <w:rPr>
          <w:rFonts w:ascii="Arial" w:cs="Arial" w:eastAsia="Arial" w:hAnsi="Arial"/>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Three Months Ended June 30, 2006 compared with Three Months Ended May 31, 2005</w:t>
      </w:r>
    </w:p>
    <w:p>
      <w:pPr>
        <w:spacing w:after="0" w:line="225" w:lineRule="exact"/>
        <w:rPr>
          <w:sz w:val="20"/>
          <w:szCs w:val="20"/>
          <w:color w:val="auto"/>
        </w:rPr>
      </w:pPr>
    </w:p>
    <w:p>
      <w:pPr>
        <w:ind w:right="600" w:firstLine="436"/>
        <w:spacing w:after="0" w:line="332"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8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May 31,</w:t>
            </w:r>
          </w:p>
        </w:tc>
        <w:tc>
          <w:tcPr>
            <w:tcW w:w="2340" w:type="dxa"/>
            <w:vAlign w:val="bottom"/>
            <w:gridSpan w:val="2"/>
            <w:vMerge w:val="restart"/>
          </w:tcPr>
          <w:p>
            <w:pPr>
              <w:jc w:val="center"/>
              <w:ind w:left="216"/>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3660" w:type="dxa"/>
            <w:vAlign w:val="bottom"/>
            <w:gridSpan w:val="2"/>
            <w:vMerge w:val="restart"/>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320" w:type="dxa"/>
            <w:vAlign w:val="bottom"/>
            <w:gridSpan w:val="2"/>
            <w:vMerge w:val="restart"/>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2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to 2006</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9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2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8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w w:val="98"/>
              </w:rPr>
              <w:t>Percentage of Net Revenue</w:t>
            </w:r>
          </w:p>
        </w:tc>
        <w:tc>
          <w:tcPr>
            <w:tcW w:w="3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5"/>
              </w:rPr>
              <w:t>Increase/(decrease)</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3660" w:type="dxa"/>
            <w:vAlign w:val="bottom"/>
            <w:gridSpan w:val="2"/>
          </w:tcPr>
          <w:p>
            <w:pPr>
              <w:spacing w:after="0"/>
              <w:rPr>
                <w:sz w:val="8"/>
                <w:szCs w:val="8"/>
                <w:color w:val="auto"/>
              </w:rPr>
            </w:pPr>
          </w:p>
        </w:tc>
        <w:tc>
          <w:tcPr>
            <w:tcW w:w="1320" w:type="dxa"/>
            <w:vAlign w:val="bottom"/>
            <w:gridSpan w:val="2"/>
          </w:tcPr>
          <w:p>
            <w:pPr>
              <w:spacing w:after="0"/>
              <w:rPr>
                <w:sz w:val="8"/>
                <w:szCs w:val="8"/>
                <w:color w:val="auto"/>
              </w:rPr>
            </w:pPr>
          </w:p>
        </w:tc>
        <w:tc>
          <w:tcPr>
            <w:tcW w:w="23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6E6E6"/>
          </w:tcPr>
          <w:p>
            <w:pPr>
              <w:spacing w:after="0"/>
              <w:rPr>
                <w:sz w:val="20"/>
                <w:szCs w:val="20"/>
                <w:color w:val="auto"/>
              </w:rPr>
            </w:pPr>
            <w:r>
              <w:rPr>
                <w:rFonts w:ascii="Arial" w:cs="Arial" w:eastAsia="Arial" w:hAnsi="Arial"/>
                <w:sz w:val="18"/>
                <w:szCs w:val="18"/>
                <w:color w:val="auto"/>
              </w:rPr>
              <w:t>Net revenue</w:t>
            </w:r>
          </w:p>
        </w:tc>
        <w:tc>
          <w:tcPr>
            <w:tcW w:w="3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100.0%</w:t>
            </w:r>
          </w:p>
        </w:tc>
        <w:tc>
          <w:tcPr>
            <w:tcW w:w="2340" w:type="dxa"/>
            <w:vAlign w:val="bottom"/>
            <w:gridSpan w:val="2"/>
            <w:shd w:val="clear" w:color="auto" w:fill="E6E6E6"/>
          </w:tcPr>
          <w:p>
            <w:pPr>
              <w:jc w:val="right"/>
              <w:ind w:right="632"/>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Costs and expenses:</w:t>
            </w:r>
          </w:p>
        </w:tc>
        <w:tc>
          <w:tcPr>
            <w:tcW w:w="2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6E6E6"/>
          </w:tcPr>
          <w:p>
            <w:pPr>
              <w:spacing w:after="0"/>
              <w:rPr>
                <w:sz w:val="20"/>
                <w:szCs w:val="20"/>
                <w:color w:val="auto"/>
              </w:rPr>
            </w:pPr>
            <w:r>
              <w:rPr>
                <w:rFonts w:ascii="Arial" w:cs="Arial" w:eastAsia="Arial" w:hAnsi="Arial"/>
                <w:sz w:val="18"/>
                <w:szCs w:val="18"/>
                <w:color w:val="auto"/>
              </w:rPr>
              <w:t>Direct costs</w:t>
            </w:r>
          </w:p>
        </w:tc>
        <w:tc>
          <w:tcPr>
            <w:tcW w:w="3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55.9%</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55.3%</w:t>
            </w:r>
          </w:p>
        </w:tc>
        <w:tc>
          <w:tcPr>
            <w:tcW w:w="2340" w:type="dxa"/>
            <w:vAlign w:val="bottom"/>
            <w:gridSpan w:val="2"/>
            <w:shd w:val="clear" w:color="auto" w:fill="E6E6E6"/>
          </w:tcPr>
          <w:p>
            <w:pPr>
              <w:jc w:val="right"/>
              <w:ind w:right="632"/>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2340" w:type="dxa"/>
            <w:vAlign w:val="bottom"/>
            <w:gridSpan w:val="2"/>
          </w:tcPr>
          <w:p>
            <w:pPr>
              <w:jc w:val="right"/>
              <w:ind w:right="6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6E6E6"/>
          </w:tcPr>
          <w:p>
            <w:pPr>
              <w:spacing w:after="0"/>
              <w:rPr>
                <w:sz w:val="20"/>
                <w:szCs w:val="20"/>
                <w:color w:val="auto"/>
              </w:rPr>
            </w:pPr>
            <w:r>
              <w:rPr>
                <w:rFonts w:ascii="Arial" w:cs="Arial" w:eastAsia="Arial" w:hAnsi="Arial"/>
                <w:sz w:val="18"/>
                <w:szCs w:val="18"/>
                <w:color w:val="auto"/>
              </w:rPr>
              <w:t>Depreciation and amortization</w:t>
            </w:r>
          </w:p>
        </w:tc>
        <w:tc>
          <w:tcPr>
            <w:tcW w:w="366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4.1%</w:t>
            </w:r>
          </w:p>
        </w:tc>
        <w:tc>
          <w:tcPr>
            <w:tcW w:w="2340" w:type="dxa"/>
            <w:vAlign w:val="bottom"/>
            <w:gridSpan w:val="2"/>
            <w:shd w:val="clear" w:color="auto" w:fill="E6E6E6"/>
          </w:tcPr>
          <w:p>
            <w:pPr>
              <w:jc w:val="right"/>
              <w:ind w:right="6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E6E6E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340" w:type="dxa"/>
            <w:vAlign w:val="bottom"/>
            <w:gridSpan w:val="2"/>
          </w:tcPr>
          <w:p>
            <w:pPr>
              <w:jc w:val="right"/>
              <w:ind w:right="632"/>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60" w:type="dxa"/>
            <w:vAlign w:val="bottom"/>
            <w:gridSpan w:val="2"/>
          </w:tcPr>
          <w:p>
            <w:pPr>
              <w:jc w:val="right"/>
              <w:ind w:right="1712"/>
              <w:spacing w:after="0"/>
              <w:rPr>
                <w:sz w:val="20"/>
                <w:szCs w:val="20"/>
                <w:color w:val="auto"/>
              </w:rPr>
            </w:pPr>
            <w:r>
              <w:rPr>
                <w:rFonts w:ascii="Arial" w:cs="Arial" w:eastAsia="Arial" w:hAnsi="Arial"/>
                <w:sz w:val="18"/>
                <w:szCs w:val="18"/>
                <w:color w:val="auto"/>
              </w:rPr>
              <w:t>II-13</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29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31" w:right="199" w:bottom="1440" w:gutter="0" w:footer="0" w:header="0"/>
        </w:sectPr>
      </w:pPr>
    </w:p>
    <w:bookmarkStart w:id="72" w:name="page73"/>
    <w:bookmarkEnd w:id="72"/>
    <w:p>
      <w:pPr>
        <w:ind w:left="440"/>
        <w:spacing w:after="0"/>
        <w:rPr>
          <w:sz w:val="20"/>
          <w:szCs w:val="20"/>
          <w:color w:val="auto"/>
        </w:rPr>
      </w:pPr>
      <w:r>
        <w:rPr>
          <w:rFonts w:ascii="Arial" w:cs="Arial" w:eastAsia="Arial" w:hAnsi="Arial"/>
          <w:sz w:val="16"/>
          <w:szCs w:val="16"/>
          <w:color w:val="auto"/>
        </w:rPr>
        <w:t>Net revenue increased by $21.5 million, or 25.0%, from $85.9 million for the three months ended May 31, 2005 to $107.4 million for the three months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ended June 30, 2006. This improvement arose through a combination of increased business from existing clients and business won from new clients. Revenues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United States, Europe and the Rest of World grew by 39.4%, 0.6% and 58.5%, respectively. In the three months ended June 30, 2006, net revenue from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central laboratory business increased by 88.1% from $6.1 million to $11.5 million, while our clinical research segment grew by 20.1% from $79.8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$95.9 million, in each case over the period ended May 31, 2005. The increase in net revenue in our central laboratory segment is primarily due to higher testing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volumes over the comparative period. The growth in net revenue in our clinical research segment is due to the expansion of our services to both existing and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clients, increased use of outsourcing by the pharmaceutical, biotechnology and medical device industries, an underlying increase in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spending and consolidation in the CRO industry.</w:t>
      </w:r>
    </w:p>
    <w:p>
      <w:pPr>
        <w:spacing w:after="0" w:line="219"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Direct costs increased by $12.5 million, or 26.3%, from $47.5 million for the three months ended May 31, 2005 to $60.0 million for the three months ended June 30, 2006, primarily due to increased staff numbers needed to support increased project related activity and the inclusion of $0.57 million non-cash stock compensation expense for the quarter ended June 30, 2006. Direct costs as a percentage of net revenue increased from 55.3% for the three months ended May 31, 2005 to 55.9% for three months ended June 30, 2006.</w:t>
      </w:r>
    </w:p>
    <w:p>
      <w:pPr>
        <w:spacing w:after="0" w:line="197"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Selling, general and administrative expenses increased by $4.9 million, or 17.6%, from $27.5 for the three months ended May 31, 2005 million to $32.4 million for the three months ended June 30, 2006. This increase is due to the continued expansion of our operations and the inclusion of $0.47 million non-cash stock compensation expense. As a percentage of net revenue, selling, general and administrative expenses, decreased from 32.0% in the three months ended May 31, 2005, to 30.2% in the three months ended June 30, 2006.</w:t>
      </w:r>
    </w:p>
    <w:p>
      <w:pPr>
        <w:spacing w:after="0" w:line="197"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Depreciation and amortization expense increased by $0.1 million, or 3.9%, from $3.6 million for the three months ended May 31, 2005 to $3.7 million for the three months ended June 30, 2006. This increase is due to the continued investment in facilities and information technology to support the growth in activity and in providing for future capacity. As a percentage of net revenue, depreciation and amortization decreased from 4.1% in the three months ended May 31, 2005 to 3.4% in the three months ended June 30, 2006.</w:t>
      </w:r>
    </w:p>
    <w:p>
      <w:pPr>
        <w:spacing w:after="0" w:line="197"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Income from operations increased by $4.0 million, or 54.2%, from of $7.4 million for the three months ended May 31, 2005, to $11.3 million for the three months ended June 30, 2006. The operating income for the quarter is derived after the recognition of the non cash stock compensation charge of which there was no charge in the comparable period. As a percentage of net revenue, income from operations increased from 8.6% for the three months ended May 31, 2005, to 10.5% of net revenues for the three months ended June 30, 2006.</w:t>
      </w:r>
    </w:p>
    <w:p>
      <w:pPr>
        <w:spacing w:after="0" w:line="197" w:lineRule="exact"/>
        <w:rPr>
          <w:sz w:val="20"/>
          <w:szCs w:val="20"/>
          <w:color w:val="auto"/>
        </w:rPr>
      </w:pPr>
    </w:p>
    <w:p>
      <w:pPr>
        <w:ind w:firstLine="436"/>
        <w:spacing w:after="0" w:line="298" w:lineRule="auto"/>
        <w:rPr>
          <w:sz w:val="20"/>
          <w:szCs w:val="20"/>
          <w:color w:val="auto"/>
        </w:rPr>
      </w:pPr>
      <w:r>
        <w:rPr>
          <w:rFonts w:ascii="Arial" w:cs="Arial" w:eastAsia="Arial" w:hAnsi="Arial"/>
          <w:sz w:val="16"/>
          <w:szCs w:val="16"/>
          <w:color w:val="auto"/>
        </w:rPr>
        <w:t>The three months ended June 30, 2006, saw an improvement in the performance of the central laboratory business, from a loss from operations, as a percentage of net revenue of 32.6% for the three months ended May 31, 2005 to an operating profit of 2.8% for the three months ended June 30, 2006. The central laboratory constitutes approximately 10.7% of our business revenues for the three months ended June 30, 2006. Operating margins for our clinical research segment decreased from 11.7% for the three months ended May 31, 2005 to 11.5% for the three months ended June 30, 2006.</w:t>
      </w:r>
    </w:p>
    <w:p>
      <w:pPr>
        <w:spacing w:after="0" w:line="167" w:lineRule="exact"/>
        <w:rPr>
          <w:sz w:val="20"/>
          <w:szCs w:val="20"/>
          <w:color w:val="auto"/>
        </w:rPr>
      </w:pPr>
    </w:p>
    <w:p>
      <w:pPr>
        <w:ind w:right="100" w:firstLine="439"/>
        <w:spacing w:after="0" w:line="370" w:lineRule="auto"/>
        <w:rPr>
          <w:sz w:val="20"/>
          <w:szCs w:val="20"/>
          <w:color w:val="auto"/>
        </w:rPr>
      </w:pPr>
      <w:r>
        <w:rPr>
          <w:rFonts w:ascii="Arial" w:cs="Arial" w:eastAsia="Arial" w:hAnsi="Arial"/>
          <w:sz w:val="15"/>
          <w:szCs w:val="15"/>
          <w:color w:val="auto"/>
        </w:rPr>
        <w:t>Interest income for the three months ended June 30, 2006 was $1.0 million, an increase of $0.6 million over the amount of net interest income for the three months ended May 31, 2005. Higher average level of funds invested and higher interest rates over the prior period contributed to the increased interest income.</w:t>
      </w:r>
    </w:p>
    <w:p>
      <w:pPr>
        <w:spacing w:after="0" w:line="116"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color w:val="auto"/>
        </w:rPr>
        <w:t>ICON’s effective tax rate for the three months ended June 30, 2006 was 24.0% compared with 22.0% for the three months ended May 31, 2005. The increase is due mainly to the impact of a non-cash stock compensation expense recorded in the current quarter and changes in the geographic distribution of pre-tax earnings.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Six Months Ended June 30, 2006 Compared with Six Months Ended May 31, 2005</w:t>
      </w:r>
    </w:p>
    <w:p>
      <w:pPr>
        <w:spacing w:after="0" w:line="225" w:lineRule="exact"/>
        <w:rPr>
          <w:sz w:val="20"/>
          <w:szCs w:val="20"/>
          <w:color w:val="auto"/>
        </w:rPr>
      </w:pPr>
    </w:p>
    <w:p>
      <w:pPr>
        <w:ind w:right="560" w:firstLine="436"/>
        <w:spacing w:after="0" w:line="332"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20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94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08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May 31,</w:t>
            </w:r>
          </w:p>
        </w:tc>
        <w:tc>
          <w:tcPr>
            <w:tcW w:w="2120" w:type="dxa"/>
            <w:vAlign w:val="bottom"/>
            <w:gridSpan w:val="2"/>
            <w:vMerge w:val="restart"/>
          </w:tcPr>
          <w:p>
            <w:pPr>
              <w:jc w:val="center"/>
              <w:ind w:left="95"/>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2006</w:t>
            </w:r>
          </w:p>
        </w:tc>
        <w:tc>
          <w:tcPr>
            <w:tcW w:w="1260" w:type="dxa"/>
            <w:vAlign w:val="bottom"/>
            <w:gridSpan w:val="2"/>
            <w:vMerge w:val="restart"/>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21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9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200" w:type="dxa"/>
            <w:vAlign w:val="bottom"/>
            <w:gridSpan w:val="3"/>
          </w:tcPr>
          <w:p>
            <w:pPr>
              <w:ind w:left="320"/>
              <w:spacing w:after="0"/>
              <w:rPr>
                <w:sz w:val="20"/>
                <w:szCs w:val="20"/>
                <w:color w:val="auto"/>
              </w:rPr>
            </w:pPr>
            <w:r>
              <w:rPr>
                <w:rFonts w:ascii="Arial" w:cs="Arial" w:eastAsia="Arial" w:hAnsi="Arial"/>
                <w:sz w:val="14"/>
                <w:szCs w:val="14"/>
                <w:b w:val="1"/>
                <w:bCs w:val="1"/>
                <w:color w:val="auto"/>
              </w:rPr>
              <w:t>Percentage of Net Revenue</w:t>
            </w:r>
          </w:p>
        </w:tc>
        <w:tc>
          <w:tcPr>
            <w:tcW w:w="2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4"/>
              </w:rPr>
              <w:t>Increase/(decrease)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21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E6E6E6"/>
          </w:tcPr>
          <w:p>
            <w:pPr>
              <w:spacing w:after="0"/>
              <w:rPr>
                <w:sz w:val="20"/>
                <w:szCs w:val="20"/>
                <w:color w:val="auto"/>
              </w:rPr>
            </w:pPr>
            <w:r>
              <w:rPr>
                <w:rFonts w:ascii="Arial" w:cs="Arial" w:eastAsia="Arial" w:hAnsi="Arial"/>
                <w:sz w:val="18"/>
                <w:szCs w:val="18"/>
                <w:color w:val="auto"/>
              </w:rPr>
              <w:t>Net revenue</w:t>
            </w:r>
          </w:p>
        </w:tc>
        <w:tc>
          <w:tcPr>
            <w:tcW w:w="940" w:type="dxa"/>
            <w:vAlign w:val="bottom"/>
            <w:shd w:val="clear" w:color="auto" w:fill="E6E6E6"/>
          </w:tcPr>
          <w:p>
            <w:pPr>
              <w:jc w:val="right"/>
              <w:ind w:right="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E6E6E6"/>
          </w:tcPr>
          <w:p>
            <w:pPr>
              <w:jc w:val="right"/>
              <w:ind w:right="152"/>
              <w:spacing w:after="0"/>
              <w:rPr>
                <w:sz w:val="20"/>
                <w:szCs w:val="20"/>
                <w:color w:val="auto"/>
              </w:rPr>
            </w:pPr>
            <w:r>
              <w:rPr>
                <w:rFonts w:ascii="Arial" w:cs="Arial" w:eastAsia="Arial" w:hAnsi="Arial"/>
                <w:sz w:val="18"/>
                <w:szCs w:val="18"/>
                <w:color w:val="auto"/>
              </w:rPr>
              <w:t>100.0%</w:t>
            </w:r>
          </w:p>
        </w:tc>
        <w:tc>
          <w:tcPr>
            <w:tcW w:w="2120" w:type="dxa"/>
            <w:vAlign w:val="bottom"/>
            <w:gridSpan w:val="2"/>
            <w:shd w:val="clear" w:color="auto" w:fill="E6E6E6"/>
          </w:tcPr>
          <w:p>
            <w:pPr>
              <w:jc w:val="right"/>
              <w:ind w:right="532"/>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Costs and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6E6E6"/>
          </w:tcPr>
          <w:p>
            <w:pPr>
              <w:spacing w:after="0"/>
              <w:rPr>
                <w:sz w:val="20"/>
                <w:szCs w:val="20"/>
                <w:color w:val="auto"/>
              </w:rPr>
            </w:pPr>
            <w:r>
              <w:rPr>
                <w:rFonts w:ascii="Arial" w:cs="Arial" w:eastAsia="Arial" w:hAnsi="Arial"/>
                <w:sz w:val="18"/>
                <w:szCs w:val="18"/>
                <w:color w:val="auto"/>
              </w:rPr>
              <w:t>Direct costs</w:t>
            </w:r>
          </w:p>
        </w:tc>
        <w:tc>
          <w:tcPr>
            <w:tcW w:w="940" w:type="dxa"/>
            <w:vAlign w:val="bottom"/>
            <w:shd w:val="clear" w:color="auto" w:fill="E6E6E6"/>
          </w:tcPr>
          <w:p>
            <w:pPr>
              <w:jc w:val="right"/>
              <w:ind w:right="20"/>
              <w:spacing w:after="0"/>
              <w:rPr>
                <w:sz w:val="20"/>
                <w:szCs w:val="20"/>
                <w:color w:val="auto"/>
              </w:rPr>
            </w:pPr>
            <w:r>
              <w:rPr>
                <w:rFonts w:ascii="Arial" w:cs="Arial" w:eastAsia="Arial" w:hAnsi="Arial"/>
                <w:sz w:val="18"/>
                <w:szCs w:val="18"/>
                <w:color w:val="auto"/>
              </w:rPr>
              <w:t>55.7%</w:t>
            </w:r>
          </w:p>
        </w:tc>
        <w:tc>
          <w:tcPr>
            <w:tcW w:w="1260" w:type="dxa"/>
            <w:vAlign w:val="bottom"/>
            <w:gridSpan w:val="2"/>
            <w:shd w:val="clear" w:color="auto" w:fill="E6E6E6"/>
          </w:tcPr>
          <w:p>
            <w:pPr>
              <w:jc w:val="right"/>
              <w:ind w:right="152"/>
              <w:spacing w:after="0"/>
              <w:rPr>
                <w:sz w:val="20"/>
                <w:szCs w:val="20"/>
                <w:color w:val="auto"/>
              </w:rPr>
            </w:pPr>
            <w:r>
              <w:rPr>
                <w:rFonts w:ascii="Arial" w:cs="Arial" w:eastAsia="Arial" w:hAnsi="Arial"/>
                <w:sz w:val="18"/>
                <w:szCs w:val="18"/>
                <w:color w:val="auto"/>
              </w:rPr>
              <w:t>55.4%</w:t>
            </w:r>
          </w:p>
        </w:tc>
        <w:tc>
          <w:tcPr>
            <w:tcW w:w="2120" w:type="dxa"/>
            <w:vAlign w:val="bottom"/>
            <w:gridSpan w:val="2"/>
            <w:shd w:val="clear" w:color="auto" w:fill="E6E6E6"/>
          </w:tcPr>
          <w:p>
            <w:pPr>
              <w:jc w:val="right"/>
              <w:ind w:right="532"/>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Pr>
          <w:p>
            <w:pPr>
              <w:jc w:val="right"/>
              <w:ind w:right="20"/>
              <w:spacing w:after="0"/>
              <w:rPr>
                <w:sz w:val="20"/>
                <w:szCs w:val="20"/>
                <w:color w:val="auto"/>
              </w:rPr>
            </w:pPr>
            <w:r>
              <w:rPr>
                <w:rFonts w:ascii="Arial" w:cs="Arial" w:eastAsia="Arial" w:hAnsi="Arial"/>
                <w:sz w:val="18"/>
                <w:szCs w:val="18"/>
                <w:color w:val="auto"/>
              </w:rPr>
              <w:t>30.4%</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32.5%</w:t>
            </w:r>
          </w:p>
        </w:tc>
        <w:tc>
          <w:tcPr>
            <w:tcW w:w="2120" w:type="dxa"/>
            <w:vAlign w:val="bottom"/>
            <w:gridSpan w:val="2"/>
          </w:tcPr>
          <w:p>
            <w:pPr>
              <w:jc w:val="right"/>
              <w:ind w:right="5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6E6E6"/>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E6E6E6"/>
          </w:tcPr>
          <w:p>
            <w:pPr>
              <w:jc w:val="right"/>
              <w:ind w:right="2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E6E6E6"/>
          </w:tcPr>
          <w:p>
            <w:pPr>
              <w:jc w:val="right"/>
              <w:ind w:right="152"/>
              <w:spacing w:after="0"/>
              <w:rPr>
                <w:sz w:val="20"/>
                <w:szCs w:val="20"/>
                <w:color w:val="auto"/>
              </w:rPr>
            </w:pPr>
            <w:r>
              <w:rPr>
                <w:rFonts w:ascii="Arial" w:cs="Arial" w:eastAsia="Arial" w:hAnsi="Arial"/>
                <w:sz w:val="18"/>
                <w:szCs w:val="18"/>
                <w:color w:val="auto"/>
              </w:rPr>
              <w:t>4.1%</w:t>
            </w:r>
          </w:p>
        </w:tc>
        <w:tc>
          <w:tcPr>
            <w:tcW w:w="2120" w:type="dxa"/>
            <w:vAlign w:val="bottom"/>
            <w:gridSpan w:val="2"/>
            <w:shd w:val="clear" w:color="auto" w:fill="E6E6E6"/>
          </w:tcPr>
          <w:p>
            <w:pPr>
              <w:jc w:val="right"/>
              <w:ind w:right="53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Charges</w:t>
            </w:r>
          </w:p>
        </w:tc>
        <w:tc>
          <w:tcPr>
            <w:tcW w:w="940" w:type="dxa"/>
            <w:vAlign w:val="bottom"/>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6.7%</w:t>
            </w:r>
          </w:p>
        </w:tc>
        <w:tc>
          <w:tcPr>
            <w:tcW w:w="2120" w:type="dxa"/>
            <w:vAlign w:val="bottom"/>
            <w:gridSpan w:val="2"/>
          </w:tcPr>
          <w:p>
            <w:pPr>
              <w:jc w:val="right"/>
              <w:ind w:right="47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6E6E6"/>
          </w:tcPr>
          <w:p>
            <w:pPr>
              <w:spacing w:after="0"/>
              <w:rPr>
                <w:sz w:val="20"/>
                <w:szCs w:val="20"/>
                <w:color w:val="auto"/>
              </w:rPr>
            </w:pPr>
            <w:r>
              <w:rPr>
                <w:rFonts w:ascii="Arial" w:cs="Arial" w:eastAsia="Arial" w:hAnsi="Arial"/>
                <w:sz w:val="18"/>
                <w:szCs w:val="18"/>
                <w:color w:val="auto"/>
              </w:rPr>
              <w:t>Income from operations</w:t>
            </w:r>
          </w:p>
        </w:tc>
        <w:tc>
          <w:tcPr>
            <w:tcW w:w="940" w:type="dxa"/>
            <w:vAlign w:val="bottom"/>
            <w:shd w:val="clear" w:color="auto" w:fill="E6E6E6"/>
          </w:tcPr>
          <w:p>
            <w:pPr>
              <w:jc w:val="right"/>
              <w:ind w:right="20"/>
              <w:spacing w:after="0"/>
              <w:rPr>
                <w:sz w:val="20"/>
                <w:szCs w:val="20"/>
                <w:color w:val="auto"/>
              </w:rPr>
            </w:pPr>
            <w:r>
              <w:rPr>
                <w:rFonts w:ascii="Arial" w:cs="Arial" w:eastAsia="Arial" w:hAnsi="Arial"/>
                <w:sz w:val="18"/>
                <w:szCs w:val="18"/>
                <w:color w:val="auto"/>
              </w:rPr>
              <w:t>10.4%</w:t>
            </w:r>
          </w:p>
        </w:tc>
        <w:tc>
          <w:tcPr>
            <w:tcW w:w="1260" w:type="dxa"/>
            <w:vAlign w:val="bottom"/>
            <w:gridSpan w:val="2"/>
            <w:shd w:val="clear" w:color="auto" w:fill="E6E6E6"/>
          </w:tcPr>
          <w:p>
            <w:pPr>
              <w:jc w:val="right"/>
              <w:ind w:right="152"/>
              <w:spacing w:after="0"/>
              <w:rPr>
                <w:sz w:val="20"/>
                <w:szCs w:val="20"/>
                <w:color w:val="auto"/>
              </w:rPr>
            </w:pPr>
            <w:r>
              <w:rPr>
                <w:rFonts w:ascii="Arial" w:cs="Arial" w:eastAsia="Arial" w:hAnsi="Arial"/>
                <w:sz w:val="18"/>
                <w:szCs w:val="18"/>
                <w:color w:val="auto"/>
              </w:rPr>
              <w:t>1.3%</w:t>
            </w:r>
          </w:p>
        </w:tc>
        <w:tc>
          <w:tcPr>
            <w:tcW w:w="2120" w:type="dxa"/>
            <w:vAlign w:val="bottom"/>
            <w:gridSpan w:val="2"/>
            <w:shd w:val="clear" w:color="auto" w:fill="E6E6E6"/>
          </w:tcPr>
          <w:p>
            <w:pPr>
              <w:jc w:val="right"/>
              <w:ind w:right="532"/>
              <w:spacing w:after="0"/>
              <w:rPr>
                <w:sz w:val="20"/>
                <w:szCs w:val="20"/>
                <w:color w:val="auto"/>
              </w:rPr>
            </w:pPr>
            <w:r>
              <w:rPr>
                <w:rFonts w:ascii="Arial" w:cs="Arial" w:eastAsia="Arial" w:hAnsi="Arial"/>
                <w:sz w:val="18"/>
                <w:szCs w:val="18"/>
                <w:color w:val="auto"/>
              </w:rPr>
              <w:t>912.0%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firstLine="439"/>
        <w:spacing w:after="0" w:line="289" w:lineRule="auto"/>
        <w:rPr>
          <w:sz w:val="20"/>
          <w:szCs w:val="20"/>
          <w:color w:val="auto"/>
        </w:rPr>
      </w:pPr>
      <w:r>
        <w:rPr>
          <w:rFonts w:ascii="Arial" w:cs="Arial" w:eastAsia="Arial" w:hAnsi="Arial"/>
          <w:sz w:val="16"/>
          <w:szCs w:val="16"/>
          <w:color w:val="auto"/>
        </w:rPr>
        <w:t>Net revenue increased by $37.1 million, or 22.0%, from $168.8 million for the six, months ended May 31, 2005 to $205.9 million for the six months ended June 30, 2006. This improvement arose through a combination of increased business from existing clients and business won from new clients. Revenues in the United States, Europe and the Rest of World grew by 32.4%, 1.6% and 56.3% respectively. In the six months ended June 30, 2006, net revenue from our central laboratory business increased by 66.5% from $12.5 for the six months ended May 31, 2005 million to $20.8 million for the six months ended June 30, 2006, while our clinical research segment grew by 18.4% from $156.3 million to $185.1 million over the comparable period. The increase in net revenue in our central laboratory segment is primarily due to higher testing volumes in 2006.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172"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Direct costs increased by $21.2 million, or 22.6%, from $93.5 million for the six months ended May 31, 2005 to $114.7 million for the six months ended June 30, 2006, primarily due to increased staff numbers needed to support increased project related activity and the inclusion of $1.08 million non-cash stock compensation. Direct costs as a percentage of net revenue increased from 55.4% in the six months ended May 31, 2005 to 55.7% in the six months ended June 30, 2006.</w:t>
      </w:r>
    </w:p>
    <w:p>
      <w:pPr>
        <w:spacing w:after="0" w:line="197"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Selling, general and administrative expenses increased by $7.8 million, or 14.1%, from $54.9 million for the six months ended May 31, 2005 to $62.7 million for the six months ended June 30, 2006. This increase is due to the continued expansion of our operations and the inclusion of $0.9 million non-cash stock compensation expense. As a percentage of net revenue, selling, general and administrative expenses, decreased from 32.5% in the six months ended May 31, 2005 to 30.4% in the six months ended June 30, 2006.</w:t>
      </w:r>
    </w:p>
    <w:p>
      <w:pPr>
        <w:spacing w:after="0" w:line="197" w:lineRule="exact"/>
        <w:rPr>
          <w:sz w:val="20"/>
          <w:szCs w:val="20"/>
          <w:color w:val="auto"/>
        </w:rPr>
      </w:pPr>
    </w:p>
    <w:p>
      <w:pPr>
        <w:jc w:val="both"/>
        <w:ind w:right="40" w:firstLine="439"/>
        <w:spacing w:after="0" w:line="256" w:lineRule="auto"/>
        <w:rPr>
          <w:sz w:val="20"/>
          <w:szCs w:val="20"/>
          <w:color w:val="auto"/>
        </w:rPr>
      </w:pPr>
      <w:r>
        <w:rPr>
          <w:rFonts w:ascii="Arial" w:cs="Arial" w:eastAsia="Arial" w:hAnsi="Arial"/>
          <w:sz w:val="18"/>
          <w:szCs w:val="18"/>
          <w:color w:val="auto"/>
        </w:rPr>
        <w:t>Depreciation and amortization expense increased by $0.1 million, or 2.3%, from $7.0 million for the six months ended May 31, 2005 to $7.1 million for the six months ended June 30, 2006. This increase is due to the continued investment in facilities and information technology to support the growth in activity and in providing for future capacity. As a percentage of net revenue, depreciation and amortization, decreased from 4.1% in the six months ended May 31, 2005 to 3.5% in the six months ended June 30, 2006.</w:t>
      </w:r>
    </w:p>
    <w:p>
      <w:pPr>
        <w:spacing w:after="0" w:line="197" w:lineRule="exact"/>
        <w:rPr>
          <w:sz w:val="20"/>
          <w:szCs w:val="20"/>
          <w:color w:val="auto"/>
        </w:rPr>
      </w:pPr>
    </w:p>
    <w:p>
      <w:pPr>
        <w:ind w:right="320" w:firstLine="439"/>
        <w:spacing w:after="0" w:line="259" w:lineRule="auto"/>
        <w:rPr>
          <w:sz w:val="20"/>
          <w:szCs w:val="20"/>
          <w:color w:val="auto"/>
        </w:rPr>
      </w:pPr>
      <w:r>
        <w:rPr>
          <w:rFonts w:ascii="Arial" w:cs="Arial" w:eastAsia="Arial" w:hAnsi="Arial"/>
          <w:sz w:val="18"/>
          <w:szCs w:val="18"/>
          <w:color w:val="auto"/>
        </w:rPr>
        <w:t>Other charges of $11.3 million were recognised in the six months ended May 31, 2005. These charges related to the recognition of an impairment in the carrying value of our investment in the central laboratory, a write down of certain fixed assets and the lease termination and exit costs associated with the consolidation of some of our office facilities in the U.S.</w:t>
      </w:r>
    </w:p>
    <w:p>
      <w:pPr>
        <w:spacing w:after="0" w:line="194"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Income from operations increased by $19.3 million, or 912%, from $2.1 for the six months ended May 31, 2005 million to $21.4 million for the six months ended June 30, 2006. As a percentage of net revenue, income from operations increased from 1.3% for the six months ended May 31, 2005 to 10.4% of net revenues for the six months ended June 30, 2006. The operating income for the six months is derived after the recognition of the non cash stock compensation charge of which there was no charge in the comparable period. As a percentage of net revenue, losses from operations for the central laboratory decreased from 100.3% for the six months ended May 31, 2005, to 1.6% for the six months ended June 30, 2006, due to the efficiencies gained in the higher testing volumes in fiscal 2006. For the six months ended June 30, 2006, the central laboratory constituted approximately 10.1% of our business revenues. Operating margins for our clinical research segment increased from 9.4% in the six months ended May 31, 2005 to 11.7% for the six months ended June 30, 2006.</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71" w:right="239" w:bottom="1440" w:gutter="0" w:footer="0" w:header="0"/>
        </w:sectPr>
      </w:pPr>
    </w:p>
    <w:bookmarkStart w:id="74" w:name="page75"/>
    <w:bookmarkEnd w:id="74"/>
    <w:p>
      <w:pPr>
        <w:jc w:val="both"/>
        <w:ind w:right="380" w:firstLine="439"/>
        <w:spacing w:after="0" w:line="259" w:lineRule="auto"/>
        <w:rPr>
          <w:sz w:val="20"/>
          <w:szCs w:val="20"/>
          <w:color w:val="auto"/>
        </w:rPr>
      </w:pPr>
      <w:r>
        <w:rPr>
          <w:rFonts w:ascii="Arial" w:cs="Arial" w:eastAsia="Arial" w:hAnsi="Arial"/>
          <w:sz w:val="18"/>
          <w:szCs w:val="18"/>
          <w:color w:val="auto"/>
        </w:rPr>
        <w:t>Interest income for the six months ended June 30, 2006 was $1.7 million, an increase of $0.9 million over the amount of net interest income for the six months ended May 31, 2005. Higher average level of funds invested and higher interest rates rates over the prior period contributed to the increased interest income.</w:t>
      </w:r>
    </w:p>
    <w:p>
      <w:pPr>
        <w:spacing w:after="0" w:line="194"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ICON’s effective tax rate for the six months ended June 30, 2006 was 26.4% compared with 80.7% for the six months ended May 31, 2005. The decrease in the effective rate was primarily due to the inclusion of once-off other charged for the six months ended May 31,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20" w:firstLine="436"/>
        <w:spacing w:after="0" w:line="254" w:lineRule="auto"/>
        <w:rPr>
          <w:sz w:val="20"/>
          <w:szCs w:val="20"/>
          <w:color w:val="auto"/>
        </w:rPr>
      </w:pPr>
      <w:r>
        <w:rPr>
          <w:rFonts w:ascii="Arial" w:cs="Arial" w:eastAsia="Arial" w:hAnsi="Arial"/>
          <w:sz w:val="18"/>
          <w:szCs w:val="18"/>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six months ended June 30, 2006 amounted to $123.8 million compared to $101.4 million for the six months ended May 31, 2005. Investing activities primarily reflect capital expenditures for facilities and for information systems enhancements, the sale and purchase of short-term investments and acquisitions.</w:t>
      </w:r>
    </w:p>
    <w:p>
      <w:pPr>
        <w:spacing w:after="0" w:line="198"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70" w:lineRule="exact"/>
        <w:rPr>
          <w:sz w:val="20"/>
          <w:szCs w:val="20"/>
          <w:color w:val="auto"/>
        </w:rPr>
      </w:pPr>
    </w:p>
    <w:p>
      <w:pPr>
        <w:ind w:right="20" w:firstLine="429"/>
        <w:spacing w:after="0" w:line="298" w:lineRule="auto"/>
        <w:rPr>
          <w:sz w:val="20"/>
          <w:szCs w:val="20"/>
          <w:color w:val="auto"/>
        </w:rPr>
      </w:pPr>
      <w:r>
        <w:rPr>
          <w:rFonts w:ascii="Arial" w:cs="Arial" w:eastAsia="Arial" w:hAnsi="Arial"/>
          <w:sz w:val="16"/>
          <w:szCs w:val="16"/>
          <w:color w:val="auto"/>
        </w:rPr>
        <w:t>As of June 30, 2006, our working capital amounted to $153.3 million, compared to $132.3 million at December 31, 2005.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51 days at June 30, 2006, compared to 65 days at December 31, 2005.</w:t>
      </w:r>
    </w:p>
    <w:p>
      <w:pPr>
        <w:spacing w:after="0" w:line="167"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Net cash provided by operating activities was $30.4 million in the six months ended June 30, 2006, compared to $27.2 million in the six months ended May 31, 2005.</w:t>
      </w:r>
    </w:p>
    <w:p>
      <w:pPr>
        <w:spacing w:after="0" w:line="186" w:lineRule="exact"/>
        <w:rPr>
          <w:sz w:val="20"/>
          <w:szCs w:val="20"/>
          <w:color w:val="auto"/>
        </w:rPr>
      </w:pPr>
    </w:p>
    <w:p>
      <w:pPr>
        <w:ind w:right="200" w:firstLine="439"/>
        <w:spacing w:after="0" w:line="268" w:lineRule="auto"/>
        <w:rPr>
          <w:sz w:val="20"/>
          <w:szCs w:val="20"/>
          <w:color w:val="auto"/>
        </w:rPr>
      </w:pPr>
      <w:r>
        <w:rPr>
          <w:rFonts w:ascii="Arial" w:cs="Arial" w:eastAsia="Arial" w:hAnsi="Arial"/>
          <w:sz w:val="18"/>
          <w:szCs w:val="18"/>
          <w:color w:val="auto"/>
        </w:rPr>
        <w:t>Net cash used in investing activities was $25.9 million in the six months ended June 30, 2006, compared to $2.9 million in the six months ended May 31, 2005, due to additional purchase of short term investments during the period.</w:t>
      </w:r>
    </w:p>
    <w:p>
      <w:pPr>
        <w:spacing w:after="0" w:line="186" w:lineRule="exact"/>
        <w:rPr>
          <w:sz w:val="20"/>
          <w:szCs w:val="20"/>
          <w:color w:val="auto"/>
        </w:rPr>
      </w:pPr>
    </w:p>
    <w:p>
      <w:pPr>
        <w:ind w:right="220" w:firstLine="439"/>
        <w:spacing w:after="0" w:line="268" w:lineRule="auto"/>
        <w:rPr>
          <w:sz w:val="20"/>
          <w:szCs w:val="20"/>
          <w:color w:val="auto"/>
        </w:rPr>
      </w:pPr>
      <w:r>
        <w:rPr>
          <w:rFonts w:ascii="Arial" w:cs="Arial" w:eastAsia="Arial" w:hAnsi="Arial"/>
          <w:sz w:val="18"/>
          <w:szCs w:val="18"/>
          <w:color w:val="auto"/>
        </w:rPr>
        <w:t>Net cash used in financing activities was $0.8 million in the six months ended June 30, 2006, compared to $9.2 million in the six months ended, May 31, 2005, primarily due to repayment of bank credit lines.</w:t>
      </w:r>
    </w:p>
    <w:p>
      <w:pPr>
        <w:spacing w:after="0" w:line="186" w:lineRule="exact"/>
        <w:rPr>
          <w:sz w:val="20"/>
          <w:szCs w:val="20"/>
          <w:color w:val="auto"/>
        </w:rPr>
      </w:pPr>
    </w:p>
    <w:p>
      <w:pPr>
        <w:ind w:right="400" w:firstLine="429"/>
        <w:spacing w:after="0" w:line="268" w:lineRule="auto"/>
        <w:rPr>
          <w:sz w:val="20"/>
          <w:szCs w:val="20"/>
          <w:color w:val="auto"/>
        </w:rPr>
      </w:pPr>
      <w:r>
        <w:rPr>
          <w:rFonts w:ascii="Arial" w:cs="Arial" w:eastAsia="Arial" w:hAnsi="Arial"/>
          <w:sz w:val="18"/>
          <w:szCs w:val="18"/>
          <w:color w:val="auto"/>
        </w:rPr>
        <w:t>As a result of these cash flows, cash and cash equivalents increased by $3.7 million in the six months ended June 30, 2006, compared to an increase of $14.4 million in the six months ended May 31, 2005.</w:t>
      </w:r>
    </w:p>
    <w:p>
      <w:pPr>
        <w:spacing w:after="0" w:line="186" w:lineRule="exact"/>
        <w:rPr>
          <w:sz w:val="20"/>
          <w:szCs w:val="20"/>
          <w:color w:val="auto"/>
        </w:rPr>
      </w:pPr>
    </w:p>
    <w:p>
      <w:pPr>
        <w:ind w:right="40" w:firstLine="439"/>
        <w:spacing w:after="0" w:line="290" w:lineRule="auto"/>
        <w:rPr>
          <w:sz w:val="20"/>
          <w:szCs w:val="20"/>
          <w:color w:val="auto"/>
        </w:rPr>
      </w:pPr>
      <w:r>
        <w:rPr>
          <w:rFonts w:ascii="Arial" w:cs="Arial" w:eastAsia="Arial" w:hAnsi="Arial"/>
          <w:sz w:val="16"/>
          <w:szCs w:val="16"/>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the term loan facility of $40 million and the multi currency overdraft facility of $5 million. As at June 30, 2006, the full amounts of the term loan facility and the multi currency overdraft were available to be drawn down. As at June 30, 2006, the full amount of the $15 million revolving credit facility was available to be drawn down.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ind w:right="440" w:firstLine="436"/>
        <w:spacing w:after="0" w:line="332" w:lineRule="auto"/>
        <w:rPr>
          <w:sz w:val="20"/>
          <w:szCs w:val="20"/>
          <w:color w:val="auto"/>
        </w:rPr>
      </w:pPr>
      <w:r>
        <w:rPr>
          <w:rFonts w:ascii="Arial" w:cs="Arial" w:eastAsia="Arial" w:hAnsi="Arial"/>
          <w:sz w:val="16"/>
          <w:szCs w:val="16"/>
          <w:color w:val="auto"/>
        </w:rPr>
        <w:t>The Company also entered into an overdraft agreement with Allied Irish Banks, plc (“AIB”) whereby the company guarantees any overdraft of its subsidiary ICON Clinical Research GmbH up to an amount 120,000 (U.S.$150,612). As of June 30, 2006, the full facility was available to be drawn down.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jc w:val="center"/>
        <w:ind w:right="-8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ICON plc</w:t>
      </w:r>
    </w:p>
    <w:p>
      <w:pPr>
        <w:spacing w:after="0" w:line="164"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25th July 2006</w:t>
      </w:r>
      <w:r>
        <w:rPr>
          <w:sz w:val="20"/>
          <w:szCs w:val="20"/>
          <w:color w:val="auto"/>
        </w:rPr>
        <w:tab/>
      </w:r>
      <w:r>
        <w:rPr>
          <w:rFonts w:ascii="Arial" w:cs="Arial" w:eastAsia="Arial" w:hAnsi="Arial"/>
          <w:sz w:val="16"/>
          <w:szCs w:val="16"/>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20078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00785"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80010</wp:posOffset>
            </wp:positionV>
            <wp:extent cx="33534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Ciaran Murray</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540"/>
          </w:cols>
          <w:pgMar w:left="240" w:top="125" w:right="111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6757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t>1,000,000</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American Depositary Shares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Representing</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1,000,000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144780</wp:posOffset>
            </wp:positionV>
            <wp:extent cx="1543685" cy="3600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54368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ICON plc</w:t>
      </w:r>
    </w:p>
    <w:p>
      <w:pPr>
        <w:spacing w:after="0" w:line="234" w:lineRule="exact"/>
        <w:rPr>
          <w:sz w:val="20"/>
          <w:szCs w:val="20"/>
          <w:color w:val="auto"/>
        </w:rPr>
      </w:pPr>
    </w:p>
    <w:p>
      <w:pPr>
        <w:ind w:left="3100"/>
        <w:spacing w:after="0"/>
        <w:rPr>
          <w:sz w:val="20"/>
          <w:szCs w:val="20"/>
          <w:color w:val="auto"/>
        </w:rPr>
      </w:pPr>
      <w:r>
        <w:rPr>
          <w:rFonts w:ascii="Arial" w:cs="Arial" w:eastAsia="Arial" w:hAnsi="Arial"/>
          <w:sz w:val="24"/>
          <w:szCs w:val="24"/>
          <w:b w:val="1"/>
          <w:bCs w:val="1"/>
          <w:color w:val="auto"/>
        </w:rPr>
        <w:t>William Blair &amp; Company</w:t>
      </w:r>
    </w:p>
    <w:p>
      <w:pPr>
        <w:spacing w:after="0" w:line="36" w:lineRule="exact"/>
        <w:rPr>
          <w:sz w:val="20"/>
          <w:szCs w:val="20"/>
          <w:color w:val="auto"/>
        </w:rPr>
      </w:pPr>
    </w:p>
    <w:p>
      <w:pPr>
        <w:ind w:left="3260"/>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ind w:left="3400"/>
        <w:spacing w:after="0"/>
        <w:rPr>
          <w:sz w:val="20"/>
          <w:szCs w:val="20"/>
          <w:color w:val="auto"/>
        </w:rPr>
      </w:pPr>
      <w:r>
        <w:rPr>
          <w:rFonts w:ascii="Arial" w:cs="Arial" w:eastAsia="Arial" w:hAnsi="Arial"/>
          <w:sz w:val="24"/>
          <w:szCs w:val="24"/>
          <w:b w:val="1"/>
          <w:bCs w:val="1"/>
          <w:color w:val="auto"/>
        </w:rPr>
        <w:t>Jefferies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114300</wp:posOffset>
            </wp:positionV>
            <wp:extent cx="726757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9019"/>
      </w:cols>
      <w:pgMar w:left="1440" w:top="5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353"/>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lvl w:ilvl="1">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2019-12-14T20:47:16Z</dcterms:created>
  <dcterms:modified xsi:type="dcterms:W3CDTF">2019-12-14T20:47:16Z</dcterms:modified>
</cp:coreProperties>
</file>