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15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1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8"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ind w:left="4420"/>
        <w:spacing w:after="0" w:line="210" w:lineRule="auto"/>
        <w:rPr>
          <w:sz w:val="20"/>
          <w:szCs w:val="20"/>
          <w:color w:val="auto"/>
        </w:rPr>
      </w:pPr>
      <w:r>
        <w:rPr>
          <w:rFonts w:ascii="Times New Roman" w:cs="Times New Roman" w:eastAsia="Times New Roman" w:hAnsi="Times New Roman"/>
          <w:sz w:val="18"/>
          <w:szCs w:val="18"/>
          <w:b w:val="1"/>
          <w:bCs w:val="1"/>
          <w:color w:val="auto"/>
        </w:rPr>
        <w:t>Pursuant to Rule 13a-16 under</w:t>
      </w:r>
    </w:p>
    <w:p>
      <w:pPr>
        <w:ind w:left="424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b w:val="1"/>
          <w:bCs w:val="1"/>
          <w:color w:val="auto"/>
        </w:rPr>
        <w:t>he Securities Exchange Act of 1934</w:t>
      </w:r>
    </w:p>
    <w:p>
      <w:pPr>
        <w:spacing w:after="0" w:line="200" w:lineRule="exact"/>
        <w:rPr>
          <w:sz w:val="24"/>
          <w:szCs w:val="24"/>
          <w:color w:val="auto"/>
        </w:rPr>
      </w:pPr>
    </w:p>
    <w:p>
      <w:pPr>
        <w:spacing w:after="0" w:line="235"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For the month of October 2024</w:t>
      </w:r>
    </w:p>
    <w:p>
      <w:pPr>
        <w:spacing w:after="0" w:line="200" w:lineRule="exact"/>
        <w:rPr>
          <w:sz w:val="24"/>
          <w:szCs w:val="24"/>
          <w:color w:val="auto"/>
        </w:rPr>
      </w:pPr>
    </w:p>
    <w:p>
      <w:pPr>
        <w:spacing w:after="0" w:line="25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ICON plc</w:t>
      </w: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0" w:lineRule="exact"/>
        <w:rPr>
          <w:sz w:val="24"/>
          <w:szCs w:val="24"/>
          <w:color w:val="auto"/>
        </w:rPr>
      </w:pPr>
    </w:p>
    <w:p>
      <w:pPr>
        <w:spacing w:after="0" w:line="2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333-08704</w:t>
      </w:r>
    </w:p>
    <w:p>
      <w:pPr>
        <w:spacing w:after="0" w:line="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0" w:lineRule="exact"/>
        <w:rPr>
          <w:sz w:val="24"/>
          <w:szCs w:val="24"/>
          <w:color w:val="auto"/>
        </w:rPr>
      </w:pPr>
    </w:p>
    <w:p>
      <w:pPr>
        <w:spacing w:after="0" w:line="22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South County Business Park, Leopardstown, Dublin 18, Ireland</w:t>
      </w: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7" w:lineRule="exact"/>
        <w:rPr>
          <w:sz w:val="24"/>
          <w:szCs w:val="24"/>
          <w:color w:val="auto"/>
        </w:rPr>
      </w:pPr>
    </w:p>
    <w:p>
      <w:pPr>
        <w:ind w:left="3740"/>
        <w:spacing w:after="0"/>
        <w:tabs>
          <w:tab w:leader="none" w:pos="7540" w:val="left"/>
        </w:tabs>
        <w:rPr>
          <w:sz w:val="20"/>
          <w:szCs w:val="20"/>
          <w:color w:val="auto"/>
        </w:rPr>
      </w:pPr>
      <w:r>
        <w:rPr>
          <w:rFonts w:ascii="Times New Roman" w:cs="Times New Roman" w:eastAsia="Times New Roman" w:hAnsi="Times New Roman"/>
          <w:sz w:val="18"/>
          <w:szCs w:val="18"/>
          <w:color w:val="auto"/>
        </w:rPr>
        <w:t>Form 20-F 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r>
        <w:rPr>
          <w:sz w:val="20"/>
          <w:szCs w:val="20"/>
          <w:color w:val="auto"/>
        </w:rPr>
        <w:tab/>
      </w:r>
      <w:r>
        <w:rPr>
          <w:rFonts w:ascii="Times New Roman" w:cs="Times New Roman" w:eastAsia="Times New Roman" w:hAnsi="Times New Roman"/>
          <w:sz w:val="17"/>
          <w:szCs w:val="17"/>
          <w:color w:val="auto"/>
        </w:rPr>
        <w:t>Form 40-F ______</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101(b)(1):</w:t>
      </w:r>
    </w:p>
    <w:p>
      <w:pPr>
        <w:spacing w:after="0" w:line="27" w:lineRule="exact"/>
        <w:rPr>
          <w:sz w:val="24"/>
          <w:szCs w:val="24"/>
          <w:color w:val="auto"/>
        </w:rPr>
      </w:pPr>
    </w:p>
    <w:p>
      <w:pPr>
        <w:ind w:left="3740"/>
        <w:spacing w:after="0"/>
        <w:tabs>
          <w:tab w:leader="none" w:pos="754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101(b)(7):</w:t>
      </w:r>
    </w:p>
    <w:p>
      <w:pPr>
        <w:spacing w:after="0" w:line="27" w:lineRule="exact"/>
        <w:rPr>
          <w:sz w:val="24"/>
          <w:szCs w:val="24"/>
          <w:color w:val="auto"/>
        </w:rPr>
      </w:pPr>
    </w:p>
    <w:p>
      <w:pPr>
        <w:ind w:left="3740"/>
        <w:spacing w:after="0"/>
        <w:tabs>
          <w:tab w:leader="none" w:pos="754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p>
    <w:p>
      <w:pPr>
        <w:sectPr>
          <w:pgSz w:w="11900" w:h="16838" w:orient="portrait"/>
          <w:cols w:equalWidth="0" w:num="1">
            <w:col w:w="10119"/>
          </w:cols>
          <w:pgMar w:left="340" w:top="1440" w:right="1440" w:bottom="1440" w:gutter="0" w:footer="0" w:header="0"/>
        </w:sectPr>
      </w:pPr>
    </w:p>
    <w:bookmarkStart w:id="1" w:name="page2"/>
    <w:bookmarkEnd w:id="1"/>
    <w:p>
      <w:pPr>
        <w:ind w:left="5000"/>
        <w:spacing w:after="0"/>
        <w:rPr>
          <w:sz w:val="20"/>
          <w:szCs w:val="20"/>
          <w:color w:val="auto"/>
        </w:rPr>
      </w:pPr>
      <w:r>
        <w:rPr>
          <w:rFonts w:ascii="Times New Roman" w:cs="Times New Roman" w:eastAsia="Times New Roman" w:hAnsi="Times New Roman"/>
          <w:sz w:val="18"/>
          <w:szCs w:val="18"/>
          <w:b w:val="1"/>
          <w:bCs w:val="1"/>
          <w:u w:val="single" w:color="auto"/>
          <w:color w:val="auto"/>
        </w:rPr>
        <w:t>EXHIBIT LIST</w:t>
      </w:r>
    </w:p>
    <w:p>
      <w:pPr>
        <w:spacing w:after="0" w:line="216"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u w:val="single" w:color="auto"/>
          <w:color w:val="auto"/>
        </w:rPr>
        <w:t>Exhibit</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252"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u w:val="single" w:color="auto"/>
          <w:color w:val="0000FF"/>
        </w:rPr>
        <w:t>ICON plc Press Release issued October 23, 2024 - ICON Reports Third Quarter 2024 Results</w:t>
      </w:r>
    </w:p>
    <w:p>
      <w:pPr>
        <w:sectPr>
          <w:pgSz w:w="11900" w:h="16838" w:orient="portrait"/>
          <w:cols w:equalWidth="0" w:num="1">
            <w:col w:w="10119"/>
          </w:cols>
          <w:pgMar w:left="340" w:top="1400" w:right="1440"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4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48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ICON plc</w:t>
            </w:r>
          </w:p>
        </w:tc>
      </w:tr>
      <w:tr>
        <w:trPr>
          <w:trHeight w:val="418"/>
        </w:trPr>
        <w:tc>
          <w:tcPr>
            <w:tcW w:w="7480" w:type="dxa"/>
            <w:vAlign w:val="bottom"/>
          </w:tcPr>
          <w:p>
            <w:pPr>
              <w:spacing w:after="0"/>
              <w:rPr>
                <w:sz w:val="24"/>
                <w:szCs w:val="24"/>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Brendan Brennan</w:t>
            </w:r>
          </w:p>
        </w:tc>
      </w:tr>
      <w:tr>
        <w:trPr>
          <w:trHeight w:val="196"/>
        </w:trPr>
        <w:tc>
          <w:tcPr>
            <w:tcW w:w="7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Date: October 23, 2024</w:t>
            </w:r>
          </w:p>
        </w:tc>
        <w:tc>
          <w:tcPr>
            <w:tcW w:w="148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Brendan Brennan</w:t>
            </w:r>
          </w:p>
        </w:tc>
        <w:tc>
          <w:tcPr>
            <w:tcW w:w="200" w:type="dxa"/>
            <w:vAlign w:val="bottom"/>
          </w:tcPr>
          <w:p>
            <w:pPr>
              <w:spacing w:after="0"/>
              <w:rPr>
                <w:sz w:val="17"/>
                <w:szCs w:val="17"/>
                <w:color w:val="auto"/>
              </w:rPr>
            </w:pPr>
          </w:p>
        </w:tc>
      </w:tr>
      <w:tr>
        <w:trPr>
          <w:trHeight w:val="234"/>
        </w:trPr>
        <w:tc>
          <w:tcPr>
            <w:tcW w:w="748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Chief Financial Officer</w:t>
            </w:r>
          </w:p>
        </w:tc>
      </w:tr>
    </w:tbl>
    <w:p>
      <w:pPr>
        <w:sectPr>
          <w:pgSz w:w="11900" w:h="16838" w:orient="portrait"/>
          <w:cols w:equalWidth="0" w:num="1">
            <w:col w:w="10340"/>
          </w:cols>
          <w:pgMar w:left="320" w:top="1400" w:right="1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457200</wp:posOffset>
            </wp:positionV>
            <wp:extent cx="1619885" cy="436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1988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ICON Reports Third Quarter 2024 Results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229" w:lineRule="exact"/>
        <w:rPr>
          <w:sz w:val="20"/>
          <w:szCs w:val="20"/>
          <w:color w:val="auto"/>
        </w:rPr>
      </w:pPr>
    </w:p>
    <w:p>
      <w:pPr>
        <w:ind w:left="660" w:right="2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business wins in the quarter of $2,328 million. Reflects a net book to bill in the quarter of 1.15, and a trailing twelve month net book to bill of 1.21.</w:t>
      </w:r>
    </w:p>
    <w:p>
      <w:pPr>
        <w:spacing w:after="0" w:line="2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backlog of $24.3 billion, an increase of 2.1% on quarter two 2024 and 9.4% on quarter three 2023.</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 three revenue of $2,030.0 million. Quarter three adjusted EBITDA of $418.8 million or 20.6% of revenue.</w:t>
      </w:r>
    </w:p>
    <w:p>
      <w:pPr>
        <w:spacing w:after="0" w:line="225" w:lineRule="exact"/>
        <w:rPr>
          <w:rFonts w:ascii="Times New Roman" w:cs="Times New Roman" w:eastAsia="Times New Roman" w:hAnsi="Times New Roman"/>
          <w:sz w:val="18"/>
          <w:szCs w:val="18"/>
          <w:color w:val="auto"/>
        </w:rPr>
      </w:pPr>
    </w:p>
    <w:p>
      <w:pPr>
        <w:ind w:left="660" w:right="20" w:hanging="328"/>
        <w:spacing w:after="0" w:line="237"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income for the quarter of $197.1 million or $2.36 per diluted share, an increase of 19.8% on quarter three 2023 diluted earnings per share.</w:t>
      </w:r>
    </w:p>
    <w:p>
      <w:pPr>
        <w:spacing w:after="0" w:line="185"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 three adjusted net income was $279.2 million or $3.35 per diluted share, an increase of 1.5% on quarter three 2023 adjusted diluted earnings per share.</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debt balance of $2.7 billion at September 30, 2024 with net debt to adjusted EBITDA ratio of 1.6x.</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generated from operating activities for the quarter was $402.7 million, an increase of 17.9% on quarter three 2023.</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million worth of stock repurchased at an average price of $297.</w:t>
      </w:r>
    </w:p>
    <w:p>
      <w:pPr>
        <w:spacing w:after="0" w:line="238" w:lineRule="exact"/>
        <w:rPr>
          <w:rFonts w:ascii="Times New Roman" w:cs="Times New Roman" w:eastAsia="Times New Roman" w:hAnsi="Times New Roman"/>
          <w:sz w:val="18"/>
          <w:szCs w:val="18"/>
          <w:color w:val="auto"/>
        </w:rPr>
      </w:pPr>
    </w:p>
    <w:p>
      <w:pPr>
        <w:jc w:val="both"/>
        <w:ind w:left="660" w:hanging="328"/>
        <w:spacing w:after="0" w:line="24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Updating full-year 2024 financial revenue guidance in the range of $8,260 - $8,300 million, representing a year over year increase of 1.7% to 2.2%. Updating full-year 2024 adjusted earnings per share* guidance in the range of $13.90 - $14.10, representing a year over year increase of</w:t>
      </w:r>
    </w:p>
    <w:p>
      <w:pPr>
        <w:ind w:left="660"/>
        <w:spacing w:after="0" w:line="24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 to 10.2%. Adjusted earnings per share to exclude amortization, stock compensation, restructuring, foreign exchange and transaction-related / integrated-related adjustments.</w:t>
      </w:r>
    </w:p>
    <w:p>
      <w:pPr>
        <w:spacing w:after="0" w:line="200" w:lineRule="exact"/>
        <w:rPr>
          <w:sz w:val="20"/>
          <w:szCs w:val="20"/>
          <w:color w:val="auto"/>
        </w:rPr>
      </w:pPr>
    </w:p>
    <w:p>
      <w:pPr>
        <w:spacing w:after="0" w:line="25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Dublin, Ireland, October 23, 2024 – ICON plc (NASDAQ: ICLR), a world-leading healthcare intelligence and clinical research organization, today reported its financial results for the third quarter ended September 30, 2024.</w:t>
      </w:r>
    </w:p>
    <w:p>
      <w:pPr>
        <w:spacing w:after="0" w:line="197"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color w:val="auto"/>
        </w:rPr>
        <w:t xml:space="preserve">CEO, Dr. Steve Cutler commented, </w:t>
      </w:r>
      <w:r>
        <w:rPr>
          <w:rFonts w:ascii="Times New Roman" w:cs="Times New Roman" w:eastAsia="Times New Roman" w:hAnsi="Times New Roman"/>
          <w:sz w:val="18"/>
          <w:szCs w:val="18"/>
          <w:i w:val="1"/>
          <w:iCs w:val="1"/>
          <w:color w:val="auto"/>
        </w:rPr>
        <w:t>“ICON’s results for the third quarter did not meet the expectations we had previously provided due to specific customer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division-level impacts. Our revenue shortfall was attributable to more material headwinds from two large customers undergoing budget cuts and changes in their development model, lower than anticipated vaccine-related activity, and ongoing cautiousness from biotech customers resulting in award and study delays.</w:t>
      </w:r>
    </w:p>
    <w:p>
      <w:pPr>
        <w:spacing w:after="0" w:line="226" w:lineRule="exact"/>
        <w:rPr>
          <w:sz w:val="20"/>
          <w:szCs w:val="20"/>
          <w:color w:val="auto"/>
        </w:rPr>
      </w:pPr>
    </w:p>
    <w:p>
      <w:pPr>
        <w:jc w:val="both"/>
        <w:ind w:right="320"/>
        <w:spacing w:after="0" w:line="259" w:lineRule="auto"/>
        <w:rPr>
          <w:sz w:val="20"/>
          <w:szCs w:val="20"/>
          <w:color w:val="auto"/>
        </w:rPr>
      </w:pPr>
      <w:r>
        <w:rPr>
          <w:rFonts w:ascii="Times New Roman" w:cs="Times New Roman" w:eastAsia="Times New Roman" w:hAnsi="Times New Roman"/>
          <w:sz w:val="18"/>
          <w:szCs w:val="18"/>
          <w:i w:val="1"/>
          <w:iCs w:val="1"/>
          <w:color w:val="auto"/>
        </w:rPr>
        <w:t>We expect these impacts to continue into quarter four, and as a result, we are taking decisive action to realign our resources to forecasted activity. With these actions, we are updating our full year adjusted earnings per share guidance to between $13.90 and $14.10, representing year over year growth of 8.7% to 10.2%.</w:t>
      </w:r>
    </w:p>
    <w:p>
      <w:pPr>
        <w:spacing w:after="0" w:line="207" w:lineRule="exact"/>
        <w:rPr>
          <w:sz w:val="20"/>
          <w:szCs w:val="20"/>
          <w:color w:val="auto"/>
        </w:rPr>
      </w:pPr>
    </w:p>
    <w:p>
      <w:pPr>
        <w:jc w:val="both"/>
        <w:ind w:right="100"/>
        <w:spacing w:after="0" w:line="275" w:lineRule="auto"/>
        <w:rPr>
          <w:sz w:val="20"/>
          <w:szCs w:val="20"/>
          <w:color w:val="auto"/>
        </w:rPr>
      </w:pPr>
      <w:r>
        <w:rPr>
          <w:rFonts w:ascii="Times New Roman" w:cs="Times New Roman" w:eastAsia="Times New Roman" w:hAnsi="Times New Roman"/>
          <w:sz w:val="18"/>
          <w:szCs w:val="18"/>
          <w:i w:val="1"/>
          <w:iCs w:val="1"/>
          <w:color w:val="auto"/>
        </w:rPr>
        <w:t>The fundamentals of our business remain strong and we saw further success in the quarter with a new top 10 pharma strategic partnership win, which has already started contributing to our pipeline of awards. This win, coupled with other recently executed partnerships, supports our outlook for growth over the medium term.”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2024 Results</w:t>
      </w:r>
    </w:p>
    <w:p>
      <w:pPr>
        <w:spacing w:after="0" w:line="21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Gross business wins in the third quarter were $2,832 million and cancellations were $504 million. This resulted in net business wins of $2,328 million and a book to bill of 1.15.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for the third quarter was $2,030 million. This represents a decrease of 1.2% on prior year revenue or 1.0% on a constant currency basis.</w:t>
      </w:r>
    </w:p>
    <w:p>
      <w:pPr>
        <w:spacing w:after="0" w:line="212" w:lineRule="exact"/>
        <w:rPr>
          <w:sz w:val="20"/>
          <w:szCs w:val="20"/>
          <w:color w:val="auto"/>
        </w:rPr>
      </w:pPr>
    </w:p>
    <w:p>
      <w:pPr>
        <w:jc w:val="both"/>
        <w:ind w:right="240"/>
        <w:spacing w:after="0" w:line="250" w:lineRule="auto"/>
        <w:rPr>
          <w:sz w:val="20"/>
          <w:szCs w:val="20"/>
          <w:color w:val="auto"/>
        </w:rPr>
      </w:pPr>
      <w:r>
        <w:rPr>
          <w:rFonts w:ascii="Times New Roman" w:cs="Times New Roman" w:eastAsia="Times New Roman" w:hAnsi="Times New Roman"/>
          <w:sz w:val="18"/>
          <w:szCs w:val="18"/>
          <w:color w:val="auto"/>
        </w:rPr>
        <w:t>GAAP net income was $197.1 million resulting in $2.36 diluted earnings per share in quarter three 2024 compared to $1.97 diluted earnings per share in quarter three 2023, an increase of 19.8% year over year. Adjusted net income for the quarter was $279.2 million resulting in an adjusted diluted earnings per share of $3.35 compared to $3.30 per share for the third quarter 2023.</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for the third quarter was $418.8 million or 20.6% of revenue, a year-on-year decrease of 3.2%.</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tax rate on adjusted net income in quarter three 2024 was 16.5%.</w:t>
      </w:r>
    </w:p>
    <w:p>
      <w:pPr>
        <w:sectPr>
          <w:pgSz w:w="11900" w:h="16838" w:orient="portrait"/>
          <w:cols w:equalWidth="0" w:num="1">
            <w:col w:w="11240"/>
          </w:cols>
          <w:pgMar w:left="320" w:top="1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Cash generated from operating activities for the quarter was $402.7 million. During the quarter $43.3 million was spent on capital expenditure. At</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September 30, 2024, the Group had cash and cash equivalents of $695.5 million, compared to cash and cash equivalents of $506.6 million at June 30, 2024 and $313.1 million at September 30, 2023. $100.0 million worth of stock was repurchased at an average price of $297. $50.0 million of the revolving credit facility was drawn down in the quarter and $50.0 million was repaid. Additionally, $7.4 million of Term Loan B payments were made during the quarter.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indebtedness as at September 30, 2024 was $2.7 billion.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to date 2024 Results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Gross business wins year to date were $9,017 million and cancellations were $1,457 million. This resulted in net business wins of $7,560 million and a book to bill of 1.21.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to date revenue was $6,240.6 million. This represents a year on year increase of 3.1% or 3.2% on a constant currency basis.</w:t>
      </w:r>
    </w:p>
    <w:p>
      <w:pPr>
        <w:spacing w:after="0" w:line="239"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GAAP net income year to date was $531.5 million resulting in $6.38 diluted earnings per share compared to $4.79 per share for the equivalent prior year period. This represents an increase of 33.2%. Adjusted net income was $880.3 million resulting in an adjusted diluted earnings per share of $10.57 compared to $9.31 per share for the equivalent prior year period. This represents an increase of 13.5%.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year to date was $1,313.2 million or 21.0% of revenue, a year on year increase of 5.4%.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addition to the financial measures prepared in accordance with generally accepted accounting principles (GAAP), this press release contains certain non-GAAP financial measures, including adjusted EBITDA, adjusted net income and adjusted diluted earnings per share. Adjusted EBITDA, adjusted net income and adjusted diluted earnings per share exclude amortization, stock compensation, foreign exchange gains and losses, restructuring and transaction-related / integration-related adjustments. While non-GAAP financial measures are not superior to or a substitute for the comparable GAAP measures, ICON believes certain non-GAAP information is useful to investors for historical comparison purposes.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ICON will hold a conference call on October 24, 2024 at 08:00 EDT [13:00 Ireland &amp; UK]. This call and linked slide presentation can be accessed live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from our website at http://investor.iconplc.com.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press release contains forward-looking statements, including statements about our financial guidance. These statements are based on management's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projected in the statements, including, but not limited to, the ability to enter into new contracts, maintain client relationships, manage the opening of new offices and offering of new services, the integration of new business mergers and acquisitions, as well as other economic and global market conditions and other risks and uncertainties detailed from time to time in SEC reports filed by ICON, all of which are difficult to predict and some of which are beyond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w:t>
      </w:r>
    </w:p>
    <w:p>
      <w:pPr>
        <w:spacing w:after="0" w:line="199" w:lineRule="exact"/>
        <w:rPr>
          <w:sz w:val="20"/>
          <w:szCs w:val="20"/>
          <w:color w:val="auto"/>
        </w:rPr>
      </w:pPr>
    </w:p>
    <w:p>
      <w:pPr>
        <w:jc w:val="both"/>
        <w:ind w:firstLine="8"/>
        <w:spacing w:after="0" w:line="242" w:lineRule="auto"/>
        <w:tabs>
          <w:tab w:leader="none" w:pos="14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full-year 2024 guidance adjusted earnings per share measures are provided on a non-GAAP basis because the company is unable to predict with a reasonable degree of certainty certain items contained in the GAAP measures without unreasonable efforts. For the same reasons, the company is unable to address the probable significance of the unavailable information.</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ICON plc is a world-leading healthcare intelligence and clinical research organization. From molecule to medicine, we advance clinical research providing outsourced services to pharmaceutical, biotechnology, medical device and government and public health organizations. We develop new innovations, drive emerging therapies forward and improve patient lives. With headquarters in Dublin, Ireland, ICON employed approximately 42,250 employees in 106 locations in 55 countries as at September 30, 2024. For further information about ICON, visit: www.iconplc.com.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ICON plc</w:t>
      </w:r>
    </w:p>
    <w:p>
      <w:pPr>
        <w:spacing w:after="0" w:line="234" w:lineRule="auto"/>
        <w:rPr>
          <w:sz w:val="20"/>
          <w:szCs w:val="20"/>
          <w:color w:val="auto"/>
        </w:rPr>
      </w:pPr>
      <w:r>
        <w:rPr>
          <w:rFonts w:ascii="Times New Roman" w:cs="Times New Roman" w:eastAsia="Times New Roman" w:hAnsi="Times New Roman"/>
          <w:sz w:val="18"/>
          <w:szCs w:val="18"/>
          <w:color w:val="auto"/>
        </w:rPr>
        <w:t>Contact: Investor Relations +1 888 381 7923</w:t>
      </w:r>
    </w:p>
    <w:p>
      <w:pPr>
        <w:spacing w:after="0" w:line="235" w:lineRule="auto"/>
        <w:rPr>
          <w:sz w:val="20"/>
          <w:szCs w:val="20"/>
          <w:color w:val="auto"/>
        </w:rPr>
      </w:pPr>
      <w:r>
        <w:rPr>
          <w:rFonts w:ascii="Times New Roman" w:cs="Times New Roman" w:eastAsia="Times New Roman" w:hAnsi="Times New Roman"/>
          <w:sz w:val="18"/>
          <w:szCs w:val="18"/>
          <w:color w:val="auto"/>
        </w:rPr>
        <w:t>Brendan Brennan Chief Financial Officer</w:t>
      </w:r>
    </w:p>
    <w:p>
      <w:pPr>
        <w:spacing w:after="0" w:line="235" w:lineRule="auto"/>
        <w:rPr>
          <w:sz w:val="20"/>
          <w:szCs w:val="20"/>
          <w:color w:val="auto"/>
        </w:rPr>
      </w:pPr>
      <w:r>
        <w:rPr>
          <w:rFonts w:ascii="Times New Roman" w:cs="Times New Roman" w:eastAsia="Times New Roman" w:hAnsi="Times New Roman"/>
          <w:sz w:val="18"/>
          <w:szCs w:val="18"/>
          <w:color w:val="auto"/>
        </w:rPr>
        <w:t>Kate Haven Vice President Investor Relations +1 888 381 7923</w:t>
      </w:r>
    </w:p>
    <w:p>
      <w:pPr>
        <w:spacing w:after="0" w:line="235" w:lineRule="auto"/>
        <w:rPr>
          <w:sz w:val="20"/>
          <w:szCs w:val="20"/>
          <w:color w:val="auto"/>
        </w:rPr>
      </w:pPr>
      <w:r>
        <w:rPr>
          <w:rFonts w:ascii="Times New Roman" w:cs="Times New Roman" w:eastAsia="Times New Roman" w:hAnsi="Times New Roman"/>
          <w:sz w:val="18"/>
          <w:szCs w:val="18"/>
          <w:color w:val="auto"/>
        </w:rPr>
        <w:t>All at ICON</w:t>
      </w:r>
    </w:p>
    <w:p>
      <w:pPr>
        <w:spacing w:after="0"/>
        <w:rPr>
          <w:sz w:val="20"/>
          <w:szCs w:val="20"/>
          <w:color w:val="auto"/>
        </w:rPr>
      </w:pPr>
      <w:r>
        <w:rPr>
          <w:rFonts w:ascii="Times New Roman" w:cs="Times New Roman" w:eastAsia="Times New Roman" w:hAnsi="Times New Roman"/>
          <w:sz w:val="18"/>
          <w:szCs w:val="18"/>
          <w:color w:val="auto"/>
        </w:rPr>
        <w:t>ICON/ICLR-F</w:t>
      </w:r>
    </w:p>
    <w:p>
      <w:pPr>
        <w:sectPr>
          <w:pgSz w:w="11900" w:h="16838" w:orient="portrait"/>
          <w:cols w:equalWidth="0" w:num="1">
            <w:col w:w="11240"/>
          </w:cols>
          <w:pgMar w:left="320" w:top="999" w:right="339" w:bottom="1440" w:gutter="0" w:footer="0" w:header="0"/>
        </w:sectPr>
      </w:pPr>
    </w:p>
    <w:bookmarkStart w:id="5" w:name="page6"/>
    <w:bookmarkEnd w:id="5"/>
    <w:p>
      <w:pPr>
        <w:ind w:left="5220"/>
        <w:spacing w:after="0"/>
        <w:rPr>
          <w:sz w:val="20"/>
          <w:szCs w:val="20"/>
          <w:color w:val="auto"/>
        </w:rPr>
      </w:pPr>
      <w:r>
        <w:rPr>
          <w:rFonts w:ascii="Arial" w:cs="Arial" w:eastAsia="Arial" w:hAnsi="Arial"/>
          <w:sz w:val="16"/>
          <w:szCs w:val="16"/>
          <w:b w:val="1"/>
          <w:bCs w:val="1"/>
          <w:color w:val="auto"/>
        </w:rPr>
        <w:t>I</w:t>
      </w:r>
      <w:r>
        <w:rPr>
          <w:rFonts w:ascii="Times New Roman" w:cs="Times New Roman" w:eastAsia="Times New Roman" w:hAnsi="Times New Roman"/>
          <w:sz w:val="16"/>
          <w:szCs w:val="16"/>
          <w:b w:val="1"/>
          <w:bCs w:val="1"/>
          <w:color w:val="auto"/>
        </w:rPr>
        <w:t>CON plc</w:t>
      </w:r>
    </w:p>
    <w:p>
      <w:pPr>
        <w:spacing w:after="0" w:line="2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w:t>
      </w:r>
    </w:p>
    <w:p>
      <w:pPr>
        <w:jc w:val="center"/>
        <w:ind w:right="-19"/>
        <w:spacing w:after="0" w:line="228" w:lineRule="auto"/>
        <w:rPr>
          <w:sz w:val="20"/>
          <w:szCs w:val="20"/>
          <w:color w:val="auto"/>
        </w:rPr>
      </w:pPr>
      <w:r>
        <w:rPr>
          <w:rFonts w:ascii="Times New Roman" w:cs="Times New Roman" w:eastAsia="Times New Roman" w:hAnsi="Times New Roman"/>
          <w:sz w:val="16"/>
          <w:szCs w:val="16"/>
          <w:b w:val="1"/>
          <w:bCs w:val="1"/>
          <w:color w:val="auto"/>
        </w:rPr>
        <w:t>FOR THE THREE AND NINE MONTHS ENDED SEPTEMBER 30, 2024 AND SEPTEMBER 30, 2023</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320" w:type="dxa"/>
            <w:vAlign w:val="bottom"/>
            <w:gridSpan w:val="3"/>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40" w:type="dxa"/>
            <w:vAlign w:val="bottom"/>
          </w:tcPr>
          <w:p>
            <w:pPr>
              <w:spacing w:after="0"/>
              <w:rPr>
                <w:sz w:val="19"/>
                <w:szCs w:val="19"/>
                <w:color w:val="auto"/>
              </w:rPr>
            </w:pPr>
          </w:p>
        </w:tc>
        <w:tc>
          <w:tcPr>
            <w:tcW w:w="3280" w:type="dxa"/>
            <w:vAlign w:val="bottom"/>
            <w:gridSpan w:val="3"/>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89"/>
        </w:trPr>
        <w:tc>
          <w:tcPr>
            <w:tcW w:w="3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44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44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44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9"/>
        </w:trPr>
        <w:tc>
          <w:tcPr>
            <w:tcW w:w="3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8"/>
        </w:trPr>
        <w:tc>
          <w:tcPr>
            <w:tcW w:w="3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7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9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2,030,030</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2,055,099</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6,240,575</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6,053,928</w:t>
            </w:r>
          </w:p>
        </w:tc>
      </w:tr>
      <w:tr>
        <w:trPr>
          <w:trHeight w:val="495"/>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9"/>
        </w:trPr>
        <w:tc>
          <w:tcPr>
            <w:tcW w:w="350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Direct costs (excluding depreciation and</w:t>
            </w:r>
          </w:p>
        </w:tc>
        <w:tc>
          <w:tcPr>
            <w:tcW w:w="5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29"/>
        </w:trPr>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w:t>
            </w:r>
          </w:p>
        </w:tc>
        <w:tc>
          <w:tcPr>
            <w:tcW w:w="52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1,438,616</w:t>
            </w:r>
          </w:p>
        </w:tc>
        <w:tc>
          <w:tcPr>
            <w:tcW w:w="4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1,449,136</w:t>
            </w:r>
          </w:p>
        </w:tc>
        <w:tc>
          <w:tcPr>
            <w:tcW w:w="4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4,403,583</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4,274,222</w:t>
            </w:r>
          </w:p>
        </w:tc>
      </w:tr>
      <w:tr>
        <w:trPr>
          <w:trHeight w:val="230"/>
        </w:trPr>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2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205,095</w:t>
            </w:r>
          </w:p>
        </w:tc>
        <w:tc>
          <w:tcPr>
            <w:tcW w:w="4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185,187</w:t>
            </w:r>
          </w:p>
        </w:tc>
        <w:tc>
          <w:tcPr>
            <w:tcW w:w="4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576,903</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572,999</w:t>
            </w:r>
          </w:p>
        </w:tc>
      </w:tr>
      <w:tr>
        <w:trPr>
          <w:trHeight w:val="229"/>
        </w:trPr>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2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93,029</w:t>
            </w:r>
          </w:p>
        </w:tc>
        <w:tc>
          <w:tcPr>
            <w:tcW w:w="4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146,032</w:t>
            </w:r>
          </w:p>
        </w:tc>
        <w:tc>
          <w:tcPr>
            <w:tcW w:w="4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391,845</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436,217</w:t>
            </w:r>
          </w:p>
        </w:tc>
      </w:tr>
      <w:tr>
        <w:trPr>
          <w:trHeight w:val="230"/>
        </w:trPr>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Transaction and integration related</w:t>
            </w:r>
          </w:p>
        </w:tc>
        <w:tc>
          <w:tcPr>
            <w:tcW w:w="52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7,856</w:t>
            </w:r>
          </w:p>
        </w:tc>
        <w:tc>
          <w:tcPr>
            <w:tcW w:w="4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10,433</w:t>
            </w:r>
          </w:p>
        </w:tc>
        <w:tc>
          <w:tcPr>
            <w:tcW w:w="4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21,667</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34,516</w:t>
            </w:r>
          </w:p>
        </w:tc>
      </w:tr>
      <w:tr>
        <w:trPr>
          <w:trHeight w:val="234"/>
        </w:trPr>
        <w:tc>
          <w:tcPr>
            <w:tcW w:w="35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Restructuring</w:t>
            </w:r>
          </w:p>
        </w:tc>
        <w:tc>
          <w:tcPr>
            <w:tcW w:w="5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45,789</w:t>
            </w:r>
          </w:p>
        </w:tc>
        <w:tc>
          <w:tcPr>
            <w:tcW w:w="4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45,390</w:t>
            </w:r>
          </w:p>
        </w:tc>
      </w:tr>
      <w:tr>
        <w:trPr>
          <w:trHeight w:val="223"/>
        </w:trPr>
        <w:tc>
          <w:tcPr>
            <w:tcW w:w="35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5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1,744,596</w:t>
            </w: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1,790,788</w:t>
            </w: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5,439,787</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5,363,344</w:t>
            </w:r>
          </w:p>
        </w:tc>
      </w:tr>
      <w:tr>
        <w:trPr>
          <w:trHeight w:val="475"/>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520" w:type="dxa"/>
            <w:vAlign w:val="bottom"/>
          </w:tcPr>
          <w:p>
            <w:pPr>
              <w:spacing w:after="0"/>
              <w:rPr>
                <w:sz w:val="24"/>
                <w:szCs w:val="24"/>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285,434</w:t>
            </w:r>
          </w:p>
        </w:tc>
        <w:tc>
          <w:tcPr>
            <w:tcW w:w="440" w:type="dxa"/>
            <w:vAlign w:val="bottom"/>
          </w:tcPr>
          <w:p>
            <w:pPr>
              <w:spacing w:after="0"/>
              <w:rPr>
                <w:sz w:val="24"/>
                <w:szCs w:val="24"/>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264,311</w:t>
            </w:r>
          </w:p>
        </w:tc>
        <w:tc>
          <w:tcPr>
            <w:tcW w:w="440" w:type="dxa"/>
            <w:vAlign w:val="bottom"/>
          </w:tcPr>
          <w:p>
            <w:pPr>
              <w:spacing w:after="0"/>
              <w:rPr>
                <w:sz w:val="24"/>
                <w:szCs w:val="24"/>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800,788</w:t>
            </w:r>
          </w:p>
        </w:tc>
        <w:tc>
          <w:tcPr>
            <w:tcW w:w="4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690,584</w:t>
            </w:r>
          </w:p>
        </w:tc>
      </w:tr>
      <w:tr>
        <w:trPr>
          <w:trHeight w:val="229"/>
        </w:trPr>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52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2,434</w:t>
            </w:r>
          </w:p>
        </w:tc>
        <w:tc>
          <w:tcPr>
            <w:tcW w:w="4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1,273</w:t>
            </w:r>
          </w:p>
        </w:tc>
        <w:tc>
          <w:tcPr>
            <w:tcW w:w="4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5,601</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3,294</w:t>
            </w:r>
          </w:p>
        </w:tc>
      </w:tr>
      <w:tr>
        <w:trPr>
          <w:trHeight w:val="234"/>
        </w:trPr>
        <w:tc>
          <w:tcPr>
            <w:tcW w:w="35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5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(53,303)</w:t>
            </w: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(83,908)</w:t>
            </w: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(185,808)</w:t>
            </w:r>
          </w:p>
        </w:tc>
        <w:tc>
          <w:tcPr>
            <w:tcW w:w="4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(255,665)</w:t>
            </w:r>
          </w:p>
        </w:tc>
      </w:tr>
      <w:tr>
        <w:trPr>
          <w:trHeight w:val="475"/>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520" w:type="dxa"/>
            <w:vAlign w:val="bottom"/>
          </w:tcPr>
          <w:p>
            <w:pPr>
              <w:spacing w:after="0"/>
              <w:rPr>
                <w:sz w:val="24"/>
                <w:szCs w:val="24"/>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234,565</w:t>
            </w:r>
          </w:p>
        </w:tc>
        <w:tc>
          <w:tcPr>
            <w:tcW w:w="440" w:type="dxa"/>
            <w:vAlign w:val="bottom"/>
          </w:tcPr>
          <w:p>
            <w:pPr>
              <w:spacing w:after="0"/>
              <w:rPr>
                <w:sz w:val="24"/>
                <w:szCs w:val="24"/>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181,676</w:t>
            </w:r>
          </w:p>
        </w:tc>
        <w:tc>
          <w:tcPr>
            <w:tcW w:w="440" w:type="dxa"/>
            <w:vAlign w:val="bottom"/>
          </w:tcPr>
          <w:p>
            <w:pPr>
              <w:spacing w:after="0"/>
              <w:rPr>
                <w:sz w:val="24"/>
                <w:szCs w:val="24"/>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620,581</w:t>
            </w:r>
          </w:p>
        </w:tc>
        <w:tc>
          <w:tcPr>
            <w:tcW w:w="4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438,213</w:t>
            </w:r>
          </w:p>
        </w:tc>
      </w:tr>
      <w:tr>
        <w:trPr>
          <w:trHeight w:val="234"/>
        </w:trPr>
        <w:tc>
          <w:tcPr>
            <w:tcW w:w="35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Income tax expense</w:t>
            </w:r>
          </w:p>
        </w:tc>
        <w:tc>
          <w:tcPr>
            <w:tcW w:w="5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(37,437)</w:t>
            </w: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(18,011)</w:t>
            </w: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(89,105)</w:t>
            </w:r>
          </w:p>
        </w:tc>
        <w:tc>
          <w:tcPr>
            <w:tcW w:w="4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(41,913)</w:t>
            </w:r>
          </w:p>
        </w:tc>
      </w:tr>
      <w:tr>
        <w:trPr>
          <w:trHeight w:val="4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share of losses from equity</w:t>
            </w:r>
          </w:p>
        </w:tc>
        <w:tc>
          <w:tcPr>
            <w:tcW w:w="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 investments</w:t>
            </w:r>
          </w:p>
        </w:tc>
        <w:tc>
          <w:tcPr>
            <w:tcW w:w="52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197,128</w:t>
            </w:r>
          </w:p>
        </w:tc>
        <w:tc>
          <w:tcPr>
            <w:tcW w:w="4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163,665</w:t>
            </w:r>
          </w:p>
        </w:tc>
        <w:tc>
          <w:tcPr>
            <w:tcW w:w="4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531,476</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396,300</w:t>
            </w:r>
          </w:p>
        </w:tc>
      </w:tr>
      <w:tr>
        <w:trPr>
          <w:trHeight w:val="189"/>
        </w:trPr>
        <w:tc>
          <w:tcPr>
            <w:tcW w:w="350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Share of losses from equity method</w:t>
            </w:r>
          </w:p>
        </w:tc>
        <w:tc>
          <w:tcPr>
            <w:tcW w:w="5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34"/>
        </w:trPr>
        <w:tc>
          <w:tcPr>
            <w:tcW w:w="35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investments</w:t>
            </w:r>
          </w:p>
        </w:tc>
        <w:tc>
          <w:tcPr>
            <w:tcW w:w="5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23"/>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5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197,128</w:t>
            </w:r>
          </w:p>
        </w:tc>
        <w:tc>
          <w:tcPr>
            <w:tcW w:w="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163,665</w:t>
            </w:r>
          </w:p>
        </w:tc>
        <w:tc>
          <w:tcPr>
            <w:tcW w:w="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531,476</w:t>
            </w:r>
          </w:p>
        </w:tc>
        <w:tc>
          <w:tcPr>
            <w:tcW w:w="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395,917</w:t>
            </w:r>
          </w:p>
        </w:tc>
      </w:tr>
      <w:tr>
        <w:trPr>
          <w:trHeight w:val="20"/>
        </w:trPr>
        <w:tc>
          <w:tcPr>
            <w:tcW w:w="3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466"/>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Ordinary Share:</w:t>
            </w:r>
          </w:p>
        </w:tc>
        <w:tc>
          <w:tcPr>
            <w:tcW w:w="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95"/>
        </w:trPr>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2.38</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1.99</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6.43</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r>
      <w:tr>
        <w:trPr>
          <w:trHeight w:val="234"/>
        </w:trPr>
        <w:tc>
          <w:tcPr>
            <w:tcW w:w="35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5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2.36</w:t>
            </w:r>
          </w:p>
        </w:tc>
        <w:tc>
          <w:tcPr>
            <w:tcW w:w="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1.97</w:t>
            </w:r>
          </w:p>
        </w:tc>
        <w:tc>
          <w:tcPr>
            <w:tcW w:w="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6.38</w:t>
            </w:r>
          </w:p>
        </w:tc>
        <w:tc>
          <w:tcPr>
            <w:tcW w:w="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0"/>
        </w:trPr>
        <w:tc>
          <w:tcPr>
            <w:tcW w:w="3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421"/>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Ordinary Shares</w:t>
            </w:r>
          </w:p>
        </w:tc>
        <w:tc>
          <w:tcPr>
            <w:tcW w:w="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5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95"/>
        </w:trPr>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520" w:type="dxa"/>
            <w:vAlign w:val="bottom"/>
          </w:tcPr>
          <w:p>
            <w:pPr>
              <w:spacing w:after="0"/>
              <w:rPr>
                <w:sz w:val="24"/>
                <w:szCs w:val="24"/>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82,831,300</w:t>
            </w:r>
          </w:p>
        </w:tc>
        <w:tc>
          <w:tcPr>
            <w:tcW w:w="440" w:type="dxa"/>
            <w:vAlign w:val="bottom"/>
          </w:tcPr>
          <w:p>
            <w:pPr>
              <w:spacing w:after="0"/>
              <w:rPr>
                <w:sz w:val="24"/>
                <w:szCs w:val="24"/>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82,215,627</w:t>
            </w:r>
          </w:p>
        </w:tc>
        <w:tc>
          <w:tcPr>
            <w:tcW w:w="440" w:type="dxa"/>
            <w:vAlign w:val="bottom"/>
          </w:tcPr>
          <w:p>
            <w:pPr>
              <w:spacing w:after="0"/>
              <w:rPr>
                <w:sz w:val="24"/>
                <w:szCs w:val="24"/>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82,716,842</w:t>
            </w:r>
          </w:p>
        </w:tc>
        <w:tc>
          <w:tcPr>
            <w:tcW w:w="4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82,001,500</w:t>
            </w:r>
          </w:p>
        </w:tc>
      </w:tr>
      <w:tr>
        <w:trPr>
          <w:trHeight w:val="234"/>
        </w:trPr>
        <w:tc>
          <w:tcPr>
            <w:tcW w:w="35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5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83,445,827</w:t>
            </w: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82,972,888</w:t>
            </w: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83,305,441</w:t>
            </w:r>
          </w:p>
        </w:tc>
        <w:tc>
          <w:tcPr>
            <w:tcW w:w="4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82,737,073</w:t>
            </w:r>
          </w:p>
        </w:tc>
      </w:tr>
      <w:tr>
        <w:trPr>
          <w:trHeight w:val="20"/>
        </w:trPr>
        <w:tc>
          <w:tcPr>
            <w:tcW w:w="3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060"/>
          </w:cols>
          <w:pgMar w:left="400" w:top="1015" w:right="4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ICON plc</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AS AT SEPTEMBER 30, 2024 AND DECEMBER 31, 2023</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4"/>
        </w:trPr>
        <w:tc>
          <w:tcPr>
            <w:tcW w:w="68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0" w:type="dxa"/>
            <w:vAlign w:val="bottom"/>
          </w:tcPr>
          <w:p>
            <w:pPr>
              <w:spacing w:after="0"/>
              <w:rPr>
                <w:sz w:val="20"/>
                <w:szCs w:val="20"/>
                <w:color w:val="auto"/>
              </w:rPr>
            </w:pPr>
          </w:p>
        </w:tc>
        <w:tc>
          <w:tcPr>
            <w:tcW w:w="2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0" w:type="dxa"/>
            <w:vAlign w:val="bottom"/>
          </w:tcPr>
          <w:p>
            <w:pPr>
              <w:spacing w:after="0"/>
              <w:rPr>
                <w:sz w:val="20"/>
                <w:szCs w:val="20"/>
                <w:color w:val="auto"/>
              </w:rPr>
            </w:pPr>
          </w:p>
        </w:tc>
      </w:t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0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695,507</w:t>
            </w:r>
          </w:p>
        </w:tc>
        <w:tc>
          <w:tcPr>
            <w:tcW w:w="6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378,102</w:t>
            </w:r>
          </w:p>
        </w:tc>
      </w:tr>
      <w:tr>
        <w:trPr>
          <w:trHeight w:val="229"/>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Available for sale investments</w:t>
            </w:r>
          </w:p>
        </w:tc>
        <w:tc>
          <w:tcPr>
            <w:tcW w:w="100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w:t>
            </w:r>
          </w:p>
        </w:tc>
      </w:tr>
      <w:tr>
        <w:trPr>
          <w:trHeight w:val="230"/>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 of allowance for credit losses</w:t>
            </w:r>
          </w:p>
        </w:tc>
        <w:tc>
          <w:tcPr>
            <w:tcW w:w="100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1,396,080</w:t>
            </w: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1,790,322</w:t>
            </w:r>
          </w:p>
        </w:tc>
      </w:tr>
      <w:tr>
        <w:trPr>
          <w:trHeight w:val="229"/>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Unbilled revenue</w:t>
            </w:r>
          </w:p>
        </w:tc>
        <w:tc>
          <w:tcPr>
            <w:tcW w:w="100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1,361,198</w:t>
            </w: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951,936</w:t>
            </w:r>
          </w:p>
        </w:tc>
      </w:tr>
      <w:tr>
        <w:trPr>
          <w:trHeight w:val="229"/>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receivables</w:t>
            </w:r>
          </w:p>
        </w:tc>
        <w:tc>
          <w:tcPr>
            <w:tcW w:w="100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82,760</w:t>
            </w: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65,797</w:t>
            </w:r>
          </w:p>
        </w:tc>
      </w:tr>
      <w:tr>
        <w:trPr>
          <w:trHeight w:val="230"/>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00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140,536</w:t>
            </w: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132,105</w:t>
            </w:r>
          </w:p>
        </w:tc>
      </w:tr>
      <w:tr>
        <w:trPr>
          <w:trHeight w:val="234"/>
        </w:trPr>
        <w:tc>
          <w:tcPr>
            <w:tcW w:w="68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Income taxes receivable</w:t>
            </w:r>
          </w:p>
        </w:tc>
        <w:tc>
          <w:tcPr>
            <w:tcW w:w="10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102,931</w:t>
            </w:r>
          </w:p>
        </w:tc>
        <w:tc>
          <w:tcPr>
            <w:tcW w:w="6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91,254</w:t>
            </w:r>
          </w:p>
        </w:tc>
      </w:tr>
      <w:tr>
        <w:trPr>
          <w:trHeight w:val="228"/>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3,779,012</w:t>
            </w:r>
          </w:p>
        </w:tc>
        <w:tc>
          <w:tcPr>
            <w:tcW w:w="6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3,411,470</w:t>
            </w:r>
          </w:p>
        </w:tc>
      </w:tr>
      <w:tr>
        <w:trPr>
          <w:trHeight w:val="43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0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0"/>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00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365,726</w:t>
            </w: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361,184</w:t>
            </w:r>
          </w:p>
        </w:tc>
      </w:tr>
      <w:tr>
        <w:trPr>
          <w:trHeight w:val="229"/>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100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9,085,447</w:t>
            </w: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9,022,075</w:t>
            </w:r>
          </w:p>
        </w:tc>
      </w:tr>
      <w:tr>
        <w:trPr>
          <w:trHeight w:val="230"/>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Intangible assets</w:t>
            </w:r>
          </w:p>
        </w:tc>
        <w:tc>
          <w:tcPr>
            <w:tcW w:w="100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3,605,814</w:t>
            </w: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3,855,865</w:t>
            </w:r>
          </w:p>
        </w:tc>
      </w:tr>
      <w:tr>
        <w:trPr>
          <w:trHeight w:val="229"/>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100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156,955</w:t>
            </w: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140,333</w:t>
            </w:r>
          </w:p>
        </w:tc>
      </w:tr>
      <w:tr>
        <w:trPr>
          <w:trHeight w:val="229"/>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receivables</w:t>
            </w:r>
          </w:p>
        </w:tc>
        <w:tc>
          <w:tcPr>
            <w:tcW w:w="100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88,445</w:t>
            </w: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78,470</w:t>
            </w:r>
          </w:p>
        </w:tc>
      </w:tr>
      <w:tr>
        <w:trPr>
          <w:trHeight w:val="230"/>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tax asset</w:t>
            </w:r>
          </w:p>
        </w:tc>
        <w:tc>
          <w:tcPr>
            <w:tcW w:w="100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75,993</w:t>
            </w: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73,662</w:t>
            </w:r>
          </w:p>
        </w:tc>
      </w:tr>
      <w:tr>
        <w:trPr>
          <w:trHeight w:val="234"/>
        </w:trPr>
        <w:tc>
          <w:tcPr>
            <w:tcW w:w="68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Investments in equity</w:t>
            </w:r>
          </w:p>
        </w:tc>
        <w:tc>
          <w:tcPr>
            <w:tcW w:w="10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53,720</w:t>
            </w:r>
          </w:p>
        </w:tc>
        <w:tc>
          <w:tcPr>
            <w:tcW w:w="6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46,804</w:t>
            </w:r>
          </w:p>
        </w:tc>
      </w:tr>
      <w:tr>
        <w:trPr>
          <w:trHeight w:val="223"/>
        </w:trPr>
        <w:tc>
          <w:tcPr>
            <w:tcW w:w="6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17,211,112</w:t>
            </w:r>
          </w:p>
        </w:tc>
        <w:tc>
          <w:tcPr>
            <w:tcW w:w="6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16,989,863</w:t>
            </w:r>
          </w:p>
        </w:tc>
      </w:tr>
      <w:tr>
        <w:trPr>
          <w:trHeight w:val="20"/>
        </w:trPr>
        <w:tc>
          <w:tcPr>
            <w:tcW w:w="68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07"/>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0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0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106,172</w:t>
            </w:r>
          </w:p>
        </w:tc>
        <w:tc>
          <w:tcPr>
            <w:tcW w:w="6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131,584</w:t>
            </w:r>
          </w:p>
        </w:tc>
      </w:tr>
      <w:tr>
        <w:trPr>
          <w:trHeight w:val="229"/>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Unearned revenue</w:t>
            </w:r>
          </w:p>
        </w:tc>
        <w:tc>
          <w:tcPr>
            <w:tcW w:w="100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1,585,257</w:t>
            </w: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1,654,507</w:t>
            </w:r>
          </w:p>
        </w:tc>
      </w:tr>
      <w:tr>
        <w:trPr>
          <w:trHeight w:val="230"/>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liabilities</w:t>
            </w:r>
          </w:p>
        </w:tc>
        <w:tc>
          <w:tcPr>
            <w:tcW w:w="100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1,045,134</w:t>
            </w: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915,399</w:t>
            </w:r>
          </w:p>
        </w:tc>
      </w:tr>
      <w:tr>
        <w:trPr>
          <w:trHeight w:val="230"/>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100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52,585</w:t>
            </w: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13,968</w:t>
            </w:r>
          </w:p>
        </w:tc>
      </w:tr>
      <w:tr>
        <w:trPr>
          <w:trHeight w:val="234"/>
        </w:trPr>
        <w:tc>
          <w:tcPr>
            <w:tcW w:w="68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Current bank credit lines, loan facilities and notes</w:t>
            </w:r>
          </w:p>
        </w:tc>
        <w:tc>
          <w:tcPr>
            <w:tcW w:w="10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29,762</w:t>
            </w:r>
          </w:p>
        </w:tc>
        <w:tc>
          <w:tcPr>
            <w:tcW w:w="6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110,150</w:t>
            </w:r>
          </w:p>
        </w:tc>
      </w:tr>
      <w:tr>
        <w:trPr>
          <w:trHeight w:val="228"/>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2,818,910</w:t>
            </w:r>
          </w:p>
        </w:tc>
        <w:tc>
          <w:tcPr>
            <w:tcW w:w="6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2,825,608</w:t>
            </w:r>
          </w:p>
        </w:tc>
      </w:tr>
      <w:tr>
        <w:trPr>
          <w:trHeight w:val="43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0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0"/>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Non-current bank credit lines, loan facilities and notes</w:t>
            </w:r>
          </w:p>
        </w:tc>
        <w:tc>
          <w:tcPr>
            <w:tcW w:w="100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3,402,368</w:t>
            </w: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3,665,439</w:t>
            </w:r>
          </w:p>
        </w:tc>
      </w:tr>
      <w:tr>
        <w:trPr>
          <w:trHeight w:val="229"/>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 liabilities</w:t>
            </w:r>
          </w:p>
        </w:tc>
        <w:tc>
          <w:tcPr>
            <w:tcW w:w="100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145,714</w:t>
            </w: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126,321</w:t>
            </w:r>
          </w:p>
        </w:tc>
      </w:tr>
      <w:tr>
        <w:trPr>
          <w:trHeight w:val="230"/>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Non-current other liabilities</w:t>
            </w:r>
          </w:p>
        </w:tc>
        <w:tc>
          <w:tcPr>
            <w:tcW w:w="100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50,157</w:t>
            </w: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45,998</w:t>
            </w:r>
          </w:p>
        </w:tc>
      </w:tr>
      <w:tr>
        <w:trPr>
          <w:trHeight w:val="230"/>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Non-current income taxes payable</w:t>
            </w:r>
          </w:p>
        </w:tc>
        <w:tc>
          <w:tcPr>
            <w:tcW w:w="100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201,135</w:t>
            </w: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186,654</w:t>
            </w:r>
          </w:p>
        </w:tc>
      </w:tr>
      <w:tr>
        <w:trPr>
          <w:trHeight w:val="230"/>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tax liability</w:t>
            </w:r>
          </w:p>
        </w:tc>
        <w:tc>
          <w:tcPr>
            <w:tcW w:w="100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818,329</w:t>
            </w: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899,100</w:t>
            </w:r>
          </w:p>
        </w:tc>
      </w:tr>
      <w:tr>
        <w:trPr>
          <w:trHeight w:val="234"/>
        </w:trPr>
        <w:tc>
          <w:tcPr>
            <w:tcW w:w="68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8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7,436,613</w:t>
            </w:r>
          </w:p>
        </w:tc>
        <w:tc>
          <w:tcPr>
            <w:tcW w:w="6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7,749,120</w:t>
            </w:r>
          </w:p>
        </w:tc>
      </w:tr>
      <w:tr>
        <w:trPr>
          <w:trHeight w:val="421"/>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10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0"/>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Ordinary shares, par value 6 euro cents per share; 100,000,000 shares authorized,</w:t>
            </w:r>
          </w:p>
        </w:tc>
        <w:tc>
          <w:tcPr>
            <w:tcW w:w="10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82,559,366 shares issued and outstanding at September 30, 2024 and</w:t>
            </w:r>
          </w:p>
        </w:tc>
        <w:tc>
          <w:tcPr>
            <w:tcW w:w="10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189"/>
        </w:trPr>
        <w:tc>
          <w:tcPr>
            <w:tcW w:w="680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82,495,086 shares issued and outstanding at December 31, 2023</w:t>
            </w:r>
          </w:p>
        </w:tc>
        <w:tc>
          <w:tcPr>
            <w:tcW w:w="1000" w:type="dxa"/>
            <w:vAlign w:val="bottom"/>
          </w:tcPr>
          <w:p>
            <w:pPr>
              <w:spacing w:after="0"/>
              <w:rPr>
                <w:sz w:val="16"/>
                <w:szCs w:val="16"/>
                <w:color w:val="auto"/>
              </w:rPr>
            </w:pPr>
          </w:p>
        </w:tc>
        <w:tc>
          <w:tcPr>
            <w:tcW w:w="14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6,703</w:t>
            </w:r>
          </w:p>
        </w:tc>
        <w:tc>
          <w:tcPr>
            <w:tcW w:w="6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6,699</w:t>
            </w:r>
          </w:p>
        </w:tc>
      </w:tr>
      <w:tr>
        <w:trPr>
          <w:trHeight w:val="270"/>
        </w:trPr>
        <w:tc>
          <w:tcPr>
            <w:tcW w:w="6800" w:type="dxa"/>
            <w:vAlign w:val="bottom"/>
          </w:tcPr>
          <w:p>
            <w:pPr>
              <w:ind w:left="340"/>
              <w:spacing w:after="0" w:line="207" w:lineRule="exact"/>
              <w:rPr>
                <w:sz w:val="20"/>
                <w:szCs w:val="20"/>
                <w:color w:val="auto"/>
              </w:rPr>
            </w:pPr>
            <w:r>
              <w:rPr>
                <w:rFonts w:ascii="Times New Roman" w:cs="Times New Roman" w:eastAsia="Times New Roman" w:hAnsi="Times New Roman"/>
                <w:sz w:val="18"/>
                <w:szCs w:val="18"/>
                <w:color w:val="auto"/>
              </w:rPr>
              <w:t>Additional paid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capital</w:t>
            </w:r>
          </w:p>
        </w:tc>
        <w:tc>
          <w:tcPr>
            <w:tcW w:w="100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7,011,547</w:t>
            </w:r>
          </w:p>
        </w:tc>
        <w:tc>
          <w:tcPr>
            <w:tcW w:w="6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6,942,669</w:t>
            </w:r>
          </w:p>
        </w:tc>
      </w:tr>
      <w:tr>
        <w:trPr>
          <w:trHeight w:val="229"/>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undenominated capital</w:t>
            </w:r>
          </w:p>
        </w:tc>
        <w:tc>
          <w:tcPr>
            <w:tcW w:w="100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1,184</w:t>
            </w: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r>
      <w:tr>
        <w:trPr>
          <w:trHeight w:val="230"/>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(110,062)</w:t>
            </w: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(143,506)</w:t>
            </w:r>
          </w:p>
        </w:tc>
      </w:tr>
      <w:tr>
        <w:trPr>
          <w:trHeight w:val="234"/>
        </w:trPr>
        <w:tc>
          <w:tcPr>
            <w:tcW w:w="68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10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2,865,127</w:t>
            </w:r>
          </w:p>
        </w:tc>
        <w:tc>
          <w:tcPr>
            <w:tcW w:w="6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2,433,719</w:t>
            </w:r>
          </w:p>
        </w:tc>
      </w:tr>
      <w:tr>
        <w:trPr>
          <w:trHeight w:val="223"/>
        </w:trPr>
        <w:tc>
          <w:tcPr>
            <w:tcW w:w="68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9,774,499</w:t>
            </w:r>
          </w:p>
        </w:tc>
        <w:tc>
          <w:tcPr>
            <w:tcW w:w="6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9,240,743</w:t>
            </w:r>
          </w:p>
        </w:tc>
      </w:tr>
      <w:tr>
        <w:trPr>
          <w:trHeight w:val="223"/>
        </w:trPr>
        <w:tc>
          <w:tcPr>
            <w:tcW w:w="6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17,211,112</w:t>
            </w:r>
          </w:p>
        </w:tc>
        <w:tc>
          <w:tcPr>
            <w:tcW w:w="6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16,989,863</w:t>
            </w:r>
          </w:p>
        </w:tc>
      </w:tr>
      <w:tr>
        <w:trPr>
          <w:trHeight w:val="21"/>
        </w:trPr>
        <w:tc>
          <w:tcPr>
            <w:tcW w:w="68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140"/>
          </w:cols>
          <w:pgMar w:left="380" w:top="1015" w:right="379" w:bottom="1440" w:gutter="0" w:footer="0" w:header="0"/>
        </w:sectPr>
      </w:pPr>
    </w:p>
    <w:bookmarkStart w:id="7" w:name="page8"/>
    <w:bookmarkEnd w:id="7"/>
    <w:p>
      <w:pPr>
        <w:ind w:left="5280"/>
        <w:spacing w:after="0"/>
        <w:rPr>
          <w:sz w:val="20"/>
          <w:szCs w:val="20"/>
          <w:color w:val="auto"/>
        </w:rPr>
      </w:pPr>
      <w:r>
        <w:rPr>
          <w:rFonts w:ascii="Times New Roman" w:cs="Times New Roman" w:eastAsia="Times New Roman" w:hAnsi="Times New Roman"/>
          <w:sz w:val="16"/>
          <w:szCs w:val="16"/>
          <w:b w:val="1"/>
          <w:bCs w:val="1"/>
          <w:color w:val="auto"/>
        </w:rPr>
        <w:t>ICON plc</w:t>
      </w:r>
    </w:p>
    <w:p>
      <w:pPr>
        <w:spacing w:after="0" w:line="2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 2024 AND SEPTEMBER 30, 2023</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20" w:type="dxa"/>
            <w:vAlign w:val="bottom"/>
            <w:gridSpan w:val="3"/>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84"/>
        </w:trPr>
        <w:tc>
          <w:tcPr>
            <w:tcW w:w="7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2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420" w:type="dxa"/>
            <w:vAlign w:val="bottom"/>
          </w:tcPr>
          <w:p>
            <w:pPr>
              <w:spacing w:after="0"/>
              <w:rPr>
                <w:sz w:val="16"/>
                <w:szCs w:val="16"/>
                <w:color w:val="auto"/>
              </w:rPr>
            </w:pPr>
          </w:p>
        </w:tc>
        <w:tc>
          <w:tcPr>
            <w:tcW w:w="13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4"/>
        </w:trPr>
        <w:tc>
          <w:tcPr>
            <w:tcW w:w="7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38"/>
        </w:trPr>
        <w:tc>
          <w:tcPr>
            <w:tcW w:w="70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Cash flows provided by operating activities:</w:t>
            </w:r>
          </w:p>
        </w:tc>
        <w:tc>
          <w:tcPr>
            <w:tcW w:w="980" w:type="dxa"/>
            <w:vAlign w:val="bottom"/>
          </w:tcPr>
          <w:p>
            <w:pPr>
              <w:spacing w:after="0"/>
              <w:rPr>
                <w:sz w:val="20"/>
                <w:szCs w:val="20"/>
                <w:color w:val="auto"/>
              </w:rPr>
            </w:pPr>
          </w:p>
        </w:tc>
        <w:tc>
          <w:tcPr>
            <w:tcW w:w="3220" w:type="dxa"/>
            <w:vAlign w:val="bottom"/>
            <w:gridSpan w:val="3"/>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25"/>
        </w:trPr>
        <w:tc>
          <w:tcPr>
            <w:tcW w:w="7020" w:type="dxa"/>
            <w:vAlign w:val="bottom"/>
            <w:vMerge w:val="continue"/>
          </w:tcPr>
          <w:p>
            <w:pPr>
              <w:spacing w:after="0"/>
              <w:rPr>
                <w:sz w:val="19"/>
                <w:szCs w:val="19"/>
                <w:color w:val="auto"/>
              </w:rPr>
            </w:pPr>
          </w:p>
        </w:tc>
        <w:tc>
          <w:tcPr>
            <w:tcW w:w="9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531,476</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395,917</w:t>
            </w:r>
          </w:p>
        </w:tc>
        <w:tc>
          <w:tcPr>
            <w:tcW w:w="0" w:type="dxa"/>
            <w:vAlign w:val="bottom"/>
          </w:tcPr>
          <w:p>
            <w:pPr>
              <w:spacing w:after="0"/>
              <w:rPr>
                <w:sz w:val="1"/>
                <w:szCs w:val="1"/>
                <w:color w:val="auto"/>
              </w:rPr>
            </w:pPr>
          </w:p>
        </w:tc>
      </w:tr>
      <w:tr>
        <w:trPr>
          <w:trHeight w:val="495"/>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98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391,845</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436,217</w:t>
            </w:r>
          </w:p>
        </w:tc>
        <w:tc>
          <w:tcPr>
            <w:tcW w:w="0" w:type="dxa"/>
            <w:vAlign w:val="bottom"/>
          </w:tcPr>
          <w:p>
            <w:pPr>
              <w:spacing w:after="0"/>
              <w:rPr>
                <w:sz w:val="1"/>
                <w:szCs w:val="1"/>
                <w:color w:val="auto"/>
              </w:rPr>
            </w:pPr>
          </w:p>
        </w:tc>
      </w:tr>
      <w:tr>
        <w:trPr>
          <w:trHeight w:val="229"/>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Impairment of operating right-of-use assets and related property, plant and equipment</w:t>
            </w:r>
          </w:p>
        </w:tc>
        <w:tc>
          <w:tcPr>
            <w:tcW w:w="98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12,559</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8,845</w:t>
            </w:r>
          </w:p>
        </w:tc>
        <w:tc>
          <w:tcPr>
            <w:tcW w:w="0" w:type="dxa"/>
            <w:vAlign w:val="bottom"/>
          </w:tcPr>
          <w:p>
            <w:pPr>
              <w:spacing w:after="0"/>
              <w:rPr>
                <w:sz w:val="1"/>
                <w:szCs w:val="1"/>
                <w:color w:val="auto"/>
              </w:rPr>
            </w:pPr>
          </w:p>
        </w:tc>
      </w:tr>
      <w:tr>
        <w:trPr>
          <w:trHeight w:val="229"/>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Reduction in carrying value of operating right-of-use assets</w:t>
            </w:r>
          </w:p>
        </w:tc>
        <w:tc>
          <w:tcPr>
            <w:tcW w:w="98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29,820</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33,979</w:t>
            </w:r>
          </w:p>
        </w:tc>
        <w:tc>
          <w:tcPr>
            <w:tcW w:w="0" w:type="dxa"/>
            <w:vAlign w:val="bottom"/>
          </w:tcPr>
          <w:p>
            <w:pPr>
              <w:spacing w:after="0"/>
              <w:rPr>
                <w:sz w:val="1"/>
                <w:szCs w:val="1"/>
                <w:color w:val="auto"/>
              </w:rPr>
            </w:pPr>
          </w:p>
        </w:tc>
      </w:tr>
      <w:tr>
        <w:trPr>
          <w:trHeight w:val="230"/>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on equity method investments</w:t>
            </w:r>
          </w:p>
        </w:tc>
        <w:tc>
          <w:tcPr>
            <w:tcW w:w="98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29"/>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Acquisition-related gain</w:t>
            </w:r>
          </w:p>
        </w:tc>
        <w:tc>
          <w:tcPr>
            <w:tcW w:w="98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(6,160)</w:t>
            </w:r>
          </w:p>
        </w:tc>
        <w:tc>
          <w:tcPr>
            <w:tcW w:w="0" w:type="dxa"/>
            <w:vAlign w:val="bottom"/>
          </w:tcPr>
          <w:p>
            <w:pPr>
              <w:spacing w:after="0"/>
              <w:rPr>
                <w:sz w:val="1"/>
                <w:szCs w:val="1"/>
                <w:color w:val="auto"/>
              </w:rPr>
            </w:pPr>
          </w:p>
        </w:tc>
      </w:tr>
      <w:tr>
        <w:trPr>
          <w:trHeight w:val="230"/>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of financing costs and debt discount</w:t>
            </w:r>
          </w:p>
        </w:tc>
        <w:tc>
          <w:tcPr>
            <w:tcW w:w="98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22,066</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12,485</w:t>
            </w:r>
          </w:p>
        </w:tc>
        <w:tc>
          <w:tcPr>
            <w:tcW w:w="0" w:type="dxa"/>
            <w:vAlign w:val="bottom"/>
          </w:tcPr>
          <w:p>
            <w:pPr>
              <w:spacing w:after="0"/>
              <w:rPr>
                <w:sz w:val="1"/>
                <w:szCs w:val="1"/>
                <w:color w:val="auto"/>
              </w:rPr>
            </w:pPr>
          </w:p>
        </w:tc>
      </w:tr>
      <w:tr>
        <w:trPr>
          <w:trHeight w:val="229"/>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98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41,183</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47,303</w:t>
            </w:r>
          </w:p>
        </w:tc>
        <w:tc>
          <w:tcPr>
            <w:tcW w:w="0" w:type="dxa"/>
            <w:vAlign w:val="bottom"/>
          </w:tcPr>
          <w:p>
            <w:pPr>
              <w:spacing w:after="0"/>
              <w:rPr>
                <w:sz w:val="1"/>
                <w:szCs w:val="1"/>
                <w:color w:val="auto"/>
              </w:rPr>
            </w:pPr>
          </w:p>
        </w:tc>
      </w:tr>
      <w:tr>
        <w:trPr>
          <w:trHeight w:val="229"/>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tax benefit</w:t>
            </w:r>
          </w:p>
        </w:tc>
        <w:tc>
          <w:tcPr>
            <w:tcW w:w="9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(86,579)</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(114,487)</w:t>
            </w:r>
          </w:p>
        </w:tc>
        <w:tc>
          <w:tcPr>
            <w:tcW w:w="0" w:type="dxa"/>
            <w:vAlign w:val="bottom"/>
          </w:tcPr>
          <w:p>
            <w:pPr>
              <w:spacing w:after="0"/>
              <w:rPr>
                <w:sz w:val="1"/>
                <w:szCs w:val="1"/>
                <w:color w:val="auto"/>
              </w:rPr>
            </w:pPr>
          </w:p>
        </w:tc>
      </w:tr>
      <w:tr>
        <w:trPr>
          <w:trHeight w:val="230"/>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Unrealized foreign exchange movements</w:t>
            </w:r>
          </w:p>
        </w:tc>
        <w:tc>
          <w:tcPr>
            <w:tcW w:w="98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34,018</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(7,670)</w:t>
            </w:r>
          </w:p>
        </w:tc>
        <w:tc>
          <w:tcPr>
            <w:tcW w:w="0" w:type="dxa"/>
            <w:vAlign w:val="bottom"/>
          </w:tcPr>
          <w:p>
            <w:pPr>
              <w:spacing w:after="0"/>
              <w:rPr>
                <w:sz w:val="1"/>
                <w:szCs w:val="1"/>
                <w:color w:val="auto"/>
              </w:rPr>
            </w:pPr>
          </w:p>
        </w:tc>
      </w:tr>
      <w:tr>
        <w:trPr>
          <w:trHeight w:val="229"/>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non-cash items</w:t>
            </w:r>
          </w:p>
        </w:tc>
        <w:tc>
          <w:tcPr>
            <w:tcW w:w="98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26,828</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21,966</w:t>
            </w:r>
          </w:p>
        </w:tc>
        <w:tc>
          <w:tcPr>
            <w:tcW w:w="0" w:type="dxa"/>
            <w:vAlign w:val="bottom"/>
          </w:tcPr>
          <w:p>
            <w:pPr>
              <w:spacing w:after="0"/>
              <w:rPr>
                <w:sz w:val="1"/>
                <w:szCs w:val="1"/>
                <w:color w:val="auto"/>
              </w:rPr>
            </w:pPr>
          </w:p>
        </w:tc>
      </w:tr>
      <w:tr>
        <w:trPr>
          <w:trHeight w:val="229"/>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98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352,795</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(139,096)</w:t>
            </w:r>
          </w:p>
        </w:tc>
        <w:tc>
          <w:tcPr>
            <w:tcW w:w="0" w:type="dxa"/>
            <w:vAlign w:val="bottom"/>
          </w:tcPr>
          <w:p>
            <w:pPr>
              <w:spacing w:after="0"/>
              <w:rPr>
                <w:sz w:val="1"/>
                <w:szCs w:val="1"/>
                <w:color w:val="auto"/>
              </w:rPr>
            </w:pPr>
          </w:p>
        </w:tc>
      </w:tr>
      <w:tr>
        <w:trPr>
          <w:trHeight w:val="230"/>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Unbilled revenue</w:t>
            </w:r>
          </w:p>
        </w:tc>
        <w:tc>
          <w:tcPr>
            <w:tcW w:w="9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(423,533)</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14,370</w:t>
            </w:r>
          </w:p>
        </w:tc>
        <w:tc>
          <w:tcPr>
            <w:tcW w:w="0" w:type="dxa"/>
            <w:vAlign w:val="bottom"/>
          </w:tcPr>
          <w:p>
            <w:pPr>
              <w:spacing w:after="0"/>
              <w:rPr>
                <w:sz w:val="1"/>
                <w:szCs w:val="1"/>
                <w:color w:val="auto"/>
              </w:rPr>
            </w:pPr>
          </w:p>
        </w:tc>
      </w:tr>
      <w:tr>
        <w:trPr>
          <w:trHeight w:val="229"/>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Unearned revenue</w:t>
            </w:r>
          </w:p>
        </w:tc>
        <w:tc>
          <w:tcPr>
            <w:tcW w:w="9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(72,930)</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158,269</w:t>
            </w:r>
          </w:p>
        </w:tc>
        <w:tc>
          <w:tcPr>
            <w:tcW w:w="0" w:type="dxa"/>
            <w:vAlign w:val="bottom"/>
          </w:tcPr>
          <w:p>
            <w:pPr>
              <w:spacing w:after="0"/>
              <w:rPr>
                <w:sz w:val="1"/>
                <w:szCs w:val="1"/>
                <w:color w:val="auto"/>
              </w:rPr>
            </w:pPr>
          </w:p>
        </w:tc>
      </w:tr>
      <w:tr>
        <w:trPr>
          <w:trHeight w:val="234"/>
        </w:trPr>
        <w:tc>
          <w:tcPr>
            <w:tcW w:w="7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Other net assets</w:t>
            </w:r>
          </w:p>
        </w:tc>
        <w:tc>
          <w:tcPr>
            <w:tcW w:w="9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88,790</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(141,425)</w:t>
            </w:r>
          </w:p>
        </w:tc>
        <w:tc>
          <w:tcPr>
            <w:tcW w:w="0" w:type="dxa"/>
            <w:vAlign w:val="bottom"/>
          </w:tcPr>
          <w:p>
            <w:pPr>
              <w:spacing w:after="0"/>
              <w:rPr>
                <w:sz w:val="1"/>
                <w:szCs w:val="1"/>
                <w:color w:val="auto"/>
              </w:rPr>
            </w:pPr>
          </w:p>
        </w:tc>
      </w:tr>
      <w:tr>
        <w:trPr>
          <w:trHeight w:val="228"/>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8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948,338</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720,896</w:t>
            </w:r>
          </w:p>
        </w:tc>
        <w:tc>
          <w:tcPr>
            <w:tcW w:w="0" w:type="dxa"/>
            <w:vAlign w:val="bottom"/>
          </w:tcPr>
          <w:p>
            <w:pPr>
              <w:spacing w:after="0"/>
              <w:rPr>
                <w:sz w:val="1"/>
                <w:szCs w:val="1"/>
                <w:color w:val="auto"/>
              </w:rPr>
            </w:pPr>
          </w:p>
        </w:tc>
      </w:tr>
      <w:tr>
        <w:trPr>
          <w:trHeight w:val="49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Cash flows used in investing activities:</w:t>
            </w: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9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(106,772)</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(87,980)</w:t>
            </w:r>
          </w:p>
        </w:tc>
        <w:tc>
          <w:tcPr>
            <w:tcW w:w="0" w:type="dxa"/>
            <w:vAlign w:val="bottom"/>
          </w:tcPr>
          <w:p>
            <w:pPr>
              <w:spacing w:after="0"/>
              <w:rPr>
                <w:sz w:val="1"/>
                <w:szCs w:val="1"/>
                <w:color w:val="auto"/>
              </w:rPr>
            </w:pPr>
          </w:p>
        </w:tc>
      </w:tr>
      <w:tr>
        <w:trPr>
          <w:trHeight w:val="229"/>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 of subsidiary undertakings (net of cash acquired)</w:t>
            </w:r>
          </w:p>
        </w:tc>
        <w:tc>
          <w:tcPr>
            <w:tcW w:w="9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(85,629)</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0" w:type="dxa"/>
            <w:vAlign w:val="bottom"/>
          </w:tcPr>
          <w:p>
            <w:pPr>
              <w:spacing w:after="0"/>
              <w:rPr>
                <w:sz w:val="1"/>
                <w:szCs w:val="1"/>
                <w:color w:val="auto"/>
              </w:rPr>
            </w:pPr>
          </w:p>
        </w:tc>
      </w:tr>
      <w:tr>
        <w:trPr>
          <w:trHeight w:val="230"/>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Movement of available for sale investments</w:t>
            </w:r>
          </w:p>
        </w:tc>
        <w:tc>
          <w:tcPr>
            <w:tcW w:w="98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1,954</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30"/>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investments in equity</w:t>
            </w:r>
          </w:p>
        </w:tc>
        <w:tc>
          <w:tcPr>
            <w:tcW w:w="98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2,671</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Purchase of investments in equity</w:t>
            </w:r>
          </w:p>
        </w:tc>
        <w:tc>
          <w:tcPr>
            <w:tcW w:w="9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(10,131)</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(10,829)</w:t>
            </w:r>
          </w:p>
        </w:tc>
        <w:tc>
          <w:tcPr>
            <w:tcW w:w="0" w:type="dxa"/>
            <w:vAlign w:val="bottom"/>
          </w:tcPr>
          <w:p>
            <w:pPr>
              <w:spacing w:after="0"/>
              <w:rPr>
                <w:sz w:val="1"/>
                <w:szCs w:val="1"/>
                <w:color w:val="auto"/>
              </w:rPr>
            </w:pPr>
          </w:p>
        </w:tc>
      </w:tr>
      <w:tr>
        <w:trPr>
          <w:trHeight w:val="228"/>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(197,907)</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(104,150)</w:t>
            </w:r>
          </w:p>
        </w:tc>
        <w:tc>
          <w:tcPr>
            <w:tcW w:w="0" w:type="dxa"/>
            <w:vAlign w:val="bottom"/>
          </w:tcPr>
          <w:p>
            <w:pPr>
              <w:spacing w:after="0"/>
              <w:rPr>
                <w:sz w:val="1"/>
                <w:szCs w:val="1"/>
                <w:color w:val="auto"/>
              </w:rPr>
            </w:pPr>
          </w:p>
        </w:tc>
      </w:tr>
      <w:tr>
        <w:trPr>
          <w:trHeight w:val="49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Cash flows used in financing activities:</w:t>
            </w: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New Notes issue costs</w:t>
            </w:r>
          </w:p>
        </w:tc>
        <w:tc>
          <w:tcPr>
            <w:tcW w:w="9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(12,678)</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Drawdown of credit lines and loan facilities</w:t>
            </w:r>
          </w:p>
        </w:tc>
        <w:tc>
          <w:tcPr>
            <w:tcW w:w="98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2,242,480</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305,000</w:t>
            </w:r>
          </w:p>
        </w:tc>
        <w:tc>
          <w:tcPr>
            <w:tcW w:w="0" w:type="dxa"/>
            <w:vAlign w:val="bottom"/>
          </w:tcPr>
          <w:p>
            <w:pPr>
              <w:spacing w:after="0"/>
              <w:rPr>
                <w:sz w:val="1"/>
                <w:szCs w:val="1"/>
                <w:color w:val="auto"/>
              </w:rPr>
            </w:pPr>
          </w:p>
        </w:tc>
      </w:tr>
      <w:tr>
        <w:trPr>
          <w:trHeight w:val="230"/>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Repayment of credit lines and loan facilities</w:t>
            </w:r>
          </w:p>
        </w:tc>
        <w:tc>
          <w:tcPr>
            <w:tcW w:w="9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(2,595,323)</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(930,000)</w:t>
            </w:r>
          </w:p>
        </w:tc>
        <w:tc>
          <w:tcPr>
            <w:tcW w:w="0" w:type="dxa"/>
            <w:vAlign w:val="bottom"/>
          </w:tcPr>
          <w:p>
            <w:pPr>
              <w:spacing w:after="0"/>
              <w:rPr>
                <w:sz w:val="1"/>
                <w:szCs w:val="1"/>
                <w:color w:val="auto"/>
              </w:rPr>
            </w:pPr>
          </w:p>
        </w:tc>
      </w:tr>
      <w:tr>
        <w:trPr>
          <w:trHeight w:val="230"/>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exercise of equity compensation</w:t>
            </w:r>
          </w:p>
        </w:tc>
        <w:tc>
          <w:tcPr>
            <w:tcW w:w="98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32,379</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36,517</w:t>
            </w:r>
          </w:p>
        </w:tc>
        <w:tc>
          <w:tcPr>
            <w:tcW w:w="0" w:type="dxa"/>
            <w:vAlign w:val="bottom"/>
          </w:tcPr>
          <w:p>
            <w:pPr>
              <w:spacing w:after="0"/>
              <w:rPr>
                <w:sz w:val="1"/>
                <w:szCs w:val="1"/>
                <w:color w:val="auto"/>
              </w:rPr>
            </w:pPr>
          </w:p>
        </w:tc>
      </w:tr>
      <w:tr>
        <w:trPr>
          <w:trHeight w:val="229"/>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 issue costs</w:t>
            </w:r>
          </w:p>
        </w:tc>
        <w:tc>
          <w:tcPr>
            <w:tcW w:w="9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Repurchase of ordinary shares</w:t>
            </w:r>
          </w:p>
        </w:tc>
        <w:tc>
          <w:tcPr>
            <w:tcW w:w="9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0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Share repurchase costs</w:t>
            </w:r>
          </w:p>
        </w:tc>
        <w:tc>
          <w:tcPr>
            <w:tcW w:w="9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(433,227)</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(588,497)</w:t>
            </w:r>
          </w:p>
        </w:tc>
        <w:tc>
          <w:tcPr>
            <w:tcW w:w="0" w:type="dxa"/>
            <w:vAlign w:val="bottom"/>
          </w:tcPr>
          <w:p>
            <w:pPr>
              <w:spacing w:after="0"/>
              <w:rPr>
                <w:sz w:val="1"/>
                <w:szCs w:val="1"/>
                <w:color w:val="auto"/>
              </w:rPr>
            </w:pPr>
          </w:p>
        </w:tc>
      </w:tr>
      <w:tr>
        <w:trPr>
          <w:trHeight w:val="495"/>
        </w:trPr>
        <w:tc>
          <w:tcPr>
            <w:tcW w:w="7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movements on cash</w:t>
            </w:r>
          </w:p>
        </w:tc>
        <w:tc>
          <w:tcPr>
            <w:tcW w:w="9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0" w:type="dxa"/>
            <w:vAlign w:val="bottom"/>
          </w:tcPr>
          <w:p>
            <w:pPr>
              <w:spacing w:after="0"/>
              <w:rPr>
                <w:sz w:val="1"/>
                <w:szCs w:val="1"/>
                <w:color w:val="auto"/>
              </w:rPr>
            </w:pPr>
          </w:p>
        </w:tc>
      </w:tr>
      <w:tr>
        <w:trPr>
          <w:trHeight w:val="218"/>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98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317,405</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24,297</w:t>
            </w:r>
          </w:p>
        </w:tc>
        <w:tc>
          <w:tcPr>
            <w:tcW w:w="0" w:type="dxa"/>
            <w:vAlign w:val="bottom"/>
          </w:tcPr>
          <w:p>
            <w:pPr>
              <w:spacing w:after="0"/>
              <w:rPr>
                <w:sz w:val="1"/>
                <w:szCs w:val="1"/>
                <w:color w:val="auto"/>
              </w:rPr>
            </w:pPr>
          </w:p>
        </w:tc>
      </w:tr>
      <w:tr>
        <w:trPr>
          <w:trHeight w:val="234"/>
        </w:trPr>
        <w:tc>
          <w:tcPr>
            <w:tcW w:w="7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9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378,102</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288,768</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695,507</w:t>
            </w:r>
          </w:p>
        </w:tc>
        <w:tc>
          <w:tcPr>
            <w:tcW w:w="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313,065</w:t>
            </w:r>
          </w:p>
        </w:tc>
        <w:tc>
          <w:tcPr>
            <w:tcW w:w="0" w:type="dxa"/>
            <w:vAlign w:val="bottom"/>
          </w:tcPr>
          <w:p>
            <w:pPr>
              <w:spacing w:after="0"/>
              <w:rPr>
                <w:sz w:val="1"/>
                <w:szCs w:val="1"/>
                <w:color w:val="auto"/>
              </w:rPr>
            </w:pPr>
          </w:p>
        </w:tc>
      </w:tr>
      <w:tr>
        <w:trPr>
          <w:trHeight w:val="20"/>
        </w:trPr>
        <w:tc>
          <w:tcPr>
            <w:tcW w:w="70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015" w:right="35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40" w:type="dxa"/>
            <w:vAlign w:val="bottom"/>
          </w:tcPr>
          <w:p>
            <w:pPr>
              <w:spacing w:after="0"/>
              <w:rPr>
                <w:sz w:val="18"/>
                <w:szCs w:val="18"/>
                <w:color w:val="auto"/>
              </w:rPr>
            </w:pPr>
          </w:p>
        </w:tc>
        <w:tc>
          <w:tcPr>
            <w:tcW w:w="180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ICON plc</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8260" w:type="dxa"/>
            <w:vAlign w:val="bottom"/>
            <w:gridSpan w:val="5"/>
          </w:tcPr>
          <w:p>
            <w:pPr>
              <w:jc w:val="center"/>
              <w:ind w:left="2911"/>
              <w:spacing w:after="0"/>
              <w:rPr>
                <w:sz w:val="20"/>
                <w:szCs w:val="20"/>
                <w:color w:val="auto"/>
              </w:rPr>
            </w:pPr>
            <w:r>
              <w:rPr>
                <w:rFonts w:ascii="Times New Roman" w:cs="Times New Roman" w:eastAsia="Times New Roman" w:hAnsi="Times New Roman"/>
                <w:sz w:val="16"/>
                <w:szCs w:val="16"/>
                <w:b w:val="1"/>
                <w:bCs w:val="1"/>
                <w:color w:val="auto"/>
              </w:rPr>
              <w:t>RECONCILIATION OF NON-GAAP MEASURES</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6"/>
        </w:trPr>
        <w:tc>
          <w:tcPr>
            <w:tcW w:w="9760" w:type="dxa"/>
            <w:vAlign w:val="bottom"/>
            <w:gridSpan w:val="7"/>
          </w:tcPr>
          <w:p>
            <w:pPr>
              <w:jc w:val="center"/>
              <w:ind w:left="1411"/>
              <w:spacing w:after="0"/>
              <w:rPr>
                <w:sz w:val="20"/>
                <w:szCs w:val="20"/>
                <w:color w:val="auto"/>
              </w:rPr>
            </w:pPr>
            <w:r>
              <w:rPr>
                <w:rFonts w:ascii="Times New Roman" w:cs="Times New Roman" w:eastAsia="Times New Roman" w:hAnsi="Times New Roman"/>
                <w:sz w:val="16"/>
                <w:szCs w:val="16"/>
                <w:b w:val="1"/>
                <w:bCs w:val="1"/>
                <w:color w:val="auto"/>
              </w:rPr>
              <w:t>FOR THE THREE AND NINE MONTHS ENDED SEPTEMBER 30, 2024 AND SEPTEMBER 30, 2023</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2"/>
        </w:trPr>
        <w:tc>
          <w:tcPr>
            <w:tcW w:w="4940" w:type="dxa"/>
            <w:vAlign w:val="bottom"/>
          </w:tcPr>
          <w:p>
            <w:pPr>
              <w:spacing w:after="0"/>
              <w:rPr>
                <w:sz w:val="18"/>
                <w:szCs w:val="18"/>
                <w:color w:val="auto"/>
              </w:rPr>
            </w:pPr>
          </w:p>
        </w:tc>
        <w:tc>
          <w:tcPr>
            <w:tcW w:w="1800" w:type="dxa"/>
            <w:vAlign w:val="bottom"/>
            <w:gridSpan w:val="2"/>
          </w:tcPr>
          <w:p>
            <w:pPr>
              <w:jc w:val="center"/>
              <w:ind w:right="31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67"/>
        </w:trPr>
        <w:tc>
          <w:tcPr>
            <w:tcW w:w="49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78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3"/>
                <w:szCs w:val="23"/>
                <w:color w:val="auto"/>
              </w:rPr>
            </w:pPr>
          </w:p>
        </w:tc>
        <w:tc>
          <w:tcPr>
            <w:tcW w:w="272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84"/>
        </w:trPr>
        <w:tc>
          <w:tcPr>
            <w:tcW w:w="4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16"/>
                <w:szCs w:val="16"/>
                <w:color w:val="auto"/>
              </w:rPr>
            </w:pPr>
          </w:p>
        </w:tc>
        <w:tc>
          <w:tcPr>
            <w:tcW w:w="12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16"/>
                <w:szCs w:val="16"/>
                <w:color w:val="auto"/>
              </w:rPr>
            </w:pPr>
          </w:p>
        </w:tc>
        <w:tc>
          <w:tcPr>
            <w:tcW w:w="12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320" w:type="dxa"/>
            <w:vAlign w:val="bottom"/>
          </w:tcPr>
          <w:p>
            <w:pPr>
              <w:spacing w:after="0"/>
              <w:rPr>
                <w:sz w:val="16"/>
                <w:szCs w:val="16"/>
                <w:color w:val="auto"/>
              </w:rPr>
            </w:pPr>
          </w:p>
        </w:tc>
        <w:tc>
          <w:tcPr>
            <w:tcW w:w="11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4"/>
        </w:trPr>
        <w:tc>
          <w:tcPr>
            <w:tcW w:w="4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8"/>
        </w:trPr>
        <w:tc>
          <w:tcPr>
            <w:tcW w:w="4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1140" w:type="dxa"/>
            <w:vAlign w:val="bottom"/>
          </w:tcPr>
          <w:p>
            <w:pPr>
              <w:spacing w:after="0"/>
              <w:rPr>
                <w:sz w:val="20"/>
                <w:szCs w:val="20"/>
                <w:color w:val="auto"/>
              </w:rPr>
            </w:pPr>
          </w:p>
        </w:tc>
      </w:tr>
      <w:tr>
        <w:trPr>
          <w:trHeight w:val="495"/>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0"/>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197,128</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163,665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531,476</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395,917</w:t>
            </w:r>
          </w:p>
        </w:tc>
      </w:tr>
      <w:tr>
        <w:trPr>
          <w:trHeight w:val="229"/>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 of losses from equity method investments</w:t>
            </w:r>
          </w:p>
        </w:tc>
        <w:tc>
          <w:tcPr>
            <w:tcW w:w="5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34"/>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54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37,437</w:t>
            </w:r>
          </w:p>
        </w:tc>
        <w:tc>
          <w:tcPr>
            <w:tcW w:w="26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18,011</w:t>
            </w:r>
          </w:p>
        </w:tc>
        <w:tc>
          <w:tcPr>
            <w:tcW w:w="24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89,105</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41,913</w:t>
            </w:r>
          </w:p>
        </w:tc>
      </w:tr>
      <w:tr>
        <w:trPr>
          <w:trHeight w:val="297"/>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interest expense</w:t>
            </w:r>
          </w:p>
        </w:tc>
        <w:tc>
          <w:tcPr>
            <w:tcW w:w="54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50,869</w:t>
            </w:r>
          </w:p>
        </w:tc>
        <w:tc>
          <w:tcPr>
            <w:tcW w:w="26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82,635</w:t>
            </w:r>
          </w:p>
        </w:tc>
        <w:tc>
          <w:tcPr>
            <w:tcW w:w="24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180,207</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252,371</w:t>
            </w:r>
          </w:p>
        </w:tc>
      </w:tr>
      <w:tr>
        <w:trPr>
          <w:trHeight w:val="257"/>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4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93,029</w:t>
            </w:r>
          </w:p>
        </w:tc>
        <w:tc>
          <w:tcPr>
            <w:tcW w:w="26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146,032</w:t>
            </w:r>
          </w:p>
        </w:tc>
        <w:tc>
          <w:tcPr>
            <w:tcW w:w="24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391,845</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436,217</w:t>
            </w:r>
          </w:p>
        </w:tc>
      </w:tr>
      <w:tr>
        <w:trPr>
          <w:trHeight w:val="360"/>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(a)</w:t>
            </w:r>
          </w:p>
        </w:tc>
        <w:tc>
          <w:tcPr>
            <w:tcW w:w="54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13,038</w:t>
            </w:r>
          </w:p>
        </w:tc>
        <w:tc>
          <w:tcPr>
            <w:tcW w:w="26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16,465</w:t>
            </w:r>
          </w:p>
        </w:tc>
        <w:tc>
          <w:tcPr>
            <w:tcW w:w="24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41,183</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47,822</w:t>
            </w:r>
          </w:p>
        </w:tc>
      </w:tr>
      <w:tr>
        <w:trPr>
          <w:trHeight w:val="324"/>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Foreign currency losses/(gains), net </w:t>
            </w:r>
            <w:r>
              <w:rPr>
                <w:rFonts w:ascii="Times New Roman" w:cs="Times New Roman" w:eastAsia="Times New Roman" w:hAnsi="Times New Roman"/>
                <w:sz w:val="23"/>
                <w:szCs w:val="23"/>
                <w:color w:val="auto"/>
                <w:vertAlign w:val="superscript"/>
              </w:rPr>
              <w:t>(b)</w:t>
            </w:r>
          </w:p>
        </w:tc>
        <w:tc>
          <w:tcPr>
            <w:tcW w:w="54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19,434</w:t>
            </w: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24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11,960</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w:t>
            </w:r>
          </w:p>
        </w:tc>
      </w:tr>
      <w:tr>
        <w:trPr>
          <w:trHeight w:val="324"/>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Oncacare (gain) </w:t>
            </w:r>
            <w:r>
              <w:rPr>
                <w:rFonts w:ascii="Times New Roman" w:cs="Times New Roman" w:eastAsia="Times New Roman" w:hAnsi="Times New Roman"/>
                <w:sz w:val="23"/>
                <w:szCs w:val="23"/>
                <w:color w:val="auto"/>
                <w:vertAlign w:val="superscript"/>
              </w:rPr>
              <w:t>(g)</w:t>
            </w:r>
          </w:p>
        </w:tc>
        <w:tc>
          <w:tcPr>
            <w:tcW w:w="54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(6,160)</w:t>
            </w:r>
          </w:p>
        </w:tc>
      </w:tr>
      <w:tr>
        <w:trPr>
          <w:trHeight w:val="324"/>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Restructuring </w:t>
            </w:r>
            <w:r>
              <w:rPr>
                <w:rFonts w:ascii="Times New Roman" w:cs="Times New Roman" w:eastAsia="Times New Roman" w:hAnsi="Times New Roman"/>
                <w:sz w:val="23"/>
                <w:szCs w:val="23"/>
                <w:color w:val="auto"/>
                <w:vertAlign w:val="superscript"/>
              </w:rPr>
              <w:t>(c)</w:t>
            </w:r>
          </w:p>
        </w:tc>
        <w:tc>
          <w:tcPr>
            <w:tcW w:w="54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45,789</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45,390</w:t>
            </w:r>
          </w:p>
        </w:tc>
      </w:tr>
      <w:tr>
        <w:trPr>
          <w:trHeight w:val="288"/>
        </w:trPr>
        <w:tc>
          <w:tcPr>
            <w:tcW w:w="4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xml:space="preserve">Transaction and integration related costs </w:t>
            </w:r>
            <w:r>
              <w:rPr>
                <w:rFonts w:ascii="Times New Roman" w:cs="Times New Roman" w:eastAsia="Times New Roman" w:hAnsi="Times New Roman"/>
                <w:sz w:val="23"/>
                <w:szCs w:val="23"/>
                <w:color w:val="auto"/>
                <w:vertAlign w:val="superscript"/>
              </w:rPr>
              <w:t>(d)</w:t>
            </w:r>
          </w:p>
        </w:tc>
        <w:tc>
          <w:tcPr>
            <w:tcW w:w="5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7,856</w:t>
            </w: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10,433</w:t>
            </w: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21,667</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34,516</w:t>
            </w:r>
          </w:p>
        </w:tc>
      </w:tr>
      <w:tr>
        <w:trPr>
          <w:trHeight w:val="223"/>
        </w:trPr>
        <w:tc>
          <w:tcPr>
            <w:tcW w:w="4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5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418,791</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432,535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1,313,232</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1,245,904</w:t>
            </w:r>
          </w:p>
        </w:tc>
      </w:tr>
      <w:tr>
        <w:trPr>
          <w:trHeight w:val="21"/>
        </w:trPr>
        <w:tc>
          <w:tcPr>
            <w:tcW w:w="5480" w:type="dxa"/>
            <w:vAlign w:val="bottom"/>
            <w:tcBorders>
              <w:bottom w:val="single" w:sz="8" w:color="auto"/>
            </w:tcBorders>
            <w:gridSpan w:val="2"/>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58"/>
        </w:trPr>
        <w:tc>
          <w:tcPr>
            <w:tcW w:w="54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net income and adjusted diluted net income per Ordinary</w:t>
            </w: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8"/>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5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9"/>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197,128</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163,665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531,476</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395,917</w:t>
            </w:r>
          </w:p>
        </w:tc>
      </w:tr>
      <w:tr>
        <w:trPr>
          <w:trHeight w:val="230"/>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5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37,437</w:t>
            </w:r>
          </w:p>
        </w:tc>
        <w:tc>
          <w:tcPr>
            <w:tcW w:w="26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18,011</w:t>
            </w:r>
          </w:p>
        </w:tc>
        <w:tc>
          <w:tcPr>
            <w:tcW w:w="2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89,105</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41,913</w:t>
            </w:r>
          </w:p>
        </w:tc>
      </w:tr>
      <w:tr>
        <w:trPr>
          <w:trHeight w:val="234"/>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w:t>
            </w:r>
          </w:p>
        </w:tc>
        <w:tc>
          <w:tcPr>
            <w:tcW w:w="54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58,026</w:t>
            </w:r>
          </w:p>
        </w:tc>
        <w:tc>
          <w:tcPr>
            <w:tcW w:w="26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114,573</w:t>
            </w:r>
          </w:p>
        </w:tc>
        <w:tc>
          <w:tcPr>
            <w:tcW w:w="24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291,013</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343,868</w:t>
            </w:r>
          </w:p>
        </w:tc>
      </w:tr>
      <w:tr>
        <w:trPr>
          <w:trHeight w:val="360"/>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(a)</w:t>
            </w:r>
          </w:p>
        </w:tc>
        <w:tc>
          <w:tcPr>
            <w:tcW w:w="54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13,038</w:t>
            </w:r>
          </w:p>
        </w:tc>
        <w:tc>
          <w:tcPr>
            <w:tcW w:w="26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16,465</w:t>
            </w:r>
          </w:p>
        </w:tc>
        <w:tc>
          <w:tcPr>
            <w:tcW w:w="24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41,183</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47,822</w:t>
            </w:r>
          </w:p>
        </w:tc>
      </w:tr>
      <w:tr>
        <w:trPr>
          <w:trHeight w:val="324"/>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Foreign currency losses/(gains), net </w:t>
            </w:r>
            <w:r>
              <w:rPr>
                <w:rFonts w:ascii="Times New Roman" w:cs="Times New Roman" w:eastAsia="Times New Roman" w:hAnsi="Times New Roman"/>
                <w:sz w:val="23"/>
                <w:szCs w:val="23"/>
                <w:color w:val="auto"/>
                <w:vertAlign w:val="superscript"/>
              </w:rPr>
              <w:t>(b)</w:t>
            </w:r>
          </w:p>
        </w:tc>
        <w:tc>
          <w:tcPr>
            <w:tcW w:w="54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19,434</w:t>
            </w: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24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11,960</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w:t>
            </w:r>
          </w:p>
        </w:tc>
      </w:tr>
      <w:tr>
        <w:trPr>
          <w:trHeight w:val="324"/>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Restructuring </w:t>
            </w:r>
            <w:r>
              <w:rPr>
                <w:rFonts w:ascii="Times New Roman" w:cs="Times New Roman" w:eastAsia="Times New Roman" w:hAnsi="Times New Roman"/>
                <w:sz w:val="23"/>
                <w:szCs w:val="23"/>
                <w:color w:val="auto"/>
                <w:vertAlign w:val="superscript"/>
              </w:rPr>
              <w:t>(c)</w:t>
            </w:r>
          </w:p>
        </w:tc>
        <w:tc>
          <w:tcPr>
            <w:tcW w:w="54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45,789</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45,390</w:t>
            </w:r>
          </w:p>
        </w:tc>
      </w:tr>
      <w:tr>
        <w:trPr>
          <w:trHeight w:val="324"/>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Oncacare (gain) </w:t>
            </w:r>
            <w:r>
              <w:rPr>
                <w:rFonts w:ascii="Times New Roman" w:cs="Times New Roman" w:eastAsia="Times New Roman" w:hAnsi="Times New Roman"/>
                <w:sz w:val="23"/>
                <w:szCs w:val="23"/>
                <w:color w:val="auto"/>
                <w:vertAlign w:val="superscript"/>
              </w:rPr>
              <w:t>(g)</w:t>
            </w:r>
          </w:p>
        </w:tc>
        <w:tc>
          <w:tcPr>
            <w:tcW w:w="54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(6,160)</w:t>
            </w:r>
          </w:p>
        </w:tc>
      </w:tr>
      <w:tr>
        <w:trPr>
          <w:trHeight w:val="324"/>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Transaction and integration related costs </w:t>
            </w:r>
            <w:r>
              <w:rPr>
                <w:rFonts w:ascii="Times New Roman" w:cs="Times New Roman" w:eastAsia="Times New Roman" w:hAnsi="Times New Roman"/>
                <w:sz w:val="23"/>
                <w:szCs w:val="23"/>
                <w:color w:val="auto"/>
                <w:vertAlign w:val="superscript"/>
              </w:rPr>
              <w:t>(d)</w:t>
            </w:r>
          </w:p>
        </w:tc>
        <w:tc>
          <w:tcPr>
            <w:tcW w:w="54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7,856</w:t>
            </w:r>
          </w:p>
        </w:tc>
        <w:tc>
          <w:tcPr>
            <w:tcW w:w="26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10,433</w:t>
            </w:r>
          </w:p>
        </w:tc>
        <w:tc>
          <w:tcPr>
            <w:tcW w:w="24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21,667</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34,516</w:t>
            </w:r>
          </w:p>
        </w:tc>
      </w:tr>
      <w:tr>
        <w:trPr>
          <w:trHeight w:val="324"/>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Transaction-related financing costs </w:t>
            </w:r>
            <w:r>
              <w:rPr>
                <w:rFonts w:ascii="Times New Roman" w:cs="Times New Roman" w:eastAsia="Times New Roman" w:hAnsi="Times New Roman"/>
                <w:sz w:val="23"/>
                <w:szCs w:val="23"/>
                <w:color w:val="auto"/>
                <w:vertAlign w:val="superscript"/>
              </w:rPr>
              <w:t>(e)</w:t>
            </w:r>
          </w:p>
        </w:tc>
        <w:tc>
          <w:tcPr>
            <w:tcW w:w="54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1,462</w:t>
            </w:r>
          </w:p>
        </w:tc>
        <w:tc>
          <w:tcPr>
            <w:tcW w:w="26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4,587</w:t>
            </w:r>
          </w:p>
        </w:tc>
        <w:tc>
          <w:tcPr>
            <w:tcW w:w="24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22,066</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12,486</w:t>
            </w:r>
          </w:p>
        </w:tc>
      </w:tr>
      <w:tr>
        <w:trPr>
          <w:trHeight w:val="288"/>
        </w:trPr>
        <w:tc>
          <w:tcPr>
            <w:tcW w:w="4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xml:space="preserve">Adjusted tax expense </w:t>
            </w:r>
            <w:r>
              <w:rPr>
                <w:rFonts w:ascii="Times New Roman" w:cs="Times New Roman" w:eastAsia="Times New Roman" w:hAnsi="Times New Roman"/>
                <w:sz w:val="23"/>
                <w:szCs w:val="23"/>
                <w:color w:val="auto"/>
                <w:vertAlign w:val="superscript"/>
              </w:rPr>
              <w:t>(f)</w:t>
            </w:r>
          </w:p>
        </w:tc>
        <w:tc>
          <w:tcPr>
            <w:tcW w:w="5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(55,173)</w:t>
            </w: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(49,100)</w:t>
            </w: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(173,953)</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(142,617)</w:t>
            </w:r>
          </w:p>
        </w:tc>
      </w:tr>
      <w:tr>
        <w:trPr>
          <w:trHeight w:val="223"/>
        </w:trPr>
        <w:tc>
          <w:tcPr>
            <w:tcW w:w="4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5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279,208</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273,928</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880,306</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770,670</w:t>
            </w:r>
          </w:p>
        </w:tc>
      </w:tr>
      <w:tr>
        <w:trPr>
          <w:trHeight w:val="20"/>
        </w:trPr>
        <w:tc>
          <w:tcPr>
            <w:tcW w:w="4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12"/>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weighted average number of Ordinary Shares outstanding</w:t>
            </w:r>
          </w:p>
        </w:tc>
        <w:tc>
          <w:tcPr>
            <w:tcW w:w="54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83,445,827</w:t>
            </w:r>
          </w:p>
        </w:tc>
        <w:tc>
          <w:tcPr>
            <w:tcW w:w="26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82,972,888</w:t>
            </w:r>
          </w:p>
        </w:tc>
        <w:tc>
          <w:tcPr>
            <w:tcW w:w="24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83,305,441</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82,737,073</w:t>
            </w:r>
          </w:p>
        </w:tc>
      </w:tr>
      <w:tr>
        <w:trPr>
          <w:trHeight w:val="216"/>
        </w:trPr>
        <w:tc>
          <w:tcPr>
            <w:tcW w:w="4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64"/>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diluted net income per Ordinary Share</w:t>
            </w:r>
          </w:p>
        </w:tc>
        <w:tc>
          <w:tcPr>
            <w:tcW w:w="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3.35</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10.57</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r>
      <w:tr>
        <w:trPr>
          <w:trHeight w:val="40"/>
        </w:trPr>
        <w:tc>
          <w:tcPr>
            <w:tcW w:w="4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1"/>
        </w:trPr>
        <w:tc>
          <w:tcPr>
            <w:tcW w:w="4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20"/>
          </w:cols>
          <w:pgMar w:left="320" w:top="1028" w:right="359" w:bottom="1440" w:gutter="0" w:footer="0" w:header="0"/>
        </w:sectPr>
      </w:pPr>
    </w:p>
    <w:bookmarkStart w:id="9" w:name="page10"/>
    <w:bookmarkEnd w:id="9"/>
    <w:p>
      <w:pPr>
        <w:ind w:left="660" w:hanging="328"/>
        <w:spacing w:after="0" w:line="289" w:lineRule="auto"/>
        <w:tabs>
          <w:tab w:leader="none" w:pos="65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 represents the amount of recurring expense related to the company’s equity compensation programs (inclusive of employer related taxes).</w:t>
      </w:r>
    </w:p>
    <w:p>
      <w:pPr>
        <w:spacing w:after="0" w:line="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losses/(gains), net relates to gains or losses that arise in connection with the revaluation, or settlement, of non-US dollar</w:t>
      </w:r>
    </w:p>
    <w:p>
      <w:pPr>
        <w:spacing w:after="0" w:line="49" w:lineRule="exact"/>
        <w:rPr>
          <w:rFonts w:ascii="Times New Roman" w:cs="Times New Roman" w:eastAsia="Times New Roman" w:hAnsi="Times New Roman"/>
          <w:sz w:val="18"/>
          <w:szCs w:val="18"/>
          <w:color w:val="auto"/>
        </w:rPr>
      </w:pPr>
    </w:p>
    <w:p>
      <w:pPr>
        <w:ind w:left="660" w:right="1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denominated assets and liabilities. We exclude these gains and losses from adjusted EBITDA and adjusted net income because fluctuations from period- to- period do not necessarily correspond to changes in our operating results.</w:t>
      </w:r>
    </w:p>
    <w:p>
      <w:pPr>
        <w:spacing w:after="0" w:line="1" w:lineRule="exact"/>
        <w:rPr>
          <w:rFonts w:ascii="Times New Roman" w:cs="Times New Roman" w:eastAsia="Times New Roman" w:hAnsi="Times New Roman"/>
          <w:sz w:val="18"/>
          <w:szCs w:val="18"/>
          <w:color w:val="auto"/>
        </w:rPr>
      </w:pPr>
    </w:p>
    <w:p>
      <w:pPr>
        <w:ind w:left="660" w:right="480" w:hanging="328"/>
        <w:spacing w:after="0" w:line="289" w:lineRule="auto"/>
        <w:tabs>
          <w:tab w:leader="none" w:pos="65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relates to charges incurred in connection with the company's realignments of its workforce, with the elimination of redundant positions as well as reviewing its global office footprint and optimizing its locations to best fit the requirements of the company.</w:t>
      </w:r>
    </w:p>
    <w:p>
      <w:pPr>
        <w:spacing w:after="0" w:line="1" w:lineRule="exact"/>
        <w:rPr>
          <w:rFonts w:ascii="Times New Roman" w:cs="Times New Roman" w:eastAsia="Times New Roman" w:hAnsi="Times New Roman"/>
          <w:sz w:val="18"/>
          <w:szCs w:val="18"/>
          <w:color w:val="auto"/>
        </w:rPr>
      </w:pPr>
    </w:p>
    <w:p>
      <w:pPr>
        <w:ind w:left="660" w:right="360" w:hanging="328"/>
        <w:spacing w:after="0" w:line="289" w:lineRule="auto"/>
        <w:tabs>
          <w:tab w:leader="none" w:pos="6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and integration related costs include expenses associated with our acquisitions and any other costs incurred directly related to the integration of these acquisitions.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Transaction-related financing costs includes costs incurred in connection with changes to our long-term debt and amortization of financing fees.</w:t>
      </w:r>
    </w:p>
    <w:p>
      <w:pPr>
        <w:spacing w:after="0" w:line="49" w:lineRule="exact"/>
        <w:rPr>
          <w:rFonts w:ascii="Times New Roman" w:cs="Times New Roman" w:eastAsia="Times New Roman" w:hAnsi="Times New Roman"/>
          <w:sz w:val="18"/>
          <w:szCs w:val="18"/>
          <w:color w:val="auto"/>
        </w:rPr>
      </w:pPr>
    </w:p>
    <w:p>
      <w:pPr>
        <w:ind w:left="660" w:right="16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exclude these costs from adjusted EBITDA and adjusted net income because they result from financing decisions rather than from decisions made related to our ongoing operations.</w:t>
      </w:r>
    </w:p>
    <w:p>
      <w:pPr>
        <w:spacing w:after="0" w:line="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tax effect of adjusted pre-tax income at our estimated effective tax rate.</w:t>
      </w:r>
    </w:p>
    <w:p>
      <w:pPr>
        <w:spacing w:after="0" w:line="27" w:lineRule="exact"/>
        <w:rPr>
          <w:rFonts w:ascii="Times New Roman" w:cs="Times New Roman" w:eastAsia="Times New Roman" w:hAnsi="Times New Roman"/>
          <w:sz w:val="18"/>
          <w:szCs w:val="18"/>
          <w:color w:val="auto"/>
        </w:rPr>
      </w:pPr>
    </w:p>
    <w:p>
      <w:pPr>
        <w:ind w:left="660" w:right="460" w:hanging="328"/>
        <w:spacing w:after="0" w:line="224" w:lineRule="auto"/>
        <w:tabs>
          <w:tab w:leader="none" w:pos="6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20, 2023, the Company completed the purchase of the majority investor’s 51% majority voting share capital of Oncacare Limited (“Oncacare”). This gave rise to an acquisition-related gain of $6.2 million. This gain was excluded from adjusted EBITDA and adjusted net income.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ICON plc</w:t>
      </w:r>
    </w:p>
    <w:p>
      <w:pPr>
        <w:sectPr>
          <w:pgSz w:w="11900" w:h="16838" w:orient="portrait"/>
          <w:cols w:equalWidth="0" w:num="1">
            <w:col w:w="11180"/>
          </w:cols>
          <w:pgMar w:left="320" w:top="1269" w:right="399" w:bottom="1440" w:gutter="0" w:footer="0" w:header="0"/>
        </w:sectPr>
      </w:pP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Contact:</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+1 888 381 7923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Brendan Brennan Chief Financial Officer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Kate Haven Vice President Investor Relations +1 888 381 7923</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http://www.iconplc.com</w:t>
      </w:r>
    </w:p>
    <w:sectPr>
      <w:pgSz w:w="11900" w:h="16838" w:orient="portrait"/>
      <w:cols w:equalWidth="0" w:num="2">
        <w:col w:w="640" w:space="580"/>
        <w:col w:w="9960"/>
      </w:cols>
      <w:pgMar w:left="320" w:top="1269"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2024-10-23T15:30:38Z</dcterms:created>
  <dcterms:modified xsi:type="dcterms:W3CDTF">2024-10-23T15:30:38Z</dcterms:modified>
</cp:coreProperties>
</file>