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For the month of January 2023</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jc w:val="right"/>
        <w:ind w:right="387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Schedules Fourth Quarter 2022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8440" w:type="dxa"/>
            <w:vAlign w:val="bottom"/>
            <w:vMerge w:val="restart"/>
          </w:tcPr>
          <w:p>
            <w:pPr>
              <w:spacing w:after="0"/>
              <w:rPr>
                <w:sz w:val="20"/>
                <w:szCs w:val="20"/>
                <w:color w:val="auto"/>
              </w:rPr>
            </w:pPr>
            <w:r>
              <w:rPr>
                <w:rFonts w:ascii="Arial" w:cs="Arial" w:eastAsia="Arial" w:hAnsi="Arial"/>
                <w:sz w:val="18"/>
                <w:szCs w:val="18"/>
                <w:color w:val="auto"/>
              </w:rPr>
              <w:t>Date: January 26, 2023</w:t>
            </w:r>
          </w:p>
        </w:tc>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8440" w:type="dxa"/>
            <w:vAlign w:val="bottom"/>
            <w:vMerge w:val="continue"/>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Schedules Fourth Quarter 2022 Earnings Conference Call</w:t>
      </w:r>
    </w:p>
    <w:p>
      <w:pPr>
        <w:spacing w:after="0" w:line="190"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DUBLIN--(BUSINESS WIRE)--January 26, 2023--</w:t>
      </w:r>
      <w:r>
        <w:rPr>
          <w:rFonts w:ascii="Arial" w:cs="Arial" w:eastAsia="Arial" w:hAnsi="Arial"/>
          <w:sz w:val="16"/>
          <w:szCs w:val="16"/>
          <w:u w:val="single" w:color="auto"/>
          <w:color w:val="auto"/>
        </w:rPr>
        <w:t>ICON plc</w:t>
      </w:r>
      <w:r>
        <w:rPr>
          <w:rFonts w:ascii="Arial" w:cs="Arial" w:eastAsia="Arial" w:hAnsi="Arial"/>
          <w:sz w:val="16"/>
          <w:szCs w:val="16"/>
          <w:color w:val="auto"/>
        </w:rPr>
        <w:t xml:space="preserve"> </w:t>
      </w:r>
      <w:r>
        <w:rPr>
          <w:rFonts w:ascii="Arial" w:cs="Arial" w:eastAsia="Arial" w:hAnsi="Arial"/>
          <w:sz w:val="16"/>
          <w:szCs w:val="16"/>
          <w:b w:val="1"/>
          <w:bCs w:val="1"/>
          <w:color w:val="auto"/>
        </w:rPr>
        <w:t>(NASDAQ: ICLR),</w:t>
      </w:r>
      <w:r>
        <w:rPr>
          <w:rFonts w:ascii="Arial" w:cs="Arial" w:eastAsia="Arial" w:hAnsi="Arial"/>
          <w:sz w:val="16"/>
          <w:szCs w:val="16"/>
          <w:color w:val="auto"/>
        </w:rPr>
        <w:t xml:space="preserve"> a world-leading healthcare intelligence and clinical research organisation, today announced that it will release its financial results for the fourth quarter 2022 after the market closes on Wednesday, February 22, 2023. The company will hold a conference call and webcast to discuss its financial results and performance on Thursday, February 23, 2023 at 8:00am ET.</w:t>
      </w:r>
    </w:p>
    <w:p>
      <w:pPr>
        <w:spacing w:after="0" w:line="1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ICON plc</w:t>
      </w:r>
    </w:p>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41,150 employees in 113 locations in 53 countries as at September 30, 2022.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2023-01-26T16:01:25Z</dcterms:created>
  <dcterms:modified xsi:type="dcterms:W3CDTF">2023-01-26T16:01:25Z</dcterms:modified>
</cp:coreProperties>
</file>