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March, 2011</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 Murray,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Ciaran.Murray@iconplc.com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March 31, 2011 we had approximately 7,720 employees, in 77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three months ended March 31, 2011 we derived approximately 40.4%, 48.2% and 11.4% of our net revenue in the United States, Europe and Rest of World,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January 14, 2011 the Company acquired Oxford Outcomes, a leading international health outcomes consultancy, headquartered in Oxford, UK, and with offices in the USA and Canada. Oxford Outcomes provides specialist services in the areas of patient reported outcomes (PRO), health economics, epidemiology and translation and linguistic validation.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w w:val="97"/>
              </w:rPr>
              <w:t>ICON plc</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240" w:type="dxa"/>
            <w:vAlign w:val="bottom"/>
          </w:tcPr>
          <w:p>
            <w:pPr>
              <w:jc w:val="center"/>
              <w:ind w:left="3110"/>
              <w:spacing w:after="0"/>
              <w:rPr>
                <w:sz w:val="20"/>
                <w:szCs w:val="20"/>
                <w:color w:val="auto"/>
              </w:rPr>
            </w:pPr>
            <w:r>
              <w:rPr>
                <w:rFonts w:ascii="Arial" w:cs="Arial" w:eastAsia="Arial" w:hAnsi="Arial"/>
                <w:sz w:val="18"/>
                <w:szCs w:val="18"/>
                <w:b w:val="1"/>
                <w:bCs w:val="1"/>
                <w:color w:val="auto"/>
                <w:w w:val="96"/>
              </w:rPr>
              <w:t>AS AT MARCH 31, 2011 AND DECEMBER 31, 2010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20"/>
        </w:trPr>
        <w:tc>
          <w:tcPr>
            <w:tcW w:w="8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5"/>
          </w:tcPr>
          <w:p>
            <w:pPr>
              <w:ind w:left="6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830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Short term investments - available for sale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164,907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101,431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Prepayments and other 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579,676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170,861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220,217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175,860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Non-current other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Non-current income taxes receivable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1,013,685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82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8,607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Payments on account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100,182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291,011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250,326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Non-current other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Non-current government grants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Non-current income taxes payable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Non-current deferred tax liability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14,168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13,862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60,323,300 shares issued and outstanding at March 31, 2011 and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60,247,092 shares issued and outstanding at December 31, 2010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196,960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475,928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693,119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1,013,685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
        </w:trPr>
        <w:tc>
          <w:tcPr>
            <w:tcW w:w="8300" w:type="dxa"/>
            <w:vAlign w:val="bottom"/>
            <w:gridSpan w:val="2"/>
            <w:vMerge w:val="restart"/>
          </w:tcPr>
          <w:p>
            <w:pPr>
              <w:ind w:left="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300" w:type="dxa"/>
            <w:vAlign w:val="bottom"/>
            <w:gridSpan w:val="2"/>
          </w:tcPr>
          <w:p>
            <w:pPr>
              <w:jc w:val="center"/>
              <w:ind w:left="315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8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80"/>
          </w:cols>
          <w:pgMar w:left="18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90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7"/>
              </w:rPr>
              <w:t>ICON plc</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0" w:type="dxa"/>
            <w:vAlign w:val="bottom"/>
          </w:tcPr>
          <w:p>
            <w:pPr>
              <w:spacing w:after="0"/>
              <w:rPr>
                <w:sz w:val="24"/>
                <w:szCs w:val="24"/>
                <w:color w:val="auto"/>
              </w:rPr>
            </w:pPr>
          </w:p>
        </w:tc>
        <w:tc>
          <w:tcPr>
            <w:tcW w:w="858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960" w:type="dxa"/>
            <w:vAlign w:val="bottom"/>
            <w:gridSpan w:val="8"/>
          </w:tcPr>
          <w:p>
            <w:pPr>
              <w:jc w:val="center"/>
              <w:ind w:left="1370"/>
              <w:spacing w:after="0"/>
              <w:rPr>
                <w:sz w:val="20"/>
                <w:szCs w:val="20"/>
                <w:color w:val="auto"/>
              </w:rPr>
            </w:pPr>
            <w:r>
              <w:rPr>
                <w:rFonts w:ascii="Arial" w:cs="Arial" w:eastAsia="Arial" w:hAnsi="Arial"/>
                <w:sz w:val="18"/>
                <w:szCs w:val="18"/>
                <w:b w:val="1"/>
                <w:bCs w:val="1"/>
                <w:color w:val="auto"/>
                <w:w w:val="98"/>
              </w:rPr>
              <w:t>FOR THE THREE MONTHS ENDED MARCH 31, 2011 AND MARCH 31, 2010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90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Borders>
              <w:bottom w:val="single" w:sz="8" w:color="auto"/>
            </w:tcBorders>
            <w:gridSpan w:val="6"/>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11"/>
          </w:tcPr>
          <w:p>
            <w:pPr>
              <w:jc w:val="center"/>
              <w:ind w:right="200"/>
              <w:spacing w:after="0"/>
              <w:rPr>
                <w:sz w:val="20"/>
                <w:szCs w:val="20"/>
                <w:color w:val="auto"/>
              </w:rPr>
            </w:pPr>
            <w:r>
              <w:rPr>
                <w:rFonts w:ascii="Arial" w:cs="Arial" w:eastAsia="Arial" w:hAnsi="Arial"/>
                <w:sz w:val="18"/>
                <w:szCs w:val="18"/>
                <w:b w:val="1"/>
                <w:bCs w:val="1"/>
                <w:color w:val="auto"/>
                <w:w w:val="87"/>
              </w:rPr>
              <w:t>(in thousands except share and</w:t>
            </w:r>
          </w:p>
        </w:tc>
        <w:tc>
          <w:tcPr>
            <w:tcW w:w="0" w:type="dxa"/>
            <w:vAlign w:val="bottom"/>
          </w:tcPr>
          <w:p>
            <w:pPr>
              <w:spacing w:after="0"/>
              <w:rPr>
                <w:sz w:val="1"/>
                <w:szCs w:val="1"/>
                <w:color w:val="auto"/>
              </w:rPr>
            </w:pPr>
          </w:p>
        </w:tc>
      </w:tr>
      <w:tr>
        <w:trPr>
          <w:trHeight w:val="234"/>
        </w:trPr>
        <w:tc>
          <w:tcPr>
            <w:tcW w:w="4740" w:type="dxa"/>
            <w:vAlign w:val="bottom"/>
            <w:gridSpan w:val="2"/>
            <w:vMerge w:val="restart"/>
          </w:tcPr>
          <w:p>
            <w:pPr>
              <w:ind w:left="60"/>
              <w:spacing w:after="0"/>
              <w:rPr>
                <w:sz w:val="20"/>
                <w:szCs w:val="20"/>
                <w:color w:val="auto"/>
              </w:rPr>
            </w:pPr>
            <w:r>
              <w:rPr>
                <w:rFonts w:ascii="Arial" w:cs="Arial" w:eastAsia="Arial" w:hAnsi="Arial"/>
                <w:sz w:val="18"/>
                <w:szCs w:val="18"/>
                <w:color w:val="auto"/>
              </w:rPr>
              <w:t>Revenue:</w:t>
            </w: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9"/>
              </w:rPr>
              <w:t>per share data)</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3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305,547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309,551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(76,250)</w:t>
            </w:r>
          </w:p>
        </w:tc>
        <w:tc>
          <w:tcPr>
            <w:tcW w:w="520" w:type="dxa"/>
            <w:vAlign w:val="bottom"/>
          </w:tcPr>
          <w:p>
            <w:pPr>
              <w:spacing w:after="0"/>
              <w:rPr>
                <w:sz w:val="19"/>
                <w:szCs w:val="19"/>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(90,439)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229,297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219,112</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Costs and expenses:</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144,470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131,318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59,883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52,294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Restructuring charges</w:t>
            </w: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5,002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218,328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192,334</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10,969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26,778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(167)</w:t>
            </w:r>
          </w:p>
        </w:tc>
        <w:tc>
          <w:tcPr>
            <w:tcW w:w="520" w:type="dxa"/>
            <w:vAlign w:val="bottom"/>
          </w:tcPr>
          <w:p>
            <w:pPr>
              <w:spacing w:after="0"/>
              <w:rPr>
                <w:sz w:val="19"/>
                <w:szCs w:val="19"/>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11,035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26,586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(2,687)</w:t>
            </w:r>
          </w:p>
        </w:tc>
        <w:tc>
          <w:tcPr>
            <w:tcW w:w="5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22,199</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Ordinary Share:</w:t>
            </w:r>
          </w:p>
        </w:tc>
        <w:tc>
          <w:tcPr>
            <w:tcW w:w="3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60,283,078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w w:val="90"/>
              </w:rPr>
              <w:t>59,122,650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60,982,948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w w:val="90"/>
              </w:rPr>
              <w:t>60,313,774</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18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jc w:val="center"/>
              <w:ind w:left="3590"/>
              <w:spacing w:after="0"/>
              <w:rPr>
                <w:sz w:val="20"/>
                <w:szCs w:val="20"/>
                <w:color w:val="auto"/>
              </w:rPr>
            </w:pPr>
            <w:r>
              <w:rPr>
                <w:rFonts w:ascii="Arial" w:cs="Arial" w:eastAsia="Arial" w:hAnsi="Arial"/>
                <w:sz w:val="18"/>
                <w:szCs w:val="18"/>
                <w:b w:val="1"/>
                <w:bCs w:val="1"/>
                <w:color w:val="auto"/>
                <w:w w:val="97"/>
              </w:rPr>
              <w:t>ICON plc</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jc w:val="center"/>
              <w:ind w:left="2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jc w:val="center"/>
              <w:ind w:left="2370"/>
              <w:spacing w:after="0"/>
              <w:rPr>
                <w:sz w:val="20"/>
                <w:szCs w:val="20"/>
                <w:color w:val="auto"/>
              </w:rPr>
            </w:pPr>
            <w:r>
              <w:rPr>
                <w:rFonts w:ascii="Arial" w:cs="Arial" w:eastAsia="Arial" w:hAnsi="Arial"/>
                <w:sz w:val="18"/>
                <w:szCs w:val="18"/>
                <w:b w:val="1"/>
                <w:bCs w:val="1"/>
                <w:color w:val="auto"/>
                <w:w w:val="98"/>
              </w:rPr>
              <w:t>FOR THE THREE MONTHS ENDED MARCH 31, 2011 AND MARCH 31, 2010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jc w:val="center"/>
              <w:ind w:left="3590"/>
              <w:spacing w:after="0"/>
              <w:rPr>
                <w:sz w:val="20"/>
                <w:szCs w:val="20"/>
                <w:color w:val="auto"/>
              </w:rPr>
            </w:pPr>
            <w:r>
              <w:rPr>
                <w:rFonts w:ascii="Arial" w:cs="Arial" w:eastAsia="Arial" w:hAnsi="Arial"/>
                <w:sz w:val="18"/>
                <w:szCs w:val="18"/>
                <w:b w:val="1"/>
                <w:bCs w:val="1"/>
                <w:color w:val="auto"/>
              </w:rPr>
              <w:t>(UNAUDITED)</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gridSpan w:val="6"/>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8,973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grants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Share-based compensation expense</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1,943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(7,005)</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(Increase)/decrease in accounts receivable</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(13,373)</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(Increase)/decrease in unbilled revenue</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(20,546)</w:t>
            </w: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other receivables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(1,660)</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Increase/(decrease) in prepayments and other current assets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other non current assets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Increase/(decrease) in payments on account</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7,817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Increase/(decrease) in other current liabilities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Increase in other non current liabilities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Increase/(decrease) in income taxes payable</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Decrease in accounts payable</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(5,331)</w:t>
            </w:r>
          </w:p>
        </w:tc>
        <w:tc>
          <w:tcPr>
            <w:tcW w:w="50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operating activities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(5,283)</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(6,023)</w:t>
            </w:r>
          </w:p>
        </w:tc>
        <w:tc>
          <w:tcPr>
            <w:tcW w:w="50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subsidiary undertakings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(27,720)</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Cash acquired with subsidiary undertaking</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6,335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short term investments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(30,260)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Sale of short term investments</w:t>
            </w:r>
          </w:p>
        </w:tc>
        <w:tc>
          <w:tcPr>
            <w:tcW w:w="6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investing activities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(67,408)</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Repayment of other liabilities</w:t>
            </w: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(63,893)</w:t>
            </w:r>
          </w:p>
        </w:tc>
        <w:tc>
          <w:tcPr>
            <w:tcW w:w="500" w:type="dxa"/>
            <w:vAlign w:val="bottom"/>
          </w:tcPr>
          <w:p>
            <w:pPr>
              <w:spacing w:after="0"/>
              <w:rPr>
                <w:sz w:val="24"/>
                <w:szCs w:val="24"/>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255,706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191,813</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169,484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The accompanying notes are an integral part of these condensed consolidated financial statements.</w:t>
            </w:r>
          </w:p>
        </w:tc>
        <w:tc>
          <w:tcPr>
            <w:tcW w:w="64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7720" w:type="dxa"/>
            <w:vAlign w:val="bottom"/>
            <w:gridSpan w:val="2"/>
          </w:tcPr>
          <w:p>
            <w:pPr>
              <w:jc w:val="center"/>
              <w:ind w:left="3610"/>
              <w:spacing w:after="0"/>
              <w:rPr>
                <w:sz w:val="20"/>
                <w:szCs w:val="20"/>
                <w:color w:val="auto"/>
              </w:rPr>
            </w:pPr>
            <w:r>
              <w:rPr>
                <w:rFonts w:ascii="Arial" w:cs="Arial" w:eastAsia="Arial" w:hAnsi="Arial"/>
                <w:sz w:val="18"/>
                <w:szCs w:val="18"/>
                <w:color w:val="auto"/>
                <w:w w:val="99"/>
              </w:rPr>
              <w:t>5</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7"/>
              </w:rPr>
              <w:t>ICON plc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60" w:type="dxa"/>
            <w:vAlign w:val="bottom"/>
            <w:gridSpan w:val="21"/>
          </w:tcPr>
          <w:p>
            <w:pPr>
              <w:jc w:val="center"/>
              <w:ind w:left="730"/>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vMerge w:val="restart"/>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1"/>
              </w:rPr>
              <w:t>Other</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7"/>
              </w:rPr>
              <w:t>Comprehensive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60" w:type="dxa"/>
            <w:vAlign w:val="bottom"/>
            <w:gridSpan w:val="3"/>
          </w:tcPr>
          <w:p>
            <w:pPr>
              <w:ind w:left="620"/>
              <w:spacing w:after="0" w:line="196" w:lineRule="exact"/>
              <w:rPr>
                <w:sz w:val="20"/>
                <w:szCs w:val="20"/>
                <w:color w:val="auto"/>
              </w:rPr>
            </w:pPr>
            <w:r>
              <w:rPr>
                <w:rFonts w:ascii="Arial" w:cs="Arial" w:eastAsia="Arial" w:hAnsi="Arial"/>
                <w:sz w:val="18"/>
                <w:szCs w:val="18"/>
                <w:b w:val="1"/>
                <w:bCs w:val="1"/>
                <w:color w:val="auto"/>
              </w:rPr>
              <w:t>Shares</w:t>
            </w:r>
          </w:p>
        </w:tc>
        <w:tc>
          <w:tcPr>
            <w:tcW w:w="7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8"/>
              </w:rPr>
              <w:t>Amount</w:t>
            </w:r>
          </w:p>
        </w:tc>
        <w:tc>
          <w:tcPr>
            <w:tcW w:w="340" w:type="dxa"/>
            <w:vAlign w:val="bottom"/>
          </w:tcPr>
          <w:p>
            <w:pPr>
              <w:spacing w:after="0"/>
              <w:rPr>
                <w:sz w:val="17"/>
                <w:szCs w:val="17"/>
                <w:color w:val="auto"/>
              </w:rPr>
            </w:pPr>
          </w:p>
        </w:tc>
        <w:tc>
          <w:tcPr>
            <w:tcW w:w="132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2"/>
              </w:rPr>
              <w:t>Paid-in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Income</w:t>
            </w:r>
          </w:p>
        </w:tc>
        <w:tc>
          <w:tcPr>
            <w:tcW w:w="60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10"/>
          </w:tcPr>
          <w:p>
            <w:pPr>
              <w:jc w:val="right"/>
              <w:ind w:right="40"/>
              <w:spacing w:after="0"/>
              <w:rPr>
                <w:sz w:val="20"/>
                <w:szCs w:val="20"/>
                <w:color w:val="auto"/>
              </w:rPr>
            </w:pPr>
            <w:r>
              <w:rPr>
                <w:rFonts w:ascii="Arial" w:cs="Arial" w:eastAsia="Arial" w:hAnsi="Arial"/>
                <w:sz w:val="18"/>
                <w:szCs w:val="18"/>
                <w:b w:val="1"/>
                <w:bCs w:val="1"/>
                <w:color w:val="auto"/>
                <w:w w:val="87"/>
              </w:rPr>
              <w:t>(dollars in thousands, except share data)</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60,247,092</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3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196,960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467,580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13,239</w:t>
            </w: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Currency impact of long term</w:t>
            </w: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funding (net of taxation)</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(1,464)</w:t>
            </w: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76,208</w:t>
            </w: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Non-cash stock compensation</w:t>
            </w: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6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Balance at March 31, 2011</w:t>
            </w: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60,323,300</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3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199,950</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12,171</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475,928</w:t>
            </w:r>
          </w:p>
        </w:tc>
        <w:tc>
          <w:tcPr>
            <w:tcW w:w="6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693,119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2010. Operating results for the three months ended March 31, 2011 are not necessarily indicative of the results that may be expected for the fiscal period ending December 31, 2011.</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3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2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173,568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41,462</w:t>
            </w:r>
          </w:p>
        </w:tc>
        <w:tc>
          <w:tcPr>
            <w:tcW w:w="32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3,505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2,895</w:t>
            </w:r>
          </w:p>
        </w:tc>
        <w:tc>
          <w:tcPr>
            <w:tcW w:w="320" w:type="dxa"/>
            <w:vAlign w:val="bottom"/>
          </w:tcPr>
          <w:p>
            <w:pPr>
              <w:spacing w:after="0"/>
              <w:rPr>
                <w:sz w:val="19"/>
                <w:szCs w:val="19"/>
                <w:color w:val="auto"/>
              </w:rPr>
            </w:pP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Closing balance</w:t>
            </w: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220,217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175,860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560" w:type="dxa"/>
            <w:vAlign w:val="bottom"/>
            <w:gridSpan w:val="2"/>
          </w:tcPr>
          <w:p>
            <w:pPr>
              <w:spacing w:after="0"/>
              <w:rPr>
                <w:sz w:val="20"/>
                <w:szCs w:val="20"/>
                <w:color w:val="auto"/>
              </w:rPr>
            </w:pPr>
            <w:r>
              <w:rPr>
                <w:rFonts w:ascii="Arial" w:cs="Arial" w:eastAsia="Arial" w:hAnsi="Arial"/>
                <w:sz w:val="18"/>
                <w:szCs w:val="18"/>
                <w:color w:val="auto"/>
              </w:rPr>
              <w:t>The goodwill balance relates entirely to the clinical research segment.</w:t>
            </w:r>
          </w:p>
        </w:tc>
        <w:tc>
          <w:tcPr>
            <w:tcW w:w="1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Oxford Outcomes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14, 2011 the Company acquired approximately 80% of the common stock of Oxford Outcomes Limited, a leading international health outcomes consultancy business, headquartered in Oxford, United Kingdom, and with offices in the USA and Canada, for an initial cash consideration of £17.8 million ($27.7 million). Oxford Outcomes provides specialist services in the areas of patient reported outcomes (PRO), health economics, epidemiology and translation and linguistic validation. Further consideration of up to £6.5 million ($10.2 million) may become payable during the period to March 31, 2012 if certain performance milestones are achieved. The Company has accrued £6.5 million ($10.2 million) in respect of these milestones at March 31, 2011. In addition, the acquisition agreement also provides for certain working capital targets to be achieved by Oxford Outcomes Limited on completion, with additional amounts payable by or refundable to the Company based on the achievement of these targets. The Company has accrued $5.2 million at March 31, 2011 in respect of additional amounts potentially payable on completion of this review.</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holds an option to acquire the remaining common stock of Oxford Outcomes Limited during the year ended December 31, 2011 for cash consideration of £3.8 million ($5.9 million). Further consideration of up to £1.5 million ($2.3 million) relating to this remaining common stock of Oxford Outcomes may become payable during the period to March 31, 2012 if certain performance milestones are achieved. $5.9 million has been accrued at March 31, 2011 in respect of additional consideration payable in respect of this option and a further $2.3 million has been accrued at March 31, 2011 relating to the potential additional consideration payable in respect of the performance milestones.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January 14</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w:t>
            </w:r>
          </w:p>
        </w:tc>
        <w:tc>
          <w:tcPr>
            <w:tcW w:w="3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current assets</w:t>
            </w:r>
          </w:p>
        </w:tc>
        <w:tc>
          <w:tcPr>
            <w:tcW w:w="3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(3,055)</w:t>
            </w:r>
          </w:p>
        </w:tc>
      </w:tr>
      <w:tr>
        <w:trPr>
          <w:trHeight w:val="216"/>
        </w:trPr>
        <w:tc>
          <w:tcPr>
            <w:tcW w:w="20" w:type="dxa"/>
            <w:vAlign w:val="bottom"/>
            <w:tcBorders>
              <w:bottom w:val="single" w:sz="8" w:color="auto"/>
            </w:tcBorders>
          </w:tcPr>
          <w:p>
            <w:pPr>
              <w:spacing w:after="0"/>
              <w:rPr>
                <w:sz w:val="18"/>
                <w:szCs w:val="18"/>
                <w:color w:val="auto"/>
              </w:rPr>
            </w:pPr>
          </w:p>
        </w:tc>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3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51,275</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areas of patient reported outcomes (PRO), health economics, epidemiology and translation and linguistic validation.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Timaq Medical Imaging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 CHF 2.6 million ($2.9 million) has been accrued in relation to the remaining milestones at March 31, 2011.</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May 17</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w:t>
            </w:r>
          </w:p>
        </w:tc>
        <w:tc>
          <w:tcPr>
            <w:tcW w:w="3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current assets</w:t>
            </w:r>
          </w:p>
        </w:tc>
        <w:tc>
          <w:tcPr>
            <w:tcW w:w="3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Borders>
              <w:bottom w:val="single" w:sz="8" w:color="auto"/>
            </w:tcBorders>
          </w:tcPr>
          <w:p>
            <w:pPr>
              <w:spacing w:after="0"/>
              <w:rPr>
                <w:sz w:val="18"/>
                <w:szCs w:val="18"/>
                <w:color w:val="auto"/>
              </w:rPr>
            </w:pPr>
          </w:p>
        </w:tc>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3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pharmaceutical and biotechnology customers in the European market.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3. Restructuring charges</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060" w:type="dxa"/>
            <w:vAlign w:val="bottom"/>
            <w:gridSpan w:val="2"/>
          </w:tcPr>
          <w:p>
            <w:pPr>
              <w:spacing w:after="0"/>
              <w:rPr>
                <w:sz w:val="20"/>
                <w:szCs w:val="20"/>
                <w:color w:val="auto"/>
              </w:rPr>
            </w:pPr>
            <w:r>
              <w:rPr>
                <w:rFonts w:ascii="Arial" w:cs="Arial" w:eastAsia="Arial" w:hAnsi="Arial"/>
                <w:sz w:val="18"/>
                <w:szCs w:val="18"/>
                <w:color w:val="auto"/>
                <w:w w:val="96"/>
              </w:rPr>
              <w:t>Restructuring charges recognized during the three months ended March 31, 2011 comprise:</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 restructuring plan, the closure of the Company’s facility in Edinburgh, United Kingdom and resource rationalizations in certain of the more mature markets in which it operates. A restructuring charge of $5.0 million was recognized during the three months ended March 31, 2011, $1.0 million in respect of lease termination and exit costs associated with the closure of the Edinburgh facility and $4.0 million in respect of workforce reductions.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March 31, 2011 the Company maintains a $9.5 million liability (December 31, 2010: $9.7 million) for unrecognized tax benefit, which is comprised of $8.0 million (December 31, 2010: $8.1 million) related to items generating unrecognized tax benefits and $1.5 million (December 31, 2010: $1.8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2006 through 2010 tax years. The Company does not believe that the outcome of any examination will have a material impact on its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4680" w:type="dxa"/>
            <w:vAlign w:val="bottom"/>
            <w:gridSpan w:val="6"/>
          </w:tcPr>
          <w:p>
            <w:pPr>
              <w:jc w:val="right"/>
              <w:ind w:right="360"/>
              <w:spacing w:after="0" w:line="196" w:lineRule="exact"/>
              <w:rPr>
                <w:sz w:val="20"/>
                <w:szCs w:val="20"/>
                <w:color w:val="auto"/>
              </w:rPr>
            </w:pPr>
            <w:r>
              <w:rPr>
                <w:rFonts w:ascii="Arial" w:cs="Arial" w:eastAsia="Arial" w:hAnsi="Arial"/>
                <w:sz w:val="18"/>
                <w:szCs w:val="18"/>
                <w:b w:val="1"/>
                <w:bCs w:val="1"/>
                <w:color w:val="auto"/>
              </w:rPr>
              <w:t>2011</w:t>
            </w:r>
          </w:p>
        </w:tc>
        <w:tc>
          <w:tcPr>
            <w:tcW w:w="12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w:t>
            </w:r>
          </w:p>
        </w:tc>
        <w:tc>
          <w:tcPr>
            <w:tcW w:w="3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 basic net income per ordinary share</w:t>
            </w:r>
          </w:p>
        </w:tc>
        <w:tc>
          <w:tcPr>
            <w:tcW w:w="468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60,283,078</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59,122,650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4320" w:type="dxa"/>
            <w:vAlign w:val="bottom"/>
            <w:gridSpan w:val="5"/>
          </w:tcPr>
          <w:p>
            <w:pPr>
              <w:jc w:val="right"/>
              <w:spacing w:after="0"/>
              <w:rPr>
                <w:sz w:val="20"/>
                <w:szCs w:val="20"/>
                <w:color w:val="auto"/>
              </w:rPr>
            </w:pPr>
            <w:r>
              <w:rPr>
                <w:rFonts w:ascii="Arial" w:cs="Arial" w:eastAsia="Arial" w:hAnsi="Arial"/>
                <w:sz w:val="18"/>
                <w:szCs w:val="18"/>
                <w:color w:val="auto"/>
              </w:rPr>
              <w:t>699,870</w:t>
            </w:r>
          </w:p>
        </w:tc>
        <w:tc>
          <w:tcPr>
            <w:tcW w:w="360" w:type="dxa"/>
            <w:vAlign w:val="bottom"/>
          </w:tcPr>
          <w:p>
            <w:pPr>
              <w:spacing w:after="0"/>
              <w:rPr>
                <w:sz w:val="19"/>
                <w:szCs w:val="19"/>
                <w:color w:val="auto"/>
              </w:rPr>
            </w:pP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1,191,124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for diluted</w:t>
            </w:r>
          </w:p>
        </w:tc>
        <w:tc>
          <w:tcPr>
            <w:tcW w:w="30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468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60,982,948</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60,313,774</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88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jc w:val="right"/>
              <w:ind w:right="2070"/>
              <w:spacing w:after="0"/>
              <w:rPr>
                <w:sz w:val="20"/>
                <w:szCs w:val="20"/>
                <w:color w:val="auto"/>
              </w:rPr>
            </w:pPr>
            <w:r>
              <w:rPr>
                <w:rFonts w:ascii="Arial" w:cs="Arial" w:eastAsia="Arial" w:hAnsi="Arial"/>
                <w:sz w:val="18"/>
                <w:szCs w:val="18"/>
                <w:color w:val="auto"/>
              </w:rPr>
              <w:t>9</w:t>
            </w: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Stock Options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option granted under the 2008 Employees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and Organization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2011 is eight years.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option activity for the three months ended March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66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Weighted</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 Outstanding</w:t>
            </w:r>
          </w:p>
        </w:tc>
        <w:tc>
          <w:tcPr>
            <w:tcW w:w="6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66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c>
          <w:tcPr>
            <w:tcW w:w="6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66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4,798,677</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8.47</w:t>
            </w:r>
          </w:p>
        </w:tc>
        <w:tc>
          <w:tcPr>
            <w:tcW w:w="1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808,619</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8.52</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Exercised</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(76,208)</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4.67</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(137,410)</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25.52</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9.74</w:t>
            </w:r>
          </w:p>
        </w:tc>
        <w:tc>
          <w:tcPr>
            <w:tcW w:w="1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5,393,678</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8.50</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2011</w:t>
            </w:r>
          </w:p>
        </w:tc>
        <w:tc>
          <w:tcPr>
            <w:tcW w:w="1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2,764,651</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7.76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$6.48 per option. The Company issues ordinary shares for all options exercised. The total amount of fully vested share options which remained outstanding at March 31, 2011 was 2,764,651. Fully vested share options at March 31, 2011 have an average remaining contractual term of 3.72 years, an average exercise price of $19.43 and a total intrinsic value of $14.1 million. The total intrinsic value of options exercised during the three months ended March 31, 2011 was $0.8 million (March 31, 2010: $7.2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Weighted Average</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c>
          <w:tcPr>
            <w:tcW w:w="2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3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2,673,674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808,619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Vested</w:t>
            </w:r>
          </w:p>
        </w:tc>
        <w:tc>
          <w:tcPr>
            <w:tcW w:w="3360" w:type="dxa"/>
            <w:vAlign w:val="bottom"/>
            <w:gridSpan w:val="2"/>
          </w:tcPr>
          <w:p>
            <w:pPr>
              <w:jc w:val="right"/>
              <w:ind w:right="10"/>
              <w:spacing w:after="0"/>
              <w:rPr>
                <w:sz w:val="20"/>
                <w:szCs w:val="20"/>
                <w:color w:val="auto"/>
              </w:rPr>
            </w:pPr>
            <w:r>
              <w:rPr>
                <w:rFonts w:ascii="Arial" w:cs="Arial" w:eastAsia="Arial" w:hAnsi="Arial"/>
                <w:sz w:val="18"/>
                <w:szCs w:val="18"/>
                <w:color w:val="auto"/>
              </w:rPr>
              <w:t>(758,097)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 vested outstanding at March 31, 2011</w:t>
            </w:r>
          </w:p>
        </w:tc>
        <w:tc>
          <w:tcPr>
            <w:tcW w:w="3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2,629,027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11</w:t>
            </w:r>
          </w:p>
        </w:tc>
        <w:tc>
          <w:tcPr>
            <w:tcW w:w="1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fair value of options granted during the period ended March 31, 2011 and March 31, 2010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10"/>
          </w:tcPr>
          <w:p>
            <w:pPr>
              <w:jc w:val="right"/>
              <w:ind w:right="7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60" w:type="dxa"/>
            <w:vAlign w:val="bottom"/>
            <w:gridSpan w:val="5"/>
          </w:tcPr>
          <w:p>
            <w:pPr>
              <w:jc w:val="right"/>
              <w:ind w:right="200"/>
              <w:spacing w:after="0" w:line="196"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7"/>
                <w:szCs w:val="17"/>
                <w:color w:val="auto"/>
              </w:rPr>
            </w:pPr>
          </w:p>
        </w:tc>
        <w:tc>
          <w:tcPr>
            <w:tcW w:w="1120" w:type="dxa"/>
            <w:vAlign w:val="bottom"/>
            <w:gridSpan w:val="6"/>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Assumptions:</w:t>
            </w:r>
          </w:p>
        </w:tc>
        <w:tc>
          <w:tcPr>
            <w:tcW w:w="29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18"/>
                <w:szCs w:val="18"/>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2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 years</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4.05 years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February 10, 2011 the Company awarded 100,000 restricted share units (“RSU’s”) to certain key employees of the Group. These RSU’s will vest on the fifth anniversary of date of award. The market price of the Company’s ordinary shares on date of award was $22.11. On March 3, 2011 the Company also awarded 120,000 RSU’s to other key employees of the Group. These RSU’s will vest on the third anniversary of date of grant. The market price of the Company’s ordinary shares on date of award was $20.28.</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August 7, 2008 the Company awarded 6,280 RSU’s to certain key employees. These RSU’s vest over periods ranging from February 26, 2009 to February 26, 2011. The market value of the Company’s ordinary shares on date of award was $41.95. On August 16, 2010 2,512 ordinary shares were issued by the Company relating to certain of the RSU awards.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Non-cash stock compensation expense for the three months ended March 31, 2011, has been allocated to direct costs and selling, general and administrative expenses as follows: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Direct costs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w w:val="90"/>
              </w:rPr>
              <w:t>Three Months Ended</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460" w:type="dxa"/>
            <w:vAlign w:val="bottom"/>
          </w:tcPr>
          <w:p>
            <w:pPr>
              <w:spacing w:after="0"/>
              <w:rPr>
                <w:sz w:val="17"/>
                <w:szCs w:val="17"/>
                <w:color w:val="auto"/>
              </w:rPr>
            </w:pP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March 31,</w:t>
            </w:r>
          </w:p>
        </w:tc>
      </w:tr>
      <w:tr>
        <w:trPr>
          <w:trHeight w:val="196"/>
        </w:trPr>
        <w:tc>
          <w:tcPr>
            <w:tcW w:w="4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(in thousands)</w:t>
            </w:r>
          </w:p>
        </w:tc>
      </w:tr>
      <w:tr>
        <w:trPr>
          <w:trHeight w:val="418"/>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1,071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990</w:t>
            </w:r>
          </w:p>
        </w:tc>
      </w:tr>
      <w:tr>
        <w:trPr>
          <w:trHeight w:val="237"/>
        </w:trPr>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872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807</w:t>
            </w:r>
          </w:p>
        </w:tc>
      </w:tr>
      <w:tr>
        <w:trPr>
          <w:trHeight w:val="432"/>
        </w:trPr>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1,943</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1,797</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-599440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-307975</wp:posOffset>
            </wp:positionV>
            <wp:extent cx="65176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900"/>
          </w:cols>
          <w:pgMar w:left="240" w:top="274"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March 31, 2011 amounted to $19.2 million. The weighted average period over which this is expected to be recognized is 3.3 years. Total tax benefit recognized in additional paid in capital related to the non-cash compensation expense amounted to $0.3 million for the three months ended March 31, 2011 (2010: $1.2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Business Segment Information</w:t>
      </w:r>
    </w:p>
    <w:p>
      <w:pPr>
        <w:spacing w:after="0" w:line="25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operates predominantly in the contract clinical research industry providing a broad range of clinical research and integrated product development services on a global basis for the pharmaceutical and biotechnology industries. Historically, the Group organized, operated and assessed its business in two segments, the clinical research segment and the central laboratory segment, which includes the Company’s central laboratories located in Dublin, New York, India, Singapore and China. During the three months ended March 31, 2010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 In addition, the central laboratory division did not reach the thresholds of net revenue, income from operations and total assets as a requirement for being reported as a separate segment. Accordingly, the Company consolidated and reclassified the results of the former central laboratory segment into the clinical research segment for the three months ended March 31, 2010.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three months ended March 31, 2011 the Company incurred losses in its central laboratory business, which in accordance with FASB ASC 280-10 </w:t>
      </w:r>
      <w:r>
        <w:rPr>
          <w:rFonts w:ascii="Arial" w:cs="Arial" w:eastAsia="Arial" w:hAnsi="Arial"/>
          <w:sz w:val="18"/>
          <w:szCs w:val="18"/>
          <w:i w:val="1"/>
          <w:iCs w:val="1"/>
          <w:color w:val="auto"/>
        </w:rPr>
        <w:t xml:space="preserve">Disclosures about Segments of an Enterprises and Related Information </w:t>
      </w:r>
      <w:r>
        <w:rPr>
          <w:rFonts w:ascii="Arial" w:cs="Arial" w:eastAsia="Arial" w:hAnsi="Arial"/>
          <w:sz w:val="18"/>
          <w:szCs w:val="18"/>
          <w:color w:val="auto"/>
        </w:rPr>
        <w:t>requires it to be reported as a separate segment.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two reportable segments for the three months ended March 31, 2011. The Company has reclassified the results of the central laboratory segment from the clinical research segment for three months ended March 31, 2010.</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areas of operation outside of Ireland principally include the United States, United Kingdom, France, Germany, Italy, Spain, The Netherlands, Sweden, Finland, Switzerland,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March 31, 2011 and December 31, 2010 and for the three months ended March 31, 2011 and March 31, 2010 is as follows: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Three Months Ended</w:t>
            </w:r>
          </w:p>
        </w:tc>
        <w:tc>
          <w:tcPr>
            <w:tcW w:w="7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March 31,</w:t>
            </w:r>
          </w:p>
        </w:tc>
        <w:tc>
          <w:tcPr>
            <w:tcW w:w="84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20" w:type="dxa"/>
            <w:vAlign w:val="bottom"/>
            <w:tcBorders>
              <w:top w:val="single" w:sz="8" w:color="auto"/>
            </w:tcBorders>
            <w:gridSpan w:val="2"/>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2011</w:t>
            </w:r>
          </w:p>
        </w:tc>
        <w:tc>
          <w:tcPr>
            <w:tcW w:w="840" w:type="dxa"/>
            <w:vAlign w:val="bottom"/>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4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 of Europe</w:t>
            </w:r>
          </w:p>
        </w:tc>
        <w:tc>
          <w:tcPr>
            <w:tcW w:w="44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81,077</w:t>
            </w:r>
          </w:p>
        </w:tc>
        <w:tc>
          <w:tcPr>
            <w:tcW w:w="84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70,738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92,564</w:t>
            </w:r>
          </w:p>
        </w:tc>
        <w:tc>
          <w:tcPr>
            <w:tcW w:w="8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97,455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 of the World</w:t>
            </w:r>
          </w:p>
        </w:tc>
        <w:tc>
          <w:tcPr>
            <w:tcW w:w="4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26,303</w:t>
            </w:r>
          </w:p>
        </w:tc>
        <w:tc>
          <w:tcPr>
            <w:tcW w:w="840" w:type="dxa"/>
            <w:vAlign w:val="bottom"/>
          </w:tcPr>
          <w:p>
            <w:pPr>
              <w:spacing w:after="0"/>
              <w:rPr>
                <w:sz w:val="19"/>
                <w:szCs w:val="19"/>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21,947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40" w:type="dxa"/>
            <w:vAlign w:val="bottom"/>
            <w:tcBorders>
              <w:top w:val="single" w:sz="8" w:color="auto"/>
            </w:tcBorders>
            <w:shd w:val="clear" w:color="auto" w:fill="CCEEFF"/>
          </w:tcPr>
          <w:p>
            <w:pPr>
              <w:spacing w:after="0"/>
              <w:rPr>
                <w:sz w:val="21"/>
                <w:szCs w:val="21"/>
                <w:color w:val="auto"/>
              </w:rPr>
            </w:pPr>
          </w:p>
        </w:tc>
        <w:tc>
          <w:tcPr>
            <w:tcW w:w="44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44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229,297</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219,112</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 All sales shown for Ireland are export sales.</w:t>
            </w: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440" w:type="dxa"/>
            <w:vAlign w:val="bottom"/>
          </w:tcPr>
          <w:p>
            <w:pPr>
              <w:jc w:val="right"/>
              <w:ind w:right="30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b) The distribution of net revenue by business segment was as follows: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7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212,844</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202,896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2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16,453</w:t>
            </w: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74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229,297</w:t>
            </w: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219,112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80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7"/>
                <w:szCs w:val="17"/>
                <w:color w:val="auto"/>
              </w:rPr>
            </w:pPr>
          </w:p>
        </w:tc>
        <w:tc>
          <w:tcPr>
            <w:tcW w:w="1140" w:type="dxa"/>
            <w:vAlign w:val="bottom"/>
            <w:gridSpan w:val="4"/>
          </w:tcPr>
          <w:p>
            <w:pPr>
              <w:ind w:left="24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Excluding</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4"/>
              </w:rPr>
              <w:t>Including</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Restructuring</w:t>
            </w:r>
          </w:p>
        </w:tc>
        <w:tc>
          <w:tcPr>
            <w:tcW w:w="420" w:type="dxa"/>
            <w:vAlign w:val="bottom"/>
          </w:tcPr>
          <w:p>
            <w:pPr>
              <w:spacing w:after="0"/>
              <w:rPr>
                <w:sz w:val="18"/>
                <w:szCs w:val="18"/>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6"/>
              </w:rPr>
              <w:t>Restructuring</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Charges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Charges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2,504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Rest of Europe</w:t>
            </w:r>
          </w:p>
        </w:tc>
        <w:tc>
          <w:tcPr>
            <w:tcW w:w="2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5,473</w:t>
            </w:r>
          </w:p>
        </w:tc>
        <w:tc>
          <w:tcPr>
            <w:tcW w:w="420" w:type="dxa"/>
            <w:vAlign w:val="bottom"/>
          </w:tcPr>
          <w:p>
            <w:pPr>
              <w:spacing w:after="0"/>
              <w:rPr>
                <w:sz w:val="18"/>
                <w:szCs w:val="18"/>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(1,803)</w:t>
            </w:r>
          </w:p>
        </w:tc>
        <w:tc>
          <w:tcPr>
            <w:tcW w:w="280" w:type="dxa"/>
            <w:vAlign w:val="bottom"/>
          </w:tcPr>
          <w:p>
            <w:pPr>
              <w:spacing w:after="0"/>
              <w:rPr>
                <w:sz w:val="18"/>
                <w:szCs w:val="18"/>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3,670</w:t>
            </w:r>
          </w:p>
        </w:tc>
        <w:tc>
          <w:tcPr>
            <w:tcW w:w="4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4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(3,114)</w:t>
            </w:r>
          </w:p>
        </w:tc>
        <w:tc>
          <w:tcPr>
            <w:tcW w:w="2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3,177</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2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1,618</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1,618</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15,971</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(5,002)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10,969</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8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7"/>
                <w:szCs w:val="17"/>
                <w:color w:val="auto"/>
              </w:rPr>
            </w:pPr>
          </w:p>
        </w:tc>
        <w:tc>
          <w:tcPr>
            <w:tcW w:w="1140" w:type="dxa"/>
            <w:vAlign w:val="bottom"/>
            <w:gridSpan w:val="4"/>
          </w:tcPr>
          <w:p>
            <w:pPr>
              <w:ind w:left="24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7"/>
                <w:szCs w:val="17"/>
                <w:color w:val="auto"/>
              </w:rPr>
            </w:pPr>
          </w:p>
        </w:tc>
        <w:tc>
          <w:tcPr>
            <w:tcW w:w="11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Excluding</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4"/>
              </w:rPr>
              <w:t>Including</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9"/>
              </w:rPr>
              <w:t>Restructuring</w:t>
            </w:r>
          </w:p>
        </w:tc>
        <w:tc>
          <w:tcPr>
            <w:tcW w:w="280" w:type="dxa"/>
            <w:vAlign w:val="bottom"/>
          </w:tcPr>
          <w:p>
            <w:pPr>
              <w:spacing w:after="0"/>
              <w:rPr>
                <w:sz w:val="18"/>
                <w:szCs w:val="18"/>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6"/>
              </w:rPr>
              <w:t>Restructuring</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Charges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Charges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Charges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(3,457)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15,220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Central laboratory</w:t>
            </w:r>
          </w:p>
        </w:tc>
        <w:tc>
          <w:tcPr>
            <w:tcW w:w="210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rPr>
              <w:t>(2,706)</w:t>
            </w:r>
          </w:p>
        </w:tc>
        <w:tc>
          <w:tcPr>
            <w:tcW w:w="280" w:type="dxa"/>
            <w:vAlign w:val="bottom"/>
          </w:tcPr>
          <w:p>
            <w:pPr>
              <w:spacing w:after="0"/>
              <w:rPr>
                <w:sz w:val="19"/>
                <w:szCs w:val="19"/>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19"/>
                <w:szCs w:val="19"/>
                <w:color w:val="auto"/>
              </w:rPr>
            </w:pPr>
          </w:p>
        </w:tc>
        <w:tc>
          <w:tcPr>
            <w:tcW w:w="1300" w:type="dxa"/>
            <w:vAlign w:val="bottom"/>
            <w:gridSpan w:val="5"/>
          </w:tcPr>
          <w:p>
            <w:pPr>
              <w:jc w:val="right"/>
              <w:ind w:right="80"/>
              <w:spacing w:after="0"/>
              <w:rPr>
                <w:sz w:val="20"/>
                <w:szCs w:val="20"/>
                <w:color w:val="auto"/>
              </w:rPr>
            </w:pPr>
            <w:r>
              <w:rPr>
                <w:rFonts w:ascii="Arial" w:cs="Arial" w:eastAsia="Arial" w:hAnsi="Arial"/>
                <w:sz w:val="18"/>
                <w:szCs w:val="18"/>
                <w:color w:val="auto"/>
              </w:rPr>
              <w:t>(4,251)</w:t>
            </w:r>
          </w:p>
        </w:tc>
        <w:tc>
          <w:tcPr>
            <w:tcW w:w="400" w:type="dxa"/>
            <w:vAlign w:val="bottom"/>
          </w:tcPr>
          <w:p>
            <w:pPr>
              <w:spacing w:after="0"/>
              <w:rPr>
                <w:sz w:val="19"/>
                <w:szCs w:val="19"/>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15,971</w:t>
            </w:r>
          </w:p>
        </w:tc>
        <w:tc>
          <w:tcPr>
            <w:tcW w:w="14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(5,002)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10,969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26,778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gridSpan w:val="2"/>
          </w:tcPr>
          <w:p>
            <w:pPr>
              <w:jc w:val="right"/>
              <w:ind w:right="29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520" w:type="dxa"/>
            <w:vAlign w:val="bottom"/>
          </w:tcPr>
          <w:p>
            <w:pPr>
              <w:spacing w:after="0"/>
              <w:rPr>
                <w:sz w:val="17"/>
                <w:szCs w:val="17"/>
                <w:color w:val="auto"/>
              </w:rPr>
            </w:pPr>
          </w:p>
        </w:tc>
        <w:tc>
          <w:tcPr>
            <w:tcW w:w="1080" w:type="dxa"/>
            <w:vAlign w:val="bottom"/>
            <w:gridSpan w:val="5"/>
          </w:tcPr>
          <w:p>
            <w:pPr>
              <w:jc w:val="right"/>
              <w:ind w:right="20"/>
              <w:spacing w:after="0" w:line="196" w:lineRule="exact"/>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9"/>
          </w:tcPr>
          <w:p>
            <w:pPr>
              <w:jc w:val="center"/>
              <w:ind w:right="6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115,008</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109,919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17,870</w:t>
            </w:r>
          </w:p>
        </w:tc>
        <w:tc>
          <w:tcPr>
            <w:tcW w:w="52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16,675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32,846</w:t>
            </w:r>
          </w:p>
        </w:tc>
        <w:tc>
          <w:tcPr>
            <w:tcW w:w="5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33,855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 of the World</w:t>
            </w:r>
          </w:p>
        </w:tc>
        <w:tc>
          <w:tcPr>
            <w:tcW w:w="13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9,828</w:t>
            </w:r>
          </w:p>
        </w:tc>
        <w:tc>
          <w:tcPr>
            <w:tcW w:w="520" w:type="dxa"/>
            <w:vAlign w:val="bottom"/>
          </w:tcPr>
          <w:p>
            <w:pPr>
              <w:spacing w:after="0"/>
              <w:rPr>
                <w:sz w:val="19"/>
                <w:szCs w:val="1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10,412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56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right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175,552</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170,861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9"/>
        </w:trPr>
        <w:tc>
          <w:tcPr>
            <w:tcW w:w="7580" w:type="dxa"/>
            <w:vAlign w:val="bottom"/>
            <w:gridSpan w:val="2"/>
          </w:tcPr>
          <w:p>
            <w:pPr>
              <w:spacing w:after="0"/>
              <w:rPr>
                <w:sz w:val="20"/>
                <w:szCs w:val="20"/>
                <w:color w:val="auto"/>
              </w:rPr>
            </w:pPr>
            <w:r>
              <w:rPr>
                <w:rFonts w:ascii="Arial" w:cs="Arial" w:eastAsia="Arial" w:hAnsi="Arial"/>
                <w:sz w:val="18"/>
                <w:szCs w:val="18"/>
                <w:color w:val="auto"/>
              </w:rPr>
              <w:t>f) The distribution of property, plant and equipment, net, by business segment was as follows: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520" w:type="dxa"/>
            <w:vAlign w:val="bottom"/>
          </w:tcPr>
          <w:p>
            <w:pPr>
              <w:spacing w:after="0"/>
              <w:rPr>
                <w:sz w:val="17"/>
                <w:szCs w:val="17"/>
                <w:color w:val="auto"/>
              </w:rPr>
            </w:pPr>
          </w:p>
        </w:tc>
        <w:tc>
          <w:tcPr>
            <w:tcW w:w="1080" w:type="dxa"/>
            <w:vAlign w:val="bottom"/>
            <w:gridSpan w:val="5"/>
          </w:tcPr>
          <w:p>
            <w:pPr>
              <w:jc w:val="right"/>
              <w:ind w:right="20"/>
              <w:spacing w:after="0" w:line="196" w:lineRule="exact"/>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9"/>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154,042</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149,755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21,510</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21,106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5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175,552</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170,861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5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7580" w:type="dxa"/>
            <w:vAlign w:val="bottom"/>
            <w:gridSpan w:val="2"/>
          </w:tcPr>
          <w:p>
            <w:pPr>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520" w:type="dxa"/>
            <w:vAlign w:val="bottom"/>
          </w:tcPr>
          <w:p>
            <w:pPr>
              <w:spacing w:after="0"/>
              <w:rPr>
                <w:sz w:val="17"/>
                <w:szCs w:val="17"/>
                <w:color w:val="auto"/>
              </w:rPr>
            </w:pPr>
          </w:p>
        </w:tc>
        <w:tc>
          <w:tcPr>
            <w:tcW w:w="11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9"/>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1,582</w:t>
            </w:r>
          </w:p>
        </w:tc>
        <w:tc>
          <w:tcPr>
            <w:tcW w:w="52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5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1,102</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8,973</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8,722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74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5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Central laboratory</w:t>
            </w:r>
          </w:p>
        </w:tc>
        <w:tc>
          <w:tcPr>
            <w:tcW w:w="54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1,238</w:t>
            </w:r>
          </w:p>
        </w:tc>
        <w:tc>
          <w:tcPr>
            <w:tcW w:w="740" w:type="dxa"/>
            <w:vAlign w:val="bottom"/>
          </w:tcPr>
          <w:p>
            <w:pPr>
              <w:spacing w:after="0"/>
              <w:rPr>
                <w:sz w:val="19"/>
                <w:szCs w:val="19"/>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54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8,973</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Borders>
              <w:top w:val="single" w:sz="8" w:color="auto"/>
              <w:bottom w:val="single" w:sz="8" w:color="auto"/>
            </w:tcBorders>
          </w:tcPr>
          <w:p>
            <w:pPr>
              <w:spacing w:after="0" w:line="20" w:lineRule="exact"/>
              <w:rPr>
                <w:sz w:val="1"/>
                <w:szCs w:val="1"/>
                <w:color w:val="auto"/>
              </w:rPr>
            </w:pPr>
          </w:p>
        </w:tc>
        <w:tc>
          <w:tcPr>
            <w:tcW w:w="5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60" w:type="dxa"/>
            <w:vAlign w:val="bottom"/>
          </w:tcPr>
          <w:p>
            <w:pPr>
              <w:jc w:val="right"/>
              <w:ind w:right="305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80" w:type="dxa"/>
            <w:vAlign w:val="bottom"/>
            <w:gridSpan w:val="8"/>
          </w:tcPr>
          <w:p>
            <w:pPr>
              <w:ind w:left="3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403,277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418,098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Rest of Europe</w:t>
            </w:r>
          </w:p>
        </w:tc>
        <w:tc>
          <w:tcPr>
            <w:tcW w:w="2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231,838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173,668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349,075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Rest of the World</w:t>
            </w:r>
          </w:p>
        </w:tc>
        <w:tc>
          <w:tcPr>
            <w:tcW w:w="224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29,495</w:t>
            </w:r>
          </w:p>
        </w:tc>
        <w:tc>
          <w:tcPr>
            <w:tcW w:w="4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27,801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1,013,685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949,538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j) The distribution of total assets by business segment was as follows:</w:t>
            </w:r>
          </w:p>
        </w:tc>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gridSpan w:val="7"/>
          </w:tcPr>
          <w:p>
            <w:pPr>
              <w:ind w:left="3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3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951,307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889,534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Central laboratory</w:t>
            </w:r>
          </w:p>
        </w:tc>
        <w:tc>
          <w:tcPr>
            <w:tcW w:w="36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62,378</w:t>
            </w:r>
          </w:p>
        </w:tc>
        <w:tc>
          <w:tcPr>
            <w:tcW w:w="4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60,004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3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1,013,685</w:t>
            </w:r>
          </w:p>
        </w:tc>
        <w:tc>
          <w:tcPr>
            <w:tcW w:w="10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620" w:type="dxa"/>
            <w:vAlign w:val="bottom"/>
          </w:tcPr>
          <w:p>
            <w:pPr>
              <w:jc w:val="right"/>
              <w:ind w:right="305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2010.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preferred approach is to use dedicated teams to achieve optimum results, but we can implement a range of resourcing models to suit client requirements, and increasingly our teams are flexibly applied to minimize costs for our clients.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Currently, we have approximately 7,720 employees, in 77 locations in 39 countries, providing Phase I - IV Clinical Trial Management, Drug Development Support Services, Data Management, Biostatistics, Central Laboratory, Imaging and Contract Staffing services.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March 31, 2011 we had a backlog of approximately $2.0 billion, compared with approximately $1.9 billion at December 31, 2009.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compared with Three Months Ended March 31, 2010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2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62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March 31,</w:t>
            </w:r>
          </w:p>
        </w:tc>
        <w:tc>
          <w:tcPr>
            <w:tcW w:w="13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7"/>
                <w:szCs w:val="17"/>
                <w:color w:val="auto"/>
              </w:rPr>
            </w:pPr>
          </w:p>
        </w:tc>
        <w:tc>
          <w:tcPr>
            <w:tcW w:w="1560" w:type="dxa"/>
            <w:vAlign w:val="bottom"/>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 2010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2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Percentage of Net Revenue</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Restructuring charges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 for the period increased by $10.2 million, or 4.6%, from $219.1 million for the three months ended March 31, 2010 to $229.3 million for the three months ended March 31, 2011. Net revenue in our clinical research segment increased by $10.0 million, or 4.9%, from $202.9 million for the three months ended March 31, 2010 to $212.9 million for the three months ended March 31, 2011. In our Central Laboratory business, net revenue increased by $0.2 million, or 1.5%, from $16.2 million for the three months ended March 31, 2010 to $16.4 million for the three months ended March 31, 2011. For the three months ended March 31, 2011 we derived approximately 40.4%, 48.2% and 11.4% of our net revenue in the United States, Europe and Rest of World,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Direct costs for the period increased by $13.2 million, or 10.0%, from $131.3 million for the three months ended March 31, 2010 to $144.5 million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March 31, 2011. Direct costs consist primarily of compensation, associated fringe benefits and share based compensation expense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project-related employees and other direct project driven costs. Direct costs in our clinical research segment increased by $10.6 million, or 8.7%,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$121.7 million for the three months ended March 31, 2010 to $132.3 million for the three months ended March 31, 2011. The Company entered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strategic relationships with sponsors and expanded operations in certain territories during the year ended December 31, 2010. This required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upfront investment in personnel and resulted in an increase in direct costs in the three months ended March 31, 2011 over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In our central laboratory business, direct costs increased by $2.5 million, or 26.3%, from $9.6 million for the three months ended March 31, 2010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$12.1 million for the three months ended March 31, 2011. This increase arose from a significant investment in personnel in this business during the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2010. Direct costs as a percentage of net revenue increased to 63.0% for the three months ended March 31, 2011 from 59.9%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2010.</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expenses for the period increased by $7.6 million, or 14.5%, from $52.3 million for the three months ended March 31, 2010 to $59.9 million for the three months ended March 31, 2011. Selling, general and administrative expenses consist of compensation, related fringe benefits and share based compensation expense for selling and administrative employees, professional service costs, advertising costs and all costs related to facilities and information systems. The increase in selling, general and administrative expense for the period arose from an increase in facilities and information costs of $2.3 million, an increase in other general overheads of $6.9 million, offset by a decrease in compensation and related fringe benefit costs for non project-related employees of $1.6 million. The increase in other general overhead costs arises from an increase in provision for doubtful debts of $0.8 million, an increase in foreign exchange losses on the retranslation of monetary assets and liabilities by $0.9 million and an increase in professional service costs of $4.6 million,. During the three months ended March 31, 2011 the Company engaged professional advisors in completing a number of strategic review projects which, together with costs associated with the acquisition of Oxford Outcomes Limited, resulted in an increase in professional fees during the period. As a percentage of net revenue, selling, general and administrative expenses, increased from 23.9% for the three months ended March 31, 2010 to 26.1% for the three months ended March 31, 2011.</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for the period increased by $0.3 million, or 2.9%, from $8.7 million for the period ended March 31, 2010 to $9.0 million for the three months ended March 31, 2011. As a percentage of net revenue, depreciation and amortization decreased from 4.0% of net revenues for the three months ended March 31, 2010 to 3.9% for the three months ended March 31, 2011.</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 restructuring plan, the closure of the Company’s facility in Edinburgh, United Kingdom and resource rationalizations in certain of the more mature markets in which it operates. A restructuring charge of $5.0 million was recognized during the three months ended March 31, 2011, $1.0 million in respect of lease termination and exit costs associated with the closure of the Edinburgh facility and $4.0 million in respect of workforce reductions.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income from operations for the period decreased by $15.8 million, from $26.8 million for the three months ended March 31, 2010 to $11.0 million for the three months ended March 31, 2011. As a percentage of net revenue, income from operations decreased from 12.2% for the three months ended March 31, 2010 to 4.8% for the three months ended March 31, 2011. In our clinical research segment, income from operations as a percentage of net revenue decreased from 13.2% for the year ended March 31, 2010 to 7.2% for the three months ended March 31, 2011. In our central laboratory business, income/(loss) from operations decreased from 0.4% for the three months ended March 31, 2010 to (25.8)% for the three months ended March 31, 2011.</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Excluding the impact of restructuring charges recognized during the three months ended March 31, 2011, income from operations decreased by $10.8 million, from $26.8 million for the three months ended March 31, 2010 to $16.0 million for the three months ended March 31, 2011. As a percentage of net revenue, income from operations excluding restructuring costs decreased from 12.2% for the three months ended March 31, 2010 to 7.0% for the three months ended March 31, 2011. In our clinical research segment, income from operations excluding restructuring costs as a percentage of net revenue decreased from 13.2% for the three months ended March 31, 2010 to $8.7% for the three months ended March 31, 2011. In our central laboratory business, income/(loss) from operations excluding restructuring charges decreased from 0.4% for the three months ended March 31, 2010 to (16.4)% for the three months ended March 31, 2011.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Interest expense for the period decreased from $0.4 million for the three months ended March 31, 2010 to $0.2 million for the three months ended March 31, 2011. This decrease arose from reduced commitment fees payable on negotiated facilities, arising from the reduction in amounts available to draw under such facilities over the twelve months ending March 31, 2011. Interest income for both the three months ended March 31, 2011 and the three months ended March 31, 2010 amounted to $0.2 million.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for income taxes for the period decreased from $4.4 million for the three months ended March 31, 2010 to $2.7 million for the three months ended March 31, 2011. The effective tax rate for the three months ended March 31, 2011 was 24.3% compared with 16.5% for the three months ended March 31, 2010. The effective tax rate is principally a function of the distribution of pre-tax profits in the territories in which the Company operates.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balances at March 31, 2011 amounted to $231.8 million compared with cash balances of $255.7 million at December 31, 2010. The Company’s cash balances at March 31, 2011 comprised cash and cash equivalents $191.8 million and short-term investments $40.0 million. The Company’s total cash balances at December 31, 2010 comprised cash and cash equivalents $255.7 million. Additional amounts available to the Group under negotiated facilities amounted to $51.0 million at March 31, 2011 compared with additional amounts of $55.9 million at December 31, 2010.</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by operating activities was $5.3 million for the three months ended March 31, 2011 compared with cash provided by operating activities of $16.8 million for the three months ended March 31, 2010.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decrease in cash flow from operating activities during the three months ended March 31, 2011 arose primarily from an increase in the number of days revenue outstanding during the period. The number of days revenue outstanding at March 31, 2011 was 49 days compared to 37 days at December 31, 2010.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was $67.4 million for the three months ended March 31, 2011 compared to net cash provided by investing activities of $9.4 million for the three months ended March 31, 2010. Net cash used in the three months ended March 31, 2011 arose principally from cash paid for acquisitions, capital expenditures and the purchase of short-term investments.. During the three months ended March 31, 2011 the Company completed the acquisition of Oxford Outcomes Limited for an initial cash consideration of $27.7 million. Cash received on the acquisition of Oxford Outcomes amounted to $6.3 million. Capital expenditure for the three months ended March 31, 2011 amounted to $6.5 million, and comprised mainly of expenditure on global infrastructure and information technology systems to support the Company’s growth. During the three months ended March 31, 2011 the Company invested $40.0 million in short-term investments.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three months ended March 31, 2011 amounted to $1.0 million compared with net cash provided by financing activities of $5.5 million for the three months ended March 31, 2009. Net cash provided by financing activities arose primarily from the exercise of stock options.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these cash flows, cash and cash equivalents decreased by $63.9 million for the three months ended March 31, 2011 compared to an increase of $24.7 million for the three months ended March 31, 2010.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On July 9, 2007 the Company entered into a five year committed multi-currency facility agreement for €35 million ($46.8 million) with Bank of Ireland. The facility bears interest at an annual rate equal to EURIBOR plus a margin and is secured by certain composite guarantees, indemnities and pledges in favor of the bank. Amounts available to be drawn reduce over the life of this facility in accordance with agreed payment terms. At March 31, 2011 €13.1 million ($18.5 million) was available to be drawn under this facility.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On April 21, 2010 the Company reduced this facility to $25 million. On December 9, 2010 the Company further reduced this facility to $12.5 million. The facility bears interest at LIBOR plus a margin and is secured by certain composite guarantees and pledges in favor of the bank. At March 31, 2011 $12.5 million was available to be drawn under this facility.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29, 2009 a three year committed credit facility was negotiated with Citibank Europe for $10 million. The facility bears interest at LIBOR plus a margin and is secured by certain composite guarantees and pledges in favor of the bank. At March 31, 2011 $10.0 million was available to be drawn under the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2009 a committed 364 day credit facility of $30 million was negotiated with JP Morgan for $30 million. On September 3, 2010 a committed 364 day credit facility was negotiated with J.P. Morgan for $10 million, partially replacing the 2009 facility. The facility bears interest at LIBOR plus a margin and is secured by certain composite guarantees and pledges in favor of the bank. At March 31, 2011 $10.0 million was available to be drawn under the facility.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 CHF 2.6 million ($2.9 million) has been accrued in relation to the remaining milestones at March 31, 2011.</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14, 2011 the Company acquired approximately 80% of the common stock of Oxford Outcomes Limited, a leading international health outcomes consultancy business, headquartered in Oxford, United Kingdom, and with offices in the USA and Canada, for an initial cash consideration of £20.5 million ($31.9 million). Oxford Outcomes provides specialist services in the areas of patient reported outcomes (PRO), health economics, epidemiology and translation and linguistic validation. Further consideration of up to £6.5 million ($10.2 million) may become payable during the period to March 31, 2012 if certain performance milestones are achieved. In addition, the acquisition agreement also provides for certain working capital targets to be achieved by Oxford Outcomes Limited on completion, with additional amounts payable by or refundable to the Company based on the achievement of these targets. The Company has accrued $3.2 million at March 31, 2011 in respect of additional amounts potentially payable on completion of this review.</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holds an option to acquire the remaining common stock of Oxford Outcomes Limited during the year ended December 31, 2011 for cash consideration of £3.8 million ($5.9 million). Further consideration of up to £1.5 million ($2.3 million) relating to this remaining common stock of Oxford Outcomes may become payable during the period to March 31, 2012 if certain performance milestones are achieved.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-19050</wp:posOffset>
            </wp:positionV>
            <wp:extent cx="1441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tabs>
          <w:tab w:leader="none" w:pos="7420" w:val="left"/>
        </w:tabs>
        <w:rPr>
          <w:sz w:val="20"/>
          <w:szCs w:val="20"/>
          <w:color w:val="auto"/>
        </w:rPr>
      </w:pPr>
      <w:r>
        <w:rPr>
          <w:rFonts w:ascii="Arial" w:cs="Arial" w:eastAsia="Arial" w:hAnsi="Arial"/>
          <w:sz w:val="18"/>
          <w:szCs w:val="18"/>
          <w:color w:val="auto"/>
        </w:rPr>
        <w:t>Date April 18, 2011</w:t>
      </w:r>
      <w:r>
        <w:rPr>
          <w:sz w:val="20"/>
          <w:szCs w:val="20"/>
          <w:color w:val="auto"/>
        </w:rPr>
        <w:tab/>
      </w:r>
      <w:r>
        <w:rPr>
          <w:rFonts w:ascii="Arial" w:cs="Arial" w:eastAsia="Arial" w:hAnsi="Arial"/>
          <w:sz w:val="16"/>
          <w:szCs w:val="16"/>
          <w:color w:val="auto"/>
        </w:rPr>
        <w:t>Ciaran Murray</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2019-12-10T18:06:37Z</dcterms:created>
  <dcterms:modified xsi:type="dcterms:W3CDTF">2019-12-10T18:06:37Z</dcterms:modified>
</cp:coreProperties>
</file>