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shd w:fill="FFFFFF" w:val="clear"/>
        </w:rPr>
      </w:pPr>
      <w:r>
        <w:rPr>
          <w:color w:val="000000"/>
          <w:shd w:fill="FFFFFF" w:val="clear"/>
        </w:rPr>
        <w:t> </w:t>
      </w: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6-K</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REPORT OF FOREIGN PRIVATE ISSUER</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RULE 13a-16 OR 15d-16</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UNDER THE SECURITIES EXCHANGE ACT OF 1934</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month of July 2026</w:t>
      </w:r>
    </w:p>
    <w:p>
      <w:pPr>
        <w:pStyle w:val="TextBody"/>
        <w:bidi w:val="0"/>
        <w:spacing w:before="0" w:after="0"/>
        <w:jc w:val="center"/>
        <w:rPr/>
      </w:pPr>
      <w:r>
        <w:rPr/>
      </w:r>
    </w:p>
    <w:p>
      <w:pPr>
        <w:pStyle w:val="TextBody"/>
        <w:bidi w:val="0"/>
        <w:spacing w:lineRule="auto" w:line="240" w:before="0" w:after="0"/>
        <w:jc w:val="center"/>
        <w:rPr>
          <w:shd w:fill="FFFFFF" w:val="clear"/>
        </w:rPr>
      </w:pPr>
      <w:r>
        <w:rPr>
          <w:rFonts w:ascii="Times New Roman;serif" w:hAnsi="Times New Roman;serif"/>
          <w:b/>
          <w:color w:val="000000"/>
          <w:sz w:val="20"/>
          <w:shd w:fill="FFFFFF" w:val="clear"/>
        </w:rPr>
        <w:t>Commission File Number:</w:t>
      </w:r>
      <w:r>
        <w:rPr>
          <w:color w:val="000000"/>
          <w:shd w:fill="FFFFFF" w:val="clear"/>
        </w:rPr>
        <w:t xml:space="preserve"> </w:t>
      </w:r>
      <w:r>
        <w:rPr>
          <w:rFonts w:ascii="Times New Roman;serif" w:hAnsi="Times New Roman;serif"/>
          <w:b/>
          <w:color w:val="000000"/>
          <w:sz w:val="20"/>
          <w:shd w:fill="FFFFFF" w:val="clear"/>
        </w:rPr>
        <w:t>333-08704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ICON plc</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(Translation of registrant's name into English)</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South County Business Park, Leopardstown, Dublin 18, D18 X5R3, Ireland</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tbl>
      <w:tblPr>
        <w:tblW w:w="9464" w:type="dxa"/>
        <w:jc w:val="left"/>
        <w:tblInd w:w="0" w:type="dxa"/>
        <w:tblLayout w:type="fixed"/>
        <w:tblCellMar>
          <w:top w:w="28" w:type="dxa"/>
          <w:left w:w="28" w:type="dxa"/>
          <w:bottom w:w="28" w:type="dxa"/>
          <w:right w:w="28" w:type="dxa"/>
        </w:tblCellMar>
      </w:tblPr>
      <w:tblGrid>
        <w:gridCol w:w="873"/>
        <w:gridCol w:w="767"/>
        <w:gridCol w:w="767"/>
        <w:gridCol w:w="767"/>
        <w:gridCol w:w="767"/>
        <w:gridCol w:w="767"/>
        <w:gridCol w:w="767"/>
        <w:gridCol w:w="767"/>
        <w:gridCol w:w="767"/>
        <w:gridCol w:w="767"/>
        <w:gridCol w:w="767"/>
        <w:gridCol w:w="767"/>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tc>
        <w:tc>
          <w:tcPr>
            <w:tcW w:w="154" w:type="dxa"/>
            <w:tcBorders/>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20-F ☒</w:t>
            </w:r>
          </w:p>
        </w:tc>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40-F ☐</w:t>
            </w:r>
          </w:p>
        </w:tc>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8353" w:type="dxa"/>
        <w:jc w:val="left"/>
        <w:tblInd w:w="0" w:type="dxa"/>
        <w:tblLayout w:type="fixed"/>
        <w:tblCellMar>
          <w:top w:w="28" w:type="dxa"/>
          <w:left w:w="28" w:type="dxa"/>
          <w:bottom w:w="28" w:type="dxa"/>
          <w:right w:w="28" w:type="dxa"/>
        </w:tblCellMar>
      </w:tblPr>
      <w:tblGrid>
        <w:gridCol w:w="124"/>
        <w:gridCol w:w="109"/>
        <w:gridCol w:w="109"/>
        <w:gridCol w:w="240"/>
        <w:gridCol w:w="240"/>
        <w:gridCol w:w="241"/>
        <w:gridCol w:w="2135"/>
        <w:gridCol w:w="2135"/>
        <w:gridCol w:w="3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pressrelease.htm">
              <w:r>
                <w:rPr>
                  <w:rStyle w:val="InternetLink"/>
                  <w:rFonts w:ascii="Times New Roman;serif" w:hAnsi="Times New Roman;serif"/>
                  <w:b w:val="false"/>
                  <w:color w:val="0000FF"/>
                  <w:sz w:val="20"/>
                  <w:u w:val="single"/>
                </w:rPr>
                <w:t>99.1</w:t>
              </w:r>
            </w:hyperlink>
          </w:p>
        </w:tc>
        <w:tc>
          <w:tcPr>
            <w:tcW w:w="72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pressrelease.htm">
              <w:r>
                <w:rPr>
                  <w:rStyle w:val="InternetLink"/>
                  <w:rFonts w:ascii="Times New Roman;serif" w:hAnsi="Times New Roman;serif"/>
                  <w:b w:val="false"/>
                  <w:color w:val="000080"/>
                  <w:sz w:val="20"/>
                  <w:u w:val="single"/>
                </w:rPr>
                <w:t>ICON plc Press Release issued Ju</w:t>
              </w:r>
            </w:hyperlink>
            <w:hyperlink w:anchor="q22026pressrelease.htm">
              <w:r>
                <w:rPr>
                  <w:rStyle w:val="InternetLink"/>
                  <w:rFonts w:ascii="Times New Roman;serif" w:hAnsi="Times New Roman;serif"/>
                  <w:b w:val="false"/>
                  <w:color w:val="000080"/>
                  <w:sz w:val="20"/>
                  <w:u w:val="single"/>
                </w:rPr>
                <w:t>ly</w:t>
              </w:r>
            </w:hyperlink>
            <w:hyperlink w:anchor="q22026pressrelease.htm">
              <w:r>
                <w:rPr>
                  <w:rStyle w:val="InternetLink"/>
                  <w:rFonts w:ascii="Times New Roman;serif" w:hAnsi="Times New Roman;serif"/>
                  <w:b w:val="false"/>
                  <w:color w:val="000080"/>
                  <w:sz w:val="20"/>
                  <w:u w:val="single"/>
                </w:rPr>
                <w:t xml:space="preserve"> 2</w:t>
              </w:r>
            </w:hyperlink>
            <w:hyperlink w:anchor="q22026pressrelease.htm">
              <w:r>
                <w:rPr>
                  <w:rStyle w:val="InternetLink"/>
                  <w:rFonts w:ascii="Times New Roman;serif" w:hAnsi="Times New Roman;serif"/>
                  <w:b w:val="false"/>
                  <w:color w:val="000080"/>
                  <w:sz w:val="20"/>
                  <w:u w:val="single"/>
                </w:rPr>
                <w:t>9</w:t>
              </w:r>
            </w:hyperlink>
            <w:hyperlink w:anchor="q22026pressrelease.htm">
              <w:r>
                <w:rPr>
                  <w:rStyle w:val="InternetLink"/>
                  <w:rFonts w:ascii="Times New Roman;serif" w:hAnsi="Times New Roman;serif"/>
                  <w:b w:val="false"/>
                  <w:color w:val="000080"/>
                  <w:sz w:val="20"/>
                  <w:u w:val="single"/>
                </w:rPr>
                <w:t xml:space="preserve">, 2026 - ICON reports </w:t>
              </w:r>
            </w:hyperlink>
            <w:hyperlink w:anchor="q22026pressrelease.htm">
              <w:r>
                <w:rPr>
                  <w:rStyle w:val="InternetLink"/>
                  <w:rFonts w:ascii="Times New Roman;serif" w:hAnsi="Times New Roman;serif"/>
                  <w:b w:val="false"/>
                  <w:color w:val="000080"/>
                  <w:sz w:val="20"/>
                  <w:u w:val="single"/>
                </w:rPr>
                <w:t>Secon</w:t>
              </w:r>
            </w:hyperlink>
            <w:hyperlink w:anchor="q22026pressrelease.htm">
              <w:r>
                <w:rPr>
                  <w:rStyle w:val="InternetLink"/>
                  <w:rFonts w:ascii="Times New Roman;serif" w:hAnsi="Times New Roman;serif"/>
                  <w:b w:val="false"/>
                  <w:color w:val="000080"/>
                  <w:sz w:val="20"/>
                  <w:u w:val="single"/>
                </w:rPr>
                <w:t>d</w:t>
              </w:r>
            </w:hyperlink>
            <w:hyperlink w:anchor="q22026pressrelease.htm">
              <w:r>
                <w:rPr>
                  <w:rStyle w:val="InternetLink"/>
                  <w:rFonts w:ascii="Times New Roman;serif" w:hAnsi="Times New Roman;serif"/>
                  <w:b w:val="false"/>
                  <w:color w:val="000080"/>
                  <w:sz w:val="20"/>
                  <w:u w:val="single"/>
                </w:rPr>
                <w:t xml:space="preserve"> Quarter 2026 results</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tbl>
      <w:tblPr>
        <w:tblW w:w="494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99"/>
        <w:gridCol w:w="299"/>
        <w:gridCol w:w="301"/>
        <w:gridCol w:w="587"/>
        <w:gridCol w:w="587"/>
        <w:gridCol w:w="83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Nigel Clerkin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Nigel Clerkin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ICON Reports Second Quarter 2026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Quarter two revenue of $2,063.5 million, an increase of 1.4% on quarter one 2026.</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Quarter two adjusted EBITDA of $327.2 million or 15.9% of revenue, an increase of 3.0% on quarter one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net income for the quarter</w:t>
      </w:r>
      <w:r>
        <w:rPr>
          <w:color w:val="000000"/>
          <w:shd w:fill="FFFFFF" w:val="clear"/>
        </w:rPr>
        <w:t xml:space="preserve"> </w:t>
      </w:r>
      <w:r>
        <w:rPr>
          <w:rFonts w:ascii="Times New Roman;serif" w:hAnsi="Times New Roman;serif"/>
          <w:b w:val="false"/>
          <w:color w:val="000000"/>
          <w:sz w:val="20"/>
          <w:shd w:fill="FFFFFF" w:val="clear"/>
        </w:rPr>
        <w:t>of $72.6 million or $0.94 dil</w:t>
      </w:r>
      <w:r>
        <w:rPr>
          <w:rFonts w:ascii="Times New Roman;serif" w:hAnsi="Times New Roman;serif"/>
          <w:b w:val="false"/>
          <w:color w:val="000000"/>
          <w:sz w:val="20"/>
        </w:rPr>
        <w:t xml:space="preserve">uted earnings per share.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Quarter two</w:t>
      </w:r>
      <w:r>
        <w:rPr>
          <w:color w:val="000000"/>
        </w:rPr>
        <w:t xml:space="preserve"> </w:t>
      </w:r>
      <w:r>
        <w:rPr>
          <w:rFonts w:ascii="Times New Roman;serif" w:hAnsi="Times New Roman;serif"/>
          <w:b w:val="false"/>
          <w:color w:val="000000"/>
          <w:sz w:val="20"/>
        </w:rPr>
        <w:t>adjusted net income</w:t>
      </w:r>
      <w:r>
        <w:rPr>
          <w:color w:val="000000"/>
        </w:rPr>
        <w:t xml:space="preserve"> </w:t>
      </w:r>
      <w:r>
        <w:rPr>
          <w:rFonts w:ascii="Times New Roman;serif" w:hAnsi="Times New Roman;serif"/>
          <w:b w:val="false"/>
          <w:color w:val="000000"/>
          <w:sz w:val="20"/>
        </w:rPr>
        <w:t>of $198.4 million or $2.56 adjusted diluted earnings per share, an increase of 2.4% on quarter one 2026 adjusted diluted earnings per share.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business wins in the quarter of $3,120 million; a net book-to-bill of 1.51, an increase of 8.3% on quarter one 2026 net business wins.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Closing backlog o</w:t>
      </w:r>
      <w:r>
        <w:rPr>
          <w:rFonts w:ascii="Times New Roman;serif" w:hAnsi="Times New Roman;serif"/>
          <w:b w:val="false"/>
          <w:color w:val="000000"/>
          <w:sz w:val="20"/>
          <w:shd w:fill="FFFFFF" w:val="clear"/>
        </w:rPr>
        <w:t xml:space="preserve">f $23.4 </w:t>
      </w:r>
      <w:r>
        <w:rPr>
          <w:rFonts w:ascii="Times New Roman;serif" w:hAnsi="Times New Roman;serif"/>
          <w:b w:val="false"/>
          <w:color w:val="000000"/>
          <w:sz w:val="20"/>
        </w:rPr>
        <w:t>billion, an increase of 3.0% on quarter one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debt of $2.5 billion at June 30, 2026 with a net debt to adjusted EBITDA ratio of 1.8x.</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Reaffirming 2026 full-year financial guidance issued with revenue expected in the range of $7,850 - $8,150 million and adjusted diluted earnings per share* expected in the range of $10.00 - $11.00.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shd w:fill="FFFFFF" w:val="clear"/>
        </w:rPr>
        <w:t xml:space="preserve">Dublin, Ireland, July 29, 2026 </w:t>
      </w:r>
      <w:r>
        <w:rPr>
          <w:color w:val="000000"/>
          <w:shd w:fill="FFFFFF" w:val="clear"/>
        </w:rPr>
        <w:t xml:space="preserve">– </w:t>
      </w:r>
      <w:r>
        <w:rPr>
          <w:rFonts w:ascii="Times New Roman;serif" w:hAnsi="Times New Roman;serif"/>
          <w:b w:val="false"/>
          <w:color w:val="000000"/>
          <w:sz w:val="20"/>
          <w:shd w:fill="FFFFFF" w:val="clear"/>
        </w:rPr>
        <w:t>ICON plc (NASDAQ: ICLR), a world-leading clinical research organization, today reported its financial results for the second quarter ended June 30, 2026.</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CEO, Mr. Barry Balfe commented, </w:t>
      </w:r>
      <w:r>
        <w:rPr>
          <w:color w:val="000000"/>
        </w:rPr>
        <w:t>“</w:t>
      </w:r>
      <w:r>
        <w:rPr>
          <w:rFonts w:ascii="Times New Roman;serif" w:hAnsi="Times New Roman;serif"/>
          <w:b w:val="false"/>
          <w:i/>
          <w:color w:val="000000"/>
          <w:sz w:val="20"/>
        </w:rPr>
        <w:t>ICON's second quarter results reflect measured progress, as disciplined cost management offset anticipated operational headwinds.  While revenue and net bookings benefited from higher pass-through activity, strong strategic wins and new customer acquisition supported a direct fee book-to-bill ratio of 1.2x, underscoring the strength of our focused commercial strategy and diversified, scaled platform.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We are reaffirming our 2026 financial outlook, which reflects both opportunities and risks over the balance of the year. While second-half performance remains subject to variability in factors such as pass-through activity, the underlying fundamentals of our business remain solid, supported by our diversified portfolio, operational agility and disciplined cost management.  Strong cash generation continues to support our capital allocation priorities, including investing in strategic growth opportunities and returning capital to shareholders.”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Second Quarter 2026</w:t>
      </w:r>
      <w:r>
        <w:rPr>
          <w:color w:val="000000"/>
        </w:rPr>
        <w:t xml:space="preserve"> </w:t>
      </w:r>
      <w:r>
        <w:rPr>
          <w:rFonts w:ascii="Times New Roman;serif" w:hAnsi="Times New Roman;serif"/>
          <w:b/>
          <w:color w:val="000000"/>
          <w:sz w:val="20"/>
        </w:rPr>
        <w:t>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quarter two 2026, gross bookings were $3,681 million, an increase of 24.1% on quarter two 2025, with cancellations of $562 million. This resulted in net business wins of $3,120 million and a book-to-bill of 1.51. Backlog as at June 30, 2026 was $23.4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second quarter was $2,063.5 million. This represents an increase of 1.2% on quarter two 2025, an increase of 0.4% on a constant currency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GAAP net income was $72.6 million, resulting in diluted earnings per share of $0.94 in quarter two 2026, compared to diluted earnings per share of $2.56 in quarter two 2025. Adjusted net income for the quarter was $198.4 million, resulting in adjusted diluted earnings per share of $2.56 compared to $3.52 per share in quarter two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for the second quarter was $327.2 million or 15.9% of revenue, a decrease of 21.7% on quarter two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on adjusted net income in quarter two 2026 was 18.4%.</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 xml:space="preserve">Free cash flow was $238.9 million in the quarter. Cash generated from operating activities for the quarter was $281.3 million. During the quarter, $42.4 million was spent on capital expenditure. $7.4 million of Term Loan B payments were made during </w:t>
      </w:r>
      <w:r>
        <w:rPr>
          <w:rFonts w:ascii="Times New Roman;serif" w:hAnsi="Times New Roman;serif"/>
          <w:b w:val="false"/>
          <w:color w:val="000000"/>
          <w:sz w:val="20"/>
          <w:shd w:fill="FFFFFF" w:val="clear"/>
        </w:rPr>
        <w:t>the quarter and there were net cash outflows on the disposal of a subsidiary undertaking of $55.5 million.</w:t>
      </w:r>
      <w:r>
        <w:rPr>
          <w:color w:val="000000"/>
        </w:rPr>
        <w:t xml:space="preserve"> </w:t>
      </w:r>
      <w:r>
        <w:rPr>
          <w:rFonts w:ascii="Times New Roman;serif" w:hAnsi="Times New Roman;serif"/>
          <w:b w:val="false"/>
          <w:color w:val="000000"/>
          <w:sz w:val="20"/>
        </w:rPr>
        <w:t>At June 30, 2026, the Group had cash and cash equivalents of $928.4 million, compared to cash and cash equivalents of $765.2 million at March 31, 2026 and $390.4 million at June 30, 2025. Net debt as at June 30, 2026 was $2.5 billion.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Year to date 2026 Results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Gross business wins year to date were $6,944 million and cancellations were $945 million. This resulted in net business wins of $5,999 million and a book-to-bill of 1.46.</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Revenue year to date was $4,097.5</w:t>
      </w:r>
      <w:r>
        <w:rPr>
          <w:color w:val="000000"/>
          <w:shd w:fill="FFFFFF" w:val="clear"/>
        </w:rPr>
        <w:t xml:space="preserve"> </w:t>
      </w:r>
      <w:r>
        <w:rPr>
          <w:rFonts w:ascii="Times New Roman;serif" w:hAnsi="Times New Roman;serif"/>
          <w:b w:val="false"/>
          <w:color w:val="000000"/>
          <w:sz w:val="20"/>
          <w:shd w:fill="FFFFFF" w:val="clear"/>
        </w:rPr>
        <w:t>million. This represents a year on year increase of 1.1% or a decrease of 0.8% on a constant currency basis.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GAAP net income year to date w</w:t>
      </w:r>
      <w:r>
        <w:rPr>
          <w:rFonts w:ascii="Times New Roman;serif" w:hAnsi="Times New Roman;serif"/>
          <w:b w:val="false"/>
          <w:color w:val="000000"/>
          <w:sz w:val="20"/>
          <w:shd w:fill="FFFFFF" w:val="clear"/>
        </w:rPr>
        <w:t>as $177.3 million, resulting in $2.29</w:t>
      </w:r>
      <w:r>
        <w:rPr>
          <w:color w:val="000000"/>
        </w:rPr>
        <w:t xml:space="preserve"> </w:t>
      </w:r>
      <w:r>
        <w:rPr>
          <w:rFonts w:ascii="Times New Roman;serif" w:hAnsi="Times New Roman;serif"/>
          <w:b w:val="false"/>
          <w:color w:val="000000"/>
          <w:sz w:val="20"/>
        </w:rPr>
        <w:t>diluted earnings per share. Year to date adjusted net income was $391.3 million, resulting in an adjusted diluted earnings per share of $5.06 compared to $6.79 per share for the equivalent prior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year to date was $645.0 million or 15.7% of revenue, a year on year decrease of 20.9%.</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on adjusted net income year to date was 17.8%.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ICON will hold a conference call on July 30, 2026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Cautionary Statement Regarding Forward-Looking Statements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anticipated financial results for 2026; contracted revenue;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filed on May 27, 2026 for a discussion of some of the principal risks that could adversely affect our business, operations and financial results. The Company’s forward-looking statements speak only as of the date of this report or as of the date they are made, and the Company undertakes no obligation to update its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financial measures prepared in accordance with generally accepted accounting principles (GAAP), this press release contains certain non-GAAP financial measures, including adjusted EBITDA, adjusted net income and adjusted diluted earnings per share and free cash flow. Adjusted EBITDA excludes stock-based compensation, foreign currency gains and losses, restructuring, transaction, integration related and other adjustments, fair value movement on investments in equity, loss of disposal of subsidiary undertaking, goodwill impairment and impairment of non-financial assets. Adjusted net income and adjusted diluted earnings per share exclude amortization, stock-based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foreign currency gains and losses, restructuring, transaction, integration related and other adjustments, transaction-related financing costs, fair value movement on investments in equity, goodwill impairment, impairment of non-financial assets, loss of disposal of subsidiary undertaking and their related taxation effect. Free cash flow reflects cash generated from operating activities less capital expenditure. While non-GAAP financial measures are not superior to or a substitute for the comparable GAAP measures, ICON believes certain non-GAAP information is useful to investors for historical comparison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diluted earnings per share to exclude amortization, stock-based compensation, foreign currency gains and losses, restructuring, transaction, integration related and other adjustments, transaction-related financing costs, fair value movement on investments in equity, goodwill impairment, impairment of non-financial assets, loss on disposal of subsidiary undertaking and their related taxation effect.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full-year 2026 guidance adjusted diluted earnings per share measures are provided on a non-GAAP basis without a reconciliation to the most directly comparable GAAP measure because the Company is unable to predict with a reasonable degree of certainty certain items contained in the measures without unreasonable efforts. For the same reasons, the Company is unable to address the probable significance of the unavailable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40,200 employees in 99 locations in 55 countries as at June 30, 2026. For further information about ICON, visit: www.iconplc.com.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Source: ICON plc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Contact: Investor Relations +1 888 381 7923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Nigel Clerkin Chief Financial Officer +353 1 291 2000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Kate Haven Vice President Investor Relations +1 888 381 7923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at ICON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ICON/ICLR-F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AND SIX MONTHS ENDED JUNE 30, 2026 AND 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ind w:left="0" w:right="0" w:firstLine="45"/>
        <w:jc w:val="center"/>
        <w:rPr/>
      </w:pPr>
      <w:r>
        <w:rPr/>
      </w:r>
    </w:p>
    <w:tbl>
      <w:tblPr>
        <w:tblW w:w="10205" w:type="dxa"/>
        <w:jc w:val="left"/>
        <w:tblInd w:w="0" w:type="dxa"/>
        <w:tblLayout w:type="fixed"/>
        <w:tblCellMar>
          <w:top w:w="28" w:type="dxa"/>
          <w:left w:w="28" w:type="dxa"/>
          <w:bottom w:w="28" w:type="dxa"/>
          <w:right w:w="28" w:type="dxa"/>
        </w:tblCellMar>
      </w:tblPr>
      <w:tblGrid>
        <w:gridCol w:w="1331"/>
        <w:gridCol w:w="1163"/>
        <w:gridCol w:w="117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56"/>
      </w:tblGrid>
      <w:tr>
        <w:trPr/>
        <w:tc>
          <w:tcPr>
            <w:tcW w:w="133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Six Months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2,039,088 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4,097,485 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4,054,408 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related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subsidiary undertaking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3,785,922 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 / benefit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 benefit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ordinary share:</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76,845,757 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79,245,448 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76,712,589 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79,899,091 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77,371,396 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79,547,444 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77,316,605 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80,235,900 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AT JUNE 30, 2026 AND DECEMBER 31, 2025</w:t>
      </w:r>
    </w:p>
    <w:p>
      <w:pPr>
        <w:pStyle w:val="TextBody"/>
        <w:bidi w:val="0"/>
        <w:spacing w:before="0" w:after="0"/>
        <w:jc w:val="center"/>
        <w:rPr/>
      </w:pPr>
      <w:r>
        <w:rPr/>
      </w:r>
    </w:p>
    <w:tbl>
      <w:tblPr>
        <w:tblW w:w="8911" w:type="dxa"/>
        <w:jc w:val="center"/>
        <w:tblInd w:w="0" w:type="dxa"/>
        <w:tblLayout w:type="fixed"/>
        <w:tblCellMar>
          <w:top w:w="28" w:type="dxa"/>
          <w:left w:w="28" w:type="dxa"/>
          <w:bottom w:w="28" w:type="dxa"/>
          <w:right w:w="28" w:type="dxa"/>
        </w:tblCellMar>
      </w:tblPr>
      <w:tblGrid>
        <w:gridCol w:w="1925"/>
        <w:gridCol w:w="1698"/>
        <w:gridCol w:w="1702"/>
        <w:gridCol w:w="224"/>
        <w:gridCol w:w="1147"/>
        <w:gridCol w:w="115"/>
        <w:gridCol w:w="109"/>
        <w:gridCol w:w="109"/>
        <w:gridCol w:w="109"/>
        <w:gridCol w:w="211"/>
        <w:gridCol w:w="1081"/>
        <w:gridCol w:w="109"/>
        <w:gridCol w:w="109"/>
        <w:gridCol w:w="109"/>
        <w:gridCol w:w="154"/>
      </w:tblGrid>
      <w:tr>
        <w:trPr/>
        <w:tc>
          <w:tcPr>
            <w:tcW w:w="192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(Audited)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5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928,385 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1,458,354 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1,054,478 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3,748,645 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3,501,675 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385,427 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8,721,268 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3,146,498 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107,409 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16,400,320 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16,269,782 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118,238 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1,603,204 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916,522 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bank credit lines, loan facilities and notes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1,279,762 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3,934,665 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bank credit lines, loan facilities and notes, net</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2,110,783 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other liabilities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income taxes payable</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7,022,158 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7,076,398 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 par value 6 euro cents per share; 100,000,000 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77,154,209 shares issued and outstanding at June 30, 2026 and</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76,567,325 shares issued and outstanding at December 31, 2025</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w:t>
              <w:noBreakHyphen/>
              <w:t>in capital</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7,180,646 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undenominated capital</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2,299,384 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9,378,162 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9,193,384 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16,400,320 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16,269,782 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SIX MONTHS ENDED JUNE 30, 2026 AND 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34" w:type="dxa"/>
        <w:jc w:val="left"/>
        <w:tblInd w:w="0" w:type="dxa"/>
        <w:tblLayout w:type="fixed"/>
        <w:tblCellMar>
          <w:top w:w="28" w:type="dxa"/>
          <w:left w:w="28" w:type="dxa"/>
          <w:bottom w:w="28" w:type="dxa"/>
          <w:right w:w="28" w:type="dxa"/>
        </w:tblCellMar>
      </w:tblPr>
      <w:tblGrid>
        <w:gridCol w:w="2536"/>
        <w:gridCol w:w="2231"/>
        <w:gridCol w:w="2267"/>
        <w:gridCol w:w="211"/>
        <w:gridCol w:w="826"/>
        <w:gridCol w:w="109"/>
        <w:gridCol w:w="109"/>
        <w:gridCol w:w="109"/>
        <w:gridCol w:w="109"/>
        <w:gridCol w:w="211"/>
        <w:gridCol w:w="826"/>
        <w:gridCol w:w="109"/>
        <w:gridCol w:w="109"/>
        <w:gridCol w:w="109"/>
        <w:gridCol w:w="109"/>
        <w:gridCol w:w="154"/>
      </w:tblGrid>
      <w:tr>
        <w:trPr/>
        <w:tc>
          <w:tcPr>
            <w:tcW w:w="253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operating right-of-use assets and related property, plant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value of operating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subsidiary undertaking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movements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used in investing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subsidiary undertakings (net of cash acquired)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outflow on disposal of subsidiary undertaking (including cash sold)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investments in equity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investments in equity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used in financing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Drawdown of credit lines and loan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credit lines and loan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equity compensation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ordinary shares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movements on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 (decrease) in cash and cash equivalents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MONTHS AND SIX MONTHS ENDED JUNE 30, 2026 AND JUNE 30, 2025 </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29"/>
        <w:gridCol w:w="1177"/>
        <w:gridCol w:w="1184"/>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56"/>
      </w:tblGrid>
      <w:tr>
        <w:trPr/>
        <w:tc>
          <w:tcPr>
            <w:tcW w:w="17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 (benefit)</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expense </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Foreign currency losses / (gains), net </w:t>
            </w:r>
            <w:r>
              <w:rPr>
                <w:rFonts w:ascii="Times New Roman;serif" w:hAnsi="Times New Roman;serif"/>
                <w:b w:val="false"/>
                <w:color w:val="000000"/>
                <w:sz w:val="13"/>
              </w:rPr>
              <w:t>(b)</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(c)</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Transaction, integration related and other </w:t>
            </w:r>
            <w:r>
              <w:rPr>
                <w:rFonts w:ascii="Times New Roman;serif" w:hAnsi="Times New Roman;serif"/>
                <w:b w:val="false"/>
                <w:color w:val="000000"/>
                <w:sz w:val="13"/>
              </w:rPr>
              <w:t>(d)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movement on investments in equity </w:t>
            </w:r>
            <w:r>
              <w:rPr>
                <w:rFonts w:ascii="Times New Roman;serif" w:hAnsi="Times New Roman;serif"/>
                <w:b w:val="false"/>
                <w:color w:val="000000"/>
                <w:sz w:val="13"/>
              </w:rPr>
              <w:t>(f)</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on disposal of subsidiary undertaking </w:t>
            </w:r>
            <w:r>
              <w:rPr>
                <w:rFonts w:ascii="Times New Roman;serif" w:hAnsi="Times New Roman;serif"/>
                <w:b w:val="false"/>
                <w:color w:val="000000"/>
                <w:sz w:val="13"/>
              </w:rPr>
              <w:t>(g)</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and adjusted diluted net income per Ordinary Share</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 (benefit)</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Foreign currency losses / (gains), net </w:t>
            </w:r>
            <w:r>
              <w:rPr>
                <w:rFonts w:ascii="Times New Roman;serif" w:hAnsi="Times New Roman;serif"/>
                <w:b w:val="false"/>
                <w:color w:val="000000"/>
                <w:sz w:val="13"/>
              </w:rPr>
              <w:t>(b)</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(c)</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Transaction, integration related and other </w:t>
            </w:r>
            <w:r>
              <w:rPr>
                <w:rFonts w:ascii="Times New Roman;serif" w:hAnsi="Times New Roman;serif"/>
                <w:b w:val="false"/>
                <w:color w:val="000000"/>
                <w:sz w:val="13"/>
              </w:rPr>
              <w:t>(d)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Transaction-related financing costs </w:t>
            </w:r>
            <w:r>
              <w:rPr>
                <w:rFonts w:ascii="Times New Roman;serif" w:hAnsi="Times New Roman;serif"/>
                <w:b w:val="false"/>
                <w:color w:val="000000"/>
                <w:sz w:val="13"/>
              </w:rPr>
              <w:t>(e)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movement on investments in equity </w:t>
            </w:r>
            <w:r>
              <w:rPr>
                <w:rFonts w:ascii="Times New Roman;serif" w:hAnsi="Times New Roman;serif"/>
                <w:b w:val="false"/>
                <w:color w:val="000000"/>
                <w:sz w:val="13"/>
              </w:rPr>
              <w:t>(f)</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on disposal of subsidiary undertaking </w:t>
            </w:r>
            <w:r>
              <w:rPr>
                <w:rFonts w:ascii="Times New Roman;serif" w:hAnsi="Times New Roman;serif"/>
                <w:b w:val="false"/>
                <w:color w:val="000000"/>
                <w:sz w:val="13"/>
              </w:rPr>
              <w:t>(g)</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tax expense </w:t>
            </w:r>
            <w:r>
              <w:rPr>
                <w:rFonts w:ascii="Times New Roman;serif" w:hAnsi="Times New Roman;serif"/>
                <w:b w:val="false"/>
                <w:color w:val="000000"/>
                <w:sz w:val="13"/>
              </w:rPr>
              <w:t>(h)</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Ordinary Shares outstanding</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77,371,396 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79,547,444 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77,316,605 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80,235,900 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30"/>
              <w:jc w:val="left"/>
              <w:rPr>
                <w:rFonts w:ascii="Times New Roman;serif" w:hAnsi="Times New Roman;serif"/>
                <w:b/>
                <w:color w:val="000000"/>
                <w:sz w:val="20"/>
              </w:rPr>
            </w:pPr>
            <w:r>
              <w:rPr>
                <w:rFonts w:ascii="Times New Roman;serif" w:hAnsi="Times New Roman;serif"/>
                <w:b/>
                <w:color w:val="000000"/>
                <w:sz w:val="20"/>
              </w:rPr>
              <w:t>Adjusted diluted net income per Ordinary Share</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5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(a)Stock-based compensation expense represents the amount of expense related to the Company’s equity compensation programs (inclusive of employer related taxes).</w:t>
      </w:r>
    </w:p>
    <w:p>
      <w:pPr>
        <w:pStyle w:val="TextBody"/>
        <w:bidi w:val="0"/>
        <w:spacing w:lineRule="auto" w:line="25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(b)Foreign currency losses / (gains), net relates to gains or losses that arise in connection with the revaluation, or settlement, of non-US dollar denominated assets and liabilities. We exclude these gains and losses from adjusted EBITDA and adjusted net income because fluctuations from period-to-period do not necessarily correspond to changes in our operating results.</w:t>
      </w:r>
    </w:p>
    <w:p>
      <w:pPr>
        <w:pStyle w:val="TextBody"/>
        <w:bidi w:val="0"/>
        <w:spacing w:lineRule="auto" w:line="25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(c)Restructuring relates to charges incurred in connection with the Company's realignment of its workforce, with the elimination of redundant positions as well as reviewing its global office footprint and optimizing its locations to best fit the requirements of the Company.</w:t>
      </w:r>
    </w:p>
    <w:p>
      <w:pPr>
        <w:pStyle w:val="TextBody"/>
        <w:bidi w:val="0"/>
        <w:spacing w:lineRule="auto" w:line="25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(d)Transaction, integration related and other costs include expenses associated with our acquisitions and any other costs incurred related to the integration of these acquisitions. Further, costs incurred in 2026 relating to the Investigation, including out of scope audit fees resulting from the impact of the investigation, and in defense of the Putative Class Action are classified within this category.</w:t>
      </w:r>
    </w:p>
    <w:p>
      <w:pPr>
        <w:pStyle w:val="TextBody"/>
        <w:bidi w:val="0"/>
        <w:spacing w:lineRule="auto" w:line="25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(e)Transaction-related financing costs includes costs incurred in connection with changes to our long-term debt and amortization of financing fees. We exclude these costs from adjusted net income because they result from financing decisions rather than from decisions made related to our ongoing operations.</w:t>
      </w:r>
    </w:p>
    <w:p>
      <w:pPr>
        <w:pStyle w:val="TextBody"/>
        <w:bidi w:val="0"/>
        <w:spacing w:lineRule="auto" w:line="25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(f)Fair value movement on investments in equity. We exclude these movements from adjusted EBITDA and adjusted net income because fluctuations from period-to-period do not necessarily correspond to changes in our operating results.</w:t>
      </w:r>
    </w:p>
    <w:p>
      <w:pPr>
        <w:pStyle w:val="TextBody"/>
        <w:bidi w:val="0"/>
        <w:spacing w:lineRule="auto" w:line="25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(g)On May 8, 2026, ICON completed the disposal of Symphony Health Solutions Corporation. The Company recognized a pre-tax loss on disposal, including transaction costs, of $32.9 million. This loss is excluded from adjusted EBITDA and adjusted net income.</w:t>
      </w:r>
    </w:p>
    <w:p>
      <w:pPr>
        <w:pStyle w:val="TextBody"/>
        <w:bidi w:val="0"/>
        <w:spacing w:lineRule="auto" w:line="25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(h)Represents the tax effect of adjusted pre-tax income at our estimated effective tax rate.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plc</w:t>
      </w:r>
    </w:p>
    <w:p>
      <w:pPr>
        <w:pStyle w:val="TextBody"/>
        <w:bidi w:val="0"/>
        <w:spacing w:before="0" w:after="0"/>
        <w:jc w:val="left"/>
        <w:rPr/>
      </w:pPr>
      <w:r>
        <w:rPr/>
      </w:r>
    </w:p>
    <w:tbl>
      <w:tblPr>
        <w:tblW w:w="6105" w:type="dxa"/>
        <w:jc w:val="left"/>
        <w:tblInd w:w="0" w:type="dxa"/>
        <w:tblLayout w:type="fixed"/>
        <w:tblCellMar>
          <w:top w:w="28" w:type="dxa"/>
          <w:left w:w="28" w:type="dxa"/>
          <w:bottom w:w="28" w:type="dxa"/>
          <w:right w:w="28" w:type="dxa"/>
        </w:tblCellMar>
      </w:tblPr>
      <w:tblGrid>
        <w:gridCol w:w="298"/>
        <w:gridCol w:w="263"/>
        <w:gridCol w:w="264"/>
        <w:gridCol w:w="1542"/>
        <w:gridCol w:w="1542"/>
        <w:gridCol w:w="219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+1 888 381 7923 </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Nigel Clerkin Chief Financial Officer </w:t>
            </w:r>
            <w:r>
              <w:rPr>
                <w:rFonts w:ascii="Times New Roman;serif" w:hAnsi="Times New Roman;serif"/>
                <w:b w:val="false"/>
                <w:color w:val="000000"/>
                <w:sz w:val="20"/>
                <w:shd w:fill="FFFFFF" w:val="clear"/>
              </w:rPr>
              <w:t>+353 1 291 2000</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Haven Vice President Investor Relations +1 888 381 7923</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http://www.iconplc.com</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3132</Words>
  <Characters>18384</Characters>
  <CharactersWithSpaces>21205</CharactersWithSpaces>
  <Paragraphs>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