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6-K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month of July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333-08704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ICON plc</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(Translation of registrant's name into English) </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County Business Park, Leopardstown, Dublin 18, D18 X5R3, Ireland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left"/>
        <w:rPr/>
      </w:pPr>
      <w:r>
        <w:rPr/>
      </w:r>
    </w:p>
    <w:p>
      <w:pPr>
        <w:pStyle w:val="TextBody"/>
        <w:bidi w:val="0"/>
        <w:spacing w:before="0" w:after="0"/>
        <w:jc w:val="left"/>
        <w:rPr/>
      </w:pPr>
      <w:r>
        <w:rPr/>
      </w:r>
    </w:p>
    <w:tbl>
      <w:tblPr>
        <w:tblW w:w="9464" w:type="dxa"/>
        <w:jc w:val="left"/>
        <w:tblInd w:w="0" w:type="dxa"/>
        <w:tblLayout w:type="fixed"/>
        <w:tblCellMar>
          <w:top w:w="28" w:type="dxa"/>
          <w:left w:w="28" w:type="dxa"/>
          <w:bottom w:w="28" w:type="dxa"/>
          <w:right w:w="28" w:type="dxa"/>
        </w:tblCellMar>
      </w:tblPr>
      <w:tblGrid>
        <w:gridCol w:w="873"/>
        <w:gridCol w:w="767"/>
        <w:gridCol w:w="767"/>
        <w:gridCol w:w="767"/>
        <w:gridCol w:w="767"/>
        <w:gridCol w:w="767"/>
        <w:gridCol w:w="767"/>
        <w:gridCol w:w="767"/>
        <w:gridCol w:w="767"/>
        <w:gridCol w:w="767"/>
        <w:gridCol w:w="767"/>
        <w:gridCol w:w="767"/>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310"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tc>
        <w:tc>
          <w:tcPr>
            <w:tcW w:w="154" w:type="dxa"/>
            <w:tcBorders/>
          </w:tcPr>
          <w:p>
            <w:pPr>
              <w:pStyle w:val="TableContents"/>
              <w:bidi w:val="0"/>
              <w:spacing w:before="0" w:after="283"/>
              <w:jc w:val="left"/>
              <w:rPr>
                <w:sz w:val="4"/>
                <w:szCs w:val="4"/>
              </w:rPr>
            </w:pPr>
            <w:r>
              <w:rPr>
                <w:sz w:val="4"/>
                <w:szCs w:val="4"/>
              </w:rPr>
            </w:r>
          </w:p>
        </w:tc>
      </w:tr>
      <w:tr>
        <w:trPr/>
        <w:tc>
          <w:tcPr>
            <w:tcW w:w="2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20-F ☒</w:t>
            </w:r>
          </w:p>
        </w:tc>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40-F ☐</w:t>
            </w:r>
          </w:p>
        </w:tc>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310"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 w:type="dxa"/>
            <w:tcBorders/>
          </w:tcPr>
          <w:p>
            <w:pPr>
              <w:pStyle w:val="TableContents"/>
              <w:bidi w:val="0"/>
              <w:spacing w:before="0" w:after="283"/>
              <w:jc w:val="left"/>
              <w:rPr>
                <w:sz w:val="4"/>
                <w:szCs w:val="4"/>
              </w:rPr>
            </w:pPr>
            <w:r>
              <w:rPr>
                <w:sz w:val="4"/>
                <w:szCs w:val="4"/>
              </w:rPr>
            </w:r>
          </w:p>
        </w:tc>
      </w:tr>
      <w:tr>
        <w:trPr/>
        <w:tc>
          <w:tcPr>
            <w:tcW w:w="9310" w:type="dxa"/>
            <w:gridSpan w:val="12"/>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Arial;sans-serif" w:hAnsi="Arial;sans-serif"/>
          <w:b/>
          <w:color w:val="000000"/>
          <w:sz w:val="18"/>
        </w:rPr>
      </w:pPr>
      <w:r>
        <w:rPr>
          <w:rFonts w:ascii="Arial;sans-serif" w:hAnsi="Arial;sans-serif"/>
          <w:b/>
          <w:color w:val="000000"/>
          <w:sz w:val="18"/>
        </w:rPr>
        <w:t>ICON plc</w:t>
      </w:r>
    </w:p>
    <w:p>
      <w:pPr>
        <w:pStyle w:val="TextBody"/>
        <w:bidi w:val="0"/>
        <w:spacing w:lineRule="auto" w:line="288" w:before="180" w:after="18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This report on Form 6-K is hereby incorporated by reference into the registration statements of ICON plc on Form S-8 (Registration Nos. 333-152802, 333-204153, 333-231527, 333-254891, 333-257578 and 333-282826) and on Form F-3 (Registration No. 333-278943),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GENERAL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18"/>
          <w:shd w:fill="FFFFFF" w:val="clear"/>
        </w:rPr>
        <w:t>As used herein, “ICON plc”, “ICON”, "</w:t>
      </w:r>
      <w:r>
        <w:rPr>
          <w:rFonts w:ascii="Arial;sans-serif" w:hAnsi="Arial;sans-serif"/>
          <w:b w:val="false"/>
          <w:color w:val="000000"/>
          <w:sz w:val="18"/>
        </w:rPr>
        <w:t>ICON</w:t>
      </w:r>
      <w:r>
        <w:rPr>
          <w:color w:val="000000"/>
          <w:shd w:fill="FFFFFF" w:val="clear"/>
        </w:rPr>
        <w:t xml:space="preserve"> </w:t>
      </w:r>
      <w:r>
        <w:rPr>
          <w:rFonts w:ascii="Arial;sans-serif" w:hAnsi="Arial;sans-serif"/>
          <w:b w:val="false"/>
          <w:color w:val="000000"/>
          <w:sz w:val="18"/>
          <w:shd w:fill="FFFFFF" w:val="clear"/>
        </w:rPr>
        <w:t>Group", the “Company” and “we”, "our" or “us” refer to ICON public limited company and its consolidated subsidiaries, unless the context requires otherwise.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Business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Arial;sans-serif" w:hAnsi="Arial;sans-serif"/>
          <w:b w:val="false"/>
          <w:color w:val="000000"/>
          <w:sz w:val="18"/>
        </w:rPr>
        <w:t xml:space="preserve">ICON is a contract research organization (“CRO”), providing outsourced services on a global basis to pharmaceutical, biotechnology, medical device and government and public health organizations. </w:t>
      </w:r>
      <w:r>
        <w:rPr>
          <w:rFonts w:ascii="Arial;sans-serif" w:hAnsi="Arial;sans-serif"/>
          <w:b w:val="false"/>
          <w:color w:val="000000"/>
          <w:sz w:val="18"/>
          <w:shd w:fill="FFFFFF" w:val="clear"/>
        </w:rPr>
        <w:t>We specialize in the strategic development, management and analysis of programs that support all stages of the clinical development process, from compound selection to Phase I-IV clinical studies.</w:t>
      </w:r>
      <w:r>
        <w:rPr>
          <w:color w:val="000000"/>
        </w:rPr>
        <w:t xml:space="preserve"> </w:t>
      </w:r>
      <w:r>
        <w:rPr>
          <w:rFonts w:ascii="Arial;sans-serif" w:hAnsi="Arial;sans-serif"/>
          <w:b w:val="false"/>
          <w:color w:val="000000"/>
          <w:sz w:val="18"/>
        </w:rPr>
        <w:t>O</w:t>
      </w:r>
      <w:r>
        <w:rPr>
          <w:rFonts w:ascii="Arial;sans-serif" w:hAnsi="Arial;sans-serif"/>
          <w:b w:val="false"/>
          <w:color w:val="000000"/>
          <w:sz w:val="18"/>
          <w:shd w:fill="FFFFFF" w:val="clear"/>
        </w:rPr>
        <w:t>ur vision is to be the healthcare intelligence partner of choice by delivering industry leading solutions and best in class performance in clinical development.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June 30, 2026 we had approximately 40,200 employees in 99 locations in 55 countries. During the six months ended June 30, 2026 we derived 29.0%, 59.0% and 12.0% of our revenue in the United States, Europe and Rest of World respectively (during the six months ended June 30, 2025: 30.7%, 58.6% and 10.7%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Recent developments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Bridge Secured Credit Facility</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April 27, 2026, ICON Global Treasury Unlimited Company (the “Bridge Facility Borrower”), a subsidiary of the Company, entered into a bridge facility credit agreement for an aggregate principal amount of $500 million (the "Bridge Secured Credit Facility").</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val="false"/>
          <w:color w:val="000000"/>
          <w:sz w:val="18"/>
        </w:rPr>
        <w:t>On July 15, 2026, the Company drew down on the Bridge Secured Credit Facility in full and used the proceeds of $500.0 million to repay</w:t>
      </w:r>
      <w:r>
        <w:rPr>
          <w:color w:val="000000"/>
        </w:rPr>
        <w:t xml:space="preserve"> </w:t>
      </w:r>
      <w:r>
        <w:rPr>
          <w:rFonts w:ascii="Arial;sans-serif" w:hAnsi="Arial;sans-serif"/>
          <w:b w:val="false"/>
          <w:color w:val="000000"/>
          <w:sz w:val="18"/>
        </w:rPr>
        <w:t>in full $500.0 million aggregate principal amount of the 2.875% Senior Secured Notes (the “2026 Notes”) issued by a subsidiary of the Group in July 2021 that matured on July 15, 2026. The Bridge Secured Credit Facility will mature on April 26, 2027.</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18"/>
        </w:rPr>
      </w:pPr>
      <w:r>
        <w:rPr>
          <w:rFonts w:ascii="Arial;sans-serif" w:hAnsi="Arial;sans-serif"/>
          <w:b w:val="false"/>
          <w:i/>
          <w:color w:val="000000"/>
          <w:sz w:val="18"/>
        </w:rPr>
        <w:t xml:space="preserve">Disposal of Symphony Health Solutions Corporation </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May 8, 2026, ICON completed the disposal of Symphony Health Solutions Corporation ("Symphony") pursuant to a merger agreement, by and among HealthVerity, Inc. ("HealthVerity"), Symphony, Pharmaceutical Research Associates, Inc. and HealthVerity Merger Sub, Inc. ("HV Merger Sub"), a wholly owned subsidiary of HealthVerity. Pursuant to the merger agreement, HV Merger Sub merged with and into Symphony, with Symphony surviving the merger as a wholly owned subsidiary of HealthVerity.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Arial;sans-serif" w:hAnsi="Arial;sans-serif"/>
          <w:b w:val="false"/>
          <w:color w:val="000000"/>
          <w:sz w:val="18"/>
        </w:rPr>
        <w:t>The consideration payable by HealthVerity in connection with the merger consisted of shares of stock in HealthVerity, subject to customary adjustments as set forth in the merger agreement. In connection with the merger, ICON also purchased additional shares of stock in HealthVerity for an aggregate purchase price of</w:t>
      </w:r>
      <w:r>
        <w:rPr>
          <w:color w:val="000000"/>
        </w:rPr>
        <w:t xml:space="preserve"> </w:t>
      </w:r>
      <w:r>
        <w:rPr>
          <w:rFonts w:ascii="Arial;sans-serif" w:hAnsi="Arial;sans-serif"/>
          <w:b w:val="false"/>
          <w:color w:val="000000"/>
          <w:sz w:val="18"/>
        </w:rPr>
        <w:t xml:space="preserve">$37.5 million. As a result, ICON holds a minority equity interest in HealthVerity. The Company recorded a loss on disposal of subsidiary undertaking of $32.9 million in connection with the disposal. As of June 30, 2026, the carrying value of the Company's investment in HealthVerity was $nil. </w:t>
      </w:r>
    </w:p>
    <w:p>
      <w:pPr>
        <w:pStyle w:val="TextBody"/>
        <w:bidi w:val="0"/>
        <w:spacing w:before="0" w:after="0"/>
        <w:jc w:val="both"/>
        <w:rPr/>
      </w:pPr>
      <w:r>
        <w:rPr/>
      </w:r>
    </w:p>
    <w:p>
      <w:pPr>
        <w:pStyle w:val="TextBody"/>
        <w:bidi w:val="0"/>
        <w:spacing w:lineRule="auto" w:line="268" w:before="0" w:after="160"/>
        <w:jc w:val="both"/>
        <w:rPr>
          <w:rFonts w:ascii="Arial;sans-serif" w:hAnsi="Arial;sans-serif"/>
          <w:b/>
          <w:color w:val="000000"/>
          <w:sz w:val="18"/>
        </w:rPr>
      </w:pPr>
      <w:r>
        <w:rPr>
          <w:rFonts w:ascii="Arial;sans-serif" w:hAnsi="Arial;sans-serif"/>
          <w:b/>
          <w:color w:val="000000"/>
          <w:sz w:val="18"/>
        </w:rPr>
        <w:t>Foreign exchange translation</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prepares its financial statements in United States ("U.S.") dollars while the local results of a certain number of our subsidiaries are prepared in currencies other than the U.S. dollar, including, amongst others, the pound sterling and the euro. In addition, the Company's contracts with clients are sometimes denominated in currencies other than the U.S. dollar. Finally, the Company is exposed to a wide variety of currencies in the expenses line due to most expenses being incurred in the local currencies of where global operations are based. Accordingly, changes in exchange rates between the U.S. dollar and those other currencies can impact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center"/>
        <w:rPr/>
      </w:pPr>
      <w:r>
        <w:rPr>
          <w:color w:val="000000"/>
        </w:rPr>
        <w:t xml:space="preserve">     </w:t>
      </w:r>
      <w:r>
        <w:rPr>
          <w:rFonts w:ascii="Arial;sans-serif" w:hAnsi="Arial;sans-serif"/>
          <w:b/>
          <w:color w:val="000000"/>
          <w:sz w:val="18"/>
        </w:rPr>
        <w:t xml:space="preserve">ICON plc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AS AT JUNE 30, 2026 AND DECEMBER 31, 2025 </w:t>
      </w:r>
    </w:p>
    <w:tbl>
      <w:tblPr>
        <w:tblW w:w="9687" w:type="dxa"/>
        <w:jc w:val="center"/>
        <w:tblInd w:w="0" w:type="dxa"/>
        <w:tblLayout w:type="fixed"/>
        <w:tblCellMar>
          <w:top w:w="28" w:type="dxa"/>
          <w:left w:w="28" w:type="dxa"/>
          <w:bottom w:w="28" w:type="dxa"/>
          <w:right w:w="28" w:type="dxa"/>
        </w:tblCellMar>
      </w:tblPr>
      <w:tblGrid>
        <w:gridCol w:w="2473"/>
        <w:gridCol w:w="2177"/>
        <w:gridCol w:w="2190"/>
        <w:gridCol w:w="211"/>
        <w:gridCol w:w="1081"/>
        <w:gridCol w:w="109"/>
        <w:gridCol w:w="211"/>
        <w:gridCol w:w="1081"/>
        <w:gridCol w:w="154"/>
      </w:tblGrid>
      <w:tr>
        <w:trPr/>
        <w:tc>
          <w:tcPr>
            <w:tcW w:w="2473"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(Unaudited)</w:t>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(Audited)</w:t>
            </w:r>
          </w:p>
        </w:tc>
      </w:tr>
      <w:tr>
        <w:trPr/>
        <w:tc>
          <w:tcPr>
            <w:tcW w:w="6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4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w:t>
              <w:br/>
              <w:t>2025</w:t>
            </w:r>
          </w:p>
        </w:tc>
      </w:tr>
      <w:tr>
        <w:trPr/>
        <w:tc>
          <w:tcPr>
            <w:tcW w:w="68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2847"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 of allowance for credit losses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Unbilled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Prepayments and other current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3,501,675 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8,731,689 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3,247,118 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right-of-use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16,269,782 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bank credit lines, loan facilities and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3,934,665 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3,196,175 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bank credit lines, loan facilities and notes,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income taxes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7,022,158 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7,076,398 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Ordinary shares, par value 6 euro cents per share; 100,000,000 shares authorized,</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77,154,209 shares issued and outstanding at June 30, 2026 and</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76,567,325 shares issued and outstanding at December 31, 2025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w:t>
              <w:noBreakHyphen/>
              <w:t>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7,180,646 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7,131,956 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undenominated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9,378,162 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9,193,384 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16,400,320 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16,269,782 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ICON plc</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CONDENSED CONSOLIDATED STATEMENTS OF OPERATIONS</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 xml:space="preserve">FOR THE THREE AND SIX MONTHS ENDED JUNE 30, 2026 AND JUNE 30, 2025 </w:t>
      </w:r>
    </w:p>
    <w:p>
      <w:pPr>
        <w:pStyle w:val="TextBody"/>
        <w:bidi w:val="0"/>
        <w:spacing w:lineRule="auto" w:line="288" w:before="0" w:after="0"/>
        <w:ind w:left="0" w:right="0" w:firstLine="45"/>
        <w:jc w:val="center"/>
        <w:rPr>
          <w:rFonts w:ascii="Arial;sans-serif" w:hAnsi="Arial;sans-serif"/>
          <w:b/>
          <w:color w:val="000000"/>
          <w:sz w:val="18"/>
          <w:shd w:fill="FFFFFF" w:val="clear"/>
        </w:rPr>
      </w:pPr>
      <w:r>
        <w:rPr>
          <w:rFonts w:ascii="Arial;sans-serif" w:hAnsi="Arial;sans-serif"/>
          <w:b/>
          <w:color w:val="000000"/>
          <w:sz w:val="18"/>
          <w:shd w:fill="FFFFFF" w:val="clear"/>
        </w:rPr>
        <w:t>(UNAUDITED)</w:t>
      </w:r>
    </w:p>
    <w:tbl>
      <w:tblPr>
        <w:tblW w:w="9335" w:type="dxa"/>
        <w:jc w:val="center"/>
        <w:tblInd w:w="0" w:type="dxa"/>
        <w:tblLayout w:type="fixed"/>
        <w:tblCellMar>
          <w:top w:w="28" w:type="dxa"/>
          <w:left w:w="28" w:type="dxa"/>
          <w:bottom w:w="28" w:type="dxa"/>
          <w:right w:w="28" w:type="dxa"/>
        </w:tblCellMar>
      </w:tblPr>
      <w:tblGrid>
        <w:gridCol w:w="1365"/>
        <w:gridCol w:w="1201"/>
        <w:gridCol w:w="1213"/>
        <w:gridCol w:w="211"/>
        <w:gridCol w:w="976"/>
        <w:gridCol w:w="109"/>
        <w:gridCol w:w="211"/>
        <w:gridCol w:w="976"/>
        <w:gridCol w:w="109"/>
        <w:gridCol w:w="109"/>
        <w:gridCol w:w="109"/>
        <w:gridCol w:w="109"/>
        <w:gridCol w:w="211"/>
        <w:gridCol w:w="976"/>
        <w:gridCol w:w="109"/>
        <w:gridCol w:w="211"/>
        <w:gridCol w:w="976"/>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7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r>
      <w:tr>
        <w:trPr/>
        <w:tc>
          <w:tcPr>
            <w:tcW w:w="3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15"/>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share and per share data)</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and integration related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subsidiary undertaking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3,596,499 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 /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 benefit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ordinary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ordinary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76,845,757 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79,245,448 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76,712,589 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79,899,091 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1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77,371,396 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79,547,444 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77,316,605 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80,235,900 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ICON plc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COMPREHENSIVE INCOME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THREE AND SIX MONTHS ENDED JUNE 30, 2026 AND JUNE 30, 2025 </w:t>
      </w:r>
    </w:p>
    <w:p>
      <w:pPr>
        <w:pStyle w:val="TextBody"/>
        <w:bidi w:val="0"/>
        <w:spacing w:lineRule="auto" w:line="288" w:before="0" w:after="0"/>
        <w:ind w:left="0" w:right="0" w:firstLine="45"/>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left"/>
        <w:rPr/>
      </w:pPr>
      <w:r>
        <w:rPr/>
      </w:r>
    </w:p>
    <w:tbl>
      <w:tblPr>
        <w:tblW w:w="8826" w:type="dxa"/>
        <w:jc w:val="center"/>
        <w:tblInd w:w="0" w:type="dxa"/>
        <w:tblLayout w:type="fixed"/>
        <w:tblCellMar>
          <w:top w:w="28" w:type="dxa"/>
          <w:left w:w="28" w:type="dxa"/>
          <w:bottom w:w="28" w:type="dxa"/>
          <w:right w:w="28" w:type="dxa"/>
        </w:tblCellMar>
      </w:tblPr>
      <w:tblGrid>
        <w:gridCol w:w="1436"/>
        <w:gridCol w:w="1261"/>
        <w:gridCol w:w="1278"/>
        <w:gridCol w:w="211"/>
        <w:gridCol w:w="721"/>
        <w:gridCol w:w="109"/>
        <w:gridCol w:w="211"/>
        <w:gridCol w:w="826"/>
        <w:gridCol w:w="109"/>
        <w:gridCol w:w="109"/>
        <w:gridCol w:w="109"/>
        <w:gridCol w:w="109"/>
        <w:gridCol w:w="211"/>
        <w:gridCol w:w="826"/>
        <w:gridCol w:w="109"/>
        <w:gridCol w:w="211"/>
        <w:gridCol w:w="826"/>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19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r>
      <w:tr>
        <w:trPr/>
        <w:tc>
          <w:tcPr>
            <w:tcW w:w="3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Other comprehensive (loss) / income, net of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Currency translation adjustment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(14,791)</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(41,286)</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163,586</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Movement on cash flow hedge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w:t>
            </w:r>
          </w:p>
        </w:tc>
      </w:tr>
      <w:tr>
        <w:trPr/>
        <w:tc>
          <w:tcPr>
            <w:tcW w:w="397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307,944 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525,494 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ICON plc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CONDENSED CONSOLIDATED STATEMENTS OF SHAREHOLDERS' EQUITY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724" w:type="dxa"/>
        <w:jc w:val="center"/>
        <w:tblInd w:w="0" w:type="dxa"/>
        <w:tblLayout w:type="fixed"/>
        <w:tblCellMar>
          <w:top w:w="28" w:type="dxa"/>
          <w:left w:w="28" w:type="dxa"/>
          <w:bottom w:w="28" w:type="dxa"/>
          <w:right w:w="28" w:type="dxa"/>
        </w:tblCellMar>
      </w:tblPr>
      <w:tblGrid>
        <w:gridCol w:w="835"/>
        <w:gridCol w:w="325"/>
        <w:gridCol w:w="326"/>
        <w:gridCol w:w="811"/>
        <w:gridCol w:w="285"/>
        <w:gridCol w:w="286"/>
        <w:gridCol w:w="211"/>
        <w:gridCol w:w="631"/>
        <w:gridCol w:w="109"/>
        <w:gridCol w:w="211"/>
        <w:gridCol w:w="991"/>
        <w:gridCol w:w="109"/>
        <w:gridCol w:w="323"/>
        <w:gridCol w:w="966"/>
        <w:gridCol w:w="167"/>
        <w:gridCol w:w="267"/>
        <w:gridCol w:w="1065"/>
        <w:gridCol w:w="139"/>
        <w:gridCol w:w="211"/>
        <w:gridCol w:w="991"/>
        <w:gridCol w:w="109"/>
        <w:gridCol w:w="211"/>
        <w:gridCol w:w="99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Number of Ordinary Shares</w:t>
            </w:r>
          </w:p>
        </w:tc>
        <w:tc>
          <w:tcPr>
            <w:tcW w:w="951"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Ordinary Shares</w:t>
            </w:r>
          </w:p>
        </w:tc>
        <w:tc>
          <w:tcPr>
            <w:tcW w:w="1311"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Additional Paid-in Capital</w:t>
            </w:r>
          </w:p>
        </w:tc>
        <w:tc>
          <w:tcPr>
            <w:tcW w:w="1456"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Other Undenominated Capital</w:t>
            </w:r>
          </w:p>
        </w:tc>
        <w:tc>
          <w:tcPr>
            <w:tcW w:w="1471"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Accumulated Other Comprehensive Loss</w:t>
            </w:r>
          </w:p>
        </w:tc>
        <w:tc>
          <w:tcPr>
            <w:tcW w:w="1311"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Retained Earnings</w:t>
            </w:r>
          </w:p>
        </w:tc>
        <w:tc>
          <w:tcPr>
            <w:tcW w:w="1356"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14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21"/>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share data)</w:t>
            </w:r>
          </w:p>
        </w:tc>
      </w:tr>
      <w:tr>
        <w:trPr/>
        <w:tc>
          <w:tcPr>
            <w:tcW w:w="14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2025</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76,567,325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7,131,956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1,606</w:t>
            </w: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(68,534)</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2,122,051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9,193,384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(net of tax):</w:t>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 adjustment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(26,495)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Comprehensive Income</w:t>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share options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Issue of restricted share units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based compensation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issuance costs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2026</w:t>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76,601,538</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6,307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7,160,610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1,606</w:t>
            </w:r>
            <w:r>
              <w:rPr>
                <w:color w:val="000000"/>
              </w:rPr>
              <w:t>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(95,029)</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2,226,802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9,300,296</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(net of tax):</w:t>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 adjustment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Comprehensive Income</w:t>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57,791 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share options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Issue of restricted share units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540,152 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based compensation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issuance costs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77,154,209</w:t>
            </w:r>
            <w:r>
              <w:rPr>
                <w:color w:val="000000"/>
              </w:rPr>
              <w:t>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6,346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7,180,646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1,606</w:t>
            </w:r>
            <w:r>
              <w:rPr>
                <w:color w:val="000000"/>
              </w:rPr>
              <w:t>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(109,820)</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2,299,384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9,378,162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ICON plc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SHAREHOLDERS' EQUITY (CONTINUED)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694" w:type="dxa"/>
        <w:jc w:val="center"/>
        <w:tblInd w:w="0" w:type="dxa"/>
        <w:tblLayout w:type="fixed"/>
        <w:tblCellMar>
          <w:top w:w="28" w:type="dxa"/>
          <w:left w:w="28" w:type="dxa"/>
          <w:bottom w:w="28" w:type="dxa"/>
          <w:right w:w="28" w:type="dxa"/>
        </w:tblCellMar>
      </w:tblPr>
      <w:tblGrid>
        <w:gridCol w:w="805"/>
        <w:gridCol w:w="325"/>
        <w:gridCol w:w="326"/>
        <w:gridCol w:w="811"/>
        <w:gridCol w:w="285"/>
        <w:gridCol w:w="286"/>
        <w:gridCol w:w="211"/>
        <w:gridCol w:w="631"/>
        <w:gridCol w:w="109"/>
        <w:gridCol w:w="211"/>
        <w:gridCol w:w="991"/>
        <w:gridCol w:w="109"/>
        <w:gridCol w:w="323"/>
        <w:gridCol w:w="966"/>
        <w:gridCol w:w="167"/>
        <w:gridCol w:w="267"/>
        <w:gridCol w:w="1065"/>
        <w:gridCol w:w="139"/>
        <w:gridCol w:w="211"/>
        <w:gridCol w:w="991"/>
        <w:gridCol w:w="109"/>
        <w:gridCol w:w="211"/>
        <w:gridCol w:w="991"/>
        <w:gridCol w:w="154"/>
      </w:tblGrid>
      <w:tr>
        <w:trPr/>
        <w:tc>
          <w:tcPr>
            <w:tcW w:w="80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Number of Ordinary Shares</w:t>
            </w:r>
          </w:p>
        </w:tc>
        <w:tc>
          <w:tcPr>
            <w:tcW w:w="951"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Ordinary Shares</w:t>
            </w:r>
          </w:p>
        </w:tc>
        <w:tc>
          <w:tcPr>
            <w:tcW w:w="1311"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Additional Paid-in Capital</w:t>
            </w:r>
          </w:p>
        </w:tc>
        <w:tc>
          <w:tcPr>
            <w:tcW w:w="1456"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Other Undenominated Capital</w:t>
            </w:r>
          </w:p>
        </w:tc>
        <w:tc>
          <w:tcPr>
            <w:tcW w:w="1471"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Accumulated Other Comprehensive Loss</w:t>
            </w:r>
          </w:p>
        </w:tc>
        <w:tc>
          <w:tcPr>
            <w:tcW w:w="1311"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Retained Earnings</w:t>
            </w:r>
          </w:p>
        </w:tc>
        <w:tc>
          <w:tcPr>
            <w:tcW w:w="1356"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145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21"/>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share data)</w:t>
            </w:r>
          </w:p>
        </w:tc>
      </w:tr>
      <w:tr>
        <w:trPr/>
        <w:tc>
          <w:tcPr>
            <w:tcW w:w="14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2024</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80,756,860</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7,020,231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1,304</w:t>
            </w: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(229,929)</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2,643,162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9,441,354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net of tax:</w:t>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 adjustment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Movement on cash flow hedge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comprehensive income</w:t>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share options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Issue of restricted share units and performance share units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based compensation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issuance costs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ordinary shares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(1,360,537)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 costs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2025</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79,464,252</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7,037,344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1,389</w:t>
            </w: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(173,191)</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2,553,824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9,425,871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net of tax:</w:t>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 adjustment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comprehensive income</w:t>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307,944 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share options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Issue of restricted share units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based compensation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issuance costs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ordinary shares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(1,717,181)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 costs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109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77,772,130</w:t>
            </w:r>
            <w:r>
              <w:rPr>
                <w:color w:val="000000"/>
              </w:rPr>
              <w:t> </w:t>
            </w:r>
          </w:p>
        </w:tc>
        <w:tc>
          <w:tcPr>
            <w:tcW w:w="2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6,390</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7,054,324</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1,506</w:t>
            </w:r>
            <w:r>
              <w:rPr>
                <w:color w:val="000000"/>
              </w:rPr>
              <w:t> </w:t>
            </w:r>
          </w:p>
        </w:tc>
        <w:tc>
          <w:tcPr>
            <w:tcW w:w="1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(68,763)</w:t>
            </w:r>
          </w:p>
        </w:tc>
        <w:tc>
          <w:tcPr>
            <w:tcW w:w="1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2,507,190</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9,500,647</w:t>
            </w:r>
            <w:r>
              <w:rPr>
                <w:color w:val="000000"/>
              </w:rPr>
              <w:t>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ICON plc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SIX MONTHS ENDED JUNE 30, 2026 AND JUNE 30, 2025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9619" w:type="dxa"/>
        <w:jc w:val="center"/>
        <w:tblInd w:w="0" w:type="dxa"/>
        <w:tblLayout w:type="fixed"/>
        <w:tblCellMar>
          <w:top w:w="28" w:type="dxa"/>
          <w:left w:w="28" w:type="dxa"/>
          <w:bottom w:w="28" w:type="dxa"/>
          <w:right w:w="28" w:type="dxa"/>
        </w:tblCellMar>
      </w:tblPr>
      <w:tblGrid>
        <w:gridCol w:w="2557"/>
        <w:gridCol w:w="2245"/>
        <w:gridCol w:w="2262"/>
        <w:gridCol w:w="211"/>
        <w:gridCol w:w="826"/>
        <w:gridCol w:w="109"/>
        <w:gridCol w:w="211"/>
        <w:gridCol w:w="826"/>
        <w:gridCol w:w="109"/>
        <w:gridCol w:w="109"/>
        <w:gridCol w:w="154"/>
      </w:tblGrid>
      <w:tr>
        <w:trPr/>
        <w:tc>
          <w:tcPr>
            <w:tcW w:w="255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operating right-of-use assets and related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 in carrying value of operating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subsidiary undertaking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financing costs and 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foreign exchange movements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Unbilled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414,441 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used in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subsidiary undertakings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outflow on disposal of subsidiary undertaking (including cash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Proceeds from investments in equity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Purchase of investments in equity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used in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Drawdown of credit lines and loan facilities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credit lines and loan facilities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 of equity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issue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ordinary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(508,692)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movements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increase / (decrease) in cash and cash equivalents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281,090 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(148,389)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at end of period</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928,385 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390,396 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ICON plc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THE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18"/>
          <w:shd w:fill="FFFFFF" w:val="clear"/>
        </w:rPr>
      </w:pPr>
      <w:r>
        <w:rPr>
          <w:rFonts w:ascii="Arial;sans-serif" w:hAnsi="Arial;sans-serif"/>
          <w:b/>
          <w:color w:val="000000"/>
          <w:sz w:val="18"/>
          <w:shd w:fill="FFFFFF" w:val="clear"/>
        </w:rPr>
        <w:t>1. 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 xml:space="preserve">The condensed consolidated financial statements should be read in conjunction with the accounting policies and notes to the consolidated financial statements included in ICON’s Annual Report on Form 20-F for the year ended December 31, 2025 (see Note 2 </w:t>
      </w:r>
      <w:r>
        <w:rPr>
          <w:rFonts w:ascii="Arial;sans-serif" w:hAnsi="Arial;sans-serif"/>
          <w:b w:val="false"/>
          <w:i/>
          <w:color w:val="000000"/>
          <w:sz w:val="18"/>
        </w:rPr>
        <w:t>Summary of significant accounting policies</w:t>
      </w:r>
      <w:r>
        <w:rPr>
          <w:rFonts w:ascii="Arial;sans-serif" w:hAnsi="Arial;sans-serif"/>
          <w:b w:val="false"/>
          <w:color w:val="000000"/>
          <w:sz w:val="18"/>
        </w:rPr>
        <w:t>). Operating results for the six months ended June 30, 2026 are not necessarily indicative of the results that may be expected for the fiscal period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18"/>
          <w:shd w:fill="FFFFFF" w:val="clear"/>
        </w:rPr>
      </w:pPr>
      <w:r>
        <w:rPr>
          <w:rFonts w:ascii="Arial;sans-serif" w:hAnsi="Arial;sans-serif"/>
          <w:b/>
          <w:color w:val="000000"/>
          <w:sz w:val="18"/>
          <w:shd w:fill="FFFFFF" w:val="clear"/>
        </w:rPr>
        <w:t>2. Summary of significant accounting policies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i/>
          <w:color w:val="000000"/>
          <w:sz w:val="18"/>
        </w:rPr>
      </w:pPr>
      <w:r>
        <w:rPr>
          <w:rFonts w:ascii="Arial;sans-serif" w:hAnsi="Arial;sans-serif"/>
          <w:b/>
          <w:i/>
          <w:color w:val="000000"/>
          <w:sz w:val="18"/>
        </w:rPr>
        <w:t>Revenue recognition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 xml:space="preserve">ASC Topic 606, </w:t>
      </w:r>
      <w:r>
        <w:rPr>
          <w:rFonts w:ascii="Arial;sans-serif" w:hAnsi="Arial;sans-serif"/>
          <w:b w:val="false"/>
          <w:i/>
          <w:color w:val="000000"/>
          <w:sz w:val="18"/>
        </w:rPr>
        <w:t xml:space="preserve">Revenue from Contracts with Customers </w:t>
      </w:r>
      <w:r>
        <w:rPr>
          <w:rFonts w:ascii="Arial;sans-serif" w:hAnsi="Arial;sans-serif"/>
          <w:b w:val="false"/>
          <w:color w:val="000000"/>
          <w:sz w:val="18"/>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Clinical trial service revenue</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 clinical trial service is a single performance obligation satisfied over time. It represents the full-service obligation in respect of a clinical trial (including those services performed by investigators and other parties) and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 reimbursable expenses) at each reporting period as a percentage of forecasted total project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Laboratory services revenue</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Revenue is recognized when, or as, obligations under the terms of a contract are satisfied, which occurs when control of the products or services is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Arial;sans-serif" w:hAnsi="Arial;sans-serif"/>
          <w:b w:val="false"/>
          <w:i/>
          <w:color w:val="000000"/>
          <w:sz w:val="18"/>
        </w:rPr>
      </w:pPr>
      <w:r>
        <w:rPr>
          <w:rFonts w:ascii="Arial;sans-serif" w:hAnsi="Arial;sans-serif"/>
          <w:b w:val="false"/>
          <w:i/>
          <w:color w:val="000000"/>
          <w:sz w:val="18"/>
        </w:rPr>
        <w:t>Contracting services revenue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Consulting services revenue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Data services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appropriate measure of progress, generally time elapsed, to measure progress and transfer of control of the performance obligation to the customer. Expense reimbursements are recorded to revenue as the expenses are incurred as they relate directly to the service performed.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Commissions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Incremental costs of obtaining a contract are recognized as an asset on the Consolidated Balance Sheets in respect of those contracts that exceed one year. Where commission costs relate to contracts that are less than one year, the practical expedient is applied as the amortization period of the asset which would arise on deferral would be one year or less.</w:t>
      </w:r>
    </w:p>
    <w:p>
      <w:pPr>
        <w:pStyle w:val="TextBody"/>
        <w:bidi w:val="0"/>
        <w:spacing w:lineRule="auto" w:line="276" w:before="300" w:after="283"/>
        <w:jc w:val="both"/>
        <w:rPr>
          <w:rFonts w:ascii="Arial;sans-serif" w:hAnsi="Arial;sans-serif"/>
          <w:b/>
          <w:i/>
          <w:color w:val="000000"/>
          <w:sz w:val="18"/>
        </w:rPr>
      </w:pPr>
      <w:r>
        <w:rPr>
          <w:rFonts w:ascii="Arial;sans-serif" w:hAnsi="Arial;sans-serif"/>
          <w:b/>
          <w:i/>
          <w:color w:val="000000"/>
          <w:sz w:val="18"/>
        </w:rPr>
        <w:t>Intangible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Intangible assets are measured at fair value at the date of acquisition and amortized on a straight-line basis over their respective estimated useful lives. The Company has no indefinite-lived intangible assets. The Company evaluates its intangible assets for impairment when indicators of impairment exist.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Intangible assets are amortized on a straight-line basis over their estimated useful lives, as set forth in the table below:</w:t>
      </w:r>
    </w:p>
    <w:p>
      <w:pPr>
        <w:pStyle w:val="TextBody"/>
        <w:bidi w:val="0"/>
        <w:spacing w:before="0" w:after="0"/>
        <w:ind w:left="0" w:right="0" w:firstLine="720"/>
        <w:jc w:val="both"/>
        <w:rPr/>
      </w:pPr>
      <w:r>
        <w:rPr/>
      </w:r>
    </w:p>
    <w:tbl>
      <w:tblPr>
        <w:tblW w:w="3990" w:type="dxa"/>
        <w:jc w:val="left"/>
        <w:tblInd w:w="0" w:type="dxa"/>
        <w:tblLayout w:type="fixed"/>
        <w:tblCellMar>
          <w:top w:w="28" w:type="dxa"/>
          <w:left w:w="28" w:type="dxa"/>
          <w:bottom w:w="28" w:type="dxa"/>
          <w:right w:w="28" w:type="dxa"/>
        </w:tblCellMar>
      </w:tblPr>
      <w:tblGrid>
        <w:gridCol w:w="728"/>
        <w:gridCol w:w="640"/>
        <w:gridCol w:w="642"/>
        <w:gridCol w:w="580"/>
        <w:gridCol w:w="580"/>
        <w:gridCol w:w="820"/>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Estimated Useful Life</w:t>
            </w:r>
          </w:p>
        </w:tc>
      </w:tr>
      <w:tr>
        <w:trPr/>
        <w:tc>
          <w:tcPr>
            <w:tcW w:w="20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9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8 - 23 years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Order backlog</w:t>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3 - 5 years</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assets</w:t>
            </w:r>
          </w:p>
        </w:tc>
        <w:tc>
          <w:tcPr>
            <w:tcW w:w="19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years</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periodically assesses the estimated useful lives of intangible assets to evaluate whether what was established at acquisition continues to be appropriate.</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Income taxes</w:t>
      </w:r>
    </w:p>
    <w:p>
      <w:pPr>
        <w:pStyle w:val="TextBody"/>
        <w:bidi w:val="0"/>
        <w:spacing w:before="0" w:after="0"/>
        <w:jc w:val="left"/>
        <w:rPr/>
      </w:pPr>
      <w:r>
        <w:rPr/>
      </w:r>
    </w:p>
    <w:p>
      <w:pPr>
        <w:pStyle w:val="TextBody"/>
        <w:bidi w:val="0"/>
        <w:spacing w:lineRule="auto" w:line="264"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both"/>
        <w:rPr>
          <w:rFonts w:ascii="Arial;sans-serif" w:hAnsi="Arial;sans-serif"/>
          <w:b w:val="false"/>
          <w:color w:val="000000"/>
          <w:sz w:val="18"/>
        </w:rPr>
      </w:pPr>
      <w:r>
        <w:rPr>
          <w:rFonts w:ascii="Arial;sans-serif" w:hAnsi="Arial;sans-serif"/>
          <w:b w:val="false"/>
          <w:color w:val="000000"/>
          <w:sz w:val="18"/>
        </w:rPr>
        <w:t>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Sheets. The Company accounts for the impact of Global Intangible Low-Taxed Income (“GILTI”) in the period it arises and has therefore not provided for deferred taxes in respect of this item.</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Disposal of subsidiary undertaking</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Where there is a loss of control over a subsidiary, the Company de-consolidates the entity as of the date the Company ceases to have a controlling financial interest. The Company accounts for the de-consolidation of a subsidiary by recognizing a gain or loss in the Consolidated Statements of Operations, measured as the difference between the aggregate of the fair value of the consideration received and the carrying amount of the former subsidiary’s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18"/>
        </w:rPr>
      </w:pPr>
      <w:r>
        <w:rPr>
          <w:rFonts w:ascii="Arial;sans-serif" w:hAnsi="Arial;sans-serif"/>
          <w:b/>
          <w:color w:val="000000"/>
          <w:sz w:val="18"/>
        </w:rPr>
        <w:t>3. Revenue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Revenue disaggregated by customer concentration is as follows:</w:t>
      </w:r>
    </w:p>
    <w:tbl>
      <w:tblPr>
        <w:tblW w:w="6770" w:type="dxa"/>
        <w:jc w:val="left"/>
        <w:tblInd w:w="0" w:type="dxa"/>
        <w:tblLayout w:type="fixed"/>
        <w:tblCellMar>
          <w:top w:w="28" w:type="dxa"/>
          <w:left w:w="28" w:type="dxa"/>
          <w:bottom w:w="28" w:type="dxa"/>
          <w:right w:w="28" w:type="dxa"/>
        </w:tblCellMar>
      </w:tblPr>
      <w:tblGrid>
        <w:gridCol w:w="439"/>
        <w:gridCol w:w="387"/>
        <w:gridCol w:w="388"/>
        <w:gridCol w:w="211"/>
        <w:gridCol w:w="976"/>
        <w:gridCol w:w="109"/>
        <w:gridCol w:w="211"/>
        <w:gridCol w:w="976"/>
        <w:gridCol w:w="109"/>
        <w:gridCol w:w="109"/>
        <w:gridCol w:w="109"/>
        <w:gridCol w:w="109"/>
        <w:gridCol w:w="211"/>
        <w:gridCol w:w="976"/>
        <w:gridCol w:w="109"/>
        <w:gridCol w:w="211"/>
        <w:gridCol w:w="976"/>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r>
      <w:tr>
        <w:trPr/>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12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Clients 1-5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Clients 6-10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Clients 11-25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1,453,979 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2,063,486 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2,039,088 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4,097,485 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4,054,408 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There was no revenue from individual customers greater than 10% of consolidated revenue in the respective periods.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4. Accounts receivable, unbilled revenue (contract assets) and unearned revenue or payments on account (contract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 xml:space="preserve">Accounts receivables and unbilled revenue are as follows: </w:t>
      </w:r>
    </w:p>
    <w:tbl>
      <w:tblPr>
        <w:tblW w:w="6545" w:type="dxa"/>
        <w:jc w:val="left"/>
        <w:tblInd w:w="0" w:type="dxa"/>
        <w:tblLayout w:type="fixed"/>
        <w:tblCellMar>
          <w:top w:w="28" w:type="dxa"/>
          <w:left w:w="28" w:type="dxa"/>
          <w:bottom w:w="28" w:type="dxa"/>
          <w:right w:w="28" w:type="dxa"/>
        </w:tblCellMar>
      </w:tblPr>
      <w:tblGrid>
        <w:gridCol w:w="1410"/>
        <w:gridCol w:w="1243"/>
        <w:gridCol w:w="1246"/>
        <w:gridCol w:w="211"/>
        <w:gridCol w:w="976"/>
        <w:gridCol w:w="109"/>
        <w:gridCol w:w="212"/>
        <w:gridCol w:w="983"/>
        <w:gridCol w:w="155"/>
      </w:tblGrid>
      <w:tr>
        <w:trPr/>
        <w:tc>
          <w:tcPr>
            <w:tcW w:w="141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50"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w:t>
              <w:br/>
              <w:t>2025</w:t>
            </w:r>
          </w:p>
        </w:tc>
      </w:tr>
      <w:tr>
        <w:trPr/>
        <w:tc>
          <w:tcPr>
            <w:tcW w:w="389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6"/>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(Billed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1,517,217 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1,458,354 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1,474,898 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Unbilled revenue (Unbilled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1,096,592 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and unbilled revenue,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2,512,832 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2,571,490 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left"/>
        <w:rPr>
          <w:rFonts w:ascii="Arial;sans-serif" w:hAnsi="Arial;sans-serif"/>
          <w:b w:val="false"/>
          <w:color w:val="000000"/>
          <w:sz w:val="18"/>
        </w:rPr>
      </w:pPr>
      <w:r>
        <w:rPr>
          <w:rFonts w:ascii="Arial;sans-serif" w:hAnsi="Arial;sans-serif"/>
          <w:b w:val="false"/>
          <w:color w:val="000000"/>
          <w:sz w:val="18"/>
        </w:rPr>
        <w:t>Unbilled services and unearned revenue or payments on account (contract assets and liabilities) were as follows:</w:t>
      </w:r>
    </w:p>
    <w:tbl>
      <w:tblPr>
        <w:tblW w:w="8386" w:type="dxa"/>
        <w:jc w:val="center"/>
        <w:tblInd w:w="0" w:type="dxa"/>
        <w:tblLayout w:type="fixed"/>
        <w:tblCellMar>
          <w:top w:w="28" w:type="dxa"/>
          <w:left w:w="28" w:type="dxa"/>
          <w:bottom w:w="28" w:type="dxa"/>
          <w:right w:w="28" w:type="dxa"/>
        </w:tblCellMar>
      </w:tblPr>
      <w:tblGrid>
        <w:gridCol w:w="1297"/>
        <w:gridCol w:w="1140"/>
        <w:gridCol w:w="1148"/>
        <w:gridCol w:w="211"/>
        <w:gridCol w:w="976"/>
        <w:gridCol w:w="109"/>
        <w:gridCol w:w="212"/>
        <w:gridCol w:w="983"/>
        <w:gridCol w:w="109"/>
        <w:gridCol w:w="211"/>
        <w:gridCol w:w="796"/>
        <w:gridCol w:w="109"/>
        <w:gridCol w:w="239"/>
        <w:gridCol w:w="241"/>
        <w:gridCol w:w="605"/>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04"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w:t>
              <w:br/>
              <w:t>2025</w:t>
            </w:r>
          </w:p>
        </w:tc>
        <w:tc>
          <w:tcPr>
            <w:tcW w:w="1116"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Change</w:t>
            </w:r>
          </w:p>
        </w:tc>
        <w:tc>
          <w:tcPr>
            <w:tcW w:w="1085"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Change</w:t>
            </w:r>
          </w:p>
        </w:tc>
      </w:tr>
      <w:tr>
        <w:trPr/>
        <w:tc>
          <w:tcPr>
            <w:tcW w:w="358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percentages)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Unbilled revenue (Unbilled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85"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revenue (Payments on account)</w:t>
            </w:r>
          </w:p>
        </w:tc>
        <w:tc>
          <w:tcPr>
            <w:tcW w:w="1187" w:type="dxa"/>
            <w:gridSpan w:val="2"/>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(1,603,204)</w:t>
            </w:r>
          </w:p>
        </w:tc>
        <w:tc>
          <w:tcPr>
            <w:tcW w:w="109"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(1,550,471)</w:t>
            </w:r>
          </w:p>
        </w:tc>
        <w:tc>
          <w:tcPr>
            <w:tcW w:w="109"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(52,733)</w:t>
            </w:r>
          </w:p>
        </w:tc>
        <w:tc>
          <w:tcPr>
            <w:tcW w:w="109"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605" w:type="dxa"/>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Condensed Consolidated Balance Sheet.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Unbilled services as at June 30, 2026 decreased by $42.1 million compared to December 31, 2025. Unearned revenue increased by $52.7 million compared to December 31, 2025. These fluctuations are primarily due to the timing of payments and invoicing related to the Company's clinical trial management contracts. Billings and payments are established by contractual provisions on the delivery of units/milestones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w:t>
      </w:r>
      <w:r>
        <w:rPr>
          <w:rFonts w:ascii="Arial;sans-serif" w:hAnsi="Arial;sans-serif"/>
          <w:b w:val="false"/>
          <w:color w:val="000000"/>
          <w:sz w:val="18"/>
          <w:shd w:fill="FFFFFF" w:val="clear"/>
        </w:rPr>
        <w:t xml:space="preserve">xceeds the amount billed to the customer.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of June 30, 2026, approximately $15.7 billion (December 31, 2025, $14.9 billion) of revenue is expected to be recognized in the future in respect of unsatisfied performance obligations. The Company expects to recognize revenue on approximately 47% of the unsatisfied performance obligations over the next 12 months (December 31, 2025: 48%), with the remainder expected to be recognized thereafter over the duration of the customer contracts.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Arial;sans-serif" w:hAnsi="Arial;sans-serif"/>
          <w:b/>
          <w:color w:val="000000"/>
          <w:sz w:val="18"/>
        </w:rPr>
      </w:pPr>
      <w:r>
        <w:rPr>
          <w:rFonts w:ascii="Arial;sans-serif" w:hAnsi="Arial;sans-serif"/>
          <w:b/>
          <w:color w:val="000000"/>
          <w:sz w:val="18"/>
        </w:rPr>
        <w:t>5. Goodwill</w:t>
      </w:r>
    </w:p>
    <w:p>
      <w:pPr>
        <w:pStyle w:val="TextBody"/>
        <w:bidi w:val="0"/>
        <w:spacing w:lineRule="auto" w:line="288" w:before="120" w:after="180"/>
        <w:ind w:left="0" w:right="0" w:firstLine="720"/>
        <w:jc w:val="both"/>
        <w:rPr/>
      </w:pPr>
      <w:r>
        <w:rPr>
          <w:rFonts w:ascii="Arial;sans-serif" w:hAnsi="Arial;sans-serif"/>
          <w:b w:val="false"/>
          <w:color w:val="000000"/>
          <w:sz w:val="18"/>
          <w:shd w:fill="FFFFFF" w:val="clear"/>
        </w:rPr>
        <w:t xml:space="preserve">The change in the carrying amount of goodwill between </w:t>
      </w:r>
      <w:r>
        <w:rPr>
          <w:rFonts w:ascii="Arial;sans-serif" w:hAnsi="Arial;sans-serif"/>
          <w:b w:val="false"/>
          <w:color w:val="000000"/>
          <w:sz w:val="18"/>
        </w:rPr>
        <w:t>December 31, 2025 and</w:t>
      </w:r>
      <w:r>
        <w:rPr>
          <w:color w:val="000000"/>
          <w:shd w:fill="FFFFFF" w:val="clear"/>
        </w:rPr>
        <w:t xml:space="preserve"> </w:t>
      </w:r>
      <w:r>
        <w:rPr>
          <w:rFonts w:ascii="Arial;sans-serif" w:hAnsi="Arial;sans-serif"/>
          <w:b w:val="false"/>
          <w:color w:val="000000"/>
          <w:sz w:val="18"/>
        </w:rPr>
        <w:t>June 30, 2026</w:t>
      </w:r>
      <w:r>
        <w:rPr>
          <w:color w:val="000000"/>
          <w:shd w:fill="FFFFFF" w:val="clear"/>
        </w:rPr>
        <w:t xml:space="preserve"> </w:t>
      </w:r>
      <w:r>
        <w:rPr>
          <w:rFonts w:ascii="Arial;sans-serif" w:hAnsi="Arial;sans-serif"/>
          <w:b w:val="false"/>
          <w:color w:val="000000"/>
          <w:sz w:val="18"/>
          <w:shd w:fill="FFFFFF" w:val="clear"/>
        </w:rPr>
        <w:t>is as follows:</w:t>
      </w:r>
    </w:p>
    <w:tbl>
      <w:tblPr>
        <w:tblW w:w="5489" w:type="dxa"/>
        <w:jc w:val="left"/>
        <w:tblInd w:w="0" w:type="dxa"/>
        <w:tblLayout w:type="fixed"/>
        <w:tblCellMar>
          <w:top w:w="28" w:type="dxa"/>
          <w:left w:w="28" w:type="dxa"/>
          <w:bottom w:w="28" w:type="dxa"/>
          <w:right w:w="28" w:type="dxa"/>
        </w:tblCellMar>
      </w:tblPr>
      <w:tblGrid>
        <w:gridCol w:w="907"/>
        <w:gridCol w:w="797"/>
        <w:gridCol w:w="800"/>
        <w:gridCol w:w="266"/>
        <w:gridCol w:w="1232"/>
        <w:gridCol w:w="137"/>
        <w:gridCol w:w="212"/>
        <w:gridCol w:w="983"/>
        <w:gridCol w:w="155"/>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Six Months Ended</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Year ended</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5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w:t>
              <w:br/>
              <w:t>2025</w:t>
            </w:r>
          </w:p>
        </w:tc>
      </w:tr>
      <w:tr>
        <w:trPr/>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Opening balance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8,731,689 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9,051,410 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 xml:space="preserve">Prior period acquisitions </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Impairment</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(364,248)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Foreign exchange movement</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Closing balance</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8,721,268 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8,731,689 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There were no impairment charges during the six months ended June 30, 2026 or June 30, 2025 (during the year ended December 31, 2025: $364.2 million related to the Company's Data Solutions reporting unit). The Data Solutions reporting unit comprised of Symphony, which was disposed of on May 8, 2026.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6. Intangible assets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carrying amount of intangible assets as at June 30, 2026 and December 31, 2025 is as follows:</w:t>
      </w:r>
    </w:p>
    <w:p>
      <w:pPr>
        <w:pStyle w:val="TextBody"/>
        <w:bidi w:val="0"/>
        <w:spacing w:before="0" w:after="0"/>
        <w:ind w:left="0" w:right="0" w:firstLine="720"/>
        <w:jc w:val="left"/>
        <w:rPr/>
      </w:pPr>
      <w:r>
        <w:rPr/>
      </w:r>
    </w:p>
    <w:tbl>
      <w:tblPr>
        <w:tblW w:w="4880" w:type="dxa"/>
        <w:jc w:val="left"/>
        <w:tblInd w:w="0" w:type="dxa"/>
        <w:tblLayout w:type="fixed"/>
        <w:tblCellMar>
          <w:top w:w="28" w:type="dxa"/>
          <w:left w:w="28" w:type="dxa"/>
          <w:bottom w:w="28" w:type="dxa"/>
          <w:right w:w="28" w:type="dxa"/>
        </w:tblCellMar>
      </w:tblPr>
      <w:tblGrid>
        <w:gridCol w:w="805"/>
        <w:gridCol w:w="708"/>
        <w:gridCol w:w="721"/>
        <w:gridCol w:w="211"/>
        <w:gridCol w:w="976"/>
        <w:gridCol w:w="109"/>
        <w:gridCol w:w="212"/>
        <w:gridCol w:w="983"/>
        <w:gridCol w:w="155"/>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50"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w:t>
              <w:br/>
              <w:t>2025</w:t>
            </w:r>
          </w:p>
        </w:tc>
      </w:tr>
      <w:tr>
        <w:trPr/>
        <w:tc>
          <w:tcPr>
            <w:tcW w:w="223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6"/>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4,134,478 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Order backlog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546,054 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 &amp; brands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204,721 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Patient database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4,967,275 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5,207,518 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(1,873,663)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book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3,146,498 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3,247,118 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the three months ended June 30, 2026 the amortization expense recognized by the Company was $50.1 million (three months ended June 30, 2025: $59.1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 xml:space="preserve">In the six months ended June 30, 2026, the amortization expense recognized by the Company </w:t>
      </w:r>
      <w:r>
        <w:rPr>
          <w:rFonts w:ascii="Arial;sans-serif" w:hAnsi="Arial;sans-serif"/>
          <w:b w:val="false"/>
          <w:color w:val="000000"/>
          <w:sz w:val="18"/>
          <w:shd w:fill="FFFFFF" w:val="clear"/>
        </w:rPr>
        <w:t xml:space="preserve">was </w:t>
      </w:r>
      <w:r>
        <w:rPr>
          <w:rFonts w:ascii="Arial;sans-serif" w:hAnsi="Arial;sans-serif"/>
          <w:b w:val="false"/>
          <w:color w:val="000000"/>
          <w:sz w:val="18"/>
        </w:rPr>
        <w:t>$100.4 million (six months ended June 30, 2025:</w:t>
      </w:r>
      <w:r>
        <w:rPr>
          <w:color w:val="000000"/>
          <w:shd w:fill="FFFFFF" w:val="clear"/>
        </w:rPr>
        <w:t xml:space="preserve"> </w:t>
      </w:r>
      <w:r>
        <w:rPr>
          <w:rFonts w:ascii="Arial;sans-serif" w:hAnsi="Arial;sans-serif"/>
          <w:b w:val="false"/>
          <w:color w:val="000000"/>
          <w:sz w:val="18"/>
          <w:shd w:fill="FFFFFF" w:val="clear"/>
        </w:rPr>
        <w:t xml:space="preserve">$118.0 million </w:t>
      </w:r>
      <w:r>
        <w:rPr>
          <w:rFonts w:ascii="Arial;sans-serif" w:hAnsi="Arial;sans-serif"/>
          <w:b w:val="false"/>
          <w:color w:val="000000"/>
          <w:sz w:val="18"/>
        </w:rPr>
        <w:t>and year ended December 31, 2025: $227.2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There were no additions to intangible assets during the six months ended June 30, 2026.</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7. Fair value measurements </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Level 1 — Quoted prices in active markets for identical assets or liabilities.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Level 3 — Unobservable inputs that are supported by little or no market activity. This includes certain pricing models, discounted cash flow methodologies, and similar techniques that use significant unobservable inputs.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carrying amounts of financial instruments, including cash and cash equivalents, accounts receivable and accounts payable approximate fair value due to the short maturities of these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of June 30, 2026, the fair value of the major classes of the Company's assets and liabilities measured at fair value on a recurring basis were as follows:</w:t>
      </w:r>
    </w:p>
    <w:p>
      <w:pPr>
        <w:pStyle w:val="TextBody"/>
        <w:bidi w:val="0"/>
        <w:spacing w:before="0" w:after="0"/>
        <w:ind w:left="0" w:right="0" w:firstLine="720"/>
        <w:jc w:val="both"/>
        <w:rPr/>
      </w:pPr>
      <w:r>
        <w:rPr/>
      </w:r>
    </w:p>
    <w:tbl>
      <w:tblPr>
        <w:tblW w:w="8964" w:type="dxa"/>
        <w:jc w:val="left"/>
        <w:tblInd w:w="0" w:type="dxa"/>
        <w:tblLayout w:type="fixed"/>
        <w:tblCellMar>
          <w:top w:w="28" w:type="dxa"/>
          <w:left w:w="28" w:type="dxa"/>
          <w:bottom w:w="28" w:type="dxa"/>
          <w:right w:w="28" w:type="dxa"/>
        </w:tblCellMar>
      </w:tblPr>
      <w:tblGrid>
        <w:gridCol w:w="683"/>
        <w:gridCol w:w="600"/>
        <w:gridCol w:w="607"/>
        <w:gridCol w:w="211"/>
        <w:gridCol w:w="406"/>
        <w:gridCol w:w="109"/>
        <w:gridCol w:w="211"/>
        <w:gridCol w:w="406"/>
        <w:gridCol w:w="109"/>
        <w:gridCol w:w="211"/>
        <w:gridCol w:w="406"/>
        <w:gridCol w:w="109"/>
        <w:gridCol w:w="680"/>
        <w:gridCol w:w="2671"/>
        <w:gridCol w:w="354"/>
        <w:gridCol w:w="211"/>
        <w:gridCol w:w="82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Level 1</w:t>
            </w:r>
          </w:p>
        </w:tc>
        <w:tc>
          <w:tcPr>
            <w:tcW w:w="7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Level 2</w:t>
            </w:r>
          </w:p>
        </w:tc>
        <w:tc>
          <w:tcPr>
            <w:tcW w:w="7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Level 3</w:t>
            </w:r>
          </w:p>
        </w:tc>
        <w:tc>
          <w:tcPr>
            <w:tcW w:w="37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Investments Measured at Net Asset Value</w:t>
            </w:r>
          </w:p>
        </w:tc>
        <w:tc>
          <w:tcPr>
            <w:tcW w:w="119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4"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Investments in equity</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104,729 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6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104,729 </w:t>
            </w:r>
          </w:p>
        </w:tc>
        <w:tc>
          <w:tcPr>
            <w:tcW w:w="3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104,729 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of December 31, 2025, the fair value of the major classes of the Company's assets and liabilities measured at fair value on a recurring basis were as follows:</w:t>
      </w:r>
    </w:p>
    <w:p>
      <w:pPr>
        <w:pStyle w:val="TextBody"/>
        <w:bidi w:val="0"/>
        <w:spacing w:before="0" w:after="0"/>
        <w:ind w:left="0" w:right="0" w:firstLine="720"/>
        <w:jc w:val="both"/>
        <w:rPr/>
      </w:pPr>
      <w:r>
        <w:rPr/>
      </w:r>
    </w:p>
    <w:tbl>
      <w:tblPr>
        <w:tblW w:w="8859" w:type="dxa"/>
        <w:jc w:val="left"/>
        <w:tblInd w:w="0" w:type="dxa"/>
        <w:tblLayout w:type="fixed"/>
        <w:tblCellMar>
          <w:top w:w="28" w:type="dxa"/>
          <w:left w:w="28" w:type="dxa"/>
          <w:bottom w:w="28" w:type="dxa"/>
          <w:right w:w="28" w:type="dxa"/>
        </w:tblCellMar>
      </w:tblPr>
      <w:tblGrid>
        <w:gridCol w:w="683"/>
        <w:gridCol w:w="600"/>
        <w:gridCol w:w="607"/>
        <w:gridCol w:w="211"/>
        <w:gridCol w:w="406"/>
        <w:gridCol w:w="109"/>
        <w:gridCol w:w="211"/>
        <w:gridCol w:w="406"/>
        <w:gridCol w:w="109"/>
        <w:gridCol w:w="211"/>
        <w:gridCol w:w="406"/>
        <w:gridCol w:w="109"/>
        <w:gridCol w:w="750"/>
        <w:gridCol w:w="2566"/>
        <w:gridCol w:w="389"/>
        <w:gridCol w:w="211"/>
        <w:gridCol w:w="721"/>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Level 1</w:t>
            </w:r>
          </w:p>
        </w:tc>
        <w:tc>
          <w:tcPr>
            <w:tcW w:w="7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Level 2</w:t>
            </w:r>
          </w:p>
        </w:tc>
        <w:tc>
          <w:tcPr>
            <w:tcW w:w="7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Level 3</w:t>
            </w:r>
          </w:p>
        </w:tc>
        <w:tc>
          <w:tcPr>
            <w:tcW w:w="37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Investments Measured at Net Asset Value</w:t>
            </w:r>
          </w:p>
        </w:tc>
        <w:tc>
          <w:tcPr>
            <w:tcW w:w="10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Investments in equity</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79,550 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79,550 </w:t>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2"/>
        </w:rPr>
        <w:t>1</w:t>
      </w:r>
      <w:r>
        <w:rPr>
          <w:rFonts w:ascii="Arial;sans-serif" w:hAnsi="Arial;sans-serif"/>
          <w:b w:val="false"/>
          <w:color w:val="000000"/>
          <w:sz w:val="18"/>
        </w:rPr>
        <w:t xml:space="preserve">To determine the classification of its investments in equity, the Company considered the nature of its investment, the extent of influence over operating and financial decisions and the availability of readily determinable fair values. The Company determined that certain interests in funds meet the definition of equity securities without readily determinable fair values, which qualify for the Net Asset Value (NAV) practical expedient in ASC 820, </w:t>
      </w:r>
      <w:r>
        <w:rPr>
          <w:rFonts w:ascii="Arial;sans-serif" w:hAnsi="Arial;sans-serif"/>
          <w:b w:val="false"/>
          <w:i/>
          <w:color w:val="000000"/>
          <w:sz w:val="18"/>
        </w:rPr>
        <w:t>Fair value measurement</w:t>
      </w:r>
      <w:r>
        <w:rPr>
          <w:rFonts w:ascii="Arial;sans-serif" w:hAnsi="Arial;sans-serif"/>
          <w:b w:val="false"/>
          <w:color w:val="000000"/>
          <w:sz w:val="18"/>
        </w:rPr>
        <w:t>. Any increases or decreases in fair value are recognized in net income in the period. As at June 30, 2026 investments in equity excludes investments in equity securities recorded at cost, net of impairment of $2.5 million</w:t>
      </w:r>
      <w:r>
        <w:rPr>
          <w:color w:val="000000"/>
        </w:rPr>
        <w:t xml:space="preserve"> </w:t>
      </w:r>
      <w:r>
        <w:rPr>
          <w:rFonts w:ascii="Times New Roman;serif" w:hAnsi="Times New Roman;serif"/>
          <w:b w:val="false"/>
          <w:color w:val="000000"/>
          <w:sz w:val="20"/>
        </w:rPr>
        <w:t>(</w:t>
      </w:r>
      <w:r>
        <w:rPr>
          <w:rFonts w:ascii="Arial;sans-serif" w:hAnsi="Arial;sans-serif"/>
          <w:b w:val="false"/>
          <w:color w:val="000000"/>
          <w:sz w:val="18"/>
        </w:rPr>
        <w:t>December 31, 2025: $2.5 million) which do not qualify for the NAV practical expedient.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 xml:space="preserve">Non-recurring fair value measurements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Certain assets and liabilities are carried on the accompanying Condensed Consolidated Balance Sheets at cost and are not re-measured to fair value on a recurring basis. These assets include finite-lived intangible assets that are tested for impairment when a triggering event occurs and goodwill that is tested for impairment annually or when a triggering event occurs. As at June 30, 2026, assets carried on the Condensed Consolidated Balance Sheets which are not re-measured to fair value on a recurring basis totaled $11,870.3 million (December 31, 2025: $11,981.3 million). These assets are comprised of goodwill of $8,721.3 million</w:t>
      </w:r>
      <w:r>
        <w:rPr>
          <w:color w:val="000000"/>
        </w:rPr>
        <w:t xml:space="preserve"> </w:t>
      </w:r>
      <w:r>
        <w:rPr>
          <w:rFonts w:ascii="Arial;sans-serif" w:hAnsi="Arial;sans-serif"/>
          <w:b w:val="false"/>
          <w:color w:val="000000"/>
          <w:sz w:val="18"/>
        </w:rPr>
        <w:t>(December 31, 2025: $8,731.7 million), intangible assets of $3,146.5 million (December 31, 2025: $3,247.1 million) and investments in equity recorded at cost, net of impairment of $2.5 million (December 31, 2025: $2.5 million</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The estimated fair value of the Company’s debt was $3,437.7 million</w:t>
      </w:r>
      <w:r>
        <w:rPr>
          <w:color w:val="000000"/>
        </w:rPr>
        <w:t xml:space="preserve"> </w:t>
      </w:r>
      <w:r>
        <w:rPr>
          <w:rFonts w:ascii="Arial;sans-serif" w:hAnsi="Arial;sans-serif"/>
          <w:b w:val="false"/>
          <w:color w:val="000000"/>
          <w:sz w:val="18"/>
        </w:rPr>
        <w:t xml:space="preserve">at June 30, 2026 (December 31, 2025: $3,500.1 million). The fair values of the senior secured term loan facility, the 2026 Notes and the New Notes (as defined in Note 10 </w:t>
      </w:r>
      <w:r>
        <w:rPr>
          <w:rFonts w:ascii="Arial;sans-serif" w:hAnsi="Arial;sans-serif"/>
          <w:b w:val="false"/>
          <w:i/>
          <w:color w:val="000000"/>
          <w:sz w:val="18"/>
        </w:rPr>
        <w:t>Bank credit lines, loan facilities and notes)</w:t>
      </w:r>
      <w:r>
        <w:rPr>
          <w:color w:val="000000"/>
        </w:rPr>
        <w:t xml:space="preserve"> </w:t>
      </w:r>
      <w:r>
        <w:rPr>
          <w:rFonts w:ascii="Arial;sans-serif" w:hAnsi="Arial;sans-serif"/>
          <w:b w:val="false"/>
          <w:color w:val="000000"/>
          <w:sz w:val="18"/>
        </w:rPr>
        <w:t xml:space="preserve">were determined based on rates at which the debt is traded among financial institutions.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both"/>
        <w:rPr>
          <w:rFonts w:ascii="Arial;sans-serif" w:hAnsi="Arial;sans-serif"/>
          <w:b/>
          <w:color w:val="000000"/>
          <w:sz w:val="18"/>
        </w:rPr>
      </w:pPr>
      <w:r>
        <w:rPr>
          <w:rFonts w:ascii="Arial;sans-serif" w:hAnsi="Arial;sans-serif"/>
          <w:b/>
          <w:color w:val="000000"/>
          <w:sz w:val="18"/>
        </w:rPr>
        <w:t>8. Restructuring</w:t>
      </w:r>
    </w:p>
    <w:p>
      <w:pPr>
        <w:pStyle w:val="TextBody"/>
        <w:bidi w:val="0"/>
        <w:spacing w:before="0" w:after="0"/>
        <w:jc w:val="left"/>
        <w:rPr/>
      </w:pPr>
      <w:r>
        <w:rPr/>
      </w:r>
    </w:p>
    <w:p>
      <w:pPr>
        <w:pStyle w:val="TextBody"/>
        <w:bidi w:val="0"/>
        <w:spacing w:lineRule="auto" w:line="288" w:before="0" w:after="100"/>
        <w:ind w:left="0" w:right="0" w:firstLine="720"/>
        <w:jc w:val="both"/>
        <w:rPr/>
      </w:pPr>
      <w:r>
        <w:rPr>
          <w:rFonts w:ascii="Arial;sans-serif" w:hAnsi="Arial;sans-serif"/>
          <w:b w:val="false"/>
          <w:color w:val="000000"/>
          <w:sz w:val="18"/>
        </w:rPr>
        <w:t>In the six months ended June 30, 2026, a $31.0 million</w:t>
      </w:r>
      <w:r>
        <w:rPr>
          <w:color w:val="000000"/>
        </w:rPr>
        <w:t xml:space="preserve"> </w:t>
      </w:r>
      <w:r>
        <w:rPr>
          <w:rFonts w:ascii="Arial;sans-serif" w:hAnsi="Arial;sans-serif"/>
          <w:b w:val="false"/>
          <w:color w:val="000000"/>
          <w:sz w:val="18"/>
        </w:rPr>
        <w:t xml:space="preserve">restructuring charge was recorded in the Condensed Consolidated Statement of Operations under a restructuring plan </w:t>
      </w:r>
      <w:r>
        <w:rPr>
          <w:rFonts w:ascii="Arial;sans-serif" w:hAnsi="Arial;sans-serif"/>
          <w:b w:val="false"/>
          <w:color w:val="000000"/>
          <w:sz w:val="18"/>
          <w:shd w:fill="FFFFFF" w:val="clear"/>
        </w:rPr>
        <w:t xml:space="preserve">reflecting a workforce reduction. In the </w:t>
      </w:r>
      <w:r>
        <w:rPr>
          <w:rFonts w:ascii="Arial;sans-serif" w:hAnsi="Arial;sans-serif"/>
          <w:b w:val="false"/>
          <w:color w:val="000000"/>
          <w:sz w:val="18"/>
        </w:rPr>
        <w:t>six months ended June 30, 2025 a restructuring charge of $82.3 million</w:t>
      </w:r>
      <w:r>
        <w:rPr>
          <w:color w:val="000000"/>
        </w:rPr>
        <w:t xml:space="preserve"> </w:t>
      </w:r>
      <w:r>
        <w:rPr>
          <w:rFonts w:ascii="Arial;sans-serif" w:hAnsi="Arial;sans-serif"/>
          <w:b w:val="false"/>
          <w:color w:val="000000"/>
          <w:sz w:val="18"/>
        </w:rPr>
        <w:t xml:space="preserve">was recorded, which </w:t>
      </w:r>
      <w:r>
        <w:rPr>
          <w:rFonts w:ascii="Arial;sans-serif" w:hAnsi="Arial;sans-serif"/>
          <w:b w:val="false"/>
          <w:color w:val="000000"/>
          <w:sz w:val="18"/>
          <w:shd w:fill="FFFFFF" w:val="clear"/>
        </w:rPr>
        <w:t xml:space="preserve">reflected a workforce reduction of </w:t>
      </w:r>
      <w:r>
        <w:rPr>
          <w:rFonts w:ascii="Arial;sans-serif" w:hAnsi="Arial;sans-serif"/>
          <w:b w:val="false"/>
          <w:color w:val="000000"/>
          <w:sz w:val="18"/>
        </w:rPr>
        <w:t>$75.6 million</w:t>
      </w:r>
      <w:r>
        <w:rPr>
          <w:color w:val="000000"/>
          <w:shd w:fill="FFFFFF" w:val="clear"/>
        </w:rPr>
        <w:t xml:space="preserve"> </w:t>
      </w:r>
      <w:r>
        <w:rPr>
          <w:rFonts w:ascii="Arial;sans-serif" w:hAnsi="Arial;sans-serif"/>
          <w:b w:val="false"/>
          <w:color w:val="000000"/>
          <w:sz w:val="18"/>
          <w:shd w:fill="FFFFFF" w:val="clear"/>
        </w:rPr>
        <w:t xml:space="preserve">and an office consolidation program to optimize the Company's office footprint of </w:t>
      </w:r>
      <w:r>
        <w:rPr>
          <w:rFonts w:ascii="Arial;sans-serif" w:hAnsi="Arial;sans-serif"/>
          <w:b w:val="false"/>
          <w:color w:val="000000"/>
          <w:sz w:val="18"/>
        </w:rPr>
        <w:t>$6.7 million</w:t>
      </w:r>
      <w:r>
        <w:rPr>
          <w:rFonts w:ascii="Arial;sans-serif" w:hAnsi="Arial;sans-serif"/>
          <w:b w:val="false"/>
          <w:color w:val="000000"/>
          <w:sz w:val="18"/>
          <w:shd w:fill="FFFFFF" w:val="clear"/>
        </w:rPr>
        <w:t xml:space="preserve">. </w:t>
      </w:r>
    </w:p>
    <w:tbl>
      <w:tblPr>
        <w:tblW w:w="7001" w:type="dxa"/>
        <w:jc w:val="left"/>
        <w:tblInd w:w="0" w:type="dxa"/>
        <w:tblLayout w:type="fixed"/>
        <w:tblCellMar>
          <w:top w:w="28" w:type="dxa"/>
          <w:left w:w="28" w:type="dxa"/>
          <w:bottom w:w="28" w:type="dxa"/>
          <w:right w:w="28" w:type="dxa"/>
        </w:tblCellMar>
      </w:tblPr>
      <w:tblGrid>
        <w:gridCol w:w="695"/>
        <w:gridCol w:w="611"/>
        <w:gridCol w:w="614"/>
        <w:gridCol w:w="211"/>
        <w:gridCol w:w="721"/>
        <w:gridCol w:w="109"/>
        <w:gridCol w:w="211"/>
        <w:gridCol w:w="721"/>
        <w:gridCol w:w="109"/>
        <w:gridCol w:w="109"/>
        <w:gridCol w:w="109"/>
        <w:gridCol w:w="109"/>
        <w:gridCol w:w="211"/>
        <w:gridCol w:w="721"/>
        <w:gridCol w:w="109"/>
        <w:gridCol w:w="211"/>
        <w:gridCol w:w="721"/>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1" w:type="dxa"/>
            <w:gridSpan w:val="15"/>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82,296 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both"/>
        <w:rPr/>
      </w:pPr>
      <w:r>
        <w:rPr>
          <w:rFonts w:ascii="Arial;sans-serif" w:hAnsi="Arial;sans-serif"/>
          <w:b w:val="false"/>
          <w:color w:val="000000"/>
          <w:sz w:val="18"/>
        </w:rPr>
        <w:t>At June 30, 2026, a total liability of $23.2 million</w:t>
      </w:r>
      <w:r>
        <w:rPr>
          <w:color w:val="000000"/>
        </w:rPr>
        <w:t xml:space="preserve"> </w:t>
      </w:r>
      <w:r>
        <w:rPr>
          <w:rFonts w:ascii="Arial;sans-serif" w:hAnsi="Arial;sans-serif"/>
          <w:b w:val="false"/>
          <w:color w:val="000000"/>
          <w:sz w:val="18"/>
        </w:rPr>
        <w:t>(December 31, 2025: $12.5 million)</w:t>
      </w:r>
      <w:r>
        <w:rPr>
          <w:color w:val="000000"/>
        </w:rPr>
        <w:t xml:space="preserve"> </w:t>
      </w:r>
      <w:r>
        <w:rPr>
          <w:rFonts w:ascii="Arial;sans-serif" w:hAnsi="Arial;sans-serif"/>
          <w:b w:val="false"/>
          <w:color w:val="000000"/>
          <w:sz w:val="18"/>
        </w:rPr>
        <w:t xml:space="preserve">was recorded on the Condensed Consolidated Balance Sheet relating to restructuring activities. </w:t>
      </w:r>
    </w:p>
    <w:tbl>
      <w:tblPr>
        <w:tblW w:w="5624" w:type="dxa"/>
        <w:jc w:val="left"/>
        <w:tblInd w:w="0" w:type="dxa"/>
        <w:tblLayout w:type="fixed"/>
        <w:tblCellMar>
          <w:top w:w="28" w:type="dxa"/>
          <w:left w:w="28" w:type="dxa"/>
          <w:bottom w:w="28" w:type="dxa"/>
          <w:right w:w="28" w:type="dxa"/>
        </w:tblCellMar>
      </w:tblPr>
      <w:tblGrid>
        <w:gridCol w:w="787"/>
        <w:gridCol w:w="691"/>
        <w:gridCol w:w="697"/>
        <w:gridCol w:w="331"/>
        <w:gridCol w:w="1133"/>
        <w:gridCol w:w="171"/>
        <w:gridCol w:w="352"/>
        <w:gridCol w:w="1205"/>
        <w:gridCol w:w="257"/>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Six Months Ended</w:t>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xml:space="preserve">Year </w:t>
              <w:br/>
              <w:t>Ended</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814"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217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Opening provision</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31,474 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 during the period</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75,386 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Utilization</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(94,335)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Closing provision</w:t>
            </w:r>
          </w:p>
        </w:tc>
        <w:tc>
          <w:tcPr>
            <w:tcW w:w="3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23,197 </w:t>
            </w:r>
          </w:p>
        </w:tc>
        <w:tc>
          <w:tcPr>
            <w:tcW w:w="1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12,525 </w:t>
            </w:r>
          </w:p>
        </w:tc>
        <w:tc>
          <w:tcPr>
            <w:tcW w:w="2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both"/>
        <w:rPr>
          <w:rFonts w:ascii="Arial;sans-serif" w:hAnsi="Arial;sans-serif"/>
          <w:b w:val="false"/>
          <w:color w:val="000000"/>
          <w:sz w:val="18"/>
        </w:rPr>
      </w:pPr>
      <w:r>
        <w:rPr>
          <w:rFonts w:ascii="Arial;sans-serif" w:hAnsi="Arial;sans-serif"/>
          <w:b w:val="false"/>
          <w:color w:val="000000"/>
          <w:sz w:val="18"/>
        </w:rPr>
        <w:t>The closing provision as at June 30, 2026 of $23.2 million (December 31, 2025: $12.5 million) reflects:</w:t>
      </w:r>
    </w:p>
    <w:p>
      <w:pPr>
        <w:pStyle w:val="TextBody"/>
        <w:bidi w:val="0"/>
        <w:spacing w:lineRule="auto" w:line="288" w:before="100" w:after="283"/>
        <w:ind w:left="0" w:right="0" w:firstLine="720"/>
        <w:jc w:val="both"/>
        <w:rPr/>
      </w:pPr>
      <w:r>
        <w:rPr>
          <w:rFonts w:ascii="Arial;sans-serif" w:hAnsi="Arial;sans-serif"/>
          <w:b w:val="false"/>
          <w:color w:val="000000"/>
          <w:sz w:val="18"/>
          <w:shd w:fill="FFFFFF" w:val="clear"/>
        </w:rPr>
        <w:t>(</w:t>
      </w:r>
      <w:r>
        <w:rPr>
          <w:rFonts w:ascii="Arial;sans-serif" w:hAnsi="Arial;sans-serif"/>
          <w:b w:val="false"/>
          <w:color w:val="000000"/>
          <w:sz w:val="18"/>
        </w:rPr>
        <w:t>1) $21.1 million</w:t>
      </w:r>
      <w:r>
        <w:rPr>
          <w:color w:val="000000"/>
          <w:shd w:fill="FFFFFF" w:val="clear"/>
        </w:rPr>
        <w:t xml:space="preserve"> </w:t>
      </w:r>
      <w:r>
        <w:rPr>
          <w:rFonts w:ascii="Arial;sans-serif" w:hAnsi="Arial;sans-serif"/>
          <w:b w:val="false"/>
          <w:color w:val="000000"/>
          <w:sz w:val="18"/>
          <w:shd w:fill="FFFFFF" w:val="clear"/>
        </w:rPr>
        <w:t>(</w:t>
      </w:r>
      <w:r>
        <w:rPr>
          <w:rFonts w:ascii="Arial;sans-serif" w:hAnsi="Arial;sans-serif"/>
          <w:b w:val="false"/>
          <w:color w:val="000000"/>
          <w:sz w:val="18"/>
        </w:rPr>
        <w:t>December 31, 2025</w:t>
      </w:r>
      <w:r>
        <w:rPr>
          <w:rFonts w:ascii="Arial;sans-serif" w:hAnsi="Arial;sans-serif"/>
          <w:b w:val="false"/>
          <w:color w:val="000000"/>
          <w:sz w:val="18"/>
          <w:shd w:fill="FFFFFF" w:val="clear"/>
        </w:rPr>
        <w:t xml:space="preserve">: </w:t>
      </w:r>
      <w:r>
        <w:rPr>
          <w:rFonts w:ascii="Arial;sans-serif" w:hAnsi="Arial;sans-serif"/>
          <w:b w:val="false"/>
          <w:color w:val="000000"/>
          <w:sz w:val="18"/>
        </w:rPr>
        <w:t>$9.1 million</w:t>
      </w:r>
      <w:r>
        <w:rPr>
          <w:rFonts w:ascii="Arial;sans-serif" w:hAnsi="Arial;sans-serif"/>
          <w:b w:val="false"/>
          <w:color w:val="000000"/>
          <w:sz w:val="18"/>
          <w:shd w:fill="FFFFFF" w:val="clear"/>
        </w:rPr>
        <w:t>) of personnel related liabilities as a result of the workforce reduction; all of which have been classified as short-term within Other Liabilities, and</w:t>
      </w:r>
    </w:p>
    <w:p>
      <w:pPr>
        <w:pStyle w:val="TextBody"/>
        <w:bidi w:val="0"/>
        <w:spacing w:lineRule="auto" w:line="288" w:before="100" w:after="283"/>
        <w:ind w:left="0" w:right="0" w:firstLine="720"/>
        <w:jc w:val="both"/>
        <w:rPr/>
      </w:pPr>
      <w:r>
        <w:rPr>
          <w:rFonts w:ascii="Arial;sans-serif" w:hAnsi="Arial;sans-serif"/>
          <w:b w:val="false"/>
          <w:color w:val="000000"/>
          <w:sz w:val="18"/>
        </w:rPr>
        <w:t>(2) $2.1 million (December 31, 2025: $3.4 million) of facilities related liabilities of which $0.5 million</w:t>
      </w:r>
      <w:r>
        <w:rPr>
          <w:color w:val="000000"/>
        </w:rPr>
        <w:t xml:space="preserve"> </w:t>
      </w:r>
      <w:r>
        <w:rPr>
          <w:rFonts w:ascii="Arial;sans-serif" w:hAnsi="Arial;sans-serif"/>
          <w:b w:val="false"/>
          <w:color w:val="000000"/>
          <w:sz w:val="18"/>
        </w:rPr>
        <w:t>(December 31, 2025: $1.3 million) is included within Other Liabilities and $1.6 million (December 31, 2025: $2.1 million)</w:t>
      </w:r>
      <w:r>
        <w:rPr>
          <w:color w:val="000000"/>
        </w:rPr>
        <w:t xml:space="preserve"> </w:t>
      </w:r>
      <w:r>
        <w:rPr>
          <w:rFonts w:ascii="Arial;sans-serif" w:hAnsi="Arial;sans-serif"/>
          <w:b w:val="false"/>
          <w:color w:val="000000"/>
          <w:sz w:val="18"/>
        </w:rPr>
        <w:t xml:space="preserve">is included within Non-Current Other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left"/>
        <w:rPr>
          <w:rFonts w:ascii="Arial;sans-serif" w:hAnsi="Arial;sans-serif"/>
          <w:b/>
          <w:color w:val="000000"/>
          <w:sz w:val="18"/>
        </w:rPr>
      </w:pPr>
      <w:r>
        <w:rPr>
          <w:rFonts w:ascii="Arial;sans-serif" w:hAnsi="Arial;sans-serif"/>
          <w:b/>
          <w:color w:val="000000"/>
          <w:sz w:val="18"/>
        </w:rPr>
        <w:t>9. Operating leases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Lease costs recorded under operating leases for three and six months ended June 30, 2026 and June 30, 2025 were as follows:</w:t>
      </w:r>
    </w:p>
    <w:p>
      <w:pPr>
        <w:pStyle w:val="TextBody"/>
        <w:bidi w:val="0"/>
        <w:spacing w:before="0" w:after="0"/>
        <w:jc w:val="both"/>
        <w:rPr/>
      </w:pPr>
      <w:r>
        <w:rPr/>
      </w:r>
    </w:p>
    <w:tbl>
      <w:tblPr>
        <w:tblW w:w="6426" w:type="dxa"/>
        <w:jc w:val="left"/>
        <w:tblInd w:w="0" w:type="dxa"/>
        <w:tblLayout w:type="fixed"/>
        <w:tblCellMar>
          <w:top w:w="28" w:type="dxa"/>
          <w:left w:w="28" w:type="dxa"/>
          <w:bottom w:w="28" w:type="dxa"/>
          <w:right w:w="28" w:type="dxa"/>
        </w:tblCellMar>
      </w:tblPr>
      <w:tblGrid>
        <w:gridCol w:w="684"/>
        <w:gridCol w:w="601"/>
        <w:gridCol w:w="605"/>
        <w:gridCol w:w="211"/>
        <w:gridCol w:w="721"/>
        <w:gridCol w:w="109"/>
        <w:gridCol w:w="211"/>
        <w:gridCol w:w="721"/>
        <w:gridCol w:w="109"/>
        <w:gridCol w:w="109"/>
        <w:gridCol w:w="109"/>
        <w:gridCol w:w="109"/>
        <w:gridCol w:w="211"/>
        <w:gridCol w:w="721"/>
        <w:gridCol w:w="109"/>
        <w:gridCol w:w="211"/>
        <w:gridCol w:w="72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08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r>
      <w:tr>
        <w:trPr/>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Sublease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lease costs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21,049 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Of the total cost of $10.1 million incurred in the three months ended June 30, 2026 (June 30, 2025: $10.6 million), $8.5 million (June 30, 2025: $9.2 million) is recorded within selling, general and administration costs and $1.6 million (June 30, 2025: $1.4 million) is recorded within direct costs.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Of the total cost of $20.5 million incurred in the six months ended June 30, 2026 (June 30, 2025: $21.0 million), $17.4 million (June 30, 2025: $18.1 million) is recorded within selling, general and administration costs and $3.1 million (June 30, 2025: $2.9 million) is recorded within direct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 xml:space="preserve">During the three and six months ended June 30, 2026 and June 30, 2025, </w:t>
      </w:r>
      <w:r>
        <w:rPr>
          <w:rFonts w:ascii="Arial;sans-serif" w:hAnsi="Arial;sans-serif"/>
          <w:b w:val="false"/>
          <w:color w:val="000000"/>
          <w:sz w:val="18"/>
          <w:shd w:fill="FFFFFF" w:val="clear"/>
        </w:rPr>
        <w:t xml:space="preserve">costs incurred by the Group related to variable lease payments were de minimis.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Right-of-use assets obtained, in exchange for lease obligations during the three months ended June 30, 2026, totaled $1.9 million (June 30, 2025: $2.8 million). Right-of-use assets obtained, in exchange for lease obligations during the six months ended June 30, 2026, totaled $6.9 million (June 30, 2025: $9.8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weighted average remaining lease term and weighted-average discount rate at June 30, 2026 were 5.66 years and 3.83%, respectively. The weighted average remaining lease term and weighted-average discount rate at December 31, 2025 were 5.96 years and 4.04%,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Future minimum lease payments under non-cancelable leases as of June 30, 2026 were as follows:</w:t>
      </w:r>
    </w:p>
    <w:p>
      <w:pPr>
        <w:pStyle w:val="TextBody"/>
        <w:bidi w:val="0"/>
        <w:spacing w:before="0" w:after="0"/>
        <w:jc w:val="both"/>
        <w:rPr/>
      </w:pPr>
      <w:r>
        <w:rPr/>
      </w:r>
    </w:p>
    <w:tbl>
      <w:tblPr>
        <w:tblW w:w="4574" w:type="dxa"/>
        <w:jc w:val="left"/>
        <w:tblInd w:w="0" w:type="dxa"/>
        <w:tblLayout w:type="fixed"/>
        <w:tblCellMar>
          <w:top w:w="28" w:type="dxa"/>
          <w:left w:w="28" w:type="dxa"/>
          <w:bottom w:w="28" w:type="dxa"/>
          <w:right w:w="28" w:type="dxa"/>
        </w:tblCellMar>
      </w:tblPr>
      <w:tblGrid>
        <w:gridCol w:w="1159"/>
        <w:gridCol w:w="1015"/>
        <w:gridCol w:w="1035"/>
        <w:gridCol w:w="242"/>
        <w:gridCol w:w="947"/>
        <w:gridCol w:w="176"/>
      </w:tblGrid>
      <w:tr>
        <w:trPr/>
        <w:tc>
          <w:tcPr>
            <w:tcW w:w="11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 thousands)</w:t>
            </w:r>
          </w:p>
        </w:tc>
      </w:tr>
      <w:tr>
        <w:trPr/>
        <w:tc>
          <w:tcPr>
            <w:tcW w:w="3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1</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36,942 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2</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3</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4</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5</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future minimum lease payments </w:t>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149,688 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imputed interest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135,263 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Operating lease liabilities are presented as current and non-current. As at June 30, 2026, operating lease liabilities of $32.5 million have been included in Other liabilities (December 31, 2025: $36.3 million) and $102.8 million have been classified as Non-Current Lease Liabilities (December 31, 2025: $117.1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10. Bank credit lines, loan facilities and notes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The Company had the following debt outstanding as of June 30, 2026 and December 31, 2025:</w:t>
      </w:r>
    </w:p>
    <w:p>
      <w:pPr>
        <w:pStyle w:val="TextBody"/>
        <w:bidi w:val="0"/>
        <w:spacing w:before="0" w:after="0"/>
        <w:ind w:left="0" w:right="0" w:firstLine="720"/>
        <w:jc w:val="left"/>
        <w:rPr/>
      </w:pPr>
      <w:r>
        <w:rPr/>
      </w:r>
    </w:p>
    <w:tbl>
      <w:tblPr>
        <w:tblW w:w="9978" w:type="dxa"/>
        <w:jc w:val="left"/>
        <w:tblInd w:w="0" w:type="dxa"/>
        <w:tblLayout w:type="fixed"/>
        <w:tblCellMar>
          <w:top w:w="28" w:type="dxa"/>
          <w:left w:w="28" w:type="dxa"/>
          <w:bottom w:w="28" w:type="dxa"/>
          <w:right w:w="28" w:type="dxa"/>
        </w:tblCellMar>
      </w:tblPr>
      <w:tblGrid>
        <w:gridCol w:w="1327"/>
        <w:gridCol w:w="1164"/>
        <w:gridCol w:w="1168"/>
        <w:gridCol w:w="419"/>
        <w:gridCol w:w="419"/>
        <w:gridCol w:w="421"/>
        <w:gridCol w:w="352"/>
        <w:gridCol w:w="264"/>
        <w:gridCol w:w="458"/>
        <w:gridCol w:w="308"/>
        <w:gridCol w:w="308"/>
        <w:gridCol w:w="724"/>
        <w:gridCol w:w="211"/>
        <w:gridCol w:w="976"/>
        <w:gridCol w:w="109"/>
        <w:gridCol w:w="212"/>
        <w:gridCol w:w="983"/>
        <w:gridCol w:w="155"/>
      </w:tblGrid>
      <w:tr>
        <w:trPr/>
        <w:tc>
          <w:tcPr>
            <w:tcW w:w="13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rate as of</w:t>
            </w:r>
          </w:p>
        </w:tc>
        <w:tc>
          <w:tcPr>
            <w:tcW w:w="26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Principal amount</w:t>
            </w:r>
          </w:p>
        </w:tc>
      </w:tr>
      <w:tr>
        <w:trPr/>
        <w:tc>
          <w:tcPr>
            <w:tcW w:w="36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Maturity Date</w:t>
            </w:r>
          </w:p>
        </w:tc>
        <w:tc>
          <w:tcPr>
            <w:tcW w:w="107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4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w:t>
              <w:br/>
              <w:t>2025</w:t>
            </w:r>
          </w:p>
        </w:tc>
        <w:tc>
          <w:tcPr>
            <w:tcW w:w="12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50" w:type="dxa"/>
            <w:gridSpan w:val="3"/>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w:t>
              <w:br/>
              <w:t>2025</w:t>
            </w:r>
          </w:p>
        </w:tc>
      </w:tr>
      <w:tr>
        <w:trPr/>
        <w:tc>
          <w:tcPr>
            <w:tcW w:w="36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6"/>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Term Loan</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2028</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5.732 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5.672 </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916,688 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 (the "2026 Notes")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2026</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2.875 </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 (the "2027 Notes")*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2027</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5.809 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5.809 </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 (the "2029 Notes")*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2029</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5.849 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5.849 </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 (the "2034 Notes")*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2034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debt</w:t>
            </w:r>
          </w:p>
        </w:tc>
        <w:tc>
          <w:tcPr>
            <w:tcW w:w="12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3,401,807 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3,416,688 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(529,762)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w:t>
            </w:r>
          </w:p>
        </w:tc>
        <w:tc>
          <w:tcPr>
            <w:tcW w:w="12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2,122,045 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2,886,926 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debt issuance costs and debt discount</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long-term debt, net</w:t>
            </w:r>
          </w:p>
        </w:tc>
        <w:tc>
          <w:tcPr>
            <w:tcW w:w="1259"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2,110,783 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2,872,616 </w:t>
            </w:r>
          </w:p>
        </w:tc>
        <w:tc>
          <w:tcPr>
            <w:tcW w:w="15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*Issued May 8, 2024</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As of June 30, 2026, the contractual maturities of the Company's debt obligations were as follows:</w:t>
      </w:r>
    </w:p>
    <w:p>
      <w:pPr>
        <w:pStyle w:val="TextBody"/>
        <w:bidi w:val="0"/>
        <w:spacing w:before="0" w:after="0"/>
        <w:jc w:val="left"/>
        <w:rPr/>
      </w:pPr>
      <w:r>
        <w:rPr/>
      </w:r>
    </w:p>
    <w:tbl>
      <w:tblPr>
        <w:tblW w:w="5028" w:type="dxa"/>
        <w:jc w:val="left"/>
        <w:tblInd w:w="0" w:type="dxa"/>
        <w:tblLayout w:type="fixed"/>
        <w:tblCellMar>
          <w:top w:w="28" w:type="dxa"/>
          <w:left w:w="28" w:type="dxa"/>
          <w:bottom w:w="28" w:type="dxa"/>
          <w:right w:w="28" w:type="dxa"/>
        </w:tblCellMar>
      </w:tblPr>
      <w:tblGrid>
        <w:gridCol w:w="624"/>
        <w:gridCol w:w="550"/>
        <w:gridCol w:w="550"/>
        <w:gridCol w:w="434"/>
        <w:gridCol w:w="434"/>
        <w:gridCol w:w="441"/>
        <w:gridCol w:w="109"/>
        <w:gridCol w:w="109"/>
        <w:gridCol w:w="109"/>
        <w:gridCol w:w="109"/>
        <w:gridCol w:w="109"/>
        <w:gridCol w:w="109"/>
        <w:gridCol w:w="211"/>
        <w:gridCol w:w="97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Contractual maturities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 thousands)</w:t>
            </w:r>
          </w:p>
        </w:tc>
      </w:tr>
      <w:tr>
        <w:trPr/>
        <w:tc>
          <w:tcPr>
            <w:tcW w:w="172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(remaining)</w:t>
            </w:r>
          </w:p>
        </w:tc>
        <w:tc>
          <w:tcPr>
            <w:tcW w:w="130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514,881 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and thereafter</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Total</w:t>
            </w:r>
          </w:p>
        </w:tc>
        <w:tc>
          <w:tcPr>
            <w:tcW w:w="130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3,401,807 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Company's primary financing arrangements are its senior secured credit facilities (the "Senior Secured Credit Facilities"), which consists of a senior secured term loan and a revolving credit facility, the 2026 Notes and the New Notes.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The New Notes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paid an underwriting discount of $6.8 million on the New Notes being: 0.250% of the principal amount of the 2027 Notes, 0.350% of the principal amount of the 2029 Notes and 0.450% of the 2034 Notes. Further, the 2034 Notes were issued at a discount of $0.5 million (issued at 99.896% of par).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proceeds from the issuance were used to repay a portion of the senior secured term loan outstanding under the Senior Secured Credit Facilities and to pay fees, costs and expenses related to the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Interest on the New Notes is payable on May 8 and November 8 of each year, having commenced on November 8, 2024. Unless previously redeemed, the 2027 Notes will mature on May 8, 2027, the 2029 Notes will mature on May 8, 2029 and the 2034 Notes will mature on May 8, 2034.</w:t>
      </w:r>
    </w:p>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New Notes are guaranteed on a senior secured basis by ICON and its existing and future wholly owned subsidiaries, in each case that guarantee the obligations under our Senior Secured Credit Facilities and the 2026 Notes (the “Subsidiary Guarantors” and, collectively with ICON, the “Guarantors”).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18"/>
        </w:rPr>
      </w:pPr>
      <w:r>
        <w:rPr>
          <w:rFonts w:ascii="Arial;sans-serif" w:hAnsi="Arial;sans-serif"/>
          <w:b w:val="false"/>
          <w:i/>
          <w:color w:val="000000"/>
          <w:sz w:val="18"/>
        </w:rPr>
        <w:t>Senior Secured Credit Facilities</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July 1, 2021, the Company completed the acquisition of PRA Health Sciences, Inc. (“PRA”) by means of a merger whereby Indigo Merger Sub, Inc., a Delaware corporation and subsidiary of ICON, merged with and into PRA, the parent of PRA Health Sciences (the “Merger”). In conjunction with the completion of the Merger, on July 1, 2021, ICON entered into a credit agreement (the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 The Senior Secured Credit Facilities and the 2026 Notes were issued at a discount of $27.6 million.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plus an applicable margin which is dependent on the Company's net leverage ratio. At June 30, 2026, the applicable margin is 2.0%. The margin on the senior secured term loan facility is subject to a floor of 0.50%.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November 26, 2025, the parties to the Credit Agreement entered into a Fourth Amendment (the “Fourth Amendment”) to reprice and extend the senior secured revolving credit facility.</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a result of the Fourth Amendment, the maturity was extended from a five-year term to a seven-year term ending July 1, 2028. Reflecting the Fourth Amendment, the interest rate margin applicable to borrowings under the revolving loan facility will be, at the option of the borrower, either (i) the applicable base rate plus an applicable margin of 0.35% or 0.00%, based on the Company’s current corporate family rating assigned by S&amp;P of BB (or lower) or BB+ (or higher), respectively, or (ii) Term SOFR plus an applicable margin of 1.35%, 1.00%, 0.75%, 0.55%, or 0.40%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Principal repayments on the senior secured term loan, comprising mandatory repayments, during the six months ended June 30, 2026 and year ended December 31, 2025 were as follows:</w:t>
      </w:r>
    </w:p>
    <w:p>
      <w:pPr>
        <w:pStyle w:val="TextBody"/>
        <w:bidi w:val="0"/>
        <w:spacing w:before="0" w:after="0"/>
        <w:jc w:val="both"/>
        <w:rPr/>
      </w:pPr>
      <w:r>
        <w:rPr/>
      </w:r>
    </w:p>
    <w:tbl>
      <w:tblPr>
        <w:tblW w:w="3677" w:type="dxa"/>
        <w:jc w:val="left"/>
        <w:tblInd w:w="0" w:type="dxa"/>
        <w:tblLayout w:type="fixed"/>
        <w:tblCellMar>
          <w:top w:w="28" w:type="dxa"/>
          <w:left w:w="28" w:type="dxa"/>
          <w:bottom w:w="28" w:type="dxa"/>
          <w:right w:w="28" w:type="dxa"/>
        </w:tblCellMar>
      </w:tblPr>
      <w:tblGrid>
        <w:gridCol w:w="794"/>
        <w:gridCol w:w="697"/>
        <w:gridCol w:w="698"/>
        <w:gridCol w:w="109"/>
        <w:gridCol w:w="109"/>
        <w:gridCol w:w="109"/>
        <w:gridCol w:w="211"/>
        <w:gridCol w:w="79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Principal repayments</w:t>
            </w:r>
          </w:p>
        </w:tc>
        <w:tc>
          <w:tcPr>
            <w:tcW w:w="148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 thousands)</w:t>
            </w:r>
          </w:p>
        </w:tc>
      </w:tr>
      <w:tr>
        <w:trPr/>
        <w:tc>
          <w:tcPr>
            <w:tcW w:w="21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repayments in 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(29,762)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1, 2026</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repayments in 2026</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During the six months ended June 30, 2026, the Company drew down $nil (year ended December 31, 2025: $50.0 million) of the senior secured revolving loan facility and repaid $nil (year ended December 31, 2025: $50.0 million) as shown below. As at June 30, 2026, $nil (December 31, 2025: $nil) was drawn under the senior secured revolving loan facility.</w:t>
      </w:r>
    </w:p>
    <w:p>
      <w:pPr>
        <w:pStyle w:val="TextBody"/>
        <w:bidi w:val="0"/>
        <w:spacing w:lineRule="auto" w:line="268" w:before="0" w:after="0"/>
        <w:ind w:left="0" w:right="0" w:firstLine="720"/>
        <w:jc w:val="both"/>
        <w:rPr>
          <w:color w:val="000000"/>
          <w:shd w:fill="FFFFFF" w:val="clear"/>
        </w:rPr>
      </w:pPr>
      <w:r>
        <w:rPr>
          <w:color w:val="000000"/>
          <w:shd w:fill="FFFFFF" w:val="clear"/>
        </w:rPr>
        <w:t>    </w:t>
      </w:r>
    </w:p>
    <w:tbl>
      <w:tblPr>
        <w:tblW w:w="6919" w:type="dxa"/>
        <w:jc w:val="left"/>
        <w:tblInd w:w="0" w:type="dxa"/>
        <w:tblLayout w:type="fixed"/>
        <w:tblCellMar>
          <w:top w:w="28" w:type="dxa"/>
          <w:left w:w="28" w:type="dxa"/>
          <w:bottom w:w="28" w:type="dxa"/>
          <w:right w:w="28" w:type="dxa"/>
        </w:tblCellMar>
      </w:tblPr>
      <w:tblGrid>
        <w:gridCol w:w="1160"/>
        <w:gridCol w:w="1020"/>
        <w:gridCol w:w="1029"/>
        <w:gridCol w:w="213"/>
        <w:gridCol w:w="727"/>
        <w:gridCol w:w="110"/>
        <w:gridCol w:w="211"/>
        <w:gridCol w:w="796"/>
        <w:gridCol w:w="109"/>
        <w:gridCol w:w="422"/>
        <w:gridCol w:w="812"/>
        <w:gridCol w:w="310"/>
      </w:tblGrid>
      <w:tr>
        <w:trPr/>
        <w:tc>
          <w:tcPr>
            <w:tcW w:w="11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xml:space="preserve">Drawdown </w:t>
            </w:r>
          </w:p>
        </w:tc>
        <w:tc>
          <w:tcPr>
            <w:tcW w:w="111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Repayment</w:t>
            </w:r>
          </w:p>
        </w:tc>
        <w:tc>
          <w:tcPr>
            <w:tcW w:w="15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Closing Balance</w:t>
            </w:r>
          </w:p>
        </w:tc>
      </w:tr>
      <w:tr>
        <w:trPr/>
        <w:tc>
          <w:tcPr>
            <w:tcW w:w="3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1, 2025</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2, 2025</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3, 2025</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4, 2025</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drawdown / (repayment) in 2025</w:t>
            </w:r>
          </w:p>
        </w:tc>
        <w:tc>
          <w:tcPr>
            <w:tcW w:w="94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1, 2026</w:t>
            </w:r>
          </w:p>
        </w:tc>
        <w:tc>
          <w:tcPr>
            <w:tcW w:w="94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 2, 2026</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drawdown / (repayment) in 2026</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2026 Notes</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addition to the Senior Secured Credit Facilities, on July 1, 2021, a subsidiary of the Company issued the 2026 Notes of $500 million in aggregate principal amount of 2.875% senior secured notes in a private offering (the “Offering”). The 2026 Notes matured on July 15, 2026.</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Bridge Secured Credit Facility</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April 27, 2026, ICON Global Treasury Unlimited Company (the “Bridge Facility Borrower”), a subsidiary of the Company, entered into a bridge facility credit agreement for an aggregate principal amount of $500 million (the "Bridge Secured Credit Facility").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borrowings under the Bridge Secured Credit Facility do not amortize and are due at final maturity. The interest rate margin applicable to borrowings under the Bridge Secured Credit Facility is USD Term SOFR plus a fixed calendared applicable margin ranging from 1.00% to 2.25%. At June 30, 2026, the applicable margin was 1.00%.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Bridge Facility Borrower’s obligations under the Bridge Secured Credit Facility are guaranteed by ICON and the subsidiary guarantors party thereto. The Bridge Secured Credit Facility is secured by a lien on substantially all of the assets (subject to certain exceptions) of ICON, the Bridge Facility Borrower and each of the subsidiary guarantors, and the Bridge Secured Credit Facility will have a first-priority lien on such assets which will rank pari passu with the lien securing ICON’s other first lien secured indebtedness and is subject to other permitted liens. The Company is permitted to make voluntary prepayments under the Bridge Secured Credit Facility without premium or penalty (subject to customary break funding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Bridge Secured Credit Facility contains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Bridge Secured Credit Facility provides that, upon the occurrence of certain events of default, the obligations under the credit agreement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of June 30, 2026, the Company had incurred $2.3 million of debt issuance costs related to the Bridge Secured Credit Facility. As no amounts had been drawn under the facility as of June 30, 2026, these costs were recorded within "Prepayments and other current assets" in the Condensed Consolidated Balance Sheet. Upon drawing the facility, the associated debt issuance costs will be reclassified as a direct deduction from the carrying amount of the related debt and amortized to interest expense over the term of the facility using the effective interest method.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val="false"/>
          <w:color w:val="000000"/>
          <w:sz w:val="18"/>
        </w:rPr>
        <w:t>On July 15, 2026, the Company drew down on the Bridge Secured Credit Facility in full and used the proceeds of 500.0 million to repay</w:t>
      </w:r>
      <w:r>
        <w:rPr>
          <w:color w:val="000000"/>
        </w:rPr>
        <w:t xml:space="preserve"> </w:t>
      </w:r>
      <w:r>
        <w:rPr>
          <w:rFonts w:ascii="Arial;sans-serif" w:hAnsi="Arial;sans-serif"/>
          <w:b w:val="false"/>
          <w:color w:val="000000"/>
          <w:sz w:val="18"/>
        </w:rPr>
        <w:t>in full 500.0 million aggregate principal amount of the 2.875% Senior Secured Notes (the “2026 Notes”) issued by a subsidiary of the Group in July 2021 that matured on July 15, 2026. The Bridge Secured Credit Facility will mature on April 26, 2027.</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18"/>
        </w:rPr>
      </w:pPr>
      <w:r>
        <w:rPr>
          <w:rFonts w:ascii="Arial;sans-serif" w:hAnsi="Arial;sans-serif"/>
          <w:b w:val="false"/>
          <w:i/>
          <w:color w:val="000000"/>
          <w:sz w:val="18"/>
        </w:rPr>
        <w:t>Waivers to the debt agreements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April 27, 2026, the parties (limited to the borrowers and revolving lenders under the senior secured revolving loan facility only) to the Credit Agreement entered into a Consent to Credit Agreement pursuant to which such revolving lenders agreed to provide a limited and temporary waiver of the requirement to deliver certain financial statements under the senior secured revolving credit facility in connection with the borrowings thereunder. The waiver applied solely for the specified consent period ending May 31, 2026.</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May 18, 2026, the Company launched a consent and waiver to the Credit Agreement (applicable to all facilities thereunder) in order to request that the requisite lenders thereunder agree to (i) waive the technical default caused by the Company’s late delivery of annual financial statements for the fiscal year ending December 31, 2025, (ii) provide an extension of the delivery of the Company’s annual financial statements for the fiscal year ending December 31, 2025 to July 16, 2026 and (iii) provide an extension of the delivery of the Company’s quarterly financial statements for the fiscal quarter ending March 31, 2026 to July 31, 2026. Consent to the waiver was received on May 22, 2026.</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filed its Annual Report on Form 20-F for the year ended December 31, 2025 on May 27, 2026. The Company filed its quarterly financial statements for the fiscal quarter ending March 31, 2026 on June 23, 2026.</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Fair Value of Debt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Arial;sans-serif" w:hAnsi="Arial;sans-serif"/>
          <w:b w:val="false"/>
          <w:color w:val="000000"/>
          <w:sz w:val="18"/>
          <w:shd w:fill="FFFFFF" w:val="clear"/>
        </w:rPr>
        <w:t>The estimated fair value of the Company’s debt w</w:t>
      </w:r>
      <w:r>
        <w:rPr>
          <w:rFonts w:ascii="Arial;sans-serif" w:hAnsi="Arial;sans-serif"/>
          <w:b w:val="false"/>
          <w:color w:val="000000"/>
          <w:sz w:val="18"/>
        </w:rPr>
        <w:t xml:space="preserve">as </w:t>
      </w:r>
      <w:r>
        <w:rPr>
          <w:rFonts w:ascii="Arial;sans-serif" w:hAnsi="Arial;sans-serif"/>
          <w:b w:val="false"/>
          <w:color w:val="000000"/>
          <w:sz w:val="18"/>
          <w:shd w:fill="FFFFFF" w:val="clear"/>
        </w:rPr>
        <w:t>$3,437.7 million</w:t>
      </w:r>
      <w:r>
        <w:rPr>
          <w:color w:val="000000"/>
        </w:rPr>
        <w:t xml:space="preserve"> </w:t>
      </w:r>
      <w:r>
        <w:rPr>
          <w:rFonts w:ascii="Arial;sans-serif" w:hAnsi="Arial;sans-serif"/>
          <w:b w:val="false"/>
          <w:color w:val="000000"/>
          <w:sz w:val="18"/>
        </w:rPr>
        <w:t xml:space="preserve">at June 30, 2026 (December 31, 2025: </w:t>
      </w:r>
      <w:r>
        <w:rPr>
          <w:rFonts w:ascii="Arial;sans-serif" w:hAnsi="Arial;sans-serif"/>
          <w:b w:val="false"/>
          <w:color w:val="000000"/>
          <w:sz w:val="18"/>
          <w:shd w:fill="FFFFFF" w:val="clear"/>
        </w:rPr>
        <w:t>$3,500.1 million</w:t>
      </w:r>
      <w:r>
        <w:rPr>
          <w:rFonts w:ascii="Arial;sans-serif" w:hAnsi="Arial;sans-serif"/>
          <w:b w:val="false"/>
          <w:color w:val="000000"/>
          <w:sz w:val="18"/>
        </w:rPr>
        <w:t xml:space="preserve">). The fair values of the senior secured term loan facility, the 2026 Notes and the New Notes were determined based on rates at which the debt is traded among financial institutions.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Arial;sans-serif" w:hAnsi="Arial;sans-serif"/>
          <w:b/>
          <w:color w:val="000000"/>
          <w:sz w:val="18"/>
        </w:rPr>
      </w:pPr>
      <w:r>
        <w:rPr>
          <w:rFonts w:ascii="Arial;sans-serif" w:hAnsi="Arial;sans-serif"/>
          <w:b/>
          <w:color w:val="000000"/>
          <w:sz w:val="18"/>
        </w:rPr>
        <w:t>11. Income taxes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Income taxes recognized during the three and six months ended June 30, 2026 and June 30, 2025, comprise:</w:t>
      </w:r>
    </w:p>
    <w:p>
      <w:pPr>
        <w:pStyle w:val="TextBody"/>
        <w:bidi w:val="0"/>
        <w:spacing w:before="0" w:after="0"/>
        <w:jc w:val="both"/>
        <w:rPr/>
      </w:pPr>
      <w:r>
        <w:rPr/>
      </w:r>
    </w:p>
    <w:tbl>
      <w:tblPr>
        <w:tblW w:w="6996" w:type="dxa"/>
        <w:jc w:val="left"/>
        <w:tblInd w:w="0" w:type="dxa"/>
        <w:tblLayout w:type="fixed"/>
        <w:tblCellMar>
          <w:top w:w="28" w:type="dxa"/>
          <w:left w:w="28" w:type="dxa"/>
          <w:bottom w:w="28" w:type="dxa"/>
          <w:right w:w="28" w:type="dxa"/>
        </w:tblCellMar>
      </w:tblPr>
      <w:tblGrid>
        <w:gridCol w:w="928"/>
        <w:gridCol w:w="817"/>
        <w:gridCol w:w="820"/>
        <w:gridCol w:w="211"/>
        <w:gridCol w:w="721"/>
        <w:gridCol w:w="109"/>
        <w:gridCol w:w="211"/>
        <w:gridCol w:w="796"/>
        <w:gridCol w:w="109"/>
        <w:gridCol w:w="109"/>
        <w:gridCol w:w="109"/>
        <w:gridCol w:w="109"/>
        <w:gridCol w:w="211"/>
        <w:gridCol w:w="721"/>
        <w:gridCol w:w="109"/>
        <w:gridCol w:w="211"/>
        <w:gridCol w:w="541"/>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116" w:type="dxa"/>
            <w:gridSpan w:val="3"/>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6" w:space="0" w:color="000000"/>
              <w:bottom w:val="single" w:sz="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906" w:type="dxa"/>
            <w:gridSpan w:val="3"/>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r>
      <w:tr>
        <w:trPr/>
        <w:tc>
          <w:tcPr>
            <w:tcW w:w="256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 (benefit)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19,615 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(20,674)</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Income tax expense / (benefit) for the three months ended June 30, 2026 is a $19.6 million income tax expense, compared to a $20.7 million benefit for the three months ended June 30, 2025. The Company's effective tax rate for the three months ended June 30, 2026 was 21.3% compared with (11.3)% for the three months ended June 30, 2025, primarily due to the net increase of provisions for uncertain tax positions in the period of $1.9 million (three months ended June 30, 2025: $29.3 million release), and no release of a deferred tax liability related to investments in foreign subsidiaries associated with unremitted earnings (three months ended June 30, 2025: $30.6 million release).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Arial;sans-serif" w:hAnsi="Arial;sans-serif"/>
          <w:b w:val="false"/>
          <w:color w:val="000000"/>
          <w:sz w:val="18"/>
        </w:rPr>
        <w:t>The Income tax expense / (benefit) for the six months ended June 30, 2026 is a $42.4 million income tax expense, compared to a $0.3 million benefit for the six months ended June 30, 2025. The Company's effective tax rate for the six months ended June 30, 2026 was 19.3% compared with (0.1)% for the six months ended June 30, 2025 primarily due to the net increase of provisions for uncertain tax positions in the period of $2.7 million (six months ended June 30, 2025: $27.3 million release), and no</w:t>
      </w:r>
      <w:r>
        <w:rPr>
          <w:color w:val="000000"/>
        </w:rPr>
        <w:t xml:space="preserve"> </w:t>
      </w:r>
      <w:r>
        <w:rPr>
          <w:rFonts w:ascii="Arial;sans-serif" w:hAnsi="Arial;sans-serif"/>
          <w:b w:val="false"/>
          <w:color w:val="000000"/>
          <w:sz w:val="18"/>
        </w:rPr>
        <w:t>release of a deferred tax liability related to investments in foreign subsidiaries associated with unremitted earnings (six months ended June 30, 2025: $30.8 million release).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the normal course of business, the Company provides for uncertain tax positions and the related interest and adjusts its unrecognized tax benefits and accrued interest accordingly. As at June 30, 2026 the Company maintains a $105.9 million liability (December 31, 2025: $103.3 million) for unrecognized tax benefits, which is comprised of $80.8 million (December 31, 2025: $81.0 million) and $25.1 million (December 31, 2025: $22.3 million) for interest and penalties related to such items. The Company recognizes interest accrued on unrecognized tax benefits as an additional income tax expense.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has analyzed the filing positions in all of the significant jurisdictions where it is required to file income tax returns, as well as open tax years in these jurisdictions. The periods subject to audit by the major tax jurisdictions where the Company does business are the 2015 through 2025 tax years. During such audits, local tax authorities may challenge the positions taken by us in our tax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18"/>
        </w:rPr>
      </w:pPr>
      <w:r>
        <w:rPr>
          <w:rFonts w:ascii="Arial;sans-serif" w:hAnsi="Arial;sans-serif"/>
          <w:b/>
          <w:color w:val="000000"/>
          <w:sz w:val="18"/>
        </w:rPr>
        <w:t>12. Net income per ordinary share</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Basic net income per ordinary share has been computed by dividing net income available to ordinary shareholders by the weighted average number of ordinary shares outstanding during the period.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There is no difference in net income used for basic and diluted net income per ordinary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reconciliation of the number of shares used in the computation of basic and diluted net income per ordinary share is as follows:</w:t>
      </w:r>
    </w:p>
    <w:tbl>
      <w:tblPr>
        <w:tblW w:w="10205" w:type="dxa"/>
        <w:jc w:val="left"/>
        <w:tblInd w:w="0" w:type="dxa"/>
        <w:tblLayout w:type="fixed"/>
        <w:tblCellMar>
          <w:top w:w="28" w:type="dxa"/>
          <w:left w:w="28" w:type="dxa"/>
          <w:bottom w:w="28" w:type="dxa"/>
          <w:right w:w="28" w:type="dxa"/>
        </w:tblCellMar>
      </w:tblPr>
      <w:tblGrid>
        <w:gridCol w:w="1756"/>
        <w:gridCol w:w="1452"/>
        <w:gridCol w:w="1461"/>
        <w:gridCol w:w="754"/>
        <w:gridCol w:w="327"/>
        <w:gridCol w:w="207"/>
        <w:gridCol w:w="751"/>
        <w:gridCol w:w="330"/>
        <w:gridCol w:w="214"/>
        <w:gridCol w:w="109"/>
        <w:gridCol w:w="109"/>
        <w:gridCol w:w="109"/>
        <w:gridCol w:w="693"/>
        <w:gridCol w:w="388"/>
        <w:gridCol w:w="191"/>
        <w:gridCol w:w="711"/>
        <w:gridCol w:w="370"/>
        <w:gridCol w:w="273"/>
      </w:tblGrid>
      <w:tr>
        <w:trPr/>
        <w:tc>
          <w:tcPr>
            <w:tcW w:w="175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2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r>
      <w:tr>
        <w:trPr/>
        <w:tc>
          <w:tcPr>
            <w:tcW w:w="466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ordinary shares outstanding for basic net income per ordinary share</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76,845,757 </w:t>
            </w:r>
          </w:p>
        </w:tc>
        <w:tc>
          <w:tcPr>
            <w:tcW w:w="20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79,245,448 </w:t>
            </w:r>
          </w:p>
        </w:tc>
        <w:tc>
          <w:tcPr>
            <w:tcW w:w="2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76,712,589 </w:t>
            </w:r>
          </w:p>
        </w:tc>
        <w:tc>
          <w:tcPr>
            <w:tcW w:w="19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79,899,091 </w:t>
            </w:r>
          </w:p>
        </w:tc>
        <w:tc>
          <w:tcPr>
            <w:tcW w:w="27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share options and other awards outstanding under share based compensation programs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525,639 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301,996 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604,016 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336,809 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ordinary shares outstanding for diluted net income per ordinary share</w:t>
            </w:r>
          </w:p>
        </w:tc>
        <w:tc>
          <w:tcPr>
            <w:tcW w:w="10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77,371,396 </w:t>
            </w:r>
          </w:p>
        </w:tc>
        <w:tc>
          <w:tcPr>
            <w:tcW w:w="20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79,547,444 </w:t>
            </w:r>
          </w:p>
        </w:tc>
        <w:tc>
          <w:tcPr>
            <w:tcW w:w="21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77,316,605 </w:t>
            </w:r>
          </w:p>
        </w:tc>
        <w:tc>
          <w:tcPr>
            <w:tcW w:w="1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80,235,900 </w:t>
            </w:r>
          </w:p>
        </w:tc>
        <w:tc>
          <w:tcPr>
            <w:tcW w:w="27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7030" w:type="dxa"/>
        <w:jc w:val="left"/>
        <w:tblInd w:w="0" w:type="dxa"/>
        <w:tblLayout w:type="fixed"/>
        <w:tblCellMar>
          <w:top w:w="28" w:type="dxa"/>
          <w:left w:w="28" w:type="dxa"/>
          <w:bottom w:w="28" w:type="dxa"/>
          <w:right w:w="28" w:type="dxa"/>
        </w:tblCellMar>
      </w:tblPr>
      <w:tblGrid>
        <w:gridCol w:w="977"/>
        <w:gridCol w:w="860"/>
        <w:gridCol w:w="863"/>
        <w:gridCol w:w="236"/>
        <w:gridCol w:w="572"/>
        <w:gridCol w:w="122"/>
        <w:gridCol w:w="236"/>
        <w:gridCol w:w="572"/>
        <w:gridCol w:w="122"/>
        <w:gridCol w:w="109"/>
        <w:gridCol w:w="109"/>
        <w:gridCol w:w="109"/>
        <w:gridCol w:w="211"/>
        <w:gridCol w:w="511"/>
        <w:gridCol w:w="109"/>
        <w:gridCol w:w="211"/>
        <w:gridCol w:w="511"/>
        <w:gridCol w:w="109"/>
        <w:gridCol w:w="109"/>
        <w:gridCol w:w="10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9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Ordinary Share:</w:t>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0.94 </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13. Share based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Share Options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Outside Director retained by the Company or any Subsidiary for the purchase of ordinary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May 14, 2026, the 2008 Consultants Plan was amended to extend the expiration dates of options that would otherwise expire during periods when the sale of shares is prohibited, for a period equal to 30 open trading days following the reopening of the trading window in accordance with the Share Trading Policy. No options may be granted under the 2008 Option Plans after February 14,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Share option awards are granted with an exercise price equal to the market price of the Company's shares at date of grant. Share options typically vest over a period of four to five years from date of grant and expire eight years from date of grant. Share options granted to Outside Directors during 2018 vested over 12 months and expire eight years from the date of grant.</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Legacy PRA Equity Incentive Plans</w:t>
      </w:r>
    </w:p>
    <w:p>
      <w:pPr>
        <w:pStyle w:val="TextBody"/>
        <w:bidi w:val="0"/>
        <w:spacing w:before="0" w:after="0"/>
        <w:jc w:val="both"/>
        <w:rPr/>
      </w:pPr>
      <w:r>
        <w:rPr/>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The following represent the legacy PRA equity incentive plans, which still have equity outstanding but have been terminated as of July 1, 2021 as to grants of future awards.</w:t>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Pursuant to the Merger Agreement, effective on July 1,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July 1, 2021, and the corresponding value of the merger consideration for each PRA Share. Accordingly, the plans as detailed below were assumed by the Company.</w:t>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PRA Health Sciences, Inc. 2020 Stock Incentive Plan (the “2020 Plan”), 2018 Stock Incentive Plan (the “2018 Plan”), and 2014 Omnibus Incentive Plan (the “2014 Plan”) were amended and restated and assumed by the Registrant effective as of July 1, 2021. </w:t>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The 2020 Stock Incentive Plan was approved by the PRA stockholders at their annual meeting on May 18, 2020. The 2020 Plan allowed for the issuance of stock options, stock appreciation rights, restricted shares and restricted stock units, other stock-based awards, and performance compensation awards as permitted by applicable laws. The 2020 Plan authorized the issuance of 2.5 million shares of common stock plus all shares that remained available under the prior plan on May 18, 2020.</w:t>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The 2018 Stock Incentive Plan was approved by the PRA stockholders at their annual meeting on May 31, 2018. The 2018 Plan allowed for the issuance of stock options, stock appreciation rights, restricted shares and restricted stock units, other stock-based awards, and performance compensation awards as permitted by applicable laws. The 2018 Plan authorized the issuance of 2.0 million shares of common stock plus all shares that remained available under the 2014 Plan on May 31, 2018 (which included shares carried over from the 2013 plan).</w:t>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On November 23, 2014, the PRA Health Sciences, Inc. Board of Directors approved the formation of the 2014 Plan for key PRA Employees. The 2014 Plan allowed for the issuance of stock options, stock appreciation rights, restricted shares and stock units, other stock-based awards, and performance compensation awards as permitted by applicable laws.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summarizes option activity for the six months ended June 30, 2026:</w:t>
      </w:r>
    </w:p>
    <w:tbl>
      <w:tblPr>
        <w:tblW w:w="6876" w:type="dxa"/>
        <w:jc w:val="left"/>
        <w:tblInd w:w="0" w:type="dxa"/>
        <w:tblLayout w:type="fixed"/>
        <w:tblCellMar>
          <w:top w:w="28" w:type="dxa"/>
          <w:left w:w="28" w:type="dxa"/>
          <w:bottom w:w="28" w:type="dxa"/>
          <w:right w:w="28" w:type="dxa"/>
        </w:tblCellMar>
      </w:tblPr>
      <w:tblGrid>
        <w:gridCol w:w="1075"/>
        <w:gridCol w:w="946"/>
        <w:gridCol w:w="949"/>
        <w:gridCol w:w="569"/>
        <w:gridCol w:w="569"/>
        <w:gridCol w:w="571"/>
        <w:gridCol w:w="211"/>
        <w:gridCol w:w="721"/>
        <w:gridCol w:w="109"/>
        <w:gridCol w:w="338"/>
        <w:gridCol w:w="338"/>
        <w:gridCol w:w="480"/>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Options</w:t>
              <w:br/>
              <w:t>Outstanding</w:t>
              <w:br/>
              <w:t>Number of Shares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Weighted</w:t>
              <w:br/>
              <w:t>Average</w:t>
              <w:br/>
              <w:t>Exercise</w:t>
              <w:br/>
              <w:t>Price</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Weighted</w:t>
              <w:br/>
              <w:t>Average</w:t>
              <w:br/>
              <w:t>Remaining</w:t>
              <w:br/>
              <w:t>Contractual</w:t>
              <w:br/>
              <w:t>Life</w:t>
            </w:r>
          </w:p>
        </w:tc>
      </w:tr>
      <w:tr>
        <w:trPr/>
        <w:tc>
          <w:tcPr>
            <w:tcW w:w="297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December 31, 2025</w:t>
            </w:r>
          </w:p>
        </w:tc>
        <w:tc>
          <w:tcPr>
            <w:tcW w:w="113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639,184 </w:t>
            </w:r>
          </w:p>
        </w:tc>
        <w:tc>
          <w:tcPr>
            <w:tcW w:w="5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Expired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(31,560)</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June 30, 2026</w:t>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584,931 </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r>
      <w:tr>
        <w:trPr/>
        <w:tc>
          <w:tcPr>
            <w:tcW w:w="2970"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Exercisable at June 30, 2026</w:t>
            </w:r>
          </w:p>
        </w:tc>
        <w:tc>
          <w:tcPr>
            <w:tcW w:w="113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508,795 </w:t>
            </w:r>
          </w:p>
        </w:tc>
        <w:tc>
          <w:tcPr>
            <w:tcW w:w="5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179.86 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issues ordinary shares for all options exercised. The total amount of fully vested share options which remained outstanding at June 30, 2026 was 508,795. Fully vested share options at June 30, 2026 have an average remaining contractual term of 3.23 years and an average exercise price of $179.86.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Fair value of Stock Options Assumptions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There were no options granted during the six months ended June 30, 2026. The weighted average fair value of options granted during the six months ended June 30, 2025 was calculated using the Black-Scholes option pricing model. The weighted average grant date fair values and assumptions used were as follows:</w:t>
      </w:r>
    </w:p>
    <w:tbl>
      <w:tblPr>
        <w:tblW w:w="5252" w:type="dxa"/>
        <w:jc w:val="left"/>
        <w:tblInd w:w="0" w:type="dxa"/>
        <w:tblLayout w:type="fixed"/>
        <w:tblCellMar>
          <w:top w:w="28" w:type="dxa"/>
          <w:left w:w="28" w:type="dxa"/>
          <w:bottom w:w="28" w:type="dxa"/>
          <w:right w:w="28" w:type="dxa"/>
        </w:tblCellMar>
      </w:tblPr>
      <w:tblGrid>
        <w:gridCol w:w="1188"/>
        <w:gridCol w:w="1046"/>
        <w:gridCol w:w="1050"/>
        <w:gridCol w:w="240"/>
        <w:gridCol w:w="461"/>
        <w:gridCol w:w="124"/>
        <w:gridCol w:w="211"/>
        <w:gridCol w:w="616"/>
        <w:gridCol w:w="316"/>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r>
      <w:tr>
        <w:trPr/>
        <w:tc>
          <w:tcPr>
            <w:tcW w:w="3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grant date fair value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Assumptions:</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volatility</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yield</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life</w:t>
            </w:r>
          </w:p>
        </w:tc>
        <w:tc>
          <w:tcPr>
            <w:tcW w:w="70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years</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Restricted Share Units and Performance Share Units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Further, on October 25, 2024, the 2013 RSU Plan was amended and restated effective as of November 6, 2024 in order to increase the number of ordinary shares that can be issued under the 2013 RSU Plan by a further 2.5 million shares. Accordingly, an aggregate of 6.6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November 6, 2034.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Outside Director retained by the Company, or a Subsidiary to receive an award under the plan. 250,000 ordinary shares have been reserved for issuance under the 2019 Consultants RSU Plan. The awards are at par value and vest over a service period. Awards granted to Outside Directors vest over twelve months. No awards may be granted under the 2019 Consultants RSU Plan after May 16, 2029.</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18"/>
        </w:rPr>
        <w:t>The following table summarizes RSU and PSU activity for the six months ended June 30, 2026:</w:t>
      </w:r>
    </w:p>
    <w:tbl>
      <w:tblPr>
        <w:tblW w:w="9142" w:type="dxa"/>
        <w:jc w:val="left"/>
        <w:tblInd w:w="0" w:type="dxa"/>
        <w:tblLayout w:type="fixed"/>
        <w:tblCellMar>
          <w:top w:w="28" w:type="dxa"/>
          <w:left w:w="28" w:type="dxa"/>
          <w:bottom w:w="28" w:type="dxa"/>
          <w:right w:w="28" w:type="dxa"/>
        </w:tblCellMar>
      </w:tblPr>
      <w:tblGrid>
        <w:gridCol w:w="1075"/>
        <w:gridCol w:w="946"/>
        <w:gridCol w:w="949"/>
        <w:gridCol w:w="380"/>
        <w:gridCol w:w="380"/>
        <w:gridCol w:w="381"/>
        <w:gridCol w:w="368"/>
        <w:gridCol w:w="1257"/>
        <w:gridCol w:w="190"/>
        <w:gridCol w:w="488"/>
        <w:gridCol w:w="488"/>
        <w:gridCol w:w="381"/>
        <w:gridCol w:w="361"/>
        <w:gridCol w:w="1235"/>
        <w:gridCol w:w="263"/>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PSU</w:t>
              <w:br/>
              <w:t>Outstanding</w:t>
              <w:br/>
              <w:t>Number of</w:t>
              <w:br/>
              <w:t>Shares</w:t>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PSU</w:t>
              <w:br/>
              <w:t>Weighted</w:t>
              <w:br/>
              <w:t>Average Grant Date</w:t>
              <w:br/>
              <w:t>Fair Value</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RSU</w:t>
              <w:br/>
              <w:t>Outstanding</w:t>
              <w:br/>
              <w:t>Number of</w:t>
              <w:br/>
              <w:t>Shares</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RSU</w:t>
              <w:br/>
              <w:t>Weighted</w:t>
              <w:br/>
              <w:t>Average Grant Date</w:t>
              <w:br/>
              <w:t>Fair Value</w:t>
            </w:r>
          </w:p>
        </w:tc>
      </w:tr>
      <w:tr>
        <w:trPr/>
        <w:tc>
          <w:tcPr>
            <w:tcW w:w="29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December 31, 2025</w:t>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16,474 </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185.18 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1,476,169 </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162.53 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vested</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(564,191)</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Settled</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(18,470)</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(6,177)</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(64,869)</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June 30, 2026</w:t>
            </w:r>
          </w:p>
        </w:tc>
        <w:tc>
          <w:tcPr>
            <w:tcW w:w="760"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10,297 </w:t>
            </w:r>
          </w:p>
        </w:tc>
        <w:tc>
          <w:tcPr>
            <w:tcW w:w="3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185.18 </w:t>
            </w:r>
          </w:p>
        </w:tc>
        <w:tc>
          <w:tcPr>
            <w:tcW w:w="19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828,639 </w:t>
            </w:r>
          </w:p>
        </w:tc>
        <w:tc>
          <w:tcPr>
            <w:tcW w:w="3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182.14 </w:t>
            </w:r>
          </w:p>
        </w:tc>
        <w:tc>
          <w:tcPr>
            <w:tcW w:w="2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fair value of PSUs vested for the six months ended June 30, 2026 were nil (June 30, 2025: $1.9 million). The fair value of RSUs vested for the six months ended June 30, 2026 totaled $74.9 million (June 30, 2025: $7.1 million). The PSUs vest based on service and specified EPS targets over the periods 2024 - 2026 and 2025 - 2027. Depending on the amount of EPS from 2024 to 2027, up to an additional 47,779 PSUs may also be granted.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Stock compensation expense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Stock compensation expense for the three and six months ended June 30, 2026 and June 30, 2025 has been allocated as follows:</w:t>
      </w:r>
    </w:p>
    <w:tbl>
      <w:tblPr>
        <w:tblW w:w="7490" w:type="dxa"/>
        <w:jc w:val="left"/>
        <w:tblInd w:w="0" w:type="dxa"/>
        <w:tblLayout w:type="fixed"/>
        <w:tblCellMar>
          <w:top w:w="28" w:type="dxa"/>
          <w:left w:w="28" w:type="dxa"/>
          <w:bottom w:w="28" w:type="dxa"/>
          <w:right w:w="28" w:type="dxa"/>
        </w:tblCellMar>
      </w:tblPr>
      <w:tblGrid>
        <w:gridCol w:w="1066"/>
        <w:gridCol w:w="937"/>
        <w:gridCol w:w="951"/>
        <w:gridCol w:w="211"/>
        <w:gridCol w:w="721"/>
        <w:gridCol w:w="109"/>
        <w:gridCol w:w="211"/>
        <w:gridCol w:w="721"/>
        <w:gridCol w:w="109"/>
        <w:gridCol w:w="109"/>
        <w:gridCol w:w="109"/>
        <w:gridCol w:w="109"/>
        <w:gridCol w:w="211"/>
        <w:gridCol w:w="721"/>
        <w:gridCol w:w="109"/>
        <w:gridCol w:w="211"/>
        <w:gridCol w:w="721"/>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08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r>
      <w:tr>
        <w:trPr/>
        <w:tc>
          <w:tcPr>
            <w:tcW w:w="2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27,727 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14. Share capital</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No ordinary shares were redeemed by the Company during the six months ended June 30, 2026.</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February 18, 2025, the Company's Board of Directors authorized an additional share repurchase program under which the Company may repurchase up to $750.0 million of the outstanding ordinary shares of the Company by way of redemption. On July 22, 2025, the Company's Board of Directors authorized a further additional repurchase program under which the Company could repurchase up to $500.0 million of the outstanding ordinary shares of the Company by way of redemption. </w:t>
      </w:r>
    </w:p>
    <w:p>
      <w:pPr>
        <w:pStyle w:val="TextBody"/>
        <w:bidi w:val="0"/>
        <w:spacing w:before="0" w:after="0"/>
        <w:jc w:val="left"/>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of June 30, 2026, the Company had remaining authorization (which includes unutilized amounts from previous authorizations) to repurchase up to $750.0 million of ordinary shares under the repurchase program. </w:t>
      </w:r>
    </w:p>
    <w:p>
      <w:pPr>
        <w:pStyle w:val="TextBody"/>
        <w:bidi w:val="0"/>
        <w:spacing w:before="0" w:after="0"/>
        <w:jc w:val="left"/>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During the year ended December 31, 2025, 4,504,330 ordinary shares were redeemed by the Company at an average price of $166.51 per share for a total consideration of $750.0 million.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2"/>
        <w:gridCol w:w="413"/>
        <w:gridCol w:w="415"/>
        <w:gridCol w:w="624"/>
        <w:gridCol w:w="433"/>
        <w:gridCol w:w="426"/>
        <w:gridCol w:w="640"/>
        <w:gridCol w:w="454"/>
        <w:gridCol w:w="455"/>
        <w:gridCol w:w="956"/>
        <w:gridCol w:w="762"/>
        <w:gridCol w:w="764"/>
        <w:gridCol w:w="109"/>
        <w:gridCol w:w="879"/>
        <w:gridCol w:w="879"/>
        <w:gridCol w:w="1254"/>
      </w:tblGrid>
      <w:tr>
        <w:trPr/>
        <w:tc>
          <w:tcPr>
            <w:tcW w:w="74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 number</w:t>
              <w:br/>
              <w:t>of shares purchased</w:t>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Average price paid per share</w:t>
            </w:r>
          </w:p>
        </w:tc>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 number</w:t>
              <w:br/>
              <w:t>of shares purchased as part of publicly announced program</w:t>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Approximate dollar value of shares that may yet be purchased under the program</w:t>
              <w:br/>
              <w:t>(in millions)</w:t>
            </w:r>
          </w:p>
        </w:tc>
      </w:tr>
      <w:tr>
        <w:trPr/>
        <w:tc>
          <w:tcPr>
            <w:tcW w:w="15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3/12/2025 - 3/19/2025</w:t>
            </w:r>
          </w:p>
        </w:tc>
        <w:tc>
          <w:tcPr>
            <w:tcW w:w="10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1,360,537 </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$183.75 </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1,360,537 </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2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6/13/2025 - 6/23/2025</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1,717,181 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$145.59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1,717,181 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8/15/2025 - 8/20/2025</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560,100 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$178.20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560,100 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$900.2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9/10/2025 - 9/19/2025</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866,512 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$173.33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866,512 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05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4,504,330 </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$166.51 </w:t>
            </w:r>
          </w:p>
        </w:tc>
        <w:tc>
          <w:tcPr>
            <w:tcW w:w="4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4,504,330 </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Under the repurchase program, a broker purchased or may purchase the Company's shares from time to time on the open market or in privately negotiated transactions in accordance with agreed terms and limitations. The program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 were made or will be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Arial;sans-serif" w:hAnsi="Arial;sans-serif"/>
          <w:b/>
          <w:color w:val="000000"/>
          <w:sz w:val="18"/>
          <w:shd w:fill="FFFFFF" w:val="clear"/>
        </w:rPr>
      </w:pPr>
      <w:r>
        <w:rPr>
          <w:rFonts w:ascii="Arial;sans-serif" w:hAnsi="Arial;sans-serif"/>
          <w:b/>
          <w:color w:val="000000"/>
          <w:sz w:val="18"/>
          <w:shd w:fill="FFFFFF" w:val="clear"/>
        </w:rPr>
        <w:t>15. Business Segment and Geographical Information</w:t>
      </w:r>
    </w:p>
    <w:p>
      <w:pPr>
        <w:pStyle w:val="TextBody"/>
        <w:bidi w:val="0"/>
        <w:spacing w:before="0" w:after="0"/>
        <w:ind w:left="0" w:right="0" w:firstLine="720"/>
        <w:jc w:val="both"/>
        <w:rPr/>
      </w:pPr>
      <w:r>
        <w:rPr/>
      </w:r>
    </w:p>
    <w:p>
      <w:pPr>
        <w:pStyle w:val="TextBody"/>
        <w:bidi w:val="0"/>
        <w:spacing w:lineRule="auto" w:line="297"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 is a CRO providing outsourced services on a global basis to pharmaceutical, biotechnology, medical device and government and public health organizations.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or “blended-service” solution. The Company has expanded through internal growth, together with a number of strategic acquisitions to enhance its expertise and capabilities in certain areas of the clinical development process. </w:t>
      </w:r>
    </w:p>
    <w:p>
      <w:pPr>
        <w:pStyle w:val="TextBody"/>
        <w:bidi w:val="0"/>
        <w:spacing w:before="0" w:after="0"/>
        <w:ind w:left="0" w:right="0" w:firstLine="720"/>
        <w:jc w:val="both"/>
        <w:rPr/>
      </w:pPr>
      <w:r>
        <w:rPr/>
      </w:r>
    </w:p>
    <w:p>
      <w:pPr>
        <w:pStyle w:val="TextBody"/>
        <w:bidi w:val="0"/>
        <w:spacing w:lineRule="auto" w:line="297"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operates as one reportable segment, which is the provision of outsourced development services on a global basis to the pharmaceutical, biotechnology and medical devices industries. During the six months ended June 30, 2026, the Company determined that the Chief Operating Decision Maker (“CODM”) was comprised of the Chief Executive Officer and the Chief Financial Officer. As the Company is managed on a consolidated basis, the CODM evaluates performance and allocates resources based on consolidated net income. The CODM uses consolidated net income, as reported on the Consolidated Statements of Operations, to evaluate income generated from segment assets and for decisions related to the deployment of operating and capital resources. The measure of segment assets is reported on the Consolidated Balance Sheets as total consolidated assets.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shd w:fill="FFFFFF" w:val="clear"/>
        </w:rPr>
      </w:pPr>
      <w:r>
        <w:rPr>
          <w:rFonts w:ascii="Arial;sans-serif" w:hAnsi="Arial;sans-serif"/>
          <w:b w:val="false"/>
          <w:color w:val="000000"/>
          <w:sz w:val="18"/>
          <w:shd w:fill="FFFFFF" w:val="clear"/>
        </w:rPr>
        <w:t>The accounting policies of the reportable segment are the same as those described in ICON’s Annual Report on Form 20-F for the year ended December 31, 2025 (see</w:t>
      </w:r>
      <w:r>
        <w:rPr>
          <w:color w:val="000000"/>
          <w:shd w:fill="FFFFFF" w:val="clear"/>
        </w:rPr>
        <w:t xml:space="preserve"> </w:t>
      </w:r>
      <w:r>
        <w:rPr>
          <w:rFonts w:ascii="Arial;sans-serif" w:hAnsi="Arial;sans-serif"/>
          <w:b w:val="false"/>
          <w:color w:val="000000"/>
          <w:sz w:val="18"/>
          <w:shd w:fill="FFFFFF" w:val="clear"/>
        </w:rPr>
        <w:t>Note 2</w:t>
      </w:r>
      <w:r>
        <w:rPr>
          <w:color w:val="000000"/>
          <w:shd w:fill="FFFFFF" w:val="clear"/>
        </w:rPr>
        <w:t xml:space="preserve"> </w:t>
      </w:r>
      <w:r>
        <w:rPr>
          <w:rFonts w:ascii="Arial;sans-serif" w:hAnsi="Arial;sans-serif"/>
          <w:b w:val="false"/>
          <w:i/>
          <w:color w:val="000000"/>
          <w:sz w:val="18"/>
          <w:shd w:fill="FFFFFF" w:val="clear"/>
        </w:rPr>
        <w:t>Summary of significant accounting policies</w:t>
      </w:r>
      <w:r>
        <w:rPr>
          <w:rFonts w:ascii="Arial;sans-serif" w:hAnsi="Arial;sans-serif"/>
          <w:b w:val="false"/>
          <w:color w:val="000000"/>
          <w:sz w:val="18"/>
          <w:shd w:fill="FFFFFF" w:val="clear"/>
        </w:rPr>
        <w:t>). In the context of considerations around significant segment expenses, as the expense information that is regularly provided to the CODM is aligned with the respective consolidated expenses for direct costs and selling, general, and administrative expenses, as presented on the Condensed Consolidated Statement of Operations, such expense disclosures are not replicated here. Furthermore, as the Company consists of a single reportable segment, other quantitative disclosures, as required by Topic 280, are as presented on the Consolidated Statement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Revenues are allocated to individual entities based on where the work is performed in accordance with the Company's global transfer pricing model. Revenues and income from operations in Ireland are a function of our global contracting model and the Group’s transfer pricing model.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ICON Clinical Research Limited and Accellacare Limited (collectively “ICON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ICON Ireland remunerates other operating entities in the Group on the basis of an arm’s length return, in accordance with the 2022 OECD transfer pricing guidelines,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their respective functions performed, assets owned, and risks assumed in these intercompany transactions. The arm’s length return is reviewed annually to ensure that it is market appropriate.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geographic split of revenue disclosed for each region outside Ireland is the arm’s length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There have been no changes to the overall basis of segmentation or the measurement basis for the segment results since the prior year.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geographical distribution of the Company’s segment measures for the three and six months ended June 30, 2026 and June 30, 2025 and as at June 30, 2026 and December 31, 2025 is as follows: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 The distribution of revenue by geographical area was as follows:</w:t>
      </w:r>
    </w:p>
    <w:tbl>
      <w:tblPr>
        <w:tblW w:w="7326" w:type="dxa"/>
        <w:jc w:val="left"/>
        <w:tblInd w:w="0" w:type="dxa"/>
        <w:tblLayout w:type="fixed"/>
        <w:tblCellMar>
          <w:top w:w="28" w:type="dxa"/>
          <w:left w:w="28" w:type="dxa"/>
          <w:bottom w:w="28" w:type="dxa"/>
          <w:right w:w="28" w:type="dxa"/>
        </w:tblCellMar>
      </w:tblPr>
      <w:tblGrid>
        <w:gridCol w:w="481"/>
        <w:gridCol w:w="424"/>
        <w:gridCol w:w="429"/>
        <w:gridCol w:w="211"/>
        <w:gridCol w:w="976"/>
        <w:gridCol w:w="109"/>
        <w:gridCol w:w="211"/>
        <w:gridCol w:w="976"/>
        <w:gridCol w:w="109"/>
        <w:gridCol w:w="109"/>
        <w:gridCol w:w="109"/>
        <w:gridCol w:w="109"/>
        <w:gridCol w:w="211"/>
        <w:gridCol w:w="976"/>
        <w:gridCol w:w="109"/>
        <w:gridCol w:w="211"/>
        <w:gridCol w:w="976"/>
        <w:gridCol w:w="109"/>
        <w:gridCol w:w="109"/>
        <w:gridCol w:w="109"/>
        <w:gridCol w:w="109"/>
        <w:gridCol w:w="154"/>
      </w:tblGrid>
      <w:tr>
        <w:trPr/>
        <w:tc>
          <w:tcPr>
            <w:tcW w:w="4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Ireland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Europe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U.S.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World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2,063,486 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2,039,088 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4,097,485 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4,054,408 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b) The distribution of income from operations by geographical area was as follows:</w:t>
      </w:r>
    </w:p>
    <w:p>
      <w:pPr>
        <w:pStyle w:val="TextBody"/>
        <w:bidi w:val="0"/>
        <w:spacing w:before="100" w:after="283"/>
        <w:jc w:val="left"/>
        <w:rPr/>
      </w:pPr>
      <w:r>
        <w:rPr/>
      </w:r>
    </w:p>
    <w:tbl>
      <w:tblPr>
        <w:tblW w:w="8991" w:type="dxa"/>
        <w:jc w:val="left"/>
        <w:tblInd w:w="0" w:type="dxa"/>
        <w:tblLayout w:type="fixed"/>
        <w:tblCellMar>
          <w:top w:w="28" w:type="dxa"/>
          <w:left w:w="28" w:type="dxa"/>
          <w:bottom w:w="28" w:type="dxa"/>
          <w:right w:w="28" w:type="dxa"/>
        </w:tblCellMar>
      </w:tblPr>
      <w:tblGrid>
        <w:gridCol w:w="1298"/>
        <w:gridCol w:w="1144"/>
        <w:gridCol w:w="1157"/>
        <w:gridCol w:w="211"/>
        <w:gridCol w:w="826"/>
        <w:gridCol w:w="109"/>
        <w:gridCol w:w="211"/>
        <w:gridCol w:w="826"/>
        <w:gridCol w:w="109"/>
        <w:gridCol w:w="109"/>
        <w:gridCol w:w="109"/>
        <w:gridCol w:w="109"/>
        <w:gridCol w:w="211"/>
        <w:gridCol w:w="826"/>
        <w:gridCol w:w="109"/>
        <w:gridCol w:w="211"/>
        <w:gridCol w:w="826"/>
        <w:gridCol w:w="109"/>
        <w:gridCol w:w="109"/>
        <w:gridCol w:w="109"/>
        <w:gridCol w:w="109"/>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Ireland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World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Sub-total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444,897 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575,912 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Amortization of intangible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subsidiary undertaking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457,909 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c) The distribution of long-lived assets (property, plant and equipment and operating right-of-use assets), net, by geographical area was as follows:</w:t>
      </w:r>
    </w:p>
    <w:tbl>
      <w:tblPr>
        <w:tblW w:w="4294" w:type="dxa"/>
        <w:jc w:val="left"/>
        <w:tblInd w:w="0" w:type="dxa"/>
        <w:tblLayout w:type="fixed"/>
        <w:tblCellMar>
          <w:top w:w="28" w:type="dxa"/>
          <w:left w:w="28" w:type="dxa"/>
          <w:bottom w:w="28" w:type="dxa"/>
          <w:right w:w="28" w:type="dxa"/>
        </w:tblCellMar>
      </w:tblPr>
      <w:tblGrid>
        <w:gridCol w:w="481"/>
        <w:gridCol w:w="424"/>
        <w:gridCol w:w="429"/>
        <w:gridCol w:w="211"/>
        <w:gridCol w:w="826"/>
        <w:gridCol w:w="109"/>
        <w:gridCol w:w="321"/>
        <w:gridCol w:w="1259"/>
        <w:gridCol w:w="234"/>
      </w:tblGrid>
      <w:tr>
        <w:trPr/>
        <w:tc>
          <w:tcPr>
            <w:tcW w:w="4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814"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133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6"/>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Ireland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Europe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94,920 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122,896 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56,290 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500,286 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524,672 </w:t>
            </w:r>
          </w:p>
        </w:tc>
        <w:tc>
          <w:tcPr>
            <w:tcW w:w="2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16. Commitments and contingencies</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Other than as described below, 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Arial;sans-serif" w:hAnsi="Arial;sans-serif"/>
          <w:b w:val="false"/>
          <w:color w:val="000000"/>
          <w:sz w:val="18"/>
        </w:rPr>
        <w:t>The Company, its former Chief Executive Officer, and its former Chief Financial Officer were named as defendants in two</w:t>
      </w:r>
      <w:r>
        <w:rPr>
          <w:color w:val="000000"/>
        </w:rPr>
        <w:t xml:space="preserve"> </w:t>
      </w:r>
      <w:r>
        <w:rPr>
          <w:rFonts w:ascii="Arial;sans-serif" w:hAnsi="Arial;sans-serif"/>
          <w:b w:val="false"/>
          <w:color w:val="000000"/>
          <w:sz w:val="18"/>
        </w:rPr>
        <w:t xml:space="preserve">class action lawsuits involving similar claims, filed in the United States District Court for the Eastern District of New York on February 10, 2025 (Shing v. ICON plc, et al.) and April 2, 2025 (Police and Fire Retirement System of the City of Detroit v. ICON plc, et al.), respectively, alleging that defendants made misleading statements regarding the Company’s financial performance and future business prospects in violation of Sections 10(b) and 20(a) of the Securities Exchange Act of 1934. The two cases have been consolidated and are proceeding under the caption In re ICON plc Securities Litigation, No. 2:25-cv-00763 (the "Putative Class Action"). Lead plaintiffs and lead counsel for the putative class were appointed on June 10, 2025. On September 12, 2025, the lead plaintiffs filed an amended complaint that names the Company’s current Chief Executive Officer in addition to the original defendants. </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lead plaintiffs filed their amended complaint on June 26, 2026 (the “Second Amended Complaint”). The Second Amended Complaint adds two new named plaintiffs (Macomb County Retiree Health Care Fund and The Trustees of the Plumbers Local Union No. 690 Pension Fund), as well as the Company's current Chief Financial Officer and a former employee as additional defendants. The Second Amended Complaint asserts additional alleged misstatements regarding the company’s financial performance, as well as a “scheme liability” claim under Section 10(b). ICON and certain named defendants have until September 1, 2026 to move to dismiss the Second Amended Complaint.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Given the preliminary stage of the litigation, we are unable at this time to form a view as to whether an adverse outcome is either probable or remote or to estimate the amount or range of potential loss in the event of an adverse outcome.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17. Disposal of subsidiary undertaking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18"/>
        </w:rPr>
      </w:pPr>
      <w:r>
        <w:rPr>
          <w:rFonts w:ascii="Arial;sans-serif" w:hAnsi="Arial;sans-serif"/>
          <w:b w:val="false"/>
          <w:i/>
          <w:color w:val="000000"/>
          <w:sz w:val="18"/>
        </w:rPr>
        <w:t xml:space="preserve">Disposal of Symphony Health Solutions Corporation </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May 8, 2026, ICON completed the disposal of Symphony Health Solutions Corporation ("Symphony") pursuant to a merger agreement, by and among HealthVerity, Inc. ("HealthVerity"), Symphony, Pharmaceutical Research Associates, Inc. and HealthVerity Merger Sub, Inc. ("HV Merger Sub"), a wholly owned subsidiary of HealthVerity. Pursuant to the merger agreement, HV Merger Sub merged with and into Symphony, with Symphony surviving the merger as a wholly owned subsidiary of HealthVerity.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Arial;sans-serif" w:hAnsi="Arial;sans-serif"/>
          <w:b w:val="false"/>
          <w:color w:val="000000"/>
          <w:sz w:val="18"/>
        </w:rPr>
        <w:t>The consideration payable by HealthVerity in connection with the merger consisted of shares of stock in HealthVerity, subject to customary adjustments as set forth in the merger agreement. In connection with the merger, ICON also purchased additional shares of stock in HealthVerity for an aggregate purchase price of</w:t>
      </w:r>
      <w:r>
        <w:rPr>
          <w:color w:val="000000"/>
        </w:rPr>
        <w:t xml:space="preserve"> </w:t>
      </w:r>
      <w:r>
        <w:rPr>
          <w:rFonts w:ascii="Arial;sans-serif" w:hAnsi="Arial;sans-serif"/>
          <w:b w:val="false"/>
          <w:color w:val="000000"/>
          <w:sz w:val="18"/>
        </w:rPr>
        <w:t>$37.5 million. As a result, ICON holds a minority equity interest in HealthVerity.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Company's purchase of additional HealthVerity shares occurred in conjunction with the overall disposal transaction. The Company therefore concluded that the disposal of Symphony and the subscription for additional HealthVerity shares were economically linked. Accordingly, the Company accounted for the arrangements together in determining the gain or loss on disposal.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determining the fair value of the consideration received, the Company considered, among other factors, the rights associated with the shares, HealthVerity's capital structure and other relevant valuation metrics. Based on the specific facts and circumstances of the transaction and the characteristics of the HealthVerity shares received, the Company determined that the fair value of the consideration received was nominal.</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recognized a pre-tax loss on disposal, including transaction costs, of $32.9 million in the condensed consolidated Statements of Operations for the three months and six months ended June 30, 2026 related to this disposal. The pre-tax loss on disposal was determined with reference to (i) the fair value of consideration received, (ii) the net carrying amount of Symphony immediately prior to disposal, (iii) the Company's $37.5 million payment made as part of the overall transaction, and (iv) the fair value of certain tax indemnifications. A capital tax loss was generated on disposal of this investment, and no net tax benefit was recorded as a result in the period. As at June 30, 2026 the carrying value of the Company's investment in HealthVerity was $nil.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18. Subsequent events</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has evaluated subsequent events from the Balance Sheet date through to the date at which the financial statements were available to be issued.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Arial;sans-serif" w:hAnsi="Arial;sans-serif"/>
          <w:b w:val="false"/>
          <w:color w:val="000000"/>
          <w:sz w:val="18"/>
          <w:shd w:fill="FFFFFF" w:val="clear"/>
        </w:rPr>
        <w:t xml:space="preserve">Other than the drawdown of the </w:t>
      </w:r>
      <w:r>
        <w:rPr>
          <w:rFonts w:ascii="Arial;sans-serif" w:hAnsi="Arial;sans-serif"/>
          <w:b w:val="false"/>
          <w:color w:val="000000"/>
          <w:sz w:val="18"/>
        </w:rPr>
        <w:t>Bridge Secured Credit Facility</w:t>
      </w:r>
      <w:r>
        <w:rPr>
          <w:color w:val="000000"/>
          <w:shd w:fill="FFFFFF" w:val="clear"/>
        </w:rPr>
        <w:t xml:space="preserve"> </w:t>
      </w:r>
      <w:r>
        <w:rPr>
          <w:rFonts w:ascii="Arial;sans-serif" w:hAnsi="Arial;sans-serif"/>
          <w:b w:val="false"/>
          <w:color w:val="000000"/>
          <w:sz w:val="18"/>
          <w:shd w:fill="FFFFFF" w:val="clear"/>
        </w:rPr>
        <w:t xml:space="preserve">and the repayment of </w:t>
      </w:r>
      <w:r>
        <w:rPr>
          <w:rFonts w:ascii="Arial;sans-serif" w:hAnsi="Arial;sans-serif"/>
          <w:b w:val="false"/>
          <w:color w:val="000000"/>
          <w:sz w:val="18"/>
        </w:rPr>
        <w:t xml:space="preserve">$500 million of Senior Secured Notes </w:t>
      </w:r>
      <w:r>
        <w:rPr>
          <w:rFonts w:ascii="Arial;sans-serif" w:hAnsi="Arial;sans-serif"/>
          <w:b w:val="false"/>
          <w:color w:val="000000"/>
          <w:sz w:val="18"/>
          <w:shd w:fill="FFFFFF" w:val="clear"/>
        </w:rPr>
        <w:t xml:space="preserve">disclosed in </w:t>
      </w:r>
      <w:r>
        <w:rPr>
          <w:rFonts w:ascii="Arial;sans-serif" w:hAnsi="Arial;sans-serif"/>
          <w:b w:val="false"/>
          <w:color w:val="000000"/>
          <w:sz w:val="18"/>
        </w:rPr>
        <w:t xml:space="preserve">Note 10 </w:t>
      </w:r>
      <w:r>
        <w:rPr>
          <w:rFonts w:ascii="Arial;sans-serif" w:hAnsi="Arial;sans-serif"/>
          <w:b w:val="false"/>
          <w:i/>
          <w:color w:val="000000"/>
          <w:sz w:val="18"/>
        </w:rPr>
        <w:t>Bank credit lines, loan facilities and notes</w:t>
      </w:r>
      <w:r>
        <w:rPr>
          <w:rFonts w:ascii="Arial;sans-serif" w:hAnsi="Arial;sans-serif"/>
          <w:b w:val="false"/>
          <w:color w:val="000000"/>
          <w:sz w:val="18"/>
          <w:shd w:fill="FFFFFF" w:val="clear"/>
        </w:rPr>
        <w:t>, the Company has determined that there ar</w:t>
      </w:r>
      <w:r>
        <w:rPr>
          <w:rFonts w:ascii="Arial;sans-serif" w:hAnsi="Arial;sans-serif"/>
          <w:b w:val="false"/>
          <w:color w:val="000000"/>
          <w:sz w:val="18"/>
        </w:rPr>
        <w:t>e no other items t</w:t>
      </w:r>
      <w:r>
        <w:rPr>
          <w:rFonts w:ascii="Arial;sans-serif" w:hAnsi="Arial;sans-serif"/>
          <w:b w:val="false"/>
          <w:color w:val="000000"/>
          <w:sz w:val="18"/>
          <w:shd w:fill="FFFFFF" w:val="clear"/>
        </w:rPr>
        <w:t>o disclose.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ICON plc</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following discussion and analysis should be read in conjunction with the unaudited condensed consolidated financial statements and accompanying notes included elsewhere herein and the consolidated financial statements and related notes thereto included in our Annual Report on Form 20-F for the year ended December 31, 2025. The consolidated financial statements have been prepared in accordance with accounting principles generally accepted in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Overview</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are a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shd w:fill="FFFFFF" w:val="clear"/>
        </w:rPr>
        <w:t>We believe that we are one of a select group of CROs with the expertise and capability to conduct clinical trials in most major therapeutic areas on a global basis and have the operational flexibility to provide development serv</w:t>
      </w:r>
      <w:r>
        <w:rPr>
          <w:rFonts w:ascii="Arial;sans-serif" w:hAnsi="Arial;sans-serif"/>
          <w:b w:val="false"/>
          <w:color w:val="000000"/>
          <w:sz w:val="18"/>
        </w:rPr>
        <w:t>ices on a stand-alone basis or as part of an integrated "full-service" or a “blended-service” solution. At June 30, 2026 we had approximately 40,200 employees in 99 locations in 55 countries. During the three months ended June 30, 2026 we derived 26.5%, 61.2% and 12.3% of our revenue in the United States, Europe and Rest of World respectively (during the three months ended June 30, 2025: 28.1%, 61.9% and 10.0%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    </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Termination or delay in the performance of an individual contract may occur for various reasons, including, but not limited to, unexpected or undesired results, production problems resulting in shortages of the drug being studied,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18"/>
        </w:rPr>
        <w:t xml:space="preserve">Our unsatisfied performance obligation comprises our assessment of contracted revenue yet to be earned from projects awarded by clients. At June 30, 2026 we had unsatisfied performance obligations of approximately $15.7 billion </w:t>
      </w:r>
      <w:r>
        <w:rPr>
          <w:rFonts w:ascii="Arial;sans-serif" w:hAnsi="Arial;sans-serif"/>
          <w:b w:val="false"/>
          <w:i/>
          <w:color w:val="000000"/>
          <w:sz w:val="18"/>
        </w:rPr>
        <w:t>(</w:t>
      </w:r>
      <w:r>
        <w:rPr>
          <w:rFonts w:ascii="Arial;sans-serif" w:hAnsi="Arial;sans-serif"/>
          <w:b w:val="false"/>
          <w:color w:val="000000"/>
          <w:sz w:val="18"/>
        </w:rPr>
        <w:t>see</w:t>
      </w:r>
      <w:r>
        <w:rPr>
          <w:color w:val="000000"/>
        </w:rPr>
        <w:t xml:space="preserve"> </w:t>
      </w:r>
      <w:r>
        <w:rPr>
          <w:rFonts w:ascii="Arial;sans-serif" w:hAnsi="Arial;sans-serif"/>
          <w:b w:val="false"/>
          <w:color w:val="000000"/>
          <w:sz w:val="18"/>
        </w:rPr>
        <w:t>Note 4</w:t>
      </w:r>
      <w:r>
        <w:rPr>
          <w:color w:val="000000"/>
        </w:rPr>
        <w:t xml:space="preserve"> </w:t>
      </w:r>
      <w:r>
        <w:rPr>
          <w:rFonts w:ascii="Arial;sans-serif" w:hAnsi="Arial;sans-serif"/>
          <w:b w:val="false"/>
          <w:i/>
          <w:color w:val="000000"/>
          <w:sz w:val="18"/>
        </w:rPr>
        <w:t xml:space="preserve">Accounts receivable, unbilled revenue (contract assets) and unearned revenue or payments on account (contract liabilities) </w:t>
      </w:r>
      <w:r>
        <w:rPr>
          <w:rFonts w:ascii="Arial;sans-serif" w:hAnsi="Arial;sans-serif"/>
          <w:b w:val="false"/>
          <w:color w:val="000000"/>
          <w:sz w:val="18"/>
        </w:rPr>
        <w:t>for further details).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translation exposures, we are also subject to transaction exposures where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Three Months Ended June 30, 2026</w:t>
      </w:r>
    </w:p>
    <w:p>
      <w:pPr>
        <w:pStyle w:val="TextBody"/>
        <w:bidi w:val="0"/>
        <w:spacing w:before="0" w:after="0"/>
        <w:ind w:left="0" w:right="0" w:firstLine="720"/>
        <w:jc w:val="both"/>
        <w:rPr/>
      </w:pPr>
      <w:r>
        <w:rPr/>
      </w:r>
    </w:p>
    <w:tbl>
      <w:tblPr>
        <w:tblW w:w="8952" w:type="dxa"/>
        <w:jc w:val="left"/>
        <w:tblInd w:w="0" w:type="dxa"/>
        <w:tblLayout w:type="fixed"/>
        <w:tblCellMar>
          <w:top w:w="28" w:type="dxa"/>
          <w:left w:w="28" w:type="dxa"/>
          <w:bottom w:w="28" w:type="dxa"/>
          <w:right w:w="28" w:type="dxa"/>
        </w:tblCellMar>
      </w:tblPr>
      <w:tblGrid>
        <w:gridCol w:w="1300"/>
        <w:gridCol w:w="1144"/>
        <w:gridCol w:w="1155"/>
        <w:gridCol w:w="391"/>
        <w:gridCol w:w="235"/>
        <w:gridCol w:w="586"/>
        <w:gridCol w:w="352"/>
        <w:gridCol w:w="264"/>
        <w:gridCol w:w="586"/>
        <w:gridCol w:w="597"/>
        <w:gridCol w:w="597"/>
        <w:gridCol w:w="1745"/>
      </w:tblGrid>
      <w:tr>
        <w:trPr/>
        <w:tc>
          <w:tcPr>
            <w:tcW w:w="130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June 30,</w:t>
            </w:r>
          </w:p>
        </w:tc>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02"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29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 to 2026</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of Revenue</w:t>
            </w:r>
          </w:p>
        </w:tc>
        <w:tc>
          <w:tcPr>
            <w:tcW w:w="293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Increase/(Decrease)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costs</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and integration related</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w:t>
            </w:r>
          </w:p>
        </w:tc>
        <w:tc>
          <w:tcPr>
            <w:tcW w:w="1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w:t>
            </w:r>
          </w:p>
        </w:tc>
        <w:tc>
          <w:tcPr>
            <w:tcW w:w="1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subsidiary undertaking</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5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6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w:t>
            </w:r>
          </w:p>
        </w:tc>
        <w:tc>
          <w:tcPr>
            <w:tcW w:w="1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i/>
          <w:color w:val="000000"/>
          <w:sz w:val="18"/>
          <w:shd w:fill="FFFFFF" w:val="clear"/>
        </w:rPr>
      </w:pPr>
      <w:r>
        <w:rPr>
          <w:rFonts w:ascii="Arial;sans-serif" w:hAnsi="Arial;sans-serif"/>
          <w:b w:val="false"/>
          <w:i/>
          <w:color w:val="000000"/>
          <w:sz w:val="18"/>
          <w:shd w:fill="FFFFFF" w:val="clear"/>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Six Months Ended June 30, 2026</w:t>
      </w:r>
    </w:p>
    <w:tbl>
      <w:tblPr>
        <w:tblW w:w="8942" w:type="dxa"/>
        <w:jc w:val="left"/>
        <w:tblInd w:w="0" w:type="dxa"/>
        <w:tblLayout w:type="fixed"/>
        <w:tblCellMar>
          <w:top w:w="28" w:type="dxa"/>
          <w:left w:w="28" w:type="dxa"/>
          <w:bottom w:w="28" w:type="dxa"/>
          <w:right w:w="28" w:type="dxa"/>
        </w:tblCellMar>
      </w:tblPr>
      <w:tblGrid>
        <w:gridCol w:w="1300"/>
        <w:gridCol w:w="1144"/>
        <w:gridCol w:w="1155"/>
        <w:gridCol w:w="374"/>
        <w:gridCol w:w="242"/>
        <w:gridCol w:w="586"/>
        <w:gridCol w:w="352"/>
        <w:gridCol w:w="264"/>
        <w:gridCol w:w="586"/>
        <w:gridCol w:w="597"/>
        <w:gridCol w:w="597"/>
        <w:gridCol w:w="1745"/>
      </w:tblGrid>
      <w:tr>
        <w:trPr/>
        <w:tc>
          <w:tcPr>
            <w:tcW w:w="130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02"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29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 to 2026</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6"/>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of Revenue</w:t>
            </w:r>
          </w:p>
        </w:tc>
        <w:tc>
          <w:tcPr>
            <w:tcW w:w="293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Increase/(Decrease)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costs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and integration related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w:t>
            </w:r>
          </w:p>
        </w:tc>
        <w:tc>
          <w:tcPr>
            <w:tcW w:w="1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w:t>
            </w:r>
          </w:p>
        </w:tc>
        <w:tc>
          <w:tcPr>
            <w:tcW w:w="1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subsidiary undertaking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5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1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i/>
          <w:color w:val="000000"/>
          <w:sz w:val="18"/>
          <w:shd w:fill="FFFFFF" w:val="clear"/>
        </w:rPr>
      </w:pPr>
      <w:r>
        <w:rPr>
          <w:rFonts w:ascii="Arial;sans-serif" w:hAnsi="Arial;sans-serif"/>
          <w:b w:val="false"/>
          <w:i/>
          <w:color w:val="000000"/>
          <w:sz w:val="18"/>
          <w:shd w:fill="FFFFFF" w:val="clear"/>
        </w:rPr>
        <w:t>*NM – Not Meaningful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Revenue</w:t>
      </w:r>
    </w:p>
    <w:tbl>
      <w:tblPr>
        <w:tblW w:w="5644" w:type="dxa"/>
        <w:jc w:val="center"/>
        <w:tblInd w:w="0" w:type="dxa"/>
        <w:tblLayout w:type="fixed"/>
        <w:tblCellMar>
          <w:top w:w="28" w:type="dxa"/>
          <w:left w:w="28" w:type="dxa"/>
          <w:bottom w:w="28" w:type="dxa"/>
          <w:right w:w="28" w:type="dxa"/>
        </w:tblCellMar>
      </w:tblPr>
      <w:tblGrid>
        <w:gridCol w:w="466"/>
        <w:gridCol w:w="411"/>
        <w:gridCol w:w="412"/>
        <w:gridCol w:w="211"/>
        <w:gridCol w:w="976"/>
        <w:gridCol w:w="109"/>
        <w:gridCol w:w="211"/>
        <w:gridCol w:w="976"/>
        <w:gridCol w:w="109"/>
        <w:gridCol w:w="211"/>
        <w:gridCol w:w="721"/>
        <w:gridCol w:w="109"/>
        <w:gridCol w:w="203"/>
        <w:gridCol w:w="203"/>
        <w:gridCol w:w="316"/>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June 30,</w:t>
            </w:r>
          </w:p>
        </w:tc>
        <w:tc>
          <w:tcPr>
            <w:tcW w:w="17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72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Revenue for the three months ended June 30, 2026 increased by $24.4 million, or 1.2%, to $2,063.5 million, compared to $2,039.1 million for the three months ended June 30, 2025. Revenue increased by 0.4% in constant currency terms. Revenue growth for the three months ended June 30, 2026 has been impacted by business mix.</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During the three months ended June 30, 2026, we derived 26.5%, 61.2% and 12.3% of our revenue in the United States, Europe and Rest of World respectively. Revenues from our top five customers amounted to $494.9 million in the three months ended June 30, 2026, compared to $502.4 million for the three months ended June 30, 2025 or 24.0% and 24.6% of total revenue respectively. New customer accounts are continually added across the full portfolio of large pharma customers, mid-tier pharma customers and biotech customers.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Revenue in Ireland decreased by $23.6 million for the three months ended June 30, 2026, to $878.4 million, compared to $902.0 million for the three months ended June 30, 2025. Revenue in Ireland during the three months ended June 30, 2026 decreased by 2.6% compared to an overall increase in Group revenue of 1.2%. Revenue in Ireland is principally a function of our global contracting model (see</w:t>
      </w:r>
      <w:r>
        <w:rPr>
          <w:color w:val="000000"/>
        </w:rPr>
        <w:t xml:space="preserve"> </w:t>
      </w:r>
      <w:r>
        <w:rPr>
          <w:rFonts w:ascii="Arial;sans-serif" w:hAnsi="Arial;sans-serif"/>
          <w:b w:val="false"/>
          <w:color w:val="000000"/>
          <w:sz w:val="18"/>
        </w:rPr>
        <w:t>Note 15</w:t>
      </w:r>
      <w:r>
        <w:rPr>
          <w:color w:val="000000"/>
        </w:rPr>
        <w:t xml:space="preserve"> </w:t>
      </w:r>
      <w:r>
        <w:rPr>
          <w:rFonts w:ascii="Arial;sans-serif" w:hAnsi="Arial;sans-serif"/>
          <w:b w:val="false"/>
          <w:i/>
          <w:color w:val="000000"/>
          <w:sz w:val="18"/>
        </w:rPr>
        <w:t xml:space="preserve">Business Segment and Geographical Information </w:t>
      </w:r>
      <w:r>
        <w:rPr>
          <w:rFonts w:ascii="Arial;sans-serif" w:hAnsi="Arial;sans-serif"/>
          <w:b w:val="false"/>
          <w:color w:val="000000"/>
          <w:sz w:val="18"/>
        </w:rPr>
        <w:t>for further details).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Revenue in our Rest of Europe region for the three months ended June 30, 2026 increased by $24.9 million or 6.9%, to $385.0 million, compared to $360.1 million for the three months ended June 30, 2025. Revenue in the U.S. region for the three months ended June 30, 2026 decreased by $26.7 million or 4.7%, to $546.7 million, compared to $573.4 million for the three months ended June 30, 2025. Revenue in the Rest of World ('Other') region for the three months ended June 30, 2026 increased by $49.8 million or 24.5%, to $253.4 million, compared to $203.6 million for the three months ended June 30, 2025.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before="0" w:after="0"/>
        <w:jc w:val="left"/>
        <w:rPr/>
      </w:pPr>
      <w:r>
        <w:rPr/>
      </w:r>
    </w:p>
    <w:tbl>
      <w:tblPr>
        <w:tblW w:w="5644" w:type="dxa"/>
        <w:jc w:val="center"/>
        <w:tblInd w:w="0" w:type="dxa"/>
        <w:tblLayout w:type="fixed"/>
        <w:tblCellMar>
          <w:top w:w="28" w:type="dxa"/>
          <w:left w:w="28" w:type="dxa"/>
          <w:bottom w:w="28" w:type="dxa"/>
          <w:right w:w="28" w:type="dxa"/>
        </w:tblCellMar>
      </w:tblPr>
      <w:tblGrid>
        <w:gridCol w:w="466"/>
        <w:gridCol w:w="411"/>
        <w:gridCol w:w="412"/>
        <w:gridCol w:w="211"/>
        <w:gridCol w:w="976"/>
        <w:gridCol w:w="109"/>
        <w:gridCol w:w="211"/>
        <w:gridCol w:w="976"/>
        <w:gridCol w:w="109"/>
        <w:gridCol w:w="211"/>
        <w:gridCol w:w="721"/>
        <w:gridCol w:w="109"/>
        <w:gridCol w:w="203"/>
        <w:gridCol w:w="203"/>
        <w:gridCol w:w="316"/>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c>
          <w:tcPr>
            <w:tcW w:w="17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72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4,097,485 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Revenue for the six months ended June 30, 2026 increased by $43.1 million, or 1.1%, to $4,097.5 million, compared to $4,054.4 million for the six months ended June 30, 2025. Revenue decreased by 0.8% in constant currency terms. Revenue growth for the six months ended June 30, 2026 has been impacted by business mix.</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During the six months ended June 30, 2026, we derived 29.0%, 59.0% and 12.0% of our revenue in the United States, Europe and Rest of World respectively. Revenues from our top five customers amounted to $1,002.9 million in the six months ended June 30, 2026, compared to $998.5 million for the six months ended June 30, 2025 or 24.5% and 24.6% of total revenue respectively. New customer accounts are continually added across the full portfolio of large pharma customers, mid-tier pharma customers and biotech customers.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Revenue in Ireland increased by $3.3 million for the six months ended June 30, 2026, to $1,639.7 million, compared to $1,636.4 million for the six months ended June 30, 2025. Revenue in Ireland during the six months ended June 30, 2026 increased by 0.2% compared to an overall increase in Group revenue of 1.1%. Revenue in Ireland is principally a function of our global contracting model (see</w:t>
      </w:r>
      <w:r>
        <w:rPr>
          <w:color w:val="000000"/>
        </w:rPr>
        <w:t xml:space="preserve"> </w:t>
      </w:r>
      <w:r>
        <w:rPr>
          <w:rFonts w:ascii="Arial;sans-serif" w:hAnsi="Arial;sans-serif"/>
          <w:b w:val="false"/>
          <w:color w:val="000000"/>
          <w:sz w:val="18"/>
        </w:rPr>
        <w:t>Note 15</w:t>
      </w:r>
      <w:r>
        <w:rPr>
          <w:color w:val="000000"/>
        </w:rPr>
        <w:t xml:space="preserve"> </w:t>
      </w:r>
      <w:r>
        <w:rPr>
          <w:rFonts w:ascii="Arial;sans-serif" w:hAnsi="Arial;sans-serif"/>
          <w:b w:val="false"/>
          <w:i/>
          <w:color w:val="000000"/>
          <w:sz w:val="18"/>
        </w:rPr>
        <w:t xml:space="preserve">Business Segment and Geographical Information </w:t>
      </w:r>
      <w:r>
        <w:rPr>
          <w:rFonts w:ascii="Arial;sans-serif" w:hAnsi="Arial;sans-serif"/>
          <w:b w:val="false"/>
          <w:color w:val="000000"/>
          <w:sz w:val="18"/>
        </w:rPr>
        <w:t>for further details).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Revenue in our Rest of Europe region for the six months ended June 30, 2026 increased by $40.0 million or 5.4%, to $775.9 million, compared to $735.9 million for the six months ended June 30, 2025. Revenue in the U.S. region for the six months ended June 30, 2026 decreased by $56.5 million or 4.5%, to $1,189.3 million, compared to $1,245.8 million for the six months ended June 30, 2025. Revenue in the Rest of World ('Other') region for the six months ended June 30, 2026 increased by $56.3 million or 12.9%, to $492.6 million, compared to $436.3 million for the six months ended June 30, 2025.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Direct costs</w:t>
      </w:r>
    </w:p>
    <w:p>
      <w:pPr>
        <w:pStyle w:val="TextBody"/>
        <w:bidi w:val="0"/>
        <w:spacing w:before="0" w:after="0"/>
        <w:jc w:val="both"/>
        <w:rPr/>
      </w:pPr>
      <w:r>
        <w:rPr/>
      </w:r>
    </w:p>
    <w:tbl>
      <w:tblPr>
        <w:tblW w:w="9782" w:type="dxa"/>
        <w:jc w:val="left"/>
        <w:tblInd w:w="0" w:type="dxa"/>
        <w:tblLayout w:type="fixed"/>
        <w:tblCellMar>
          <w:top w:w="28" w:type="dxa"/>
          <w:left w:w="28" w:type="dxa"/>
          <w:bottom w:w="28" w:type="dxa"/>
          <w:right w:w="28" w:type="dxa"/>
        </w:tblCellMar>
      </w:tblPr>
      <w:tblGrid>
        <w:gridCol w:w="466"/>
        <w:gridCol w:w="411"/>
        <w:gridCol w:w="412"/>
        <w:gridCol w:w="211"/>
        <w:gridCol w:w="976"/>
        <w:gridCol w:w="271"/>
        <w:gridCol w:w="211"/>
        <w:gridCol w:w="976"/>
        <w:gridCol w:w="271"/>
        <w:gridCol w:w="211"/>
        <w:gridCol w:w="826"/>
        <w:gridCol w:w="271"/>
        <w:gridCol w:w="211"/>
        <w:gridCol w:w="976"/>
        <w:gridCol w:w="271"/>
        <w:gridCol w:w="211"/>
        <w:gridCol w:w="976"/>
        <w:gridCol w:w="271"/>
        <w:gridCol w:w="211"/>
        <w:gridCol w:w="826"/>
        <w:gridCol w:w="316"/>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June 30,</w:t>
            </w:r>
          </w:p>
        </w:tc>
        <w:tc>
          <w:tcPr>
            <w:tcW w:w="426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45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45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3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c>
          <w:tcPr>
            <w:tcW w:w="145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45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35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costs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1,584,192 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1,455,758 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128,434 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3,140,265 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2,905,016 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235,249 </w:t>
            </w:r>
          </w:p>
        </w:tc>
        <w:tc>
          <w:tcPr>
            <w:tcW w:w="3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Direct costs for the three months ended June 30, 2026 increased by $128.4 million, or 8.8%, to $1,584.2 million compared to $1,455.8 million for the three months ended June 30, 2025. Direct costs consist primarily of investigator and other reimbursable costs, compensation, associated fringe benefits and share based compensation expense for project-related employees and other direct project driven costs. The increase in direct costs arose due to an increase in personnel related costs, third party investigator/other reimbursable costs, travel, and laboratory costs, partially offset by other direct project driven costs. As a percentage of revenue, direct costs have increased to 76.8% of revenue during the three months ended June 30, 2026 compared to 71.4% of revenue for the three months ended June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Direct costs for the six months ended June 30, 2026 increased by $235.2 million, or 8.1%, to $3,140.3 million compared to $2,905.0 million for the six months ended June 30, 2025. The increase in direct costs arose due to a increase in personnel related costs, third party investigator/other reimbursable costs, laboratory and travel costs, partially offset by other direct project driven costs. As a percentage of revenue, direct costs have increased to 76.6% of revenue during the six months ended June 30, 2026 compared to 71.7% for the six months ended June 30, 2025.</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 xml:space="preserve">Selling, general and administrative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10"/>
        <w:gridCol w:w="802"/>
        <w:gridCol w:w="797"/>
        <w:gridCol w:w="211"/>
        <w:gridCol w:w="826"/>
        <w:gridCol w:w="271"/>
        <w:gridCol w:w="211"/>
        <w:gridCol w:w="826"/>
        <w:gridCol w:w="271"/>
        <w:gridCol w:w="211"/>
        <w:gridCol w:w="779"/>
        <w:gridCol w:w="271"/>
        <w:gridCol w:w="211"/>
        <w:gridCol w:w="826"/>
        <w:gridCol w:w="271"/>
        <w:gridCol w:w="211"/>
        <w:gridCol w:w="826"/>
        <w:gridCol w:w="271"/>
        <w:gridCol w:w="211"/>
        <w:gridCol w:w="674"/>
        <w:gridCol w:w="318"/>
      </w:tblGrid>
      <w:tr>
        <w:trPr/>
        <w:tc>
          <w:tcPr>
            <w:tcW w:w="91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June 30,</w:t>
            </w:r>
          </w:p>
        </w:tc>
        <w:tc>
          <w:tcPr>
            <w:tcW w:w="38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2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c>
          <w:tcPr>
            <w:tcW w:w="13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2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Selling, general and administrative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194,318 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205,006 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(10,688)</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394,916 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403,390 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(8,474)</w:t>
            </w:r>
          </w:p>
        </w:tc>
        <w:tc>
          <w:tcPr>
            <w:tcW w:w="3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18"/>
        </w:rPr>
        <w:t xml:space="preserve">Selling, general and administrative expenses for the three months ended June 30, 2026 decreased by $10.7 million, or 5.2%, to $194.3 million, compared to $205.0 million for the three months ended June 30, 2025. Selling, general and administrative expenses comprise primarily of compensation, related fringe benefits and routine share based compensation expense for non-project-related employees, recruitment expenditure, professional service costs, advertising costs and costs related to facilities and information systems. Further, costs incurred relating to the investigation initiated by the Audit Committee in October 2025 and concluded in April 2026 (the "Investigation"), including out of scope audit fees resulting from the impact of the Investigation, and in defense of the putative class action (as referred to in Note 16. </w:t>
      </w:r>
      <w:r>
        <w:rPr>
          <w:rFonts w:ascii="Arial;sans-serif" w:hAnsi="Arial;sans-serif"/>
          <w:b w:val="false"/>
          <w:i/>
          <w:color w:val="000000"/>
          <w:sz w:val="18"/>
        </w:rPr>
        <w:t>Commitments and Contingencies</w:t>
      </w:r>
      <w:r>
        <w:rPr>
          <w:rFonts w:ascii="Arial;sans-serif" w:hAnsi="Arial;sans-serif"/>
          <w:b w:val="false"/>
          <w:color w:val="000000"/>
          <w:sz w:val="18"/>
        </w:rPr>
        <w:t>) are classified within this category. The decrease in selling, general and administrative expenses primarily relates to a decrease in general related costs of $12.0 million and positive foreign exchange movements of $23.3 million partially offset by an increase in professional fees of $20.1 million (primarily related to increased costs resulting from the impact of the Investigation). As a percentage of revenue, selling, general and administrative expenses decreased</w:t>
      </w:r>
      <w:r>
        <w:rPr>
          <w:color w:val="000000"/>
        </w:rPr>
        <w:t xml:space="preserve"> </w:t>
      </w:r>
      <w:r>
        <w:rPr>
          <w:rFonts w:ascii="Arial;sans-serif" w:hAnsi="Arial;sans-serif"/>
          <w:b w:val="false"/>
          <w:color w:val="000000"/>
          <w:sz w:val="18"/>
        </w:rPr>
        <w:t xml:space="preserve">to 9.4% during the three months ended June 30, 2026, compared to 10.1% of revenue for the three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Selling, general and administrative expenses for the six months ended June 30, 2026 decreased by $8.5 million, or 2.1%, to $394.9 million, compared to $403.4 million for the six months ended June 30, 2025. As a percentage of revenue, selling, general and administrative expenses decreased to 9.6% during the six months ended June 30, 2026, compared to 9.9% of revenue for the six months ended June 30, 2025. The decrease in selling, general and administrative expenses primarily relates to a decrease in general related costs of $23.4 million and positive foreign exchange movements of $49.8 million partially offset by an increase in professional fees of $49.4 million primarily related to increased costs resulting from the impact of the Investigation.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Depreciation and amortization</w:t>
      </w:r>
    </w:p>
    <w:p>
      <w:pPr>
        <w:pStyle w:val="TextBody"/>
        <w:bidi w:val="0"/>
        <w:spacing w:before="0" w:after="0"/>
        <w:jc w:val="both"/>
        <w:rPr/>
      </w:pPr>
      <w:r>
        <w:rPr/>
      </w:r>
    </w:p>
    <w:tbl>
      <w:tblPr>
        <w:tblW w:w="8807" w:type="dxa"/>
        <w:jc w:val="center"/>
        <w:tblInd w:w="0" w:type="dxa"/>
        <w:tblLayout w:type="fixed"/>
        <w:tblCellMar>
          <w:top w:w="28" w:type="dxa"/>
          <w:left w:w="28" w:type="dxa"/>
          <w:bottom w:w="28" w:type="dxa"/>
          <w:right w:w="28" w:type="dxa"/>
        </w:tblCellMar>
      </w:tblPr>
      <w:tblGrid>
        <w:gridCol w:w="466"/>
        <w:gridCol w:w="411"/>
        <w:gridCol w:w="412"/>
        <w:gridCol w:w="211"/>
        <w:gridCol w:w="721"/>
        <w:gridCol w:w="271"/>
        <w:gridCol w:w="211"/>
        <w:gridCol w:w="721"/>
        <w:gridCol w:w="271"/>
        <w:gridCol w:w="211"/>
        <w:gridCol w:w="691"/>
        <w:gridCol w:w="271"/>
        <w:gridCol w:w="211"/>
        <w:gridCol w:w="826"/>
        <w:gridCol w:w="271"/>
        <w:gridCol w:w="211"/>
        <w:gridCol w:w="826"/>
        <w:gridCol w:w="271"/>
        <w:gridCol w:w="211"/>
        <w:gridCol w:w="796"/>
        <w:gridCol w:w="316"/>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June 30,</w:t>
            </w:r>
          </w:p>
        </w:tc>
        <w:tc>
          <w:tcPr>
            <w:tcW w:w="393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17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3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40,659 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38,661 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80,711 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75,673 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5,038 </w:t>
            </w:r>
          </w:p>
        </w:tc>
        <w:tc>
          <w:tcPr>
            <w:tcW w:w="3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depreciation expense for the three months ended June 30, 2026 increased by $2.0 million, or 5.2%, to $40.7 million compared to $38.7 million for the three months ended June 30, 2025. The depreciation charge for the three months ended June 30, 2026 reflects the use of depreciating assets including facilities, information systems and equipment. As a percentage of revenue, the depreciation expense increased to 2.0% of revenue, for the three months ended June 30, 2026 compared to 1.9% for the three months ended June 30, 2025. The depreciation expense for the six months ended June 30, 2026 increased by $5.0 million, or 6.7%, to $80.7 million compared to $75.7 million for the six months ended June 30, 2025. As a percentage of revenue, the depreciation expense increased to 2.0% for the six months ended June 30, 2026 compared to 1.9% of revenue for the six months ended June 30, 2025. The depreciation charge has increased mainly due to additional investment in technology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Amortization expense for the three months ended June 30, 2026 decreased by $8.9 million, or 15.2% to $50.1 million compared to $59.1 million for the three months ended June 30, 2025. The amortization expense represents the amortization of intangible assets acquired in business combinations. As a percentage of revenue, the amortization expense decreased to 2.4% for the three months ended June 30, 2026, compared to 2.9% for the three months ended June 30, 2025. The decrease in amortization primarily reflects the impact of the impairment of the intangible assets related to the Data Solutions reporting unit in Quarter 3, 2025. Amortization expense for the six months ended June 30, 2026 decreased by $17.6 million, or 14.9%, to $100.4 million compared to $118.0 million for the six months ended June 30, 2025. As a percentage of revenue, the amortization expense decreased to 2.4% of for the six months ended June 30, 2026 compared to 2.9% of revenue for the six months ended June 30, 2025. The decrease in amortization primarily reflects the impact of the impairment of the intangible assets related to the Data Solutions reporting unit in Quarter 3, 2025.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Transaction and integration related expenses, Restructuring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28"/>
        <w:gridCol w:w="886"/>
        <w:gridCol w:w="888"/>
        <w:gridCol w:w="211"/>
        <w:gridCol w:w="721"/>
        <w:gridCol w:w="271"/>
        <w:gridCol w:w="211"/>
        <w:gridCol w:w="721"/>
        <w:gridCol w:w="271"/>
        <w:gridCol w:w="211"/>
        <w:gridCol w:w="790"/>
        <w:gridCol w:w="271"/>
        <w:gridCol w:w="211"/>
        <w:gridCol w:w="721"/>
        <w:gridCol w:w="271"/>
        <w:gridCol w:w="211"/>
        <w:gridCol w:w="721"/>
        <w:gridCol w:w="271"/>
        <w:gridCol w:w="211"/>
        <w:gridCol w:w="790"/>
        <w:gridCol w:w="318"/>
      </w:tblGrid>
      <w:tr>
        <w:trPr/>
        <w:tc>
          <w:tcPr>
            <w:tcW w:w="102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June 30,</w:t>
            </w:r>
          </w:p>
        </w:tc>
        <w:tc>
          <w:tcPr>
            <w:tcW w:w="372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27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c>
          <w:tcPr>
            <w:tcW w:w="12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31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and integration related</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5,716 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12,121 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(6,405)</w:t>
            </w:r>
          </w:p>
        </w:tc>
        <w:tc>
          <w:tcPr>
            <w:tcW w:w="3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Restructuring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(51,316)</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During the three and six months ended June 30, 2026, the Company incurred $2.5 million and $5.7 million</w:t>
      </w:r>
      <w:r>
        <w:rPr>
          <w:color w:val="000000"/>
        </w:rPr>
        <w:t xml:space="preserve"> </w:t>
      </w:r>
      <w:r>
        <w:rPr>
          <w:rFonts w:ascii="Arial;sans-serif" w:hAnsi="Arial;sans-serif"/>
          <w:b w:val="false"/>
          <w:color w:val="000000"/>
          <w:sz w:val="18"/>
        </w:rPr>
        <w:t>respectively,</w:t>
      </w:r>
      <w:r>
        <w:rPr>
          <w:color w:val="000000"/>
        </w:rPr>
        <w:t xml:space="preserve"> </w:t>
      </w:r>
      <w:r>
        <w:rPr>
          <w:rFonts w:ascii="Arial;sans-serif" w:hAnsi="Arial;sans-serif"/>
          <w:b w:val="false"/>
          <w:color w:val="000000"/>
          <w:sz w:val="18"/>
        </w:rPr>
        <w:t>for transaction and integration-related expenses. The charge includes costs associated with transactions and ongoing integration activities related to our acquisitions of which there was less costs incurred in the current period compared to the prior year. Such costs include professional fees, legal costs and related integration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During the three and six months ended June 30, 2026 the Company undertook a restructuring program aimed at realigning its workforce. During the six months ended June 30, 2026 the restructuring plan reflected a workforce reduction of $31.0 million (June 30, 2025: $75.6 million) and an office consolidation program to optimize the Company's office footprint of $Nil (June 30, 2025: $6.7 million). (see</w:t>
      </w:r>
      <w:r>
        <w:rPr>
          <w:color w:val="000000"/>
        </w:rPr>
        <w:t xml:space="preserve"> </w:t>
      </w:r>
      <w:r>
        <w:rPr>
          <w:rFonts w:ascii="Arial;sans-serif" w:hAnsi="Arial;sans-serif"/>
          <w:b w:val="false"/>
          <w:color w:val="000000"/>
          <w:sz w:val="18"/>
        </w:rPr>
        <w:t>Note 8</w:t>
      </w:r>
      <w:r>
        <w:rPr>
          <w:color w:val="000000"/>
        </w:rPr>
        <w:t xml:space="preserve"> </w:t>
      </w:r>
      <w:r>
        <w:rPr>
          <w:rFonts w:ascii="Arial;sans-serif" w:hAnsi="Arial;sans-serif"/>
          <w:b w:val="false"/>
          <w:i/>
          <w:color w:val="000000"/>
          <w:sz w:val="18"/>
        </w:rPr>
        <w:t xml:space="preserve">Restructuring </w:t>
      </w:r>
      <w:r>
        <w:rPr>
          <w:rFonts w:ascii="Arial;sans-serif" w:hAnsi="Arial;sans-serif"/>
          <w:b w:val="false"/>
          <w:color w:val="000000"/>
          <w:sz w:val="18"/>
        </w:rPr>
        <w:t>for further details). </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Loss on disposal of subsidiary undertaking</w:t>
      </w:r>
    </w:p>
    <w:p>
      <w:pPr>
        <w:pStyle w:val="TextBody"/>
        <w:bidi w:val="0"/>
        <w:spacing w:before="0" w:after="0"/>
        <w:jc w:val="both"/>
        <w:rPr/>
      </w:pPr>
      <w:r>
        <w:rPr/>
      </w:r>
    </w:p>
    <w:tbl>
      <w:tblPr>
        <w:tblW w:w="9296" w:type="dxa"/>
        <w:jc w:val="left"/>
        <w:tblInd w:w="0" w:type="dxa"/>
        <w:tblLayout w:type="fixed"/>
        <w:tblCellMar>
          <w:top w:w="28" w:type="dxa"/>
          <w:left w:w="28" w:type="dxa"/>
          <w:bottom w:w="28" w:type="dxa"/>
          <w:right w:w="28" w:type="dxa"/>
        </w:tblCellMar>
      </w:tblPr>
      <w:tblGrid>
        <w:gridCol w:w="1301"/>
        <w:gridCol w:w="1148"/>
        <w:gridCol w:w="1150"/>
        <w:gridCol w:w="211"/>
        <w:gridCol w:w="721"/>
        <w:gridCol w:w="271"/>
        <w:gridCol w:w="203"/>
        <w:gridCol w:w="203"/>
        <w:gridCol w:w="176"/>
        <w:gridCol w:w="211"/>
        <w:gridCol w:w="721"/>
        <w:gridCol w:w="109"/>
        <w:gridCol w:w="211"/>
        <w:gridCol w:w="721"/>
        <w:gridCol w:w="271"/>
        <w:gridCol w:w="203"/>
        <w:gridCol w:w="203"/>
        <w:gridCol w:w="176"/>
        <w:gridCol w:w="211"/>
        <w:gridCol w:w="721"/>
        <w:gridCol w:w="154"/>
      </w:tblGrid>
      <w:tr>
        <w:trPr/>
        <w:tc>
          <w:tcPr>
            <w:tcW w:w="130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June 30,</w:t>
            </w:r>
          </w:p>
        </w:tc>
        <w:tc>
          <w:tcPr>
            <w:tcW w:w="287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58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c>
          <w:tcPr>
            <w:tcW w:w="12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58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subsidiary undertaking</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32,947 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32,947 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bidi w:val="0"/>
        <w:spacing w:lineRule="auto" w:line="288" w:before="0" w:after="0"/>
        <w:jc w:val="both"/>
        <w:rPr>
          <w:rFonts w:ascii="Arial;sans-serif" w:hAnsi="Arial;sans-serif"/>
          <w:b w:val="false"/>
          <w:i/>
          <w:color w:val="000000"/>
          <w:sz w:val="18"/>
          <w:shd w:fill="FFFFFF" w:val="clear"/>
        </w:rPr>
      </w:pPr>
      <w:r>
        <w:rPr>
          <w:rFonts w:ascii="Arial;sans-serif" w:hAnsi="Arial;sans-serif"/>
          <w:b w:val="false"/>
          <w:i/>
          <w:color w:val="000000"/>
          <w:sz w:val="18"/>
          <w:shd w:fill="FFFFFF" w:val="clear"/>
        </w:rPr>
        <w:t>*NM – Not Meaningful</w:t>
      </w:r>
    </w:p>
    <w:p>
      <w:pPr>
        <w:pStyle w:val="TextBody"/>
        <w:bidi w:val="0"/>
        <w:spacing w:before="0" w:after="0"/>
        <w:jc w:val="both"/>
        <w:rPr/>
      </w:pPr>
      <w:r>
        <w:rPr/>
      </w:r>
    </w:p>
    <w:p>
      <w:pPr>
        <w:pStyle w:val="TextBody"/>
        <w:bidi w:val="0"/>
        <w:spacing w:lineRule="auto" w:line="276" w:before="0" w:after="0"/>
        <w:jc w:val="left"/>
        <w:rPr>
          <w:rFonts w:ascii="Arial;sans-serif" w:hAnsi="Arial;sans-serif"/>
          <w:b w:val="false"/>
          <w:i/>
          <w:color w:val="000000"/>
          <w:sz w:val="18"/>
        </w:rPr>
      </w:pPr>
      <w:r>
        <w:rPr>
          <w:rFonts w:ascii="Arial;sans-serif" w:hAnsi="Arial;sans-serif"/>
          <w:b w:val="false"/>
          <w:i/>
          <w:color w:val="000000"/>
          <w:sz w:val="18"/>
        </w:rPr>
        <w:t xml:space="preserve">Disposal of Symphony Health Solutions Corporation </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May 8, 2026, ICON completed the disposal of Symphony Health Solutions Corporation ("Symphony") pursuant to a merger agreement, by and among HealthVerity, Inc. ("HealthVerity"), Symphony, Pharmaceutical Research Associates, Inc. and HealthVerity Merger Sub, Inc. ("HV Merger Sub"), a wholly owned subsidiary of HealthVerity. Pursuant to the merger agreement, HV Merger Sub merged with and into Symphony, with Symphony surviving the merger as a wholly owned subsidiary of HealthVerity.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Arial;sans-serif" w:hAnsi="Arial;sans-serif"/>
          <w:b w:val="false"/>
          <w:color w:val="000000"/>
          <w:sz w:val="18"/>
        </w:rPr>
        <w:t>The consideration payable by HealthVerity in connection with the merger consisted of shares of stock in HealthVerity, subject to customary adjustments as set forth in the merger agreement. In connection with the merger, ICON also purchased additional shares of stock in HealthVerity for an aggregate purchase price of</w:t>
      </w:r>
      <w:r>
        <w:rPr>
          <w:color w:val="000000"/>
        </w:rPr>
        <w:t xml:space="preserve"> </w:t>
      </w:r>
      <w:r>
        <w:rPr>
          <w:rFonts w:ascii="Arial;sans-serif" w:hAnsi="Arial;sans-serif"/>
          <w:b w:val="false"/>
          <w:color w:val="000000"/>
          <w:sz w:val="18"/>
        </w:rPr>
        <w:t>$37.5 million. As a result, ICON holds a minority equity interest in HealthVerity.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Company's purchase of additional HealthVerity shares occurred in conjunction with the overall disposal transaction. The Company therefore concluded that the disposal of Symphony and the subscription for additional HealthVerity shares were economically linked. Accordingly, the Company accounted for the arrangements together in determining the gain or loss on disposal.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determining the fair value of the consideration received, the Company considered, among other factors, the rights associated with the shares, HealthVerity's capital structure and other relevant valuation metrics. Based on the specific facts and circumstances of the transaction and the characteristics of the HealthVerity shares received, the Company determined that the fair value of the consideration received was nominal.</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recognized a pre-tax loss on disposal, including transaction costs, of $32.9 million in the condensed consolidated Statements of Operations for the three months and six months ended June 30, 2026 related to this disposal. The pre-tax loss on disposal was determined with reference to (i) the fair value of consideration received, (ii) the net carrying amount of Symphony immediately prior to disposal, (iii) the Company's $37.5 million payment made as part of the overall transaction, and (iv) the fair value of certain tax indemnifications. A capital tax loss was generated on disposal of this investment, and no net tax benefit was recorded as a result in the period. As at June 30, 2026 the carrying value of the Company's investment in HealthVerity was $nil.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18"/>
        </w:rPr>
      </w:pPr>
      <w:r>
        <w:rPr>
          <w:rFonts w:ascii="Arial;sans-serif" w:hAnsi="Arial;sans-serif"/>
          <w:b/>
          <w:i/>
          <w:color w:val="000000"/>
          <w:sz w:val="18"/>
        </w:rPr>
        <w:t>Income from operations</w:t>
      </w:r>
    </w:p>
    <w:tbl>
      <w:tblPr>
        <w:tblW w:w="6024" w:type="dxa"/>
        <w:jc w:val="center"/>
        <w:tblInd w:w="0" w:type="dxa"/>
        <w:tblLayout w:type="fixed"/>
        <w:tblCellMar>
          <w:top w:w="28" w:type="dxa"/>
          <w:left w:w="28" w:type="dxa"/>
          <w:bottom w:w="28" w:type="dxa"/>
          <w:right w:w="28" w:type="dxa"/>
        </w:tblCellMar>
      </w:tblPr>
      <w:tblGrid>
        <w:gridCol w:w="754"/>
        <w:gridCol w:w="665"/>
        <w:gridCol w:w="666"/>
        <w:gridCol w:w="211"/>
        <w:gridCol w:w="826"/>
        <w:gridCol w:w="271"/>
        <w:gridCol w:w="211"/>
        <w:gridCol w:w="826"/>
        <w:gridCol w:w="271"/>
        <w:gridCol w:w="211"/>
        <w:gridCol w:w="796"/>
        <w:gridCol w:w="316"/>
      </w:tblGrid>
      <w:tr>
        <w:trPr/>
        <w:tc>
          <w:tcPr>
            <w:tcW w:w="75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June 30,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32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from operations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137,829 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230,939 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(93,110)</w:t>
            </w:r>
          </w:p>
        </w:tc>
        <w:tc>
          <w:tcPr>
            <w:tcW w:w="3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Income from operations decreased by $93.1 million or 40.3% to $137.8 million for the three months ended June 30, 2026 compared to $230.9 million for the three months ended June 30, 2025. As a percentage of revenue, income from operations decreased to 6.7% for the three months ended June 30, 2026 compared to 11.3% of revenue for the three months ended June 30, 2025. </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Excluding amortization of intangible assets and loss on disposal of subsidiary undertaking, income from operations in Ireland decreased to $123.7 million for the three months ended June 30, 2026 compared to $199.6 million for the three months ended June 30, 2025. As a percentage of revenue, excluding amortization of intangible assets and loss on disposal of subsidiary undertaking, income from operations in Ireland decreased to 14.1% for the three months ended June 30, 2026 compared to 22.1% for the three months ended June 30, 2025.</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the Rest of Europe region, excluding amortization of intangible assets and loss on disposal of subsidiary undertaking, income from operations increased to $35.0 million for the three months ended June 30, 2026 compared to $8.0 million for the three months ended June 30, 2025. As a percentage of revenue, excluding amortization of intangible assets and loss on disposal of subsidiary undertaking, income from operations in the Rest of Europe region increased to 9.1% for the three months ended June 30, 2026 compared to 2.2% for the three months ended June 30, 2025.</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the U.S. region, income from operations, excluding amortization of intangible assets and loss on disposal of subsidiary undertaking, decreased to $38.4 million for the three months ended June 30, 2026 compared to $72.2 million for the three months ended June 30, 2025. As a percentage of revenue, excluding amortization of intangible assets and loss on disposal of subsidiary undertaking, income from operations in the U.S. region decreased to 7.0% for the three months ended June 30, 2026 compared to 12.6% for the three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other regions, income from operations, excluding amortization of intangible assets and loss on disposal of subsidiary undertaking, increased to $23.8 million for the three months ended June 30, 2026 compared to $10.2 million for the three months ended June 30, 2025. As percentage of revenue, excluding amortization of intangible assets and loss on disposal of subsidiary undertaking, income from operations in the other regions increased to 9.4% for the three months ended June 30, 2026 compared to 5.0% for the three months ended June 30, 2025.</w:t>
      </w:r>
    </w:p>
    <w:p>
      <w:pPr>
        <w:pStyle w:val="TextBody"/>
        <w:bidi w:val="0"/>
        <w:spacing w:before="0" w:after="0"/>
        <w:jc w:val="both"/>
        <w:rPr/>
      </w:pPr>
      <w:r>
        <w:rPr/>
      </w:r>
    </w:p>
    <w:tbl>
      <w:tblPr>
        <w:tblW w:w="6129" w:type="dxa"/>
        <w:jc w:val="left"/>
        <w:tblInd w:w="0" w:type="dxa"/>
        <w:tblLayout w:type="fixed"/>
        <w:tblCellMar>
          <w:top w:w="28" w:type="dxa"/>
          <w:left w:w="28" w:type="dxa"/>
          <w:bottom w:w="28" w:type="dxa"/>
          <w:right w:w="28" w:type="dxa"/>
        </w:tblCellMar>
      </w:tblPr>
      <w:tblGrid>
        <w:gridCol w:w="754"/>
        <w:gridCol w:w="665"/>
        <w:gridCol w:w="666"/>
        <w:gridCol w:w="211"/>
        <w:gridCol w:w="826"/>
        <w:gridCol w:w="271"/>
        <w:gridCol w:w="211"/>
        <w:gridCol w:w="826"/>
        <w:gridCol w:w="271"/>
        <w:gridCol w:w="211"/>
        <w:gridCol w:w="901"/>
        <w:gridCol w:w="316"/>
      </w:tblGrid>
      <w:tr>
        <w:trPr/>
        <w:tc>
          <w:tcPr>
            <w:tcW w:w="75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42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from operations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311,563 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457,909 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(146,346)</w:t>
            </w:r>
          </w:p>
        </w:tc>
        <w:tc>
          <w:tcPr>
            <w:tcW w:w="3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Income from operations decreased by $146.3 million or 32.0% to $311.6 million for the six months ended June 30, 2026 compared to $457.9 million for the six months ended June 30, 2025. As a percentage of revenue, income from operations decreased to 7.6% for the six months ended June 30, 2026 compared to 11.3% of revenue for the six months ended June 30, 2025. </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Excluding amortization of intangible assets and loss on disposal of subsidiary undertaking, income from operations in Ireland decreased to $248.9 million for the six months ended June 30, 2026 compared to $363.0 million for the six months ended June 30, 2025. As a percentage of revenue, excluding amortization of intangible assets and loss on disposal of subsidiary undertaking, income from operations in Ireland decreased to 15.2% for the six months ended June 30, 2026 compared to 22.2% for the six months ended June 30, 2025.</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the Rest of Europe region, excluding amortization of intangible assets and loss on disposal of subsidiary undertaking, income from operations increased to $66.7 million for the six months ended June 30, 2026 compared to $44.8 million for the six months ended June 30, 2025. As a percentage of revenue, excluding amortization of intangible assets and loss on disposal of subsidiary undertaking, income from operations in the Rest of Europe region increased to 8.6% for the six months ended June 30, 2026 compared to 6.1% for the six months ended June 30,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the U.S. region, income from operations, excluding amortization of intangible assets and loss on disposal of subsidiary undertaking, decreased to $88.1 million for the six months ended June 30, 2026 compared to $140.7 million for the six months ended June 30, 2025. As a percentage of revenue, excluding amortization of intangible assets and loss on disposal of subsidiary undertaking, income from operations in the U.S. region decreased to 7.4% for the six months ended June 30, 2026 compared to 11.3% for the six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other regions, income from operations, excluding amortization of intangible assets and loss on disposal of subsidiary undertaking, increased to $41.2 million for the six months ended June 30, 2026 compared to $27.4 million for the six months ended June 30, 2025. As percentage of revenue, excluding amortization of intangible assets and loss on disposal of subsidiary undertaking, income from operations in the other regions increased to 8.4% for the six months ended June 30, 2026 compared to 6.3% for the six months ended June 30, 2025.</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Interest income and expense</w:t>
      </w:r>
    </w:p>
    <w:p>
      <w:pPr>
        <w:pStyle w:val="TextBody"/>
        <w:bidi w:val="0"/>
        <w:spacing w:before="0" w:after="0"/>
        <w:jc w:val="left"/>
        <w:rPr/>
      </w:pPr>
      <w:r>
        <w:rPr/>
      </w:r>
    </w:p>
    <w:tbl>
      <w:tblPr>
        <w:tblW w:w="9415" w:type="dxa"/>
        <w:jc w:val="left"/>
        <w:tblInd w:w="0" w:type="dxa"/>
        <w:tblLayout w:type="fixed"/>
        <w:tblCellMar>
          <w:top w:w="28" w:type="dxa"/>
          <w:left w:w="28" w:type="dxa"/>
          <w:bottom w:w="28" w:type="dxa"/>
          <w:right w:w="28" w:type="dxa"/>
        </w:tblCellMar>
      </w:tblPr>
      <w:tblGrid>
        <w:gridCol w:w="531"/>
        <w:gridCol w:w="469"/>
        <w:gridCol w:w="470"/>
        <w:gridCol w:w="211"/>
        <w:gridCol w:w="796"/>
        <w:gridCol w:w="109"/>
        <w:gridCol w:w="211"/>
        <w:gridCol w:w="796"/>
        <w:gridCol w:w="109"/>
        <w:gridCol w:w="211"/>
        <w:gridCol w:w="616"/>
        <w:gridCol w:w="109"/>
        <w:gridCol w:w="255"/>
        <w:gridCol w:w="256"/>
        <w:gridCol w:w="271"/>
        <w:gridCol w:w="211"/>
        <w:gridCol w:w="796"/>
        <w:gridCol w:w="109"/>
        <w:gridCol w:w="211"/>
        <w:gridCol w:w="796"/>
        <w:gridCol w:w="109"/>
        <w:gridCol w:w="211"/>
        <w:gridCol w:w="616"/>
        <w:gridCol w:w="109"/>
        <w:gridCol w:w="255"/>
        <w:gridCol w:w="256"/>
        <w:gridCol w:w="316"/>
      </w:tblGrid>
      <w:tr>
        <w:trPr/>
        <w:tc>
          <w:tcPr>
            <w:tcW w:w="53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June 30,</w:t>
            </w:r>
          </w:p>
        </w:tc>
        <w:tc>
          <w:tcPr>
            <w:tcW w:w="171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223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c>
          <w:tcPr>
            <w:tcW w:w="17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78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82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3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center"/>
        <w:rPr/>
      </w:pPr>
      <w:r>
        <w:rPr/>
      </w:r>
    </w:p>
    <w:p>
      <w:pPr>
        <w:pStyle w:val="TextBody"/>
        <w:bidi w:val="0"/>
        <w:spacing w:lineRule="auto" w:line="288" w:before="0" w:after="0"/>
        <w:ind w:left="0" w:right="0" w:firstLine="720"/>
        <w:jc w:val="both"/>
        <w:rPr/>
      </w:pPr>
      <w:r>
        <w:rPr>
          <w:rFonts w:ascii="Arial;sans-serif" w:hAnsi="Arial;sans-serif"/>
          <w:b w:val="false"/>
          <w:color w:val="000000"/>
          <w:sz w:val="18"/>
        </w:rPr>
        <w:t xml:space="preserve">Interest income for the three months ended June 30, 2026 increased by $1.1 million to $3.2 million compared to $2.1 million for the three months ended June 30, 2025. Interest expense for the three months ended June 30, 2026 decreased by $1.4 million to $48.8 million, compared to $50.2 million for the three months ended June 30, 2025. The small decrease in the period primarily reflects the impact of variable exchange rates on the Company's variable debt in addition to the impact of certain debt repayments which occurred in the three months ended June 30, 2026 and the three months ended June 30, 2025. See Note 10 </w:t>
      </w:r>
      <w:r>
        <w:rPr>
          <w:rFonts w:ascii="Arial;sans-serif" w:hAnsi="Arial;sans-serif"/>
          <w:b w:val="false"/>
          <w:i/>
          <w:color w:val="000000"/>
          <w:sz w:val="18"/>
        </w:rPr>
        <w:t>Bank credit lines and loan facilities</w:t>
      </w:r>
      <w:r>
        <w:rPr>
          <w:color w:val="000000"/>
        </w:rPr>
        <w:t xml:space="preserve"> </w:t>
      </w:r>
      <w:r>
        <w:rPr>
          <w:rFonts w:ascii="Arial;sans-serif" w:hAnsi="Arial;sans-serif"/>
          <w:b w:val="false"/>
          <w:color w:val="000000"/>
          <w:sz w:val="18"/>
        </w:rPr>
        <w:t>for details.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rPr>
        <w:t xml:space="preserve">Interest income for the six months ended June 30, 2026 increased by $1.1 million to $5.0 million compared to $3.9 million for the six months ended June 30, 2025. Interest expense for the six months ended June 30, 2026 decreased by $1.0 million to $96.8 million, compared to $97.8 million for the six months ended June 30, 2025. The small decrease in the period primarily reflects the impact of variable exchange rates on the Company's variable debt in addition to the impact of certain debt repayments which occurred in the six months ended June 30, 2026 and the six months ended June 30, 2025. See Note 10 </w:t>
      </w:r>
      <w:r>
        <w:rPr>
          <w:rFonts w:ascii="Arial;sans-serif" w:hAnsi="Arial;sans-serif"/>
          <w:b w:val="false"/>
          <w:i/>
          <w:color w:val="000000"/>
          <w:sz w:val="18"/>
        </w:rPr>
        <w:t>Bank credit lines and loan facilities</w:t>
      </w:r>
      <w:r>
        <w:rPr>
          <w:color w:val="000000"/>
        </w:rPr>
        <w:t xml:space="preserve"> </w:t>
      </w:r>
      <w:r>
        <w:rPr>
          <w:rFonts w:ascii="Arial;sans-serif" w:hAnsi="Arial;sans-serif"/>
          <w:b w:val="false"/>
          <w:color w:val="000000"/>
          <w:sz w:val="18"/>
        </w:rPr>
        <w:t xml:space="preserve">for details.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Income tax expense / (benefit)</w:t>
      </w:r>
    </w:p>
    <w:p>
      <w:pPr>
        <w:pStyle w:val="TextBody"/>
        <w:bidi w:val="0"/>
        <w:spacing w:before="0" w:after="0"/>
        <w:jc w:val="both"/>
        <w:rPr/>
      </w:pPr>
      <w:r>
        <w:rPr/>
      </w:r>
    </w:p>
    <w:tbl>
      <w:tblPr>
        <w:tblW w:w="9399" w:type="dxa"/>
        <w:jc w:val="left"/>
        <w:tblInd w:w="0" w:type="dxa"/>
        <w:tblLayout w:type="fixed"/>
        <w:tblCellMar>
          <w:top w:w="28" w:type="dxa"/>
          <w:left w:w="28" w:type="dxa"/>
          <w:bottom w:w="28" w:type="dxa"/>
          <w:right w:w="28" w:type="dxa"/>
        </w:tblCellMar>
      </w:tblPr>
      <w:tblGrid>
        <w:gridCol w:w="927"/>
        <w:gridCol w:w="818"/>
        <w:gridCol w:w="820"/>
        <w:gridCol w:w="211"/>
        <w:gridCol w:w="721"/>
        <w:gridCol w:w="271"/>
        <w:gridCol w:w="211"/>
        <w:gridCol w:w="796"/>
        <w:gridCol w:w="271"/>
        <w:gridCol w:w="211"/>
        <w:gridCol w:w="721"/>
        <w:gridCol w:w="109"/>
        <w:gridCol w:w="211"/>
        <w:gridCol w:w="721"/>
        <w:gridCol w:w="271"/>
        <w:gridCol w:w="211"/>
        <w:gridCol w:w="541"/>
        <w:gridCol w:w="271"/>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June 30,</w:t>
            </w:r>
          </w:p>
        </w:tc>
        <w:tc>
          <w:tcPr>
            <w:tcW w:w="331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7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0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 (benefit)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19,615 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(20,674)</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40,289 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42,422 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42,745 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Effective income tax rate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Income tax expense / (benefit) for the three months ended June 30, 2026 is a $19.6 million income tax expense, compared to a $20.7 million benefit for the three months ended June 30, 2025. The Company's effective tax rate for the three months ended June 30, 2026 was 21.3% compared with (11.3)% for the three months ended June 30, 2025, primarily due to the net increase of provisions for uncertain tax positions in the period of $1.9 million (three months ended June 30, 2025: $29.3 million release), and no release of a deferred tax liability related to investments in foreign subsidiaries associated with unremitted earnings (three months ended June 30, 2025: $30.6 million release).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Arial;sans-serif" w:hAnsi="Arial;sans-serif"/>
          <w:b w:val="false"/>
          <w:color w:val="000000"/>
          <w:sz w:val="18"/>
        </w:rPr>
        <w:t>The Income tax expense / (benefit) for the six months ended June 30, 2026 is a $42.4 million income tax expense, compared to a $0.3 million benefit for the six months ended June 30, 2025. The Company's effective tax rate for the six months ended June 30, 2026 was 19.3% compared with (0.1)% for the six months ended June 30, 2025 primarily due to the net increase of provisions for uncertain tax positions in the period of $2.7 million (six months ended June 30, 2025: $27.3 million release), and no</w:t>
      </w:r>
      <w:r>
        <w:rPr>
          <w:color w:val="000000"/>
        </w:rPr>
        <w:t xml:space="preserve"> </w:t>
      </w:r>
      <w:r>
        <w:rPr>
          <w:rFonts w:ascii="Arial;sans-serif" w:hAnsi="Arial;sans-serif"/>
          <w:b w:val="false"/>
          <w:color w:val="000000"/>
          <w:sz w:val="18"/>
        </w:rPr>
        <w:t>release of a deferred tax liability related to investments in foreign subsidiaries associated with unremitted earnings (six months ended June 30, 2025: $30.8 million release).</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With the exception of the foregoing, the Company’s effective tax rate remains principally a function of the distribution of pre-tax profits amongst the territories in which it operates.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disposals and acquisitions. Financing activities primarily reflect the servicing of the Company's external debt and transactions pertaining to its ordinary shares.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Company’s principal sources of cash are its existing cash and cash equivalents as well as cash generated from operations. In addition, the Company may from time to time supplement its liquidity through additional issuances of debt, the refinancing of existing indebtedness, borrowings under its revolving credit facility and its bridge facility, or proceeds from the sale of assets or short-term investments, subject to prevailing market conditions.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Bridge Secured Credit Facility</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April 27, 2026, ICON Global Treasury Unlimited Company (the “Bridge Facility Borrower”), a subsidiary of the Company, entered into a bridge facility credit agreement for an aggregate principal amount of $500 million (the "Bridge Secured Credit Facility").</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Arial;sans-serif" w:hAnsi="Arial;sans-serif"/>
          <w:b w:val="false"/>
          <w:color w:val="000000"/>
          <w:sz w:val="18"/>
        </w:rPr>
        <w:t>On July 15, 2026, the Company drew down on the Bridge Secured Credit Facility in full and used the proceeds of $500.0 million to repay</w:t>
      </w:r>
      <w:r>
        <w:rPr>
          <w:color w:val="000000"/>
        </w:rPr>
        <w:t xml:space="preserve"> </w:t>
      </w:r>
      <w:r>
        <w:rPr>
          <w:rFonts w:ascii="Arial;sans-serif" w:hAnsi="Arial;sans-serif"/>
          <w:b w:val="false"/>
          <w:color w:val="000000"/>
          <w:sz w:val="18"/>
        </w:rPr>
        <w:t>in full $500.0 million aggregate principal amount of the 2.875% Senior Secured Notes (the “2026 Notes”) issued by a subsidiary of the Group in July 2021 that matured on July 15, 2026. The Bridge Secured Credit Facility will mature on April 26, 2027.</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Excluding the repayment above, as of June 30, 2026 the Company’s material cash requirements in the next 12 months include the repayment of $750 million in aggregate principal amount of 2027 Notes, which will mature on May 8, 2027.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down payment at the time the contract is entered into, with the balance paid in installments over the contract duration, in some cases on the achievement of certain milestones. Therefore, cash receipts do not correspond to costs incurred and revenue recognized on contracts. In the Company's opinion, working capital, together with the Company's available financing arrangements, is sufficient to meet the Company's present requirements, including the repayment of the 2027 Notes at maturity.</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Cash and cash equivalents and net borrowings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1"/>
        <w:gridCol w:w="633"/>
        <w:gridCol w:w="637"/>
        <w:gridCol w:w="255"/>
        <w:gridCol w:w="1230"/>
        <w:gridCol w:w="132"/>
        <w:gridCol w:w="253"/>
        <w:gridCol w:w="865"/>
        <w:gridCol w:w="130"/>
        <w:gridCol w:w="211"/>
        <w:gridCol w:w="826"/>
        <w:gridCol w:w="109"/>
        <w:gridCol w:w="259"/>
        <w:gridCol w:w="776"/>
        <w:gridCol w:w="136"/>
        <w:gridCol w:w="274"/>
        <w:gridCol w:w="853"/>
        <w:gridCol w:w="141"/>
        <w:gridCol w:w="237"/>
        <w:gridCol w:w="1136"/>
        <w:gridCol w:w="122"/>
        <w:gridCol w:w="109"/>
        <w:gridCol w:w="160"/>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Balance December 31, 2025</w:t>
            </w:r>
          </w:p>
        </w:tc>
        <w:tc>
          <w:tcPr>
            <w:tcW w:w="124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(Drawn down)/repaid</w:t>
            </w:r>
          </w:p>
        </w:tc>
        <w:tc>
          <w:tcPr>
            <w:tcW w:w="11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Net cash</w:t>
              <w:br/>
              <w:t>inflow/</w:t>
              <w:br/>
              <w:t>(outflow)</w:t>
            </w:r>
          </w:p>
        </w:tc>
        <w:tc>
          <w:tcPr>
            <w:tcW w:w="117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Other non-</w:t>
              <w:br/>
              <w:t>cash</w:t>
              <w:br/>
              <w:t>adjustments</w:t>
            </w:r>
          </w:p>
        </w:tc>
        <w:tc>
          <w:tcPr>
            <w:tcW w:w="126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Effect of exchange rates</w:t>
            </w:r>
          </w:p>
        </w:tc>
        <w:tc>
          <w:tcPr>
            <w:tcW w:w="14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Balance June 30,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Cash and cash equivalents</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647,295 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928,385 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Facilities &amp; Senior Secured Notes</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(3,402,378)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(3,390,545)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and cash equivalents and borrowings</w:t>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(2,755,083)</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14,881 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286,028 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(3,048)</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(2,462,160)</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Net cash and cash equivalents and borrowings is a useful measure that assists understanding of the Company’s liquidity and capital resources, which is relevant to the Company’s strategy. The Company’s cash and cash equivalents at June 30, 2026 amounted to $928.4 million compared with $647.3 million at December 31, 2025. </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pPr>
      <w:r>
        <w:rPr>
          <w:rFonts w:ascii="Arial;sans-serif" w:hAnsi="Arial;sans-serif"/>
          <w:b w:val="false"/>
          <w:color w:val="000000"/>
          <w:sz w:val="18"/>
        </w:rPr>
        <w:t xml:space="preserve">Refer to Note 10 </w:t>
      </w:r>
      <w:r>
        <w:rPr>
          <w:rFonts w:ascii="Arial;sans-serif" w:hAnsi="Arial;sans-serif"/>
          <w:b w:val="false"/>
          <w:i/>
          <w:color w:val="000000"/>
          <w:sz w:val="18"/>
        </w:rPr>
        <w:t>Bank credit lines, loan facilities and notes</w:t>
      </w:r>
      <w:r>
        <w:rPr>
          <w:color w:val="000000"/>
        </w:rPr>
        <w:t xml:space="preserve"> </w:t>
      </w:r>
      <w:r>
        <w:rPr>
          <w:rFonts w:ascii="Arial;sans-serif" w:hAnsi="Arial;sans-serif"/>
          <w:b w:val="false"/>
          <w:color w:val="000000"/>
          <w:sz w:val="18"/>
        </w:rPr>
        <w:t xml:space="preserve">for details on the Company's outstanding debt. Refer to Note 9 </w:t>
      </w:r>
      <w:r>
        <w:rPr>
          <w:rFonts w:ascii="Arial;sans-serif" w:hAnsi="Arial;sans-serif"/>
          <w:b w:val="false"/>
          <w:i/>
          <w:color w:val="000000"/>
          <w:sz w:val="18"/>
        </w:rPr>
        <w:t>Operating Leases</w:t>
      </w:r>
      <w:r>
        <w:rPr>
          <w:color w:val="000000"/>
        </w:rPr>
        <w:t xml:space="preserve"> </w:t>
      </w:r>
      <w:r>
        <w:rPr>
          <w:rFonts w:ascii="Arial;sans-serif" w:hAnsi="Arial;sans-serif"/>
          <w:b w:val="false"/>
          <w:color w:val="000000"/>
          <w:sz w:val="18"/>
        </w:rPr>
        <w:t xml:space="preserve">for further details on the Company's contractual liabilities for lease arrangements.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4" w:before="0" w:after="0"/>
        <w:jc w:val="both"/>
        <w:rPr>
          <w:rFonts w:ascii="Arial;sans-serif" w:hAnsi="Arial;sans-serif"/>
          <w:b/>
          <w:color w:val="000000"/>
          <w:sz w:val="18"/>
        </w:rPr>
      </w:pPr>
      <w:r>
        <w:rPr>
          <w:rFonts w:ascii="Arial;sans-serif" w:hAnsi="Arial;sans-serif"/>
          <w:b/>
          <w:color w:val="000000"/>
          <w:sz w:val="18"/>
        </w:rPr>
        <w:t>Cash flows</w:t>
      </w:r>
    </w:p>
    <w:p>
      <w:pPr>
        <w:pStyle w:val="TextBody"/>
        <w:bidi w:val="0"/>
        <w:spacing w:before="0" w:after="0"/>
        <w:jc w:val="both"/>
        <w:rPr/>
      </w:pPr>
      <w:r>
        <w:rPr/>
      </w:r>
    </w:p>
    <w:p>
      <w:pPr>
        <w:pStyle w:val="TextBody"/>
        <w:bidi w:val="0"/>
        <w:spacing w:lineRule="auto" w:line="264" w:before="0" w:after="0"/>
        <w:jc w:val="both"/>
        <w:rPr>
          <w:rFonts w:ascii="Arial;sans-serif" w:hAnsi="Arial;sans-serif"/>
          <w:b/>
          <w:i/>
          <w:color w:val="000000"/>
          <w:sz w:val="18"/>
        </w:rPr>
      </w:pPr>
      <w:r>
        <w:rPr>
          <w:rFonts w:ascii="Arial;sans-serif" w:hAnsi="Arial;sans-serif"/>
          <w:b/>
          <w:i/>
          <w:color w:val="000000"/>
          <w:sz w:val="18"/>
        </w:rPr>
        <w:t>Net cash from operating activities</w:t>
      </w:r>
    </w:p>
    <w:p>
      <w:pPr>
        <w:pStyle w:val="TextBody"/>
        <w:bidi w:val="0"/>
        <w:spacing w:before="0" w:after="0"/>
        <w:jc w:val="both"/>
        <w:rPr/>
      </w:pPr>
      <w:r>
        <w:rPr/>
      </w:r>
    </w:p>
    <w:p>
      <w:pPr>
        <w:pStyle w:val="TextBody"/>
        <w:bidi w:val="0"/>
        <w:spacing w:lineRule="auto" w:line="264" w:before="0" w:after="0"/>
        <w:ind w:left="0" w:right="0" w:firstLine="720"/>
        <w:jc w:val="both"/>
        <w:rPr>
          <w:rFonts w:ascii="Arial;sans-serif" w:hAnsi="Arial;sans-serif"/>
          <w:b w:val="false"/>
          <w:color w:val="000000"/>
          <w:sz w:val="18"/>
        </w:rPr>
      </w:pPr>
      <w:r>
        <w:rPr>
          <w:rFonts w:ascii="Arial;sans-serif" w:hAnsi="Arial;sans-serif"/>
          <w:b w:val="false"/>
          <w:color w:val="000000"/>
          <w:sz w:val="18"/>
        </w:rPr>
        <w:t>Net cash provided by operating activities increased by $33.9 million to $448.3 million for the six months ended June 30, 2026 compared to net cash provided by operating activities of $414.4 million for the six months ended June 30, 2025. The increase in net cash provided by operating activities of $33.9 million is primarily due to a change of mix in revenue, pricing pressures and underlying cost increases.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change in working capital is primarily attributable to an increase in unbilled revenue related cash inflows of $173.5 million (as unbilled revenue balances decreased during the six months ended June 30, 2026 compared to an increase during the six months ended June 30, 2025), an increase in unearned revenue related cash inflows of $81.7 million (as unearned revenue balances increased to a greater extent during the six months ended June 30, 2026 compared to the six months ended June 30, 2025) offset by a decrease in accounts receivable related cash inflows of $61.9 million (as accounts receivable balances (excluding the impact of the Disposal of Symphony Health Solutions Corporation) increased during the six months ended June 30, 2026 compared to a decrease during the six months ended June 30, 2025), and an increase in other net assets related cash inflows of $43.2 million. </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Arial;sans-serif" w:hAnsi="Arial;sans-serif"/>
          <w:b w:val="false"/>
          <w:color w:val="000000"/>
          <w:sz w:val="18"/>
        </w:rPr>
      </w:pPr>
      <w:r>
        <w:rPr>
          <w:rFonts w:ascii="Arial;sans-serif" w:hAnsi="Arial;sans-serif"/>
          <w:b w:val="false"/>
          <w:color w:val="000000"/>
          <w:sz w:val="18"/>
        </w:rPr>
        <w:t>Cash generated from working capital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Further, credit terms negotiated between the Company and its customers, and movement in exchange rates also impact cash inflows.</w:t>
      </w:r>
    </w:p>
    <w:p>
      <w:pPr>
        <w:pStyle w:val="TextBody"/>
        <w:bidi w:val="0"/>
        <w:spacing w:before="0" w:after="0"/>
        <w:jc w:val="both"/>
        <w:rPr/>
      </w:pPr>
      <w:r>
        <w:rPr/>
      </w:r>
    </w:p>
    <w:p>
      <w:pPr>
        <w:pStyle w:val="TextBody"/>
        <w:bidi w:val="0"/>
        <w:spacing w:lineRule="auto" w:line="264" w:before="0" w:after="0"/>
        <w:jc w:val="both"/>
        <w:rPr>
          <w:rFonts w:ascii="Arial;sans-serif" w:hAnsi="Arial;sans-serif"/>
          <w:b/>
          <w:i/>
          <w:color w:val="000000"/>
          <w:sz w:val="18"/>
        </w:rPr>
      </w:pPr>
      <w:r>
        <w:rPr>
          <w:rFonts w:ascii="Arial;sans-serif" w:hAnsi="Arial;sans-serif"/>
          <w:b/>
          <w:i/>
          <w:color w:val="000000"/>
          <w:sz w:val="18"/>
        </w:rPr>
        <w:t>Net cash used in investing activities</w:t>
      </w:r>
    </w:p>
    <w:p>
      <w:pPr>
        <w:pStyle w:val="TextBody"/>
        <w:bidi w:val="0"/>
        <w:spacing w:before="0" w:after="0"/>
        <w:jc w:val="both"/>
        <w:rPr/>
      </w:pPr>
      <w:r>
        <w:rPr/>
      </w:r>
    </w:p>
    <w:p>
      <w:pPr>
        <w:pStyle w:val="TextBody"/>
        <w:bidi w:val="0"/>
        <w:spacing w:lineRule="auto" w:line="264" w:before="0" w:after="0"/>
        <w:ind w:left="0" w:right="0" w:firstLine="720"/>
        <w:jc w:val="both"/>
        <w:rPr>
          <w:rFonts w:ascii="Arial;sans-serif" w:hAnsi="Arial;sans-serif"/>
          <w:b w:val="false"/>
          <w:color w:val="000000"/>
          <w:sz w:val="18"/>
        </w:rPr>
      </w:pPr>
      <w:r>
        <w:rPr>
          <w:rFonts w:ascii="Arial;sans-serif" w:hAnsi="Arial;sans-serif"/>
          <w:b w:val="false"/>
          <w:color w:val="000000"/>
          <w:sz w:val="18"/>
        </w:rPr>
        <w:t>Net cash used in investing activities was $147.8 million for the six months ended June 30, 2026 compared to net cash used in investing activities of $75.5 million for the six months ended June 30, 2025. Net cash used in investing activities during the six months ended June 30, 2026 was primarily related to cash outflows of $73.2 million for capital expenditures made mainly relating to investment in facilities and IT infrastructure, $19.1 million in relation to investments in equity and a cash outflow of $55.5 million related to the disposal of Symphony Health Solutions Corporation. Net cash used in investing activities during the six months ended June 30, 2025 was primarily related to cash outflows of $61.2 million for capital expenditures made mainly relating to investment in facilities and IT infrastructure and $11.8 million in relation to investments in equity.</w:t>
      </w:r>
    </w:p>
    <w:p>
      <w:pPr>
        <w:pStyle w:val="TextBody"/>
        <w:bidi w:val="0"/>
        <w:spacing w:before="0" w:after="0"/>
        <w:jc w:val="both"/>
        <w:rPr/>
      </w:pPr>
      <w:r>
        <w:rPr/>
      </w:r>
    </w:p>
    <w:p>
      <w:pPr>
        <w:pStyle w:val="TextBody"/>
        <w:bidi w:val="0"/>
        <w:spacing w:lineRule="auto" w:line="264" w:before="0" w:after="0"/>
        <w:jc w:val="both"/>
        <w:rPr>
          <w:rFonts w:ascii="Arial;sans-serif" w:hAnsi="Arial;sans-serif"/>
          <w:b/>
          <w:i/>
          <w:color w:val="000000"/>
          <w:sz w:val="18"/>
        </w:rPr>
      </w:pPr>
      <w:r>
        <w:rPr>
          <w:rFonts w:ascii="Arial;sans-serif" w:hAnsi="Arial;sans-serif"/>
          <w:b/>
          <w:i/>
          <w:color w:val="000000"/>
          <w:sz w:val="18"/>
        </w:rPr>
        <w:t>Net cash used in financing activities</w:t>
      </w:r>
    </w:p>
    <w:p>
      <w:pPr>
        <w:pStyle w:val="TextBody"/>
        <w:bidi w:val="0"/>
        <w:spacing w:before="0" w:after="0"/>
        <w:jc w:val="both"/>
        <w:rPr/>
      </w:pPr>
      <w:r>
        <w:rPr/>
      </w:r>
    </w:p>
    <w:p>
      <w:pPr>
        <w:pStyle w:val="TextBody"/>
        <w:bidi w:val="0"/>
        <w:spacing w:lineRule="auto" w:line="264" w:before="0" w:after="0"/>
        <w:ind w:left="0" w:right="0" w:firstLine="720"/>
        <w:jc w:val="both"/>
        <w:rPr/>
      </w:pPr>
      <w:r>
        <w:rPr>
          <w:rFonts w:ascii="Arial;sans-serif" w:hAnsi="Arial;sans-serif"/>
          <w:b w:val="false"/>
          <w:color w:val="000000"/>
          <w:sz w:val="18"/>
        </w:rPr>
        <w:t>Net cash used in financing activities during the six months ended June 30, 2026 amounted to $14.5 million compared to net cash used in financing activities of $508.7 million for the six months ended June 30, 2025. During the six months ended June 30, 2026, the Company made a net repayment of $14.9 million on external financing (See the C</w:t>
      </w:r>
      <w:r>
        <w:rPr>
          <w:rFonts w:ascii="Arial;sans-serif" w:hAnsi="Arial;sans-serif"/>
          <w:b w:val="false"/>
          <w:i/>
          <w:color w:val="000000"/>
          <w:sz w:val="18"/>
        </w:rPr>
        <w:t>ondensed Consolidated Statements of Cash Flows</w:t>
      </w:r>
      <w:r>
        <w:rPr>
          <w:color w:val="000000"/>
        </w:rPr>
        <w:t xml:space="preserve"> </w:t>
      </w:r>
      <w:r>
        <w:rPr>
          <w:rFonts w:ascii="Arial;sans-serif" w:hAnsi="Arial;sans-serif"/>
          <w:b w:val="false"/>
          <w:color w:val="000000"/>
          <w:sz w:val="18"/>
        </w:rPr>
        <w:t xml:space="preserve">for further details). This outflow was offset by $2.7 million received by the Company from the exercise of equity compensation. </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pPr>
      <w:r>
        <w:rPr>
          <w:rFonts w:ascii="Arial;sans-serif" w:hAnsi="Arial;sans-serif"/>
          <w:b w:val="false"/>
          <w:color w:val="000000"/>
          <w:sz w:val="18"/>
        </w:rPr>
        <w:t>During the six months ended June 30, 2025, the Company made a net repayment of $14.9 million on external financing (See the C</w:t>
      </w:r>
      <w:r>
        <w:rPr>
          <w:rFonts w:ascii="Arial;sans-serif" w:hAnsi="Arial;sans-serif"/>
          <w:b w:val="false"/>
          <w:i/>
          <w:color w:val="000000"/>
          <w:sz w:val="18"/>
        </w:rPr>
        <w:t>ondensed Consolidated Statements of Cash Flows</w:t>
      </w:r>
      <w:r>
        <w:rPr>
          <w:color w:val="000000"/>
        </w:rPr>
        <w:t xml:space="preserve"> </w:t>
      </w:r>
      <w:r>
        <w:rPr>
          <w:rFonts w:ascii="Arial;sans-serif" w:hAnsi="Arial;sans-serif"/>
          <w:b w:val="false"/>
          <w:color w:val="000000"/>
          <w:sz w:val="18"/>
        </w:rPr>
        <w:t xml:space="preserve">for further details). Further, the Company repurchased 3,077,718 ordinary shares for a total consideration of $500.0 million. These outflows were offset by $6.5 million received by the Company from the exercise of equity compensation. </w:t>
      </w:r>
    </w:p>
    <w:p>
      <w:pPr>
        <w:pStyle w:val="TextBody"/>
        <w:bidi w:val="0"/>
        <w:spacing w:before="0" w:after="0"/>
        <w:jc w:val="both"/>
        <w:rPr/>
      </w:pPr>
      <w:r>
        <w:rPr/>
      </w:r>
    </w:p>
    <w:p>
      <w:pPr>
        <w:pStyle w:val="TextBody"/>
        <w:bidi w:val="0"/>
        <w:spacing w:lineRule="auto" w:line="264" w:before="0" w:after="0"/>
        <w:jc w:val="both"/>
        <w:rPr>
          <w:rFonts w:ascii="Arial;sans-serif" w:hAnsi="Arial;sans-serif"/>
          <w:b/>
          <w:i/>
          <w:color w:val="000000"/>
          <w:sz w:val="18"/>
        </w:rPr>
      </w:pPr>
      <w:r>
        <w:rPr>
          <w:rFonts w:ascii="Arial;sans-serif" w:hAnsi="Arial;sans-serif"/>
          <w:b/>
          <w:i/>
          <w:color w:val="000000"/>
          <w:sz w:val="18"/>
        </w:rPr>
        <w:t>Net cash inflow</w:t>
      </w:r>
    </w:p>
    <w:p>
      <w:pPr>
        <w:pStyle w:val="TextBody"/>
        <w:bidi w:val="0"/>
        <w:spacing w:before="0" w:after="0"/>
        <w:jc w:val="both"/>
        <w:rPr/>
      </w:pPr>
      <w:r>
        <w:rPr/>
      </w:r>
    </w:p>
    <w:p>
      <w:pPr>
        <w:pStyle w:val="TextBody"/>
        <w:bidi w:val="0"/>
        <w:spacing w:lineRule="auto" w:line="264"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a result of these cash flows, cash and cash equivalents increased by $281.1 million for the six months ended June 30, 2026 compared to a decrease of $148.4 million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Summarized financial information of issuers and guarantors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the offering of the New Notes by one of our subsidiaries, ICON Investments Six Designated Activity Company (the "Issuer"), disclosures required by Rule 13-01 (a)(1) through (3) of Regulation S-X are provided below.</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New Notes are guaranteed on a senior secured basis by ICON and its existing and future wholly owned subsidiaries organized in the United States, Ireland and the Grand Duchy of Luxembourg (“Luxembourg”), in each case that guarantee the obligations under our Senior Secured Credit Facilities and the 2026 Notes (the “Subsidiary Guarantors” and, collectively with ICON, the “Guarantors”).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New Notes are the senior secured obligations of the Issuer and the Guarantors and the New Notes rank equally in right of payment to all of the Issuer’s and Guarantors’ existing and future senior debt (including the Senior Secured Credit Facilities and the 2026 Notes)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(the “Collateral”) rank equally in priority with the liens on the collateral securing borrowings and guarantees under the Senior Secured Credit Facilities, the 2026 Notes and any other future pari passu first lien indebtedness. The New Notes and the guarantees are effectively senior to any of the Issuer’s and the Guarantors’ existing and future unsecured indebtedness to the extent of the value of the assets securing the New Notes and the guarantees. The New Notes and the guarantees are structurally subordinated to all existing and future indebtedness and other liabilities of ICON’s subsidiaries that will not guarantee the New Notes, which includes all of ICON’s subsidiaries organized outside the United States, Ireland and Luxembourg and any other subsidiaries that do not guarantee the Senior Secured Credit Facilities or the 2026 Notes.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New Notes are, jointly and severally, unconditionally, guaranteed on a senior secured basis by ICON and its existing and future wholly owned subsidiaries organized in a covered jurisdiction that guarantee the obligations under the Senior Secured Credit Facilities and the 2026 Notes. The obligations of each Guarantor under its note guarantee are limited as necessary to prevent the relevant note guarantee from constituting a fraudulent conveyance, fraudulent transfer or unlawful financial assistance under applicable law, or otherwise to reflect limitations under applicable law. By virtue of these limitations, the obligations of a Guarantor under its note guarantee could be significantly less than amounts payable with respect to the notes of any series or a Guarantor may have effectively no obligations under its respective note guarantee. ICON may, at any time, cause a subsidiary to become a Guarantor by executing and delivering a supplemental indenture providing for the Guarantee of payment of the applicable series of notes by such subsidiary on the basis provided in the applicable indenture.</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Any Guarantor will be automatically and unconditionally released from all obligations under its note guarantee, and such note guarantee shall thereupon terminate and be discharged and of no further force and effect: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concurrently with any sale, exchange, disposition or transfer (by merger or otherwise) described in the preliminary prospectus supplement for the offering of New Notes, of any capital stock, or all or substantially all assets of such Guarantor following which such Guarantor is no longer a subsidiary of ICON or ceases to be organized in a covered jurisdiction;</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as to all Guarantors (other than ICON), at the time of any collateral release event;</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 xml:space="preserve">upon legal defeasance, covenant defeasance or satisfaction and discharge of the indenture governing the New Notes;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upon the merger, amalgamation or consolidation of any Guarantor into ICON, the Issuer or another Guarantor or upon the liquidation, dissolution or winding up of such Guarantor;</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the release of such Guarantor from its guarantee under the Senior Secured Credit Facilities (except in the case of a release from the repayment in full of the Senior Secured Credit Facilities); or</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upon such Guarantor becoming an excluded subsidiary.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Summarized Combined Financial Information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Summarized financial information (the "SFI"), as defined under Rule 1-02 (bb) of Regulation S-X, is provided below for the Issuer and Guarantor entities, collectively, the "Obligor Group" as of June 30, 2026 and for the six months ended June 30, 2026. The SFI is presented on a combined basis with intercompany transactions and balances among the entities included in the Obligor Group eliminated. The Obligor Group SFI excludes investments in non-guarantor entities. </w:t>
      </w:r>
    </w:p>
    <w:p>
      <w:pPr>
        <w:pStyle w:val="TextBody"/>
        <w:bidi w:val="0"/>
        <w:spacing w:before="0" w:after="0"/>
        <w:ind w:left="0" w:right="0" w:firstLine="720"/>
        <w:jc w:val="both"/>
        <w:rPr/>
      </w:pPr>
      <w:r>
        <w:rPr/>
      </w:r>
    </w:p>
    <w:tbl>
      <w:tblPr>
        <w:tblW w:w="4248" w:type="dxa"/>
        <w:jc w:val="left"/>
        <w:tblInd w:w="0" w:type="dxa"/>
        <w:tblLayout w:type="fixed"/>
        <w:tblCellMar>
          <w:top w:w="28" w:type="dxa"/>
          <w:left w:w="28" w:type="dxa"/>
          <w:bottom w:w="28" w:type="dxa"/>
          <w:right w:w="28" w:type="dxa"/>
        </w:tblCellMar>
      </w:tblPr>
      <w:tblGrid>
        <w:gridCol w:w="889"/>
        <w:gridCol w:w="781"/>
        <w:gridCol w:w="789"/>
        <w:gridCol w:w="266"/>
        <w:gridCol w:w="1232"/>
        <w:gridCol w:w="137"/>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(Unaudited)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Six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3,705,551 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costs and expenses (a)</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3,501,531 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from operations (b)</w:t>
            </w:r>
          </w:p>
        </w:tc>
        <w:tc>
          <w:tcPr>
            <w:tcW w:w="1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204,020 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82,454 </w:t>
            </w:r>
          </w:p>
        </w:tc>
        <w:tc>
          <w:tcPr>
            <w:tcW w:w="1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Includes amortization of intangible assets of $97.5 million and Loss on disposal of subsidiary undertaking of $32.9 million for the six months ended June 30, 2026.</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 Includes net intercompany interest expense of $12.5 million for the six months ended June 30, 2026.</w:t>
      </w:r>
    </w:p>
    <w:p>
      <w:pPr>
        <w:pStyle w:val="TextBody"/>
        <w:bidi w:val="0"/>
        <w:spacing w:before="0" w:after="0"/>
        <w:jc w:val="both"/>
        <w:rPr/>
      </w:pPr>
      <w:r>
        <w:rPr/>
      </w:r>
    </w:p>
    <w:tbl>
      <w:tblPr>
        <w:tblW w:w="3789" w:type="dxa"/>
        <w:jc w:val="left"/>
        <w:tblInd w:w="0" w:type="dxa"/>
        <w:tblLayout w:type="fixed"/>
        <w:tblCellMar>
          <w:top w:w="28" w:type="dxa"/>
          <w:left w:w="28" w:type="dxa"/>
          <w:bottom w:w="28" w:type="dxa"/>
          <w:right w:w="28" w:type="dxa"/>
        </w:tblCellMar>
      </w:tblPr>
      <w:tblGrid>
        <w:gridCol w:w="803"/>
        <w:gridCol w:w="705"/>
        <w:gridCol w:w="711"/>
        <w:gridCol w:w="211"/>
        <w:gridCol w:w="1096"/>
        <w:gridCol w:w="109"/>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(Unaudited)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b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 (c)</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Intercompany receivables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64,477,026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Intercompany payables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9,396,823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(c) Non-current assets include each Guarantor's investment in obligor subsidiaries, on a combined aggregated basis.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the context of security for the New Notes, the combined financial information of entities whose securities are pledged as collateral (the "Pledgor Group") was determined to be materially consistent with the consolidated financial information of the ICON group (ICON and all of its subsidiaries) for the periods presented above, and as such, summarized combined financial information has not been presented for the Pledgor Group. </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18"/>
        </w:rPr>
        <w:t>Legal proceedings</w:t>
      </w:r>
      <w:r>
        <w:rPr>
          <w:color w:val="EE2724"/>
        </w:rPr>
        <w:t xml:space="preserve"> </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Other than as described below, 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Arial;sans-serif" w:hAnsi="Arial;sans-serif"/>
          <w:b w:val="false"/>
          <w:color w:val="000000"/>
          <w:sz w:val="18"/>
        </w:rPr>
        <w:t>The Company, its former Chief Executive Officer, and its former Chief Financial Officer were named as defendants in two</w:t>
      </w:r>
      <w:r>
        <w:rPr>
          <w:color w:val="000000"/>
        </w:rPr>
        <w:t xml:space="preserve"> </w:t>
      </w:r>
      <w:r>
        <w:rPr>
          <w:rFonts w:ascii="Arial;sans-serif" w:hAnsi="Arial;sans-serif"/>
          <w:b w:val="false"/>
          <w:color w:val="000000"/>
          <w:sz w:val="18"/>
        </w:rPr>
        <w:t xml:space="preserve">class action lawsuits involving similar claims, filed in the United States District Court for the Eastern District of New York on February 10, 2025 (Shing v. ICON plc, et al.) and April 2, 2025 (Police and Fire Retirement System of the City of Detroit v. ICON plc, et al.), respectively, alleging that defendants made misleading statements regarding the Company’s financial performance and future business prospects in violation of Sections 10(b) and 20(a) of the Securities Exchange Act of 1934. The two cases have been consolidated and are proceeding under the caption In re ICON plc Securities Litigation, No. 2:25-cv-00763 (the "Putative Class Action"). Lead plaintiffs and lead counsel for the putative class were appointed on June 10, 2025. On September 12, 2025, the lead plaintiffs filed an amended complaint that names the Company’s current Chief Executive Officer in addition to the original defendants. </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lead plaintiffs filed their amended complaint on June 26, 2026 (the “Second Amended Complaint”). The Second Amended Complaint adds two new named plaintiffs (Macomb County Retiree Health Care Fund and The Trustees of the Plumbers Local Union No. 690 Pension Fund), as well as the Company's current Chief Financial Officer and a former employee as additional defendants. The Second Amended Complaint asserts additional alleged misstatements regarding the company’s financial performance, as well as a “scheme liability” claim under Section 10(b). ICON and certain named defendants have until September 1, 2026 to move to dismiss the Second Amended Complaint.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Given the preliminary stage of the litigation, we are unable at this time to form a view as to whether an adverse outcome is either probable or remote or to estimate the amount or range of potential loss in the event of an adverse outcome.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Forward-Looking Statements </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contracted revenue; the repayment of indebtedness;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filed on May 27, 2026 for a discussion of some of the principal risks that could adversely affect our business, operations and financial results. The Company’s forward-looking statements speak only as of the date of this report or as of the date they are made, and the Company undertakes no obligation to update its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val="false"/>
          <w:color w:val="000000"/>
          <w:sz w:val="18"/>
        </w:rPr>
        <w:t>Exhibits</w:t>
      </w:r>
      <w:r>
        <w:rPr>
          <w:color w:val="000000"/>
        </w:rPr>
        <w:t xml:space="preserve"> </w:t>
      </w:r>
      <w:r>
        <w:rPr>
          <w:rFonts w:ascii="Arial;sans-serif" w:hAnsi="Arial;sans-serif"/>
          <w:b/>
          <w:color w:val="000000"/>
          <w:sz w:val="18"/>
        </w:rPr>
        <w:t>of ICON plc and subsidiaries</w:t>
      </w:r>
    </w:p>
    <w:tbl>
      <w:tblPr>
        <w:tblW w:w="10205" w:type="dxa"/>
        <w:jc w:val="left"/>
        <w:tblInd w:w="0" w:type="dxa"/>
        <w:tblLayout w:type="fixed"/>
        <w:tblCellMar>
          <w:top w:w="28" w:type="dxa"/>
          <w:left w:w="28" w:type="dxa"/>
          <w:bottom w:w="28" w:type="dxa"/>
          <w:right w:w="28" w:type="dxa"/>
        </w:tblCellMar>
      </w:tblPr>
      <w:tblGrid>
        <w:gridCol w:w="413"/>
        <w:gridCol w:w="361"/>
        <w:gridCol w:w="366"/>
        <w:gridCol w:w="109"/>
        <w:gridCol w:w="109"/>
        <w:gridCol w:w="109"/>
        <w:gridCol w:w="2557"/>
        <w:gridCol w:w="2537"/>
        <w:gridCol w:w="3644"/>
      </w:tblGrid>
      <w:tr>
        <w:trPr/>
        <w:tc>
          <w:tcPr>
            <w:tcW w:w="4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w:t>
              <w:br/>
              <w:t>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Title</w:t>
            </w:r>
          </w:p>
        </w:tc>
      </w:tr>
      <w:tr>
        <w:trPr/>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on-ex171guarantorschedul.htm">
              <w:r>
                <w:rPr>
                  <w:rStyle w:val="InternetLink"/>
                  <w:rFonts w:ascii="Arial;sans-serif" w:hAnsi="Arial;sans-serif"/>
                  <w:b w:val="false"/>
                  <w:color w:val="0000FF"/>
                  <w:sz w:val="16"/>
                  <w:u w:val="single"/>
                </w:rPr>
                <w:t>17.1*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List of Subsidiary Guarantors and Issuer of Guaranteed Debt Securities and Affiliates Whose Securities Collateralize Securities of ICON Investments Six Designated Activity Company as at July 30, 2026.</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Interactive Data Files (Inline XBRL – Related Documents).</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(embedded within the Inline XBRL document and included in Exhibit 101).</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4886" w:type="dxa"/>
        <w:jc w:val="left"/>
        <w:tblInd w:w="0" w:type="dxa"/>
        <w:tblLayout w:type="fixed"/>
        <w:tblCellMar>
          <w:top w:w="28" w:type="dxa"/>
          <w:left w:w="28" w:type="dxa"/>
          <w:bottom w:w="28" w:type="dxa"/>
          <w:right w:w="28" w:type="dxa"/>
        </w:tblCellMar>
      </w:tblPr>
      <w:tblGrid>
        <w:gridCol w:w="201"/>
        <w:gridCol w:w="176"/>
        <w:gridCol w:w="178"/>
        <w:gridCol w:w="399"/>
        <w:gridCol w:w="399"/>
        <w:gridCol w:w="402"/>
        <w:gridCol w:w="109"/>
        <w:gridCol w:w="109"/>
        <w:gridCol w:w="109"/>
        <w:gridCol w:w="284"/>
        <w:gridCol w:w="284"/>
        <w:gridCol w:w="286"/>
        <w:gridCol w:w="569"/>
        <w:gridCol w:w="569"/>
        <w:gridCol w:w="81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ICON plc</w:t>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Nigel Clerkin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19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Nigel Clerkin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17.1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SUBSIDIARY GUARANTORS AND ISSUER OF GUARANTEED SECURITIES AND AFFILIATES WHOSE SECURITIES COLLATERALIZE SECURITIES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INVESTMENTS SIX DESIGNATED ACTIVITY COMPANY</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The following subsidiaries of ICON plc, (the “Company”) are guarantors of ICON Investments Six Designated Activity Company’s (the “Issuer”) 5.809% Senior Secured Notes due 2027, 5.849% Senior Secured Notes due 2029 and 6.000% Senior Secured Notes due 2034</w:t>
      </w:r>
      <w:r>
        <w:rPr>
          <w:rFonts w:ascii="Times New Roman;serif" w:hAnsi="Times New Roman;serif"/>
          <w:b w:val="false"/>
          <w:color w:val="000000"/>
          <w:sz w:val="22"/>
        </w:rPr>
        <w:t xml:space="preserve">: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38"/>
        <w:gridCol w:w="1330"/>
        <w:gridCol w:w="1334"/>
        <w:gridCol w:w="109"/>
        <w:gridCol w:w="109"/>
        <w:gridCol w:w="109"/>
        <w:gridCol w:w="1662"/>
        <w:gridCol w:w="1662"/>
        <w:gridCol w:w="2352"/>
      </w:tblGrid>
      <w:tr>
        <w:trPr/>
        <w:tc>
          <w:tcPr>
            <w:tcW w:w="153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r>
      <w:tr>
        <w:trPr/>
        <w:tc>
          <w:tcPr>
            <w:tcW w:w="42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Global Treasury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Ireland </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ICON Holdings Unlimited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Property Development (Ireland)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Operational Holdings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Operational Financing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Global Holdings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Holdings (Ireland)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Luxembourg S.à 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Luxembourg</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ICON Early Phase Services,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Beacon Bioscience,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Laboratory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MolecularMD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ICON US Holdings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PriceSpective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DOCS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Accellacare US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Resource Network,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Health Sciences,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Pharmaceutical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76" w:type="dxa"/>
            <w:gridSpan w:val="3"/>
            <w:tcBorders/>
            <w:vAlign w:val="center"/>
          </w:tcPr>
          <w:p>
            <w:pPr>
              <w:pStyle w:val="TableContents"/>
              <w:bidi w:val="0"/>
              <w:spacing w:before="0" w:after="283"/>
              <w:jc w:val="left"/>
              <w:rPr>
                <w:sz w:val="4"/>
                <w:szCs w:val="4"/>
              </w:rPr>
            </w:pPr>
            <w:r>
              <w:rPr>
                <w:sz w:val="4"/>
                <w:szCs w:val="4"/>
              </w:rPr>
            </w:r>
          </w:p>
        </w:tc>
      </w:tr>
      <w:tr>
        <w:trPr/>
        <w:tc>
          <w:tcPr>
            <w:tcW w:w="4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76" w:type="dxa"/>
            <w:gridSpan w:val="3"/>
            <w:tcBorders/>
            <w:vAlign w:val="center"/>
          </w:tcPr>
          <w:p>
            <w:pPr>
              <w:pStyle w:val="TableContents"/>
              <w:bidi w:val="0"/>
              <w:spacing w:before="0" w:after="283"/>
              <w:jc w:val="left"/>
              <w:rPr>
                <w:sz w:val="4"/>
                <w:szCs w:val="4"/>
              </w:rPr>
            </w:pPr>
            <w:r>
              <w:rPr>
                <w:sz w:val="4"/>
                <w:szCs w:val="4"/>
              </w:rPr>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RPS Global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RPS Parent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 RPS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issued and outstanding equity securities of the following subsidiaries of the Company, subject to the limitations set forth below, collateralize the Issuer’s 5.809% Senior Secured Notes due 2027, 5.849% Senior Secured Notes due 2029 and 6.000% Senior Secured Notes due 2034: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6"/>
        <w:gridCol w:w="1474"/>
        <w:gridCol w:w="1477"/>
        <w:gridCol w:w="109"/>
        <w:gridCol w:w="109"/>
        <w:gridCol w:w="109"/>
        <w:gridCol w:w="1225"/>
        <w:gridCol w:w="1071"/>
        <w:gridCol w:w="1082"/>
        <w:gridCol w:w="109"/>
        <w:gridCol w:w="109"/>
        <w:gridCol w:w="109"/>
        <w:gridCol w:w="451"/>
        <w:gridCol w:w="451"/>
        <w:gridCol w:w="644"/>
      </w:tblGrid>
      <w:tr>
        <w:trPr/>
        <w:tc>
          <w:tcPr>
            <w:tcW w:w="167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PLEDGED</w:t>
            </w:r>
          </w:p>
        </w:tc>
      </w:tr>
      <w:tr>
        <w:trPr/>
        <w:tc>
          <w:tcPr>
            <w:tcW w:w="4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Investments Six Designated Activity Company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plc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Limited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Operational Holdings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Holdings Unlimited Company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Operational Financing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Operational Holdings Unlimited Company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ICON Operational Financing Unlimited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ICON Operational Financing Unlimited Company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ICON Clinical Global Holdings Unlimited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Global Holdings Unlimited Company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plc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Property Holdings (Ireland) Limited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plc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(LR) Limited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Holdings Clinical Research International Limited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Holdings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Limited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Holdings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Global Treasury Unlimited Company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Global Treasury Unlimited Company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plc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Luxembourg S.à r.l. (Luxembourg)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Early Phase Services, LLC (f/k/a Healthcare Discoveries, LLC)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Beacon Bioscience, Inc.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US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Laboratory Services, Inc. (f/k/a ICON Central Laboratories, Inc.)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US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MolecularMD Corp.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Laboratory Services, Inc. (f/k/a ICON Central Laboratories,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ICON US Holdings Inc.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Operational Financing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PriceSpective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CRN Holdings,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ICON Clinical Investments,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Luxembourg S.à 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Clinical Resource Network, LLC (d/b/a Symphony Clinical Research)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DOCS Global, Inc. (New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US Inc.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RPS Bermuda, Ltd. (Bermuda)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Pharmaceutical Services,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de Recherche Pharmaceutique Srl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Pharmaceutical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Health Sciences Colombia Ltda. (Colombia)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74"/>
        <w:gridCol w:w="1910"/>
        <w:gridCol w:w="1915"/>
        <w:gridCol w:w="109"/>
        <w:gridCol w:w="109"/>
        <w:gridCol w:w="109"/>
        <w:gridCol w:w="984"/>
        <w:gridCol w:w="984"/>
        <w:gridCol w:w="987"/>
        <w:gridCol w:w="109"/>
        <w:gridCol w:w="109"/>
        <w:gridCol w:w="109"/>
        <w:gridCol w:w="178"/>
        <w:gridCol w:w="178"/>
        <w:gridCol w:w="241"/>
      </w:tblGrid>
      <w:tr>
        <w:trPr/>
        <w:tc>
          <w:tcPr>
            <w:tcW w:w="2174"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Hungary Research and Development Ltd. (Hungary)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Italy S.r.l. (Italy)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Mexico S. de R.L. de C. V. (Mexico)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Mexico S. de R.L. de C. V. (Mexico)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Pharmaceutical Services Netherlands B.V. (Netherlands)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Pharmaceutical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RPS Perú S.A.C. (Peru)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Pharmaceutical Services Puerto Rico, Inc. (Puerto Rico)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Pharmaceutical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Romania S.R.L. (Romania)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España, S.A.U. (Spain)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International Sweden AB (Sweden)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RPS Research (Thailand) Co., Ltd. (Thailand)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Pharmaceutical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Sterling Synergy Systems Limited (United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ClinStar LLC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Nextrials, Inc.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Innovations, Inc.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CRI NewCo, Inc.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Medical Technical Consultants,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Parallel 6, Inc.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Early Development Research, Inc. (f/k/a Pharma Bio-Research USA, Inc.)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Health Sciences, Inc.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US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Holdings, Inc.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Health Sciences,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Receivables,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Pharmaceutical Services, Inc.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 RPS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Pharmaceutical Services,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Pharmaceutical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Sunset Hills,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 (Virginia)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PRA International,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International,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 RPS Holdings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RPS Parent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RPS Global Holdings,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RPS Parent Holding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RPS Global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Government and Public Health Solutions, Inc. (Virginia)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US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of Bristol, LLC (Tennessee)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of Charleston, LLC (South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of Charlotte, LLC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of Christie Clinic, LLC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59"/>
        <w:gridCol w:w="1671"/>
        <w:gridCol w:w="1681"/>
        <w:gridCol w:w="109"/>
        <w:gridCol w:w="109"/>
        <w:gridCol w:w="109"/>
        <w:gridCol w:w="1241"/>
        <w:gridCol w:w="1194"/>
        <w:gridCol w:w="1199"/>
        <w:gridCol w:w="109"/>
        <w:gridCol w:w="109"/>
        <w:gridCol w:w="109"/>
        <w:gridCol w:w="176"/>
        <w:gridCol w:w="176"/>
        <w:gridCol w:w="254"/>
      </w:tblGrid>
      <w:tr>
        <w:trPr/>
        <w:tc>
          <w:tcPr>
            <w:tcW w:w="195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of Hickory, LLC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of Raleigh, LLC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of Rocky Mount, LLC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of Salisbury, LLC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of Wilmington, LLC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of Winston-Salem, LLC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Accellacare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Averion Europe GmbH (Germany)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CHC Group,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PubsHub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Pharmaceutical Strategies Group,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MMMM Group,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Tennessee, LLC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ADDPLAN, Inc.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ICON Clinical Research LP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ICON Clinical Research LP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Tennessee,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CRN North America, LLC (d/b/a Symphony Clinical Staffing)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Symphony Clinical Research Sp. Z O O. (Poland)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Holdings (U.K.) Limited (United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Pharmaceutical Research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Oncacare Limited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ICON Clinical Research Holdings (Ireland) Unlimited Company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Holdings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ICON Clinical Research Holdings (Ireland) Unlimited Company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DOCS International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ICON Clinical Research Holdings (Ireland) Unlimited Company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ICON Clinical Research Holdings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22582</Words>
  <Characters>122796</Characters>
  <CharactersWithSpaces>143776</CharactersWithSpaces>
  <Paragraphs>2893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