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ind w:left="4220"/>
        <w:spacing w:after="0"/>
        <w:rPr>
          <w:sz w:val="20"/>
          <w:szCs w:val="20"/>
          <w:color w:val="auto"/>
        </w:rPr>
      </w:pPr>
      <w:r>
        <w:rPr>
          <w:rFonts w:ascii="Courier New" w:cs="Courier New" w:eastAsia="Courier New" w:hAnsi="Courier New"/>
          <w:sz w:val="14"/>
          <w:szCs w:val="14"/>
          <w:color w:val="auto"/>
        </w:rPr>
        <w:t>FORM 20-F</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33" w:lineRule="exact"/>
        <w:rPr>
          <w:sz w:val="24"/>
          <w:szCs w:val="24"/>
          <w:color w:val="auto"/>
        </w:rPr>
      </w:pPr>
    </w:p>
    <w:p>
      <w:pPr>
        <w:ind w:left="1220" w:right="3679" w:hanging="695"/>
        <w:spacing w:after="0" w:line="336" w:lineRule="auto"/>
        <w:tabs>
          <w:tab w:leader="none" w:pos="70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PURSUANT TO SECTION 12(b) OR (g) OF THE SECURITIES EXCHANGE ACT OF 1934</w:t>
      </w:r>
    </w:p>
    <w:p>
      <w:pPr>
        <w:spacing w:after="0" w:line="27" w:lineRule="exact"/>
        <w:rPr>
          <w:sz w:val="24"/>
          <w:szCs w:val="24"/>
          <w:color w:val="auto"/>
        </w:rPr>
      </w:pPr>
    </w:p>
    <w:tbl>
      <w:tblPr>
        <w:tblLayout w:type="fixed"/>
        <w:tblInd w:w="520" w:type="dxa"/>
        <w:tblCellMar>
          <w:top w:w="0" w:type="dxa"/>
          <w:left w:w="0" w:type="dxa"/>
          <w:bottom w:w="0" w:type="dxa"/>
          <w:right w:w="0" w:type="dxa"/>
        </w:tblCellMar>
      </w:tblPr>
      <w:tr>
        <w:trPr>
          <w:trHeight w:val="166"/>
        </w:trPr>
        <w:tc>
          <w:tcPr>
            <w:tcW w:w="480" w:type="dxa"/>
            <w:vAlign w:val="bottom"/>
            <w:vMerge w:val="restart"/>
          </w:tcPr>
          <w:p>
            <w:pPr>
              <w:spacing w:after="0"/>
              <w:rPr>
                <w:sz w:val="20"/>
                <w:szCs w:val="20"/>
                <w:color w:val="auto"/>
              </w:rPr>
            </w:pPr>
            <w:r>
              <w:rPr>
                <w:rFonts w:ascii="Courier New" w:cs="Courier New" w:eastAsia="Courier New" w:hAnsi="Courier New"/>
                <w:sz w:val="14"/>
                <w:szCs w:val="14"/>
                <w:color w:val="auto"/>
              </w:rPr>
              <w:t>/X/</w:t>
            </w:r>
          </w:p>
        </w:tc>
        <w:tc>
          <w:tcPr>
            <w:tcW w:w="3660" w:type="dxa"/>
            <w:vAlign w:val="bottom"/>
          </w:tcPr>
          <w:p>
            <w:pPr>
              <w:ind w:left="3480"/>
              <w:spacing w:after="0"/>
              <w:rPr>
                <w:sz w:val="20"/>
                <w:szCs w:val="20"/>
                <w:color w:val="auto"/>
              </w:rPr>
            </w:pPr>
            <w:r>
              <w:rPr>
                <w:rFonts w:ascii="Courier New" w:cs="Courier New" w:eastAsia="Courier New" w:hAnsi="Courier New"/>
                <w:sz w:val="14"/>
                <w:szCs w:val="14"/>
                <w:color w:val="auto"/>
                <w:w w:val="94"/>
              </w:rPr>
              <w:t>OR</w:t>
            </w:r>
          </w:p>
        </w:tc>
        <w:tc>
          <w:tcPr>
            <w:tcW w:w="1980" w:type="dxa"/>
            <w:vAlign w:val="bottom"/>
            <w:vMerge w:val="restart"/>
          </w:tcPr>
          <w:p>
            <w:pPr>
              <w:spacing w:after="0"/>
              <w:rPr>
                <w:sz w:val="20"/>
                <w:szCs w:val="20"/>
                <w:color w:val="auto"/>
              </w:rPr>
            </w:pPr>
            <w:r>
              <w:rPr>
                <w:rFonts w:ascii="Courier New" w:cs="Courier New" w:eastAsia="Courier New" w:hAnsi="Courier New"/>
                <w:sz w:val="14"/>
                <w:szCs w:val="14"/>
                <w:color w:val="auto"/>
              </w:rPr>
              <w:t>15(d) OF THE SECURITIES</w:t>
            </w:r>
          </w:p>
        </w:tc>
        <w:tc>
          <w:tcPr>
            <w:tcW w:w="0" w:type="dxa"/>
            <w:vAlign w:val="bottom"/>
          </w:tcPr>
          <w:p>
            <w:pPr>
              <w:spacing w:after="0"/>
              <w:rPr>
                <w:sz w:val="1"/>
                <w:szCs w:val="1"/>
                <w:color w:val="auto"/>
              </w:rPr>
            </w:pPr>
          </w:p>
        </w:tc>
      </w:tr>
      <w:tr>
        <w:trPr>
          <w:trHeight w:val="166"/>
        </w:trPr>
        <w:tc>
          <w:tcPr>
            <w:tcW w:w="480" w:type="dxa"/>
            <w:vAlign w:val="bottom"/>
            <w:vMerge w:val="continue"/>
          </w:tcPr>
          <w:p>
            <w:pPr>
              <w:spacing w:after="0"/>
              <w:rPr>
                <w:sz w:val="14"/>
                <w:szCs w:val="14"/>
                <w:color w:val="auto"/>
              </w:rPr>
            </w:pPr>
          </w:p>
        </w:tc>
        <w:tc>
          <w:tcPr>
            <w:tcW w:w="3660" w:type="dxa"/>
            <w:vAlign w:val="bottom"/>
          </w:tcPr>
          <w:p>
            <w:pPr>
              <w:ind w:left="220"/>
              <w:spacing w:after="0"/>
              <w:rPr>
                <w:sz w:val="20"/>
                <w:szCs w:val="20"/>
                <w:color w:val="auto"/>
              </w:rPr>
            </w:pPr>
            <w:r>
              <w:rPr>
                <w:rFonts w:ascii="Courier New" w:cs="Courier New" w:eastAsia="Courier New" w:hAnsi="Courier New"/>
                <w:sz w:val="14"/>
                <w:szCs w:val="14"/>
                <w:color w:val="auto"/>
              </w:rPr>
              <w:t>ANNUAL REPORT PURSUANT TO SECTION 13 OR</w:t>
            </w: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0" w:type="dxa"/>
            <w:vAlign w:val="bottom"/>
          </w:tcPr>
          <w:p>
            <w:pPr>
              <w:spacing w:after="0"/>
              <w:rPr>
                <w:sz w:val="14"/>
                <w:szCs w:val="14"/>
                <w:color w:val="auto"/>
              </w:rPr>
            </w:pPr>
          </w:p>
        </w:tc>
        <w:tc>
          <w:tcPr>
            <w:tcW w:w="3660" w:type="dxa"/>
            <w:vAlign w:val="bottom"/>
          </w:tcPr>
          <w:p>
            <w:pPr>
              <w:ind w:left="220"/>
              <w:spacing w:after="0"/>
              <w:rPr>
                <w:sz w:val="20"/>
                <w:szCs w:val="20"/>
                <w:color w:val="auto"/>
              </w:rPr>
            </w:pPr>
            <w:r>
              <w:rPr>
                <w:rFonts w:ascii="Courier New" w:cs="Courier New" w:eastAsia="Courier New" w:hAnsi="Courier New"/>
                <w:sz w:val="14"/>
                <w:szCs w:val="14"/>
                <w:color w:val="auto"/>
              </w:rPr>
              <w:t>EXCHANGE ACT OF 1934</w:t>
            </w:r>
          </w:p>
        </w:tc>
        <w:tc>
          <w:tcPr>
            <w:tcW w:w="1980" w:type="dxa"/>
            <w:vAlign w:val="bottom"/>
            <w:vMerge w:val="restart"/>
          </w:tcPr>
          <w:p>
            <w:pPr>
              <w:spacing w:after="0"/>
              <w:rPr>
                <w:sz w:val="20"/>
                <w:szCs w:val="20"/>
                <w:color w:val="auto"/>
              </w:rPr>
            </w:pPr>
            <w:r>
              <w:rPr>
                <w:rFonts w:ascii="Courier New" w:cs="Courier New" w:eastAsia="Courier New" w:hAnsi="Courier New"/>
                <w:sz w:val="14"/>
                <w:szCs w:val="14"/>
                <w:color w:val="auto"/>
              </w:rPr>
              <w:t>ended: May 31, 2004</w:t>
            </w:r>
          </w:p>
        </w:tc>
        <w:tc>
          <w:tcPr>
            <w:tcW w:w="0" w:type="dxa"/>
            <w:vAlign w:val="bottom"/>
          </w:tcPr>
          <w:p>
            <w:pPr>
              <w:spacing w:after="0"/>
              <w:rPr>
                <w:sz w:val="1"/>
                <w:szCs w:val="1"/>
                <w:color w:val="auto"/>
              </w:rPr>
            </w:pPr>
          </w:p>
        </w:tc>
      </w:tr>
      <w:tr>
        <w:trPr>
          <w:trHeight w:val="166"/>
        </w:trPr>
        <w:tc>
          <w:tcPr>
            <w:tcW w:w="480" w:type="dxa"/>
            <w:vAlign w:val="bottom"/>
          </w:tcPr>
          <w:p>
            <w:pPr>
              <w:spacing w:after="0"/>
              <w:rPr>
                <w:sz w:val="14"/>
                <w:szCs w:val="14"/>
                <w:color w:val="auto"/>
              </w:rPr>
            </w:pPr>
          </w:p>
        </w:tc>
        <w:tc>
          <w:tcPr>
            <w:tcW w:w="3660" w:type="dxa"/>
            <w:vAlign w:val="bottom"/>
          </w:tcPr>
          <w:p>
            <w:pPr>
              <w:ind w:left="1760"/>
              <w:spacing w:after="0"/>
              <w:rPr>
                <w:sz w:val="20"/>
                <w:szCs w:val="20"/>
                <w:color w:val="auto"/>
              </w:rPr>
            </w:pPr>
            <w:r>
              <w:rPr>
                <w:rFonts w:ascii="Courier New" w:cs="Courier New" w:eastAsia="Courier New" w:hAnsi="Courier New"/>
                <w:sz w:val="14"/>
                <w:szCs w:val="14"/>
                <w:color w:val="auto"/>
              </w:rPr>
              <w:t>For the fiscal period</w:t>
            </w: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3660" w:type="dxa"/>
            <w:vAlign w:val="bottom"/>
          </w:tcPr>
          <w:p>
            <w:pPr>
              <w:ind w:left="3480"/>
              <w:spacing w:after="0"/>
              <w:rPr>
                <w:sz w:val="20"/>
                <w:szCs w:val="20"/>
                <w:color w:val="auto"/>
              </w:rPr>
            </w:pPr>
            <w:r>
              <w:rPr>
                <w:rFonts w:ascii="Courier New" w:cs="Courier New" w:eastAsia="Courier New" w:hAnsi="Courier New"/>
                <w:sz w:val="14"/>
                <w:szCs w:val="14"/>
                <w:color w:val="auto"/>
                <w:w w:val="94"/>
              </w:rPr>
              <w:t>OR</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220" w:right="4199" w:hanging="695"/>
        <w:spacing w:after="0" w:line="336" w:lineRule="auto"/>
        <w:tabs>
          <w:tab w:leader="none" w:pos="70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 OF THE SECURITIES EXCHANGE ACT OF 1934.</w:t>
      </w:r>
    </w:p>
    <w:p>
      <w:pPr>
        <w:spacing w:after="0" w:line="2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3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ICON public limited company</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4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Ireland</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(Jurisdiction of incorporation or organization)</w:t>
      </w:r>
    </w:p>
    <w:p>
      <w:pPr>
        <w:spacing w:after="0" w:line="14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South County Business Park, Leopardstown, Dublin 18, Ireland.</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or to be registered pursuant to Section 12(b) of the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60" w:type="dxa"/>
            <w:vAlign w:val="bottom"/>
            <w:vMerge w:val="restart"/>
          </w:tcPr>
          <w:p>
            <w:pPr>
              <w:spacing w:after="0"/>
              <w:rPr>
                <w:sz w:val="20"/>
                <w:szCs w:val="20"/>
                <w:color w:val="auto"/>
              </w:rPr>
            </w:pPr>
            <w:r>
              <w:rPr>
                <w:rFonts w:ascii="Courier New" w:cs="Courier New" w:eastAsia="Courier New" w:hAnsi="Courier New"/>
                <w:sz w:val="14"/>
                <w:szCs w:val="14"/>
                <w:color w:val="auto"/>
              </w:rPr>
              <w:t>Title of each class</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Name of exchange</w:t>
            </w:r>
          </w:p>
        </w:tc>
        <w:tc>
          <w:tcPr>
            <w:tcW w:w="0" w:type="dxa"/>
            <w:vAlign w:val="bottom"/>
          </w:tcPr>
          <w:p>
            <w:pPr>
              <w:spacing w:after="0"/>
              <w:rPr>
                <w:sz w:val="1"/>
                <w:szCs w:val="1"/>
                <w:color w:val="auto"/>
              </w:rPr>
            </w:pPr>
          </w:p>
        </w:tc>
      </w:tr>
      <w:tr>
        <w:trPr>
          <w:trHeight w:val="192"/>
        </w:trPr>
        <w:tc>
          <w:tcPr>
            <w:tcW w:w="3460" w:type="dxa"/>
            <w:vAlign w:val="bottom"/>
            <w:vMerge w:val="continue"/>
          </w:tcPr>
          <w:p>
            <w:pPr>
              <w:spacing w:after="0"/>
              <w:rPr>
                <w:sz w:val="16"/>
                <w:szCs w:val="16"/>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on which registered</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None</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or to be registered pursuant to Section 12(g) of the Act:</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p>
      <w:pPr>
        <w:ind w:right="3519"/>
        <w:spacing w:after="0" w:line="270" w:lineRule="auto"/>
        <w:rPr>
          <w:sz w:val="20"/>
          <w:szCs w:val="20"/>
          <w:color w:val="auto"/>
        </w:rPr>
      </w:pPr>
      <w:r>
        <w:rPr>
          <w:rFonts w:ascii="Courier New" w:cs="Courier New" w:eastAsia="Courier New" w:hAnsi="Courier New"/>
          <w:sz w:val="14"/>
          <w:szCs w:val="14"/>
          <w:color w:val="auto"/>
        </w:rPr>
        <w:t>American Depository Shares, representing Ordinary Shares, par value (euro)0.06 each Ordinary Shares, par value (euro)0.06 each</w:t>
      </w: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for which there is a reporting obligation pursuant to Section 15(d)</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the Act:</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Class)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7" w:lineRule="exact"/>
        <w:rPr>
          <w:sz w:val="24"/>
          <w:szCs w:val="24"/>
          <w:color w:val="auto"/>
        </w:rPr>
      </w:pPr>
    </w:p>
    <w:p>
      <w:pPr>
        <w:jc w:val="both"/>
        <w:ind w:right="3679"/>
        <w:spacing w:after="0" w:line="313" w:lineRule="auto"/>
        <w:rPr>
          <w:sz w:val="20"/>
          <w:szCs w:val="20"/>
          <w:color w:val="auto"/>
        </w:rPr>
      </w:pPr>
      <w:r>
        <w:rPr>
          <w:rFonts w:ascii="Courier New" w:cs="Courier New" w:eastAsia="Courier New" w:hAnsi="Courier New"/>
          <w:sz w:val="14"/>
          <w:szCs w:val="14"/>
          <w:color w:val="auto"/>
        </w:rPr>
        <w:t>Indicate the number of outstanding shares of each of the issuer's classes of capital or common stock as of the close of the period covered by the annual report: 13,838,476 Ordinary Shares.</w:t>
      </w:r>
    </w:p>
    <w:p>
      <w:pPr>
        <w:spacing w:after="0" w:line="42" w:lineRule="exact"/>
        <w:rPr>
          <w:sz w:val="24"/>
          <w:szCs w:val="24"/>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w:t>
      </w:r>
    </w:p>
    <w:p>
      <w:pPr>
        <w:spacing w:after="0" w:line="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4"/>
          <w:szCs w:val="24"/>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Yes.........X..........</w:t>
      </w:r>
      <w:r>
        <w:rPr>
          <w:sz w:val="20"/>
          <w:szCs w:val="20"/>
          <w:color w:val="auto"/>
        </w:rPr>
        <w:tab/>
      </w:r>
      <w:r>
        <w:rPr>
          <w:rFonts w:ascii="Courier New" w:cs="Courier New" w:eastAsia="Courier New" w:hAnsi="Courier New"/>
          <w:sz w:val="14"/>
          <w:szCs w:val="14"/>
          <w:color w:val="auto"/>
        </w:rPr>
        <w:t>No.....................</w:t>
      </w:r>
    </w:p>
    <w:p>
      <w:pPr>
        <w:spacing w:after="0" w:line="147" w:lineRule="exact"/>
        <w:rPr>
          <w:sz w:val="24"/>
          <w:szCs w:val="24"/>
          <w:color w:val="auto"/>
        </w:rPr>
      </w:pPr>
    </w:p>
    <w:p>
      <w:pPr>
        <w:ind w:right="3339"/>
        <w:spacing w:after="0" w:line="375" w:lineRule="auto"/>
        <w:rPr>
          <w:sz w:val="20"/>
          <w:szCs w:val="20"/>
          <w:color w:val="auto"/>
        </w:rPr>
      </w:pPr>
      <w:r>
        <w:rPr>
          <w:rFonts w:ascii="Courier New" w:cs="Courier New" w:eastAsia="Courier New" w:hAnsi="Courier New"/>
          <w:sz w:val="14"/>
          <w:szCs w:val="14"/>
          <w:color w:val="auto"/>
        </w:rPr>
        <w:t>Indicate by check mark which financial statement item the registrant has elected to follow:</w:t>
      </w:r>
    </w:p>
    <w:p>
      <w:pPr>
        <w:spacing w:after="0" w:line="1" w:lineRule="exact"/>
        <w:rPr>
          <w:sz w:val="24"/>
          <w:szCs w:val="24"/>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Item 17.........</w:t>
      </w:r>
      <w:r>
        <w:rPr>
          <w:sz w:val="20"/>
          <w:szCs w:val="20"/>
          <w:color w:val="auto"/>
        </w:rPr>
        <w:tab/>
      </w:r>
      <w:r>
        <w:rPr>
          <w:rFonts w:ascii="Courier New" w:cs="Courier New" w:eastAsia="Courier New" w:hAnsi="Courier New"/>
          <w:sz w:val="14"/>
          <w:szCs w:val="14"/>
          <w:color w:val="auto"/>
        </w:rPr>
        <w:t>Item 18.........X........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780" w:type="dxa"/>
            <w:vAlign w:val="bottom"/>
          </w:tcPr>
          <w:p>
            <w:pPr>
              <w:spacing w:after="0"/>
              <w:rPr>
                <w:sz w:val="20"/>
                <w:szCs w:val="20"/>
                <w:color w:val="auto"/>
              </w:rPr>
            </w:pPr>
            <w:r>
              <w:rPr>
                <w:rFonts w:ascii="Courier New" w:cs="Courier New" w:eastAsia="Courier New" w:hAnsi="Courier New"/>
                <w:sz w:val="14"/>
                <w:szCs w:val="14"/>
                <w:color w:val="auto"/>
              </w:rPr>
              <w:t>TABLE OF</w:t>
            </w:r>
          </w:p>
        </w:tc>
        <w:tc>
          <w:tcPr>
            <w:tcW w:w="5940" w:type="dxa"/>
            <w:vAlign w:val="bottom"/>
            <w:gridSpan w:val="2"/>
          </w:tcPr>
          <w:p>
            <w:pPr>
              <w:spacing w:after="0"/>
              <w:rPr>
                <w:sz w:val="20"/>
                <w:szCs w:val="20"/>
                <w:color w:val="auto"/>
              </w:rPr>
            </w:pPr>
            <w:r>
              <w:rPr>
                <w:rFonts w:ascii="Courier New" w:cs="Courier New" w:eastAsia="Courier New" w:hAnsi="Courier New"/>
                <w:sz w:val="14"/>
                <w:szCs w:val="14"/>
                <w:color w:val="auto"/>
              </w:rPr>
              <w:t>CONTENTS</w:t>
            </w:r>
          </w:p>
        </w:tc>
        <w:tc>
          <w:tcPr>
            <w:tcW w:w="180" w:type="dxa"/>
            <w:vAlign w:val="bottom"/>
          </w:tcPr>
          <w:p>
            <w:pPr>
              <w:spacing w:after="0"/>
              <w:rPr>
                <w:sz w:val="21"/>
                <w:szCs w:val="21"/>
                <w:color w:val="auto"/>
              </w:rPr>
            </w:pPr>
          </w:p>
        </w:tc>
      </w:tr>
      <w:tr>
        <w:trPr>
          <w:trHeight w:val="497"/>
        </w:trPr>
        <w:tc>
          <w:tcPr>
            <w:tcW w:w="1120" w:type="dxa"/>
            <w:vAlign w:val="bottom"/>
            <w:gridSpan w:val="2"/>
          </w:tcPr>
          <w:p>
            <w:pPr>
              <w:spacing w:after="0"/>
              <w:rPr>
                <w:sz w:val="20"/>
                <w:szCs w:val="20"/>
                <w:color w:val="auto"/>
              </w:rPr>
            </w:pPr>
            <w:r>
              <w:rPr>
                <w:rFonts w:ascii="Courier New" w:cs="Courier New" w:eastAsia="Courier New" w:hAnsi="Courier New"/>
                <w:sz w:val="3"/>
                <w:szCs w:val="3"/>
                <w:color w:val="auto"/>
                <w:w w:val="79"/>
              </w:rPr>
              <w:t>General......................................................................</w:t>
            </w:r>
          </w:p>
        </w:tc>
        <w:tc>
          <w:tcPr>
            <w:tcW w:w="5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6720" w:type="dxa"/>
            <w:vAlign w:val="bottom"/>
            <w:gridSpan w:val="3"/>
          </w:tcPr>
          <w:p>
            <w:pPr>
              <w:spacing w:after="0"/>
              <w:rPr>
                <w:sz w:val="20"/>
                <w:szCs w:val="20"/>
                <w:color w:val="auto"/>
              </w:rPr>
            </w:pPr>
            <w:r>
              <w:rPr>
                <w:rFonts w:ascii="Courier New" w:cs="Courier New" w:eastAsia="Courier New" w:hAnsi="Courier New"/>
                <w:sz w:val="14"/>
                <w:szCs w:val="14"/>
                <w:color w:val="auto"/>
              </w:rPr>
              <w:t>Cautionary Statement.........................................................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3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1"/>
        </w:trPr>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Item</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Identity of Directors, Senior Management and Advisors.........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Item</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Offer Statistics and Expected Timetable........................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Item</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Key Information................................................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331"/>
        </w:trPr>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Item</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Information on the Company.....................................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331"/>
        </w:trPr>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Item</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Operating and Financial Review and Prospects...................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18</w:t>
            </w:r>
          </w:p>
        </w:tc>
      </w:tr>
      <w:tr>
        <w:trPr>
          <w:trHeight w:val="331"/>
        </w:trPr>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Item</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Directors, Senior Management and Employees.....................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27</w:t>
            </w:r>
          </w:p>
        </w:tc>
      </w:tr>
      <w:tr>
        <w:trPr>
          <w:trHeight w:val="331"/>
        </w:trPr>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Item</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Major Shareholders and Related Party Transactions..............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31</w:t>
            </w:r>
          </w:p>
        </w:tc>
      </w:tr>
      <w:tr>
        <w:trPr>
          <w:trHeight w:val="331"/>
        </w:trPr>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Item</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Financial Information..........................................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32</w:t>
            </w:r>
          </w:p>
        </w:tc>
      </w:tr>
      <w:tr>
        <w:trPr>
          <w:trHeight w:val="331"/>
        </w:trPr>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Item</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The Offer and the Listing......................................</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33</w:t>
            </w:r>
          </w:p>
        </w:tc>
      </w:tr>
    </w:tbl>
    <w:p>
      <w:pPr>
        <w:sectPr>
          <w:pgSz w:w="11900" w:h="16857" w:orient="portrait"/>
          <w:cols w:equalWidth="0" w:num="1">
            <w:col w:w="10239"/>
          </w:cols>
          <w:pgMar w:left="220" w:top="204" w:right="1440" w:bottom="0" w:gutter="0" w:footer="0" w:header="0"/>
        </w:sectPr>
      </w:pPr>
    </w:p>
    <w:bookmarkStart w:id="1" w:name="page2"/>
    <w:bookmarkEnd w:id="1"/>
    <w:p>
      <w:pPr>
        <w:ind w:left="360"/>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Additional Information</w:t>
      </w:r>
      <w:r>
        <w:rPr>
          <w:sz w:val="20"/>
          <w:szCs w:val="20"/>
          <w:color w:val="auto"/>
        </w:rPr>
        <w:tab/>
      </w:r>
      <w:r>
        <w:rPr>
          <w:rFonts w:ascii="Courier New" w:cs="Courier New" w:eastAsia="Courier New" w:hAnsi="Courier New"/>
          <w:sz w:val="14"/>
          <w:szCs w:val="14"/>
          <w:color w:val="auto"/>
        </w:rPr>
        <w:t>34</w:t>
      </w:r>
    </w:p>
    <w:p>
      <w:pPr>
        <w:spacing w:after="0" w:line="173" w:lineRule="exact"/>
        <w:rPr>
          <w:sz w:val="20"/>
          <w:szCs w:val="20"/>
          <w:color w:val="auto"/>
        </w:rPr>
      </w:pPr>
    </w:p>
    <w:p>
      <w:pPr>
        <w:ind w:left="360"/>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Quantitative and Qualitative Disclosures about Market Risk</w:t>
      </w:r>
      <w:r>
        <w:rPr>
          <w:sz w:val="20"/>
          <w:szCs w:val="20"/>
          <w:color w:val="auto"/>
        </w:rPr>
        <w:tab/>
      </w:r>
      <w:r>
        <w:rPr>
          <w:rFonts w:ascii="Courier New" w:cs="Courier New" w:eastAsia="Courier New" w:hAnsi="Courier New"/>
          <w:sz w:val="14"/>
          <w:szCs w:val="14"/>
          <w:color w:val="auto"/>
        </w:rPr>
        <w:t>41</w:t>
      </w:r>
    </w:p>
    <w:p>
      <w:pPr>
        <w:spacing w:after="0" w:line="173" w:lineRule="exact"/>
        <w:rPr>
          <w:sz w:val="20"/>
          <w:szCs w:val="20"/>
          <w:color w:val="auto"/>
        </w:rPr>
      </w:pPr>
    </w:p>
    <w:p>
      <w:pPr>
        <w:ind w:left="360"/>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Description of Securities Other than Equity Securities</w:t>
      </w:r>
      <w:r>
        <w:rPr>
          <w:sz w:val="20"/>
          <w:szCs w:val="20"/>
          <w:color w:val="auto"/>
        </w:rPr>
        <w:tab/>
      </w:r>
      <w:r>
        <w:rPr>
          <w:rFonts w:ascii="Courier New" w:cs="Courier New" w:eastAsia="Courier New" w:hAnsi="Courier New"/>
          <w:sz w:val="14"/>
          <w:szCs w:val="14"/>
          <w:color w:val="auto"/>
        </w:rPr>
        <w:t>41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360"/>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Defaults, Dividend Arrearages and Delinquencies</w:t>
      </w:r>
      <w:r>
        <w:rPr>
          <w:sz w:val="20"/>
          <w:szCs w:val="20"/>
          <w:color w:val="auto"/>
        </w:rPr>
        <w:tab/>
      </w:r>
      <w:r>
        <w:rPr>
          <w:rFonts w:ascii="Courier New" w:cs="Courier New" w:eastAsia="Courier New" w:hAnsi="Courier New"/>
          <w:sz w:val="14"/>
          <w:szCs w:val="14"/>
          <w:color w:val="auto"/>
        </w:rPr>
        <w:t>42</w:t>
      </w:r>
    </w:p>
    <w:p>
      <w:pPr>
        <w:spacing w:after="0" w:line="173" w:lineRule="exact"/>
        <w:rPr>
          <w:sz w:val="20"/>
          <w:szCs w:val="20"/>
          <w:color w:val="auto"/>
        </w:rPr>
      </w:pPr>
    </w:p>
    <w:p>
      <w:pPr>
        <w:ind w:left="360"/>
        <w:spacing w:after="0"/>
        <w:tabs>
          <w:tab w:leader="none" w:pos="128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Material Modifications to the Rights of Security Holders and</w:t>
      </w:r>
    </w:p>
    <w:p>
      <w:pPr>
        <w:spacing w:after="0" w:line="33"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Use of Proceeds</w:t>
      </w:r>
      <w:r>
        <w:rPr>
          <w:sz w:val="20"/>
          <w:szCs w:val="20"/>
          <w:color w:val="auto"/>
        </w:rPr>
        <w:tab/>
      </w:r>
      <w:r>
        <w:rPr>
          <w:rFonts w:ascii="Courier New" w:cs="Courier New" w:eastAsia="Courier New" w:hAnsi="Courier New"/>
          <w:sz w:val="14"/>
          <w:szCs w:val="14"/>
          <w:color w:val="auto"/>
        </w:rPr>
        <w:t>42</w:t>
      </w:r>
    </w:p>
    <w:p>
      <w:pPr>
        <w:spacing w:after="0" w:line="147" w:lineRule="exact"/>
        <w:rPr>
          <w:sz w:val="20"/>
          <w:szCs w:val="20"/>
          <w:color w:val="auto"/>
        </w:rPr>
      </w:pPr>
    </w:p>
    <w:p>
      <w:pPr>
        <w:ind w:left="360"/>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Item 15.</w:t>
      </w:r>
      <w:r>
        <w:rPr>
          <w:sz w:val="20"/>
          <w:szCs w:val="20"/>
          <w:color w:val="auto"/>
        </w:rPr>
        <w:tab/>
      </w:r>
      <w:r>
        <w:rPr>
          <w:rFonts w:ascii="Courier New" w:cs="Courier New" w:eastAsia="Courier New" w:hAnsi="Courier New"/>
          <w:sz w:val="14"/>
          <w:szCs w:val="14"/>
          <w:color w:val="auto"/>
        </w:rPr>
        <w:t>Reserved</w:t>
      </w:r>
      <w:r>
        <w:rPr>
          <w:sz w:val="20"/>
          <w:szCs w:val="20"/>
          <w:color w:val="auto"/>
        </w:rPr>
        <w:tab/>
      </w:r>
      <w:r>
        <w:rPr>
          <w:rFonts w:ascii="Courier New" w:cs="Courier New" w:eastAsia="Courier New" w:hAnsi="Courier New"/>
          <w:sz w:val="14"/>
          <w:szCs w:val="14"/>
          <w:color w:val="auto"/>
        </w:rPr>
        <w:t>42</w:t>
      </w:r>
    </w:p>
    <w:p>
      <w:pPr>
        <w:spacing w:after="0" w:line="173" w:lineRule="exact"/>
        <w:rPr>
          <w:sz w:val="20"/>
          <w:szCs w:val="20"/>
          <w:color w:val="auto"/>
        </w:rPr>
      </w:pPr>
    </w:p>
    <w:p>
      <w:pPr>
        <w:ind w:left="360"/>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Item 16.</w:t>
      </w:r>
      <w:r>
        <w:rPr>
          <w:sz w:val="20"/>
          <w:szCs w:val="20"/>
          <w:color w:val="auto"/>
        </w:rPr>
        <w:tab/>
      </w:r>
      <w:r>
        <w:rPr>
          <w:rFonts w:ascii="Courier New" w:cs="Courier New" w:eastAsia="Courier New" w:hAnsi="Courier New"/>
          <w:sz w:val="14"/>
          <w:szCs w:val="14"/>
          <w:color w:val="auto"/>
        </w:rPr>
        <w:t>Reserved</w:t>
      </w:r>
      <w:r>
        <w:rPr>
          <w:sz w:val="20"/>
          <w:szCs w:val="20"/>
          <w:color w:val="auto"/>
        </w:rPr>
        <w:tab/>
      </w:r>
      <w:r>
        <w:rPr>
          <w:rFonts w:ascii="Courier New" w:cs="Courier New" w:eastAsia="Courier New" w:hAnsi="Courier New"/>
          <w:sz w:val="14"/>
          <w:szCs w:val="14"/>
          <w:color w:val="auto"/>
        </w:rPr>
        <w:t>42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ind w:left="360"/>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Item 17.</w:t>
      </w:r>
      <w:r>
        <w:rPr>
          <w:sz w:val="20"/>
          <w:szCs w:val="20"/>
          <w:color w:val="auto"/>
        </w:rPr>
        <w:tab/>
      </w:r>
      <w:r>
        <w:rPr>
          <w:rFonts w:ascii="Courier New" w:cs="Courier New" w:eastAsia="Courier New" w:hAnsi="Courier New"/>
          <w:sz w:val="14"/>
          <w:szCs w:val="14"/>
          <w:color w:val="auto"/>
        </w:rPr>
        <w:t>Financial Statements</w:t>
      </w:r>
      <w:r>
        <w:rPr>
          <w:sz w:val="20"/>
          <w:szCs w:val="20"/>
          <w:color w:val="auto"/>
        </w:rPr>
        <w:tab/>
      </w:r>
      <w:r>
        <w:rPr>
          <w:rFonts w:ascii="Courier New" w:cs="Courier New" w:eastAsia="Courier New" w:hAnsi="Courier New"/>
          <w:sz w:val="14"/>
          <w:szCs w:val="14"/>
          <w:color w:val="auto"/>
        </w:rPr>
        <w:t>43</w:t>
      </w:r>
    </w:p>
    <w:p>
      <w:pPr>
        <w:spacing w:after="0" w:line="173" w:lineRule="exact"/>
        <w:rPr>
          <w:sz w:val="20"/>
          <w:szCs w:val="20"/>
          <w:color w:val="auto"/>
        </w:rPr>
      </w:pPr>
    </w:p>
    <w:p>
      <w:pPr>
        <w:ind w:left="360"/>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Item 18.</w:t>
      </w:r>
      <w:r>
        <w:rPr>
          <w:sz w:val="20"/>
          <w:szCs w:val="20"/>
          <w:color w:val="auto"/>
        </w:rPr>
        <w:tab/>
      </w:r>
      <w:r>
        <w:rPr>
          <w:rFonts w:ascii="Courier New" w:cs="Courier New" w:eastAsia="Courier New" w:hAnsi="Courier New"/>
          <w:sz w:val="14"/>
          <w:szCs w:val="14"/>
          <w:color w:val="auto"/>
        </w:rPr>
        <w:t>Financial Statements</w:t>
      </w:r>
      <w:r>
        <w:rPr>
          <w:sz w:val="20"/>
          <w:szCs w:val="20"/>
          <w:color w:val="auto"/>
        </w:rPr>
        <w:tab/>
      </w:r>
      <w:r>
        <w:rPr>
          <w:rFonts w:ascii="Courier New" w:cs="Courier New" w:eastAsia="Courier New" w:hAnsi="Courier New"/>
          <w:sz w:val="14"/>
          <w:szCs w:val="14"/>
          <w:color w:val="auto"/>
        </w:rPr>
        <w:t>43</w:t>
      </w:r>
    </w:p>
    <w:p>
      <w:pPr>
        <w:spacing w:after="0" w:line="173" w:lineRule="exact"/>
        <w:rPr>
          <w:sz w:val="20"/>
          <w:szCs w:val="20"/>
          <w:color w:val="auto"/>
        </w:rPr>
      </w:pPr>
    </w:p>
    <w:p>
      <w:pPr>
        <w:ind w:left="360"/>
        <w:spacing w:after="0"/>
        <w:tabs>
          <w:tab w:leader="none" w:pos="1280" w:val="left"/>
          <w:tab w:leader="dot" w:pos="6700" w:val="left"/>
        </w:tabs>
        <w:rPr>
          <w:sz w:val="20"/>
          <w:szCs w:val="20"/>
          <w:color w:val="auto"/>
        </w:rPr>
      </w:pPr>
      <w:r>
        <w:rPr>
          <w:rFonts w:ascii="Courier New" w:cs="Courier New" w:eastAsia="Courier New" w:hAnsi="Courier New"/>
          <w:sz w:val="14"/>
          <w:szCs w:val="14"/>
          <w:color w:val="auto"/>
        </w:rPr>
        <w:t>Item 19.</w:t>
      </w:r>
      <w:r>
        <w:rPr>
          <w:sz w:val="20"/>
          <w:szCs w:val="20"/>
          <w:color w:val="auto"/>
        </w:rPr>
        <w:tab/>
      </w:r>
      <w:r>
        <w:rPr>
          <w:rFonts w:ascii="Courier New" w:cs="Courier New" w:eastAsia="Courier New" w:hAnsi="Courier New"/>
          <w:sz w:val="14"/>
          <w:szCs w:val="14"/>
          <w:color w:val="auto"/>
        </w:rPr>
        <w:t>Financial Statements and Exhibits</w:t>
      </w:r>
      <w:r>
        <w:rPr>
          <w:sz w:val="20"/>
          <w:szCs w:val="20"/>
          <w:color w:val="auto"/>
        </w:rPr>
        <w:tab/>
      </w:r>
      <w:r>
        <w:rPr>
          <w:rFonts w:ascii="Courier New" w:cs="Courier New" w:eastAsia="Courier New" w:hAnsi="Courier New"/>
          <w:sz w:val="14"/>
          <w:szCs w:val="14"/>
          <w:color w:val="auto"/>
        </w:rPr>
        <w:t>43</w:t>
      </w:r>
    </w:p>
    <w:p>
      <w:pPr>
        <w:sectPr>
          <w:pgSz w:w="11900" w:h="16838" w:orient="portrait"/>
          <w:cols w:equalWidth="0" w:num="1">
            <w:col w:w="10239"/>
          </w:cols>
          <w:pgMar w:left="220" w:top="28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939"/>
        <w:spacing w:after="0" w:line="313" w:lineRule="auto"/>
        <w:rPr>
          <w:sz w:val="20"/>
          <w:szCs w:val="20"/>
          <w:color w:val="auto"/>
        </w:rPr>
      </w:pPr>
      <w:r>
        <w:rPr>
          <w:rFonts w:ascii="Courier New" w:cs="Courier New" w:eastAsia="Courier New" w:hAnsi="Courier New"/>
          <w:sz w:val="14"/>
          <w:szCs w:val="14"/>
          <w:color w:val="auto"/>
        </w:rPr>
        <w:t>As used herein, "ICON plc" and the "Company" refer to ICON public limited company and its consolidated subsidiaries, unless the context requires otherwise.</w:t>
      </w:r>
    </w:p>
    <w:p>
      <w:pPr>
        <w:spacing w:after="0" w:line="42"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Unless otherwise indicated, ICON's financial statements and other financial data contained in this Form 20-F are presented in United States dollars ("$") and are prepared in accordance with generally accepted accounting principles in the United States ("U.S. GAAP").</w:t>
      </w:r>
    </w:p>
    <w:p>
      <w:pPr>
        <w:spacing w:after="0" w:line="56" w:lineRule="exact"/>
        <w:rPr>
          <w:sz w:val="20"/>
          <w:szCs w:val="20"/>
          <w:color w:val="auto"/>
        </w:rPr>
      </w:pPr>
    </w:p>
    <w:p>
      <w:pPr>
        <w:ind w:right="3419"/>
        <w:spacing w:after="0" w:line="268" w:lineRule="auto"/>
        <w:rPr>
          <w:sz w:val="20"/>
          <w:szCs w:val="20"/>
          <w:color w:val="auto"/>
        </w:rPr>
      </w:pPr>
      <w:r>
        <w:rPr>
          <w:rFonts w:ascii="Courier New" w:cs="Courier New" w:eastAsia="Courier New" w:hAnsi="Courier New"/>
          <w:sz w:val="14"/>
          <w:szCs w:val="14"/>
          <w:color w:val="auto"/>
        </w:rPr>
        <w:t>In this Form 20-F, references to "U.S. dollars," "U.S.$" or "$" are to the lawful currency of the United States, references to "pounds sterling", "sterling", "(pound)", "pence" or "p" are to the lawful currency of the United Kingdom, references to "Israeli Shekels" or "ILS" are to the lawful currency of Israel, references to "Euro" or "(euro)" are to the European single currency adopted by twelve members of the European Union (including the Republic of Ireland, France, Germany &amp; the Netherlands). ICON publishes its consolidated financial statements in U.S. dollars.</w:t>
      </w:r>
    </w:p>
    <w:p>
      <w:pPr>
        <w:spacing w:after="0" w:line="74"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ICON prepares its consolidated financial statements on the basis of a fiscal year beginning on June 1 and ending on May 31. References to a fiscal year in this Form 20-F shall be references to the fiscal year ending on May 31 of that year. In this Form 20-F, financial results and operating statistics are, unless otherwise indicated, stated on the basis of such fiscal years.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Cautionary Statement</w:t>
      </w:r>
    </w:p>
    <w:p>
      <w:pPr>
        <w:spacing w:after="0" w:line="173"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Statements included herein which are not historical facts are forward looking statements. Such forward looking statements are made pursuant to the safe harbor provisions of the U.S. Private Securities Litigation Reform Act of 1995 (the "PSLRA"). The forward looking statements involve a number of risks and uncertainties and are subject to change at any time. In the event such risks or uncertainties materialize, our results could be materially affected. The risks and uncertainties include, but are not limited to, dependence on the pharmaceutical industry and certain clients, the need to regularly win projects and then to execute them efficiently, the challenges presented by rapid growth, competition and the continuing consolidation of the industry, the dependence on certain key executives and other factors identified in ICON's Securities and Exchange Commission filings. ICON has no obligation under the PSLRA to update any forward looking statements and does not intend to do so.</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Identity of Directors, Senior Management and Advisors.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Offer Statistics and Expected Timetable.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590" w:right="1440" w:bottom="1440" w:gutter="0" w:footer="0" w:header="0"/>
        </w:sectPr>
      </w:pPr>
    </w:p>
    <w:bookmarkStart w:id="3" w:name="page4"/>
    <w:bookmarkEnd w:id="3"/>
    <w:p>
      <w:pPr>
        <w:spacing w:after="0" w:line="1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Key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Historical Consolidated Financial Data for ICON plc</w:t>
      </w:r>
    </w:p>
    <w:p>
      <w:pPr>
        <w:spacing w:after="0" w:line="33" w:lineRule="exact"/>
        <w:rPr>
          <w:sz w:val="20"/>
          <w:szCs w:val="20"/>
          <w:color w:val="auto"/>
        </w:rPr>
      </w:pPr>
    </w:p>
    <w:p>
      <w:pPr>
        <w:ind w:right="3700"/>
        <w:spacing w:after="0" w:line="272" w:lineRule="auto"/>
        <w:rPr>
          <w:sz w:val="20"/>
          <w:szCs w:val="20"/>
          <w:color w:val="auto"/>
        </w:rPr>
      </w:pPr>
      <w:r>
        <w:rPr>
          <w:rFonts w:ascii="Courier New" w:cs="Courier New" w:eastAsia="Courier New" w:hAnsi="Courier New"/>
          <w:sz w:val="14"/>
          <w:szCs w:val="14"/>
          <w:color w:val="auto"/>
        </w:rPr>
        <w:t>The following selected financial data set forth below are derived from ICON's consolidated financial statements and should be read in conjunction with, and are qualified by reference to, "Operating and Financial Review and Prospects" and ICON's consolidated financial statements and related notes thereto included elsewhere in this Form 20-F.</w:t>
      </w:r>
    </w:p>
    <w:p>
      <w:pPr>
        <w:spacing w:after="0" w:line="400" w:lineRule="exact"/>
        <w:rPr>
          <w:sz w:val="20"/>
          <w:szCs w:val="20"/>
          <w:color w:val="auto"/>
        </w:rPr>
      </w:pPr>
    </w:p>
    <w:tbl>
      <w:tblPr>
        <w:tblLayout w:type="fixed"/>
        <w:tblInd w:w="4840" w:type="dxa"/>
        <w:tblCellMar>
          <w:top w:w="0" w:type="dxa"/>
          <w:left w:w="0" w:type="dxa"/>
          <w:bottom w:w="0" w:type="dxa"/>
          <w:right w:w="0" w:type="dxa"/>
        </w:tblCellMar>
      </w:tblPr>
      <w:tr>
        <w:trPr>
          <w:trHeight w:val="166"/>
        </w:trPr>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5"/>
              </w:rPr>
              <w:t>2000</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2001</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Ended May 31,</w:t>
            </w:r>
          </w:p>
        </w:tc>
        <w:tc>
          <w:tcPr>
            <w:tcW w:w="7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242"/>
        </w:trPr>
        <w:tc>
          <w:tcPr>
            <w:tcW w:w="4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190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2003</w:t>
            </w: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except share</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and per share</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data)</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78"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9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$115,087</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$151,832</w:t>
            </w:r>
          </w:p>
        </w:tc>
        <w:tc>
          <w:tcPr>
            <w:tcW w:w="11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$218,842</w:t>
            </w:r>
          </w:p>
        </w:tc>
        <w:tc>
          <w:tcPr>
            <w:tcW w:w="12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$340,971</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$443,875</w:t>
            </w:r>
          </w:p>
        </w:tc>
        <w:tc>
          <w:tcPr>
            <w:tcW w:w="0" w:type="dxa"/>
            <w:vAlign w:val="bottom"/>
          </w:tcPr>
          <w:p>
            <w:pPr>
              <w:spacing w:after="0"/>
              <w:rPr>
                <w:sz w:val="1"/>
                <w:szCs w:val="1"/>
                <w:color w:val="auto"/>
              </w:rPr>
            </w:pP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Gross revenue</w:t>
            </w:r>
          </w:p>
        </w:tc>
        <w:tc>
          <w:tcPr>
            <w:tcW w:w="22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costs (1)</w:t>
            </w:r>
          </w:p>
        </w:tc>
        <w:tc>
          <w:tcPr>
            <w:tcW w:w="19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20"/>
                <w:szCs w:val="20"/>
                <w:color w:val="auto"/>
              </w:rPr>
            </w:pPr>
            <w:r>
              <w:rPr>
                <w:rFonts w:ascii="Courier New" w:cs="Courier New" w:eastAsia="Courier New" w:hAnsi="Courier New"/>
                <w:sz w:val="14"/>
                <w:szCs w:val="14"/>
                <w:color w:val="auto"/>
              </w:rPr>
              <w:t>Subcontractor</w:t>
            </w:r>
          </w:p>
        </w:tc>
        <w:tc>
          <w:tcPr>
            <w:tcW w:w="2280" w:type="dxa"/>
            <w:vAlign w:val="bottom"/>
            <w:vMerge w:val="continue"/>
          </w:tcPr>
          <w:p>
            <w:pPr>
              <w:spacing w:after="0"/>
              <w:rPr>
                <w:sz w:val="16"/>
                <w:szCs w:val="16"/>
                <w:color w:val="auto"/>
              </w:rPr>
            </w:pP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(34,320)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(35,669)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(62,287)</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(115,246)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(146,952)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100" w:type="dxa"/>
        <w:tblCellMar>
          <w:top w:w="0" w:type="dxa"/>
          <w:left w:w="0" w:type="dxa"/>
          <w:bottom w:w="0" w:type="dxa"/>
          <w:right w:w="0" w:type="dxa"/>
        </w:tblCellMar>
      </w:tblPr>
      <w:tr>
        <w:trPr>
          <w:trHeight w:val="147"/>
        </w:trPr>
        <w:tc>
          <w:tcPr>
            <w:tcW w:w="3820" w:type="dxa"/>
            <w:vAlign w:val="bottom"/>
          </w:tcPr>
          <w:p>
            <w:pPr>
              <w:spacing w:after="0" w:line="147" w:lineRule="exact"/>
              <w:rPr>
                <w:sz w:val="20"/>
                <w:szCs w:val="20"/>
                <w:color w:val="auto"/>
              </w:rPr>
            </w:pPr>
            <w:r>
              <w:rPr>
                <w:rFonts w:ascii="Courier New" w:cs="Courier New" w:eastAsia="Courier New" w:hAnsi="Courier New"/>
                <w:sz w:val="14"/>
                <w:szCs w:val="14"/>
                <w:color w:val="auto"/>
              </w:rPr>
              <w:t>Net revenue</w:t>
            </w:r>
          </w:p>
        </w:tc>
        <w:tc>
          <w:tcPr>
            <w:tcW w:w="1640" w:type="dxa"/>
            <w:vAlign w:val="bottom"/>
          </w:tcPr>
          <w:p>
            <w:pPr>
              <w:jc w:val="right"/>
              <w:ind w:right="308"/>
              <w:spacing w:after="0" w:line="147" w:lineRule="exact"/>
              <w:rPr>
                <w:sz w:val="20"/>
                <w:szCs w:val="20"/>
                <w:color w:val="auto"/>
              </w:rPr>
            </w:pPr>
            <w:r>
              <w:rPr>
                <w:rFonts w:ascii="Courier New" w:cs="Courier New" w:eastAsia="Courier New" w:hAnsi="Courier New"/>
                <w:sz w:val="14"/>
                <w:szCs w:val="14"/>
                <w:color w:val="auto"/>
              </w:rPr>
              <w:t>80,767</w:t>
            </w:r>
          </w:p>
        </w:tc>
        <w:tc>
          <w:tcPr>
            <w:tcW w:w="130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116,163</w:t>
            </w:r>
          </w:p>
        </w:tc>
        <w:tc>
          <w:tcPr>
            <w:tcW w:w="1200" w:type="dxa"/>
            <w:vAlign w:val="bottom"/>
          </w:tcPr>
          <w:p>
            <w:pPr>
              <w:jc w:val="right"/>
              <w:ind w:right="228"/>
              <w:spacing w:after="0" w:line="147" w:lineRule="exact"/>
              <w:rPr>
                <w:sz w:val="20"/>
                <w:szCs w:val="20"/>
                <w:color w:val="auto"/>
              </w:rPr>
            </w:pPr>
            <w:r>
              <w:rPr>
                <w:rFonts w:ascii="Courier New" w:cs="Courier New" w:eastAsia="Courier New" w:hAnsi="Courier New"/>
                <w:sz w:val="14"/>
                <w:szCs w:val="14"/>
                <w:color w:val="auto"/>
              </w:rPr>
              <w:t>156,555</w:t>
            </w:r>
          </w:p>
        </w:tc>
        <w:tc>
          <w:tcPr>
            <w:tcW w:w="1260" w:type="dxa"/>
            <w:vAlign w:val="bottom"/>
          </w:tcPr>
          <w:p>
            <w:pPr>
              <w:jc w:val="right"/>
              <w:ind w:right="288"/>
              <w:spacing w:after="0" w:line="147" w:lineRule="exact"/>
              <w:rPr>
                <w:sz w:val="20"/>
                <w:szCs w:val="20"/>
                <w:color w:val="auto"/>
              </w:rPr>
            </w:pPr>
            <w:r>
              <w:rPr>
                <w:rFonts w:ascii="Courier New" w:cs="Courier New" w:eastAsia="Courier New" w:hAnsi="Courier New"/>
                <w:sz w:val="14"/>
                <w:szCs w:val="14"/>
                <w:color w:val="auto"/>
              </w:rPr>
              <w:t>225,725</w:t>
            </w:r>
          </w:p>
        </w:tc>
        <w:tc>
          <w:tcPr>
            <w:tcW w:w="9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296,923</w:t>
            </w:r>
          </w:p>
        </w:tc>
        <w:tc>
          <w:tcPr>
            <w:tcW w:w="0" w:type="dxa"/>
            <w:vAlign w:val="bottom"/>
          </w:tcPr>
          <w:p>
            <w:pPr>
              <w:spacing w:after="0"/>
              <w:rPr>
                <w:sz w:val="1"/>
                <w:szCs w:val="1"/>
                <w:color w:val="auto"/>
              </w:rPr>
            </w:pPr>
          </w:p>
        </w:tc>
      </w:tr>
      <w:tr>
        <w:trPr>
          <w:trHeight w:val="166"/>
        </w:trPr>
        <w:tc>
          <w:tcPr>
            <w:tcW w:w="382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6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42,007</w:t>
            </w:r>
          </w:p>
        </w:tc>
        <w:tc>
          <w:tcPr>
            <w:tcW w:w="13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63,800</w:t>
            </w:r>
          </w:p>
        </w:tc>
        <w:tc>
          <w:tcPr>
            <w:tcW w:w="12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83,371</w:t>
            </w:r>
          </w:p>
        </w:tc>
        <w:tc>
          <w:tcPr>
            <w:tcW w:w="126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122,373</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162,562</w:t>
            </w:r>
          </w:p>
        </w:tc>
        <w:tc>
          <w:tcPr>
            <w:tcW w:w="0" w:type="dxa"/>
            <w:vAlign w:val="bottom"/>
          </w:tcPr>
          <w:p>
            <w:pPr>
              <w:spacing w:after="0"/>
              <w:rPr>
                <w:sz w:val="1"/>
                <w:szCs w:val="1"/>
                <w:color w:val="auto"/>
              </w:rPr>
            </w:pPr>
          </w:p>
        </w:tc>
      </w:tr>
      <w:tr>
        <w:trPr>
          <w:trHeight w:val="166"/>
        </w:trPr>
        <w:tc>
          <w:tcPr>
            <w:tcW w:w="3820" w:type="dxa"/>
            <w:vAlign w:val="bottom"/>
          </w:tcPr>
          <w:p>
            <w:pPr>
              <w:ind w:left="160"/>
              <w:spacing w:after="0"/>
              <w:rPr>
                <w:sz w:val="20"/>
                <w:szCs w:val="20"/>
                <w:color w:val="auto"/>
              </w:rPr>
            </w:pPr>
            <w:r>
              <w:rPr>
                <w:rFonts w:ascii="Courier New" w:cs="Courier New" w:eastAsia="Courier New" w:hAnsi="Courier New"/>
                <w:sz w:val="14"/>
                <w:szCs w:val="14"/>
                <w:color w:val="auto"/>
              </w:rPr>
              <w:t>Direct costs</w:t>
            </w:r>
          </w:p>
        </w:tc>
        <w:tc>
          <w:tcPr>
            <w:tcW w:w="16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20" w:type="dxa"/>
            <w:vAlign w:val="bottom"/>
          </w:tcPr>
          <w:p>
            <w:pPr>
              <w:ind w:left="80"/>
              <w:spacing w:after="0"/>
              <w:rPr>
                <w:sz w:val="20"/>
                <w:szCs w:val="20"/>
                <w:color w:val="auto"/>
              </w:rPr>
            </w:pPr>
            <w:r>
              <w:rPr>
                <w:rFonts w:ascii="Courier New" w:cs="Courier New" w:eastAsia="Courier New" w:hAnsi="Courier New"/>
                <w:sz w:val="14"/>
                <w:szCs w:val="14"/>
                <w:color w:val="auto"/>
              </w:rPr>
              <w:t>Selling, general and administrative</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27,348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36,312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48,951</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71,118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88,807</w:t>
            </w:r>
          </w:p>
        </w:tc>
        <w:tc>
          <w:tcPr>
            <w:tcW w:w="0" w:type="dxa"/>
            <w:vAlign w:val="bottom"/>
          </w:tcPr>
          <w:p>
            <w:pPr>
              <w:spacing w:after="0"/>
              <w:rPr>
                <w:sz w:val="1"/>
                <w:szCs w:val="1"/>
                <w:color w:val="auto"/>
              </w:rPr>
            </w:pPr>
          </w:p>
        </w:tc>
      </w:tr>
      <w:tr>
        <w:trPr>
          <w:trHeight w:val="166"/>
        </w:trPr>
        <w:tc>
          <w:tcPr>
            <w:tcW w:w="3820" w:type="dxa"/>
            <w:vAlign w:val="bottom"/>
          </w:tcPr>
          <w:p>
            <w:pPr>
              <w:ind w:left="80"/>
              <w:spacing w:after="0"/>
              <w:rPr>
                <w:sz w:val="20"/>
                <w:szCs w:val="20"/>
                <w:color w:val="auto"/>
              </w:rPr>
            </w:pPr>
            <w:r>
              <w:rPr>
                <w:rFonts w:ascii="Courier New" w:cs="Courier New" w:eastAsia="Courier New" w:hAnsi="Courier New"/>
                <w:sz w:val="14"/>
                <w:szCs w:val="14"/>
                <w:color w:val="auto"/>
              </w:rPr>
              <w:t>Merger costs (3)</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1,617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3820" w:type="dxa"/>
            <w:vAlign w:val="bottom"/>
          </w:tcPr>
          <w:p>
            <w:pPr>
              <w:ind w:left="80"/>
              <w:spacing w:after="0"/>
              <w:rPr>
                <w:sz w:val="20"/>
                <w:szCs w:val="20"/>
                <w:color w:val="auto"/>
              </w:rPr>
            </w:pPr>
            <w:r>
              <w:rPr>
                <w:rFonts w:ascii="Courier New" w:cs="Courier New" w:eastAsia="Courier New" w:hAnsi="Courier New"/>
                <w:sz w:val="14"/>
                <w:szCs w:val="14"/>
                <w:color w:val="auto"/>
              </w:rPr>
              <w:t>Depreciation and amortization</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3,264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4,975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6,020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11,171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costs and expenses</w:t>
            </w:r>
          </w:p>
        </w:tc>
        <w:tc>
          <w:tcPr>
            <w:tcW w:w="21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74,236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105,087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138,342</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200,796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262,540</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100" w:type="dxa"/>
        <w:tblCellMar>
          <w:top w:w="0" w:type="dxa"/>
          <w:left w:w="0" w:type="dxa"/>
          <w:bottom w:w="0" w:type="dxa"/>
          <w:right w:w="0" w:type="dxa"/>
        </w:tblCellMar>
      </w:tblPr>
      <w:tr>
        <w:trPr>
          <w:trHeight w:val="147"/>
        </w:trPr>
        <w:tc>
          <w:tcPr>
            <w:tcW w:w="3260" w:type="dxa"/>
            <w:vAlign w:val="bottom"/>
          </w:tcPr>
          <w:p>
            <w:pPr>
              <w:spacing w:after="0" w:line="147" w:lineRule="exact"/>
              <w:rPr>
                <w:sz w:val="20"/>
                <w:szCs w:val="20"/>
                <w:color w:val="auto"/>
              </w:rPr>
            </w:pPr>
            <w:r>
              <w:rPr>
                <w:rFonts w:ascii="Courier New" w:cs="Courier New" w:eastAsia="Courier New" w:hAnsi="Courier New"/>
                <w:sz w:val="14"/>
                <w:szCs w:val="14"/>
                <w:color w:val="auto"/>
              </w:rPr>
              <w:t>Income from operations</w:t>
            </w:r>
          </w:p>
        </w:tc>
        <w:tc>
          <w:tcPr>
            <w:tcW w:w="2240" w:type="dxa"/>
            <w:vAlign w:val="bottom"/>
          </w:tcPr>
          <w:p>
            <w:pPr>
              <w:jc w:val="right"/>
              <w:ind w:right="348"/>
              <w:spacing w:after="0" w:line="147" w:lineRule="exact"/>
              <w:rPr>
                <w:sz w:val="20"/>
                <w:szCs w:val="20"/>
                <w:color w:val="auto"/>
              </w:rPr>
            </w:pPr>
            <w:r>
              <w:rPr>
                <w:rFonts w:ascii="Courier New" w:cs="Courier New" w:eastAsia="Courier New" w:hAnsi="Courier New"/>
                <w:sz w:val="14"/>
                <w:szCs w:val="14"/>
                <w:color w:val="auto"/>
              </w:rPr>
              <w:t>6,531</w:t>
            </w:r>
          </w:p>
        </w:tc>
        <w:tc>
          <w:tcPr>
            <w:tcW w:w="130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11,076</w:t>
            </w:r>
          </w:p>
        </w:tc>
        <w:tc>
          <w:tcPr>
            <w:tcW w:w="1200" w:type="dxa"/>
            <w:vAlign w:val="bottom"/>
          </w:tcPr>
          <w:p>
            <w:pPr>
              <w:jc w:val="right"/>
              <w:ind w:right="268"/>
              <w:spacing w:after="0" w:line="147" w:lineRule="exact"/>
              <w:rPr>
                <w:sz w:val="20"/>
                <w:szCs w:val="20"/>
                <w:color w:val="auto"/>
              </w:rPr>
            </w:pPr>
            <w:r>
              <w:rPr>
                <w:rFonts w:ascii="Courier New" w:cs="Courier New" w:eastAsia="Courier New" w:hAnsi="Courier New"/>
                <w:sz w:val="14"/>
                <w:szCs w:val="14"/>
                <w:color w:val="auto"/>
              </w:rPr>
              <w:t>18,213</w:t>
            </w:r>
          </w:p>
        </w:tc>
        <w:tc>
          <w:tcPr>
            <w:tcW w:w="1260" w:type="dxa"/>
            <w:vAlign w:val="bottom"/>
          </w:tcPr>
          <w:p>
            <w:pPr>
              <w:jc w:val="right"/>
              <w:ind w:right="328"/>
              <w:spacing w:after="0" w:line="147" w:lineRule="exact"/>
              <w:rPr>
                <w:sz w:val="20"/>
                <w:szCs w:val="20"/>
                <w:color w:val="auto"/>
              </w:rPr>
            </w:pPr>
            <w:r>
              <w:rPr>
                <w:rFonts w:ascii="Courier New" w:cs="Courier New" w:eastAsia="Courier New" w:hAnsi="Courier New"/>
                <w:sz w:val="14"/>
                <w:szCs w:val="14"/>
                <w:color w:val="auto"/>
              </w:rPr>
              <w:t>24,929</w:t>
            </w:r>
          </w:p>
        </w:tc>
        <w:tc>
          <w:tcPr>
            <w:tcW w:w="9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34,383</w:t>
            </w:r>
          </w:p>
        </w:tc>
      </w:tr>
      <w:tr>
        <w:trPr>
          <w:trHeight w:val="192"/>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2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2,659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2,519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1,116</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100" w:type="dxa"/>
        <w:tblCellMar>
          <w:top w:w="0" w:type="dxa"/>
          <w:left w:w="0" w:type="dxa"/>
          <w:bottom w:w="0" w:type="dxa"/>
          <w:right w:w="0" w:type="dxa"/>
        </w:tblCellMar>
      </w:tblPr>
      <w:tr>
        <w:trPr>
          <w:trHeight w:val="147"/>
        </w:trPr>
        <w:tc>
          <w:tcPr>
            <w:tcW w:w="1160" w:type="dxa"/>
            <w:vAlign w:val="bottom"/>
          </w:tcPr>
          <w:p>
            <w:pPr>
              <w:spacing w:after="0" w:line="147" w:lineRule="exact"/>
              <w:rPr>
                <w:sz w:val="20"/>
                <w:szCs w:val="20"/>
                <w:color w:val="auto"/>
              </w:rPr>
            </w:pPr>
            <w:r>
              <w:rPr>
                <w:rFonts w:ascii="Courier New" w:cs="Courier New" w:eastAsia="Courier New" w:hAnsi="Courier New"/>
                <w:sz w:val="14"/>
                <w:szCs w:val="14"/>
                <w:color w:val="auto"/>
              </w:rPr>
              <w:t>Income before</w:t>
            </w:r>
          </w:p>
        </w:tc>
        <w:tc>
          <w:tcPr>
            <w:tcW w:w="284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provision for income taxes</w:t>
            </w:r>
          </w:p>
        </w:tc>
        <w:tc>
          <w:tcPr>
            <w:tcW w:w="1560" w:type="dxa"/>
            <w:vAlign w:val="bottom"/>
          </w:tcPr>
          <w:p>
            <w:pPr>
              <w:jc w:val="right"/>
              <w:ind w:right="408"/>
              <w:spacing w:after="0" w:line="147" w:lineRule="exact"/>
              <w:rPr>
                <w:sz w:val="20"/>
                <w:szCs w:val="20"/>
                <w:color w:val="auto"/>
              </w:rPr>
            </w:pPr>
            <w:r>
              <w:rPr>
                <w:rFonts w:ascii="Courier New" w:cs="Courier New" w:eastAsia="Courier New" w:hAnsi="Courier New"/>
                <w:sz w:val="14"/>
                <w:szCs w:val="14"/>
                <w:color w:val="auto"/>
              </w:rPr>
              <w:t>9,190</w:t>
            </w:r>
          </w:p>
        </w:tc>
        <w:tc>
          <w:tcPr>
            <w:tcW w:w="1280" w:type="dxa"/>
            <w:vAlign w:val="bottom"/>
          </w:tcPr>
          <w:p>
            <w:pPr>
              <w:ind w:left="380"/>
              <w:spacing w:after="0" w:line="147" w:lineRule="exact"/>
              <w:rPr>
                <w:sz w:val="20"/>
                <w:szCs w:val="20"/>
                <w:color w:val="auto"/>
              </w:rPr>
            </w:pPr>
            <w:r>
              <w:rPr>
                <w:rFonts w:ascii="Courier New" w:cs="Courier New" w:eastAsia="Courier New" w:hAnsi="Courier New"/>
                <w:sz w:val="14"/>
                <w:szCs w:val="14"/>
                <w:color w:val="auto"/>
              </w:rPr>
              <w:t>13,595</w:t>
            </w:r>
          </w:p>
        </w:tc>
        <w:tc>
          <w:tcPr>
            <w:tcW w:w="1200" w:type="dxa"/>
            <w:vAlign w:val="bottom"/>
          </w:tcPr>
          <w:p>
            <w:pPr>
              <w:ind w:left="300"/>
              <w:spacing w:after="0" w:line="147" w:lineRule="exact"/>
              <w:rPr>
                <w:sz w:val="20"/>
                <w:szCs w:val="20"/>
                <w:color w:val="auto"/>
              </w:rPr>
            </w:pPr>
            <w:r>
              <w:rPr>
                <w:rFonts w:ascii="Courier New" w:cs="Courier New" w:eastAsia="Courier New" w:hAnsi="Courier New"/>
                <w:sz w:val="14"/>
                <w:szCs w:val="14"/>
                <w:color w:val="auto"/>
              </w:rPr>
              <w:t>19,329</w:t>
            </w:r>
          </w:p>
        </w:tc>
        <w:tc>
          <w:tcPr>
            <w:tcW w:w="1260" w:type="dxa"/>
            <w:vAlign w:val="bottom"/>
          </w:tcPr>
          <w:p>
            <w:pPr>
              <w:ind w:left="300"/>
              <w:spacing w:after="0" w:line="147" w:lineRule="exact"/>
              <w:rPr>
                <w:sz w:val="20"/>
                <w:szCs w:val="20"/>
                <w:color w:val="auto"/>
              </w:rPr>
            </w:pPr>
            <w:r>
              <w:rPr>
                <w:rFonts w:ascii="Courier New" w:cs="Courier New" w:eastAsia="Courier New" w:hAnsi="Courier New"/>
                <w:sz w:val="14"/>
                <w:szCs w:val="14"/>
                <w:color w:val="auto"/>
              </w:rPr>
              <w:t>25,283</w:t>
            </w:r>
          </w:p>
        </w:tc>
        <w:tc>
          <w:tcPr>
            <w:tcW w:w="940" w:type="dxa"/>
            <w:vAlign w:val="bottom"/>
          </w:tcPr>
          <w:p>
            <w:pPr>
              <w:ind w:left="340"/>
              <w:spacing w:after="0" w:line="147" w:lineRule="exact"/>
              <w:rPr>
                <w:sz w:val="20"/>
                <w:szCs w:val="20"/>
                <w:color w:val="auto"/>
              </w:rPr>
            </w:pPr>
            <w:r>
              <w:rPr>
                <w:rFonts w:ascii="Courier New" w:cs="Courier New" w:eastAsia="Courier New" w:hAnsi="Courier New"/>
                <w:sz w:val="14"/>
                <w:szCs w:val="14"/>
                <w:color w:val="auto"/>
              </w:rPr>
              <w:t>34,671</w:t>
            </w:r>
          </w:p>
        </w:tc>
      </w:tr>
      <w:tr>
        <w:trPr>
          <w:trHeight w:val="192"/>
        </w:trPr>
        <w:tc>
          <w:tcPr>
            <w:tcW w:w="1160" w:type="dxa"/>
            <w:vAlign w:val="bottom"/>
          </w:tcPr>
          <w:p>
            <w:pPr>
              <w:spacing w:after="0"/>
              <w:rPr>
                <w:sz w:val="20"/>
                <w:szCs w:val="20"/>
                <w:color w:val="auto"/>
              </w:rPr>
            </w:pPr>
            <w:r>
              <w:rPr>
                <w:rFonts w:ascii="Courier New" w:cs="Courier New" w:eastAsia="Courier New" w:hAnsi="Courier New"/>
                <w:sz w:val="14"/>
                <w:szCs w:val="14"/>
                <w:color w:val="auto"/>
              </w:rPr>
              <w:t>Provision for</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(3,122)</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(2,617)</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(5,129)</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(7,000)</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w w:val="98"/>
              </w:rPr>
              <w:t>(8,929)</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income (4)</w:t>
            </w:r>
          </w:p>
        </w:tc>
        <w:tc>
          <w:tcPr>
            <w:tcW w:w="2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$6,068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$10,978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$14,200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$18,283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$25,742</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income per ordinary share (2)(4):</w:t>
            </w:r>
          </w:p>
        </w:tc>
        <w:tc>
          <w:tcPr>
            <w:tcW w:w="164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$0.55</w:t>
            </w:r>
          </w:p>
        </w:tc>
        <w:tc>
          <w:tcPr>
            <w:tcW w:w="128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$0.97</w:t>
            </w:r>
          </w:p>
        </w:tc>
        <w:tc>
          <w:tcPr>
            <w:tcW w:w="12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$1.22</w:t>
            </w:r>
          </w:p>
        </w:tc>
        <w:tc>
          <w:tcPr>
            <w:tcW w:w="12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$1.55</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$1.94</w:t>
            </w:r>
          </w:p>
        </w:tc>
        <w:tc>
          <w:tcPr>
            <w:tcW w:w="0" w:type="dxa"/>
            <w:vAlign w:val="bottom"/>
          </w:tcPr>
          <w:p>
            <w:pPr>
              <w:spacing w:after="0"/>
              <w:rPr>
                <w:sz w:val="1"/>
                <w:szCs w:val="1"/>
                <w:color w:val="auto"/>
              </w:rPr>
            </w:pPr>
          </w:p>
        </w:tc>
      </w:tr>
      <w:tr>
        <w:trPr>
          <w:trHeight w:val="192"/>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6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$0.51</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Weighted</w:t>
            </w:r>
          </w:p>
        </w:tc>
        <w:tc>
          <w:tcPr>
            <w:tcW w:w="4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average number of ordinary shares outstanding:</w:t>
            </w:r>
          </w:p>
        </w:tc>
        <w:tc>
          <w:tcPr>
            <w:tcW w:w="12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11,292,610</w:t>
            </w:r>
          </w:p>
        </w:tc>
        <w:tc>
          <w:tcPr>
            <w:tcW w:w="12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11,656,153</w:t>
            </w:r>
          </w:p>
        </w:tc>
        <w:tc>
          <w:tcPr>
            <w:tcW w:w="12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11,813,788</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13,267,531</w:t>
            </w:r>
          </w:p>
        </w:tc>
        <w:tc>
          <w:tcPr>
            <w:tcW w:w="0" w:type="dxa"/>
            <w:vAlign w:val="bottom"/>
          </w:tcPr>
          <w:p>
            <w:pPr>
              <w:spacing w:after="0"/>
              <w:rPr>
                <w:sz w:val="1"/>
                <w:szCs w:val="1"/>
                <w:color w:val="auto"/>
              </w:rPr>
            </w:pPr>
          </w:p>
        </w:tc>
      </w:tr>
      <w:tr>
        <w:trPr>
          <w:trHeight w:val="192"/>
        </w:trPr>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Basic</w:t>
            </w:r>
          </w:p>
        </w:tc>
        <w:tc>
          <w:tcPr>
            <w:tcW w:w="4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11,050,556</w:t>
            </w:r>
          </w:p>
        </w:tc>
        <w:tc>
          <w:tcPr>
            <w:tcW w:w="12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228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11,824,359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11,943,849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12,241,820</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12,181,094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13,703,163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Pro</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forma</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information</w:t>
            </w:r>
          </w:p>
        </w:tc>
        <w:tc>
          <w:tcPr>
            <w:tcW w:w="6340" w:type="dxa"/>
            <w:vAlign w:val="bottom"/>
            <w:vMerge w:val="restart"/>
          </w:tcPr>
          <w:p>
            <w:pPr>
              <w:jc w:val="right"/>
              <w:ind w:right="5268"/>
              <w:spacing w:after="0"/>
              <w:rPr>
                <w:sz w:val="20"/>
                <w:szCs w:val="20"/>
                <w:color w:val="auto"/>
              </w:rPr>
            </w:pPr>
            <w:r>
              <w:rPr>
                <w:rFonts w:ascii="Courier New" w:cs="Courier New" w:eastAsia="Courier New" w:hAnsi="Courier New"/>
                <w:sz w:val="14"/>
                <w:szCs w:val="14"/>
                <w:color w:val="auto"/>
              </w:rPr>
              <w:t>537</w:t>
            </w:r>
          </w:p>
        </w:tc>
        <w:tc>
          <w:tcPr>
            <w:tcW w:w="0" w:type="dxa"/>
            <w:vAlign w:val="bottom"/>
          </w:tcPr>
          <w:p>
            <w:pPr>
              <w:spacing w:after="0"/>
              <w:rPr>
                <w:sz w:val="1"/>
                <w:szCs w:val="1"/>
                <w:color w:val="auto"/>
              </w:rPr>
            </w:pPr>
          </w:p>
        </w:tc>
      </w:tr>
      <w:tr>
        <w:trPr>
          <w:trHeight w:val="166"/>
        </w:trPr>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4080" w:type="dxa"/>
            <w:vAlign w:val="bottom"/>
            <w:gridSpan w:val="3"/>
          </w:tcPr>
          <w:p>
            <w:pPr>
              <w:spacing w:after="0"/>
              <w:rPr>
                <w:sz w:val="20"/>
                <w:szCs w:val="20"/>
                <w:color w:val="auto"/>
              </w:rPr>
            </w:pPr>
            <w:r>
              <w:rPr>
                <w:rFonts w:ascii="Courier New" w:cs="Courier New" w:eastAsia="Courier New" w:hAnsi="Courier New"/>
                <w:sz w:val="14"/>
                <w:szCs w:val="14"/>
                <w:color w:val="auto"/>
              </w:rPr>
              <w:t>Adjustment for pro forma income taxes (3)</w:t>
            </w:r>
          </w:p>
        </w:tc>
        <w:tc>
          <w:tcPr>
            <w:tcW w:w="6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00" w:type="dxa"/>
            <w:vAlign w:val="bottom"/>
            <w:vMerge w:val="continue"/>
          </w:tcPr>
          <w:p>
            <w:pPr>
              <w:spacing w:after="0"/>
              <w:rPr>
                <w:sz w:val="21"/>
                <w:szCs w:val="21"/>
                <w:color w:val="auto"/>
              </w:rPr>
            </w:pPr>
          </w:p>
        </w:tc>
        <w:tc>
          <w:tcPr>
            <w:tcW w:w="10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ourier New" w:cs="Courier New" w:eastAsia="Courier New" w:hAnsi="Courier New"/>
                <w:sz w:val="14"/>
                <w:szCs w:val="14"/>
                <w:color w:val="auto"/>
              </w:rPr>
              <w:t>Pro</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forma</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6340" w:type="dxa"/>
            <w:vAlign w:val="bottom"/>
          </w:tcPr>
          <w:p>
            <w:pPr>
              <w:jc w:val="right"/>
              <w:ind w:right="5268"/>
              <w:spacing w:after="0"/>
              <w:rPr>
                <w:sz w:val="20"/>
                <w:szCs w:val="20"/>
                <w:color w:val="auto"/>
              </w:rPr>
            </w:pPr>
            <w:r>
              <w:rPr>
                <w:rFonts w:ascii="Courier New" w:cs="Courier New" w:eastAsia="Courier New" w:hAnsi="Courier New"/>
                <w:sz w:val="14"/>
                <w:szCs w:val="14"/>
                <w:color w:val="auto"/>
              </w:rPr>
              <w:t>6,605</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per ordinary share:</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240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rPr>
              <w:t>$0.60</w:t>
            </w:r>
          </w:p>
        </w:tc>
      </w:tr>
    </w:tbl>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$0.56</w:t>
            </w:r>
          </w:p>
        </w:tc>
      </w:tr>
    </w:tbl>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77"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40" w:type="dxa"/>
        <w:tblCellMar>
          <w:top w:w="0" w:type="dxa"/>
          <w:left w:w="0" w:type="dxa"/>
          <w:bottom w:w="0" w:type="dxa"/>
          <w:right w:w="0" w:type="dxa"/>
        </w:tblCellMar>
      </w:tblPr>
      <w:tr>
        <w:trPr>
          <w:trHeight w:val="242"/>
        </w:trPr>
        <w:tc>
          <w:tcPr>
            <w:tcW w:w="25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As of May 31,</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500" w:type="dxa"/>
            <w:vAlign w:val="bottom"/>
          </w:tcPr>
          <w:p>
            <w:pPr>
              <w:spacing w:after="0"/>
              <w:rPr>
                <w:sz w:val="22"/>
                <w:szCs w:val="22"/>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2002</w:t>
            </w:r>
          </w:p>
        </w:tc>
        <w:tc>
          <w:tcPr>
            <w:tcW w:w="300" w:type="dxa"/>
            <w:vAlign w:val="bottom"/>
          </w:tcPr>
          <w:p>
            <w:pPr>
              <w:spacing w:after="0"/>
              <w:rPr>
                <w:sz w:val="22"/>
                <w:szCs w:val="22"/>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c>
          <w:tcPr>
            <w:tcW w:w="3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242"/>
        </w:trPr>
        <w:tc>
          <w:tcPr>
            <w:tcW w:w="2500" w:type="dxa"/>
            <w:vAlign w:val="bottom"/>
          </w:tcPr>
          <w:p>
            <w:pPr>
              <w:spacing w:after="0"/>
              <w:rPr>
                <w:sz w:val="21"/>
                <w:szCs w:val="21"/>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1"/>
                <w:szCs w:val="21"/>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2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 thousands)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25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3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$ 26,552</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$ 11,179</w:t>
            </w:r>
          </w:p>
        </w:tc>
        <w:tc>
          <w:tcPr>
            <w:tcW w:w="15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$ 36,291</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18,311</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55,678</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3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Short term investments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35,941</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18,551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23,085</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57,962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61,147</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72,923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53,827</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113,813</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100,118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128,967</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165,794</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235,014</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335,323</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11,518</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11,745</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7,126</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Government grants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476</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962</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1,140</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1,411</w:t>
            </w:r>
          </w:p>
        </w:tc>
        <w:tc>
          <w:tcPr>
            <w:tcW w:w="0" w:type="dxa"/>
            <w:vAlign w:val="bottom"/>
          </w:tcPr>
          <w:p>
            <w:pPr>
              <w:spacing w:after="0"/>
              <w:rPr>
                <w:sz w:val="1"/>
                <w:szCs w:val="1"/>
                <w:color w:val="auto"/>
              </w:rPr>
            </w:pPr>
          </w:p>
        </w:tc>
      </w:tr>
      <w:tr>
        <w:trPr>
          <w:trHeight w:val="242"/>
        </w:trPr>
        <w:tc>
          <w:tcPr>
            <w:tcW w:w="25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$77,053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$86,580</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$107,561</w:t>
            </w:r>
          </w:p>
        </w:tc>
        <w:tc>
          <w:tcPr>
            <w:tcW w:w="300" w:type="dxa"/>
            <w:vAlign w:val="bottom"/>
            <w:vMerge w:val="continue"/>
          </w:tcPr>
          <w:p>
            <w:pPr>
              <w:spacing w:after="0"/>
              <w:rPr>
                <w:sz w:val="21"/>
                <w:szCs w:val="21"/>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136,910</w:t>
            </w:r>
          </w:p>
        </w:tc>
        <w:tc>
          <w:tcPr>
            <w:tcW w:w="340" w:type="dxa"/>
            <w:vAlign w:val="bottom"/>
            <w:vMerge w:val="continue"/>
          </w:tcPr>
          <w:p>
            <w:pPr>
              <w:spacing w:after="0"/>
              <w:rPr>
                <w:sz w:val="21"/>
                <w:szCs w:val="2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216,760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(1)</w:t>
        <w:tab/>
        <w:t>Subcontractor costs comprise investigator payments and certain other</w:t>
      </w:r>
    </w:p>
    <w:p>
      <w:pPr>
        <w:sectPr>
          <w:pgSz w:w="11900" w:h="16851" w:orient="portrait"/>
          <w:cols w:equalWidth="0" w:num="1">
            <w:col w:w="10520"/>
          </w:cols>
          <w:pgMar w:left="220" w:top="756" w:right="1159" w:bottom="0" w:gutter="0" w:footer="0" w:header="0"/>
        </w:sectPr>
      </w:pPr>
    </w:p>
    <w:bookmarkStart w:id="4" w:name="page5"/>
    <w:bookmarkEnd w:id="4"/>
    <w:p>
      <w:pPr>
        <w:jc w:val="both"/>
        <w:ind w:left="421" w:right="3679"/>
        <w:spacing w:after="0" w:line="375" w:lineRule="auto"/>
        <w:rPr>
          <w:sz w:val="20"/>
          <w:szCs w:val="20"/>
          <w:color w:val="auto"/>
        </w:rPr>
      </w:pPr>
      <w:r>
        <w:rPr>
          <w:rFonts w:ascii="Courier New" w:cs="Courier New" w:eastAsia="Courier New" w:hAnsi="Courier New"/>
          <w:sz w:val="14"/>
          <w:szCs w:val="14"/>
          <w:color w:val="auto"/>
        </w:rPr>
        <w:t>costs reimbursed by clients under terms specific to each of ICON's contracts. See Note 2(d) to the consolidated financial statements.</w:t>
      </w:r>
    </w:p>
    <w:p>
      <w:pPr>
        <w:spacing w:after="0" w:line="1" w:lineRule="exact"/>
        <w:rPr>
          <w:sz w:val="20"/>
          <w:szCs w:val="20"/>
          <w:color w:val="auto"/>
        </w:rPr>
      </w:pPr>
    </w:p>
    <w:p>
      <w:pPr>
        <w:ind w:left="421" w:right="3419" w:hanging="421"/>
        <w:spacing w:after="0" w:line="292" w:lineRule="auto"/>
        <w:tabs>
          <w:tab w:leader="none" w:pos="42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per ordinary share is based on the weighted average number of outstanding ordinary shares and in the case of diluted net income per share includes potential ordinary shares from the exercise of options.</w:t>
      </w:r>
    </w:p>
    <w:p>
      <w:pPr>
        <w:spacing w:after="0" w:line="56" w:lineRule="exact"/>
        <w:rPr>
          <w:rFonts w:ascii="Courier New" w:cs="Courier New" w:eastAsia="Courier New" w:hAnsi="Courier New"/>
          <w:sz w:val="14"/>
          <w:szCs w:val="14"/>
          <w:color w:val="auto"/>
        </w:rPr>
      </w:pPr>
    </w:p>
    <w:p>
      <w:pPr>
        <w:ind w:left="421" w:right="3519" w:hanging="421"/>
        <w:spacing w:after="0" w:line="271" w:lineRule="auto"/>
        <w:tabs>
          <w:tab w:leader="none" w:pos="42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28, 2000, ICON completed a merger with Pacific Research Associates Inc. ("PRAI"), a company specializing in data management, statistical analysis, and medical and regulatory consulting based in Mountain View, USA. The merger with PRAI was accounted for as a pooling-of-interests transaction and accordingly, the historical financial information contained within this Form 20-F reflects the combined results of ICON and PRAI.</w:t>
      </w:r>
    </w:p>
    <w:p>
      <w:pPr>
        <w:spacing w:after="0" w:line="71" w:lineRule="exact"/>
        <w:rPr>
          <w:rFonts w:ascii="Courier New" w:cs="Courier New" w:eastAsia="Courier New" w:hAnsi="Courier New"/>
          <w:sz w:val="14"/>
          <w:szCs w:val="14"/>
          <w:color w:val="auto"/>
        </w:rPr>
      </w:pPr>
    </w:p>
    <w:p>
      <w:pPr>
        <w:ind w:left="421" w:right="3599"/>
        <w:spacing w:after="0" w:line="29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adjustment for pro forma income taxes is to normalize the tax charge in relation to PRAI. As PRAI was treated as an S-Corporation (with no corporate tax therefore charged to income) prior to the merger with ICON.</w:t>
      </w:r>
    </w:p>
    <w:p>
      <w:pPr>
        <w:spacing w:after="0" w:line="56" w:lineRule="exact"/>
        <w:rPr>
          <w:rFonts w:ascii="Courier New" w:cs="Courier New" w:eastAsia="Courier New" w:hAnsi="Courier New"/>
          <w:sz w:val="14"/>
          <w:szCs w:val="14"/>
          <w:color w:val="auto"/>
        </w:rPr>
      </w:pPr>
    </w:p>
    <w:p>
      <w:pPr>
        <w:ind w:left="421" w:right="3339" w:hanging="421"/>
        <w:spacing w:after="0" w:line="268" w:lineRule="auto"/>
        <w:tabs>
          <w:tab w:leader="none" w:pos="42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explained in Note 17 to our Audited Consolidated Financial Statements, ICON adopted Statement of Financial Accounting Standards ("SFAS") No.142 effective June 1, 2001. Under SFAS No.142, goodwill and intangible assets with indefinite lives are no longer amortized, but instead are tested for impairment at least annually. The following table provides a reconciliation of reported net income to adjusted net income and earnings per ordinary share excluding amortization expense for all periods presented:</w:t>
      </w:r>
    </w:p>
    <w:p>
      <w:pPr>
        <w:spacing w:after="0" w:line="200" w:lineRule="exact"/>
        <w:rPr>
          <w:sz w:val="20"/>
          <w:szCs w:val="20"/>
          <w:color w:val="auto"/>
        </w:rPr>
      </w:pPr>
    </w:p>
    <w:p>
      <w:pPr>
        <w:spacing w:after="0" w:line="371"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00"/>
          </w:cols>
          <w:pgMar w:left="659" w:top="115" w:right="1440" w:bottom="1440" w:gutter="0" w:footer="0" w:header="0"/>
        </w:sectPr>
      </w:pPr>
    </w:p>
    <w:bookmarkStart w:id="5" w:name="page6"/>
    <w:bookmarkEnd w:id="5"/>
    <w:tbl>
      <w:tblPr>
        <w:tblLayout w:type="fixed"/>
        <w:tblInd w:w="440" w:type="dxa"/>
        <w:tblCellMar>
          <w:top w:w="0" w:type="dxa"/>
          <w:left w:w="0" w:type="dxa"/>
          <w:bottom w:w="0" w:type="dxa"/>
          <w:right w:w="0" w:type="dxa"/>
        </w:tblCellMar>
      </w:tblPr>
      <w:tr>
        <w:trPr>
          <w:trHeight w:val="166"/>
        </w:trPr>
        <w:tc>
          <w:tcPr>
            <w:tcW w:w="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2001</w:t>
            </w:r>
          </w:p>
        </w:tc>
        <w:tc>
          <w:tcPr>
            <w:tcW w:w="1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Year ended May 31,</w:t>
            </w:r>
          </w:p>
        </w:tc>
        <w:tc>
          <w:tcPr>
            <w:tcW w:w="10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10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(in thousands)</w:t>
            </w: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4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$10,978</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$14,200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$18,283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$25,742</w:t>
            </w:r>
          </w:p>
        </w:tc>
        <w:tc>
          <w:tcPr>
            <w:tcW w:w="0" w:type="dxa"/>
            <w:vAlign w:val="bottom"/>
          </w:tcPr>
          <w:p>
            <w:pPr>
              <w:spacing w:after="0"/>
              <w:rPr>
                <w:sz w:val="1"/>
                <w:szCs w:val="1"/>
                <w:color w:val="auto"/>
              </w:rPr>
            </w:pPr>
          </w:p>
        </w:tc>
      </w:tr>
      <w:tr>
        <w:trPr>
          <w:trHeight w:val="192"/>
        </w:trPr>
        <w:tc>
          <w:tcPr>
            <w:tcW w:w="740" w:type="dxa"/>
            <w:vAlign w:val="bottom"/>
          </w:tcPr>
          <w:p>
            <w:pPr>
              <w:spacing w:after="0"/>
              <w:rPr>
                <w:sz w:val="20"/>
                <w:szCs w:val="20"/>
                <w:color w:val="auto"/>
              </w:rPr>
            </w:pPr>
            <w:r>
              <w:rPr>
                <w:rFonts w:ascii="Courier New" w:cs="Courier New" w:eastAsia="Courier New" w:hAnsi="Courier New"/>
                <w:sz w:val="14"/>
                <w:szCs w:val="14"/>
                <w:color w:val="auto"/>
              </w:rPr>
              <w:t>Add back</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goodwill amortization</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ind w:left="440"/>
        <w:spacing w:after="0"/>
        <w:rPr>
          <w:sz w:val="20"/>
          <w:szCs w:val="20"/>
          <w:color w:val="auto"/>
        </w:rPr>
      </w:pPr>
      <w:r>
        <w:rPr>
          <w:rFonts w:ascii="Courier New" w:cs="Courier New" w:eastAsia="Courier New" w:hAnsi="Courier New"/>
          <w:sz w:val="14"/>
          <w:szCs w:val="14"/>
          <w:color w:val="auto"/>
        </w:rPr>
        <w:t>------------------------------------------------ ------------- ------------ -------------- -------------- -------------</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3180" w:type="dxa"/>
            <w:vAlign w:val="bottom"/>
          </w:tcPr>
          <w:p>
            <w:pPr>
              <w:spacing w:after="0"/>
              <w:rPr>
                <w:sz w:val="20"/>
                <w:szCs w:val="20"/>
                <w:color w:val="auto"/>
              </w:rPr>
            </w:pPr>
            <w:r>
              <w:rPr>
                <w:rFonts w:ascii="Courier New" w:cs="Courier New" w:eastAsia="Courier New" w:hAnsi="Courier New"/>
                <w:sz w:val="14"/>
                <w:szCs w:val="14"/>
                <w:color w:val="auto"/>
              </w:rPr>
              <w:t>Adjusted net income</w:t>
            </w:r>
          </w:p>
        </w:tc>
        <w:tc>
          <w:tcPr>
            <w:tcW w:w="2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$6,106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$11,188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$14,200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$18,283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$25,742</w:t>
            </w:r>
          </w:p>
        </w:tc>
      </w:tr>
    </w:tbl>
    <w:p>
      <w:pPr>
        <w:ind w:left="440"/>
        <w:spacing w:after="0"/>
        <w:rPr>
          <w:sz w:val="20"/>
          <w:szCs w:val="20"/>
          <w:color w:val="auto"/>
        </w:rPr>
      </w:pPr>
      <w:r>
        <w:rPr>
          <w:rFonts w:ascii="Courier New" w:cs="Courier New" w:eastAsia="Courier New" w:hAnsi="Courier New"/>
          <w:sz w:val="14"/>
          <w:szCs w:val="14"/>
          <w:color w:val="auto"/>
        </w:rPr>
        <w:t>------------------------------------------------ ------------- ------------ -------------- -------------- -------------</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66"/>
        </w:trPr>
        <w:tc>
          <w:tcPr>
            <w:tcW w:w="4300" w:type="dxa"/>
            <w:vAlign w:val="bottom"/>
            <w:vMerge w:val="restart"/>
          </w:tcPr>
          <w:p>
            <w:pPr>
              <w:spacing w:after="0"/>
              <w:rPr>
                <w:sz w:val="20"/>
                <w:szCs w:val="20"/>
                <w:color w:val="auto"/>
              </w:rPr>
            </w:pPr>
            <w:r>
              <w:rPr>
                <w:rFonts w:ascii="Courier New" w:cs="Courier New" w:eastAsia="Courier New" w:hAnsi="Courier New"/>
                <w:sz w:val="14"/>
                <w:szCs w:val="14"/>
                <w:color w:val="auto"/>
              </w:rPr>
              <w:t>Basic net income per ordinary share reported</w:t>
            </w:r>
          </w:p>
        </w:tc>
        <w:tc>
          <w:tcPr>
            <w:tcW w:w="13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$0.55</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$0.97</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 dollars)</w:t>
            </w:r>
          </w:p>
        </w:tc>
        <w:tc>
          <w:tcPr>
            <w:tcW w:w="12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$1.55</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$1.94</w:t>
            </w:r>
          </w:p>
        </w:tc>
        <w:tc>
          <w:tcPr>
            <w:tcW w:w="0" w:type="dxa"/>
            <w:vAlign w:val="bottom"/>
          </w:tcPr>
          <w:p>
            <w:pPr>
              <w:spacing w:after="0"/>
              <w:rPr>
                <w:sz w:val="1"/>
                <w:szCs w:val="1"/>
                <w:color w:val="auto"/>
              </w:rPr>
            </w:pPr>
          </w:p>
        </w:tc>
      </w:tr>
      <w:tr>
        <w:trPr>
          <w:trHeight w:val="166"/>
        </w:trPr>
        <w:tc>
          <w:tcPr>
            <w:tcW w:w="43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w:t>
            </w:r>
          </w:p>
        </w:tc>
        <w:tc>
          <w:tcPr>
            <w:tcW w:w="1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00" w:type="dxa"/>
            <w:vAlign w:val="bottom"/>
          </w:tcPr>
          <w:p>
            <w:pPr>
              <w:spacing w:after="0"/>
              <w:rPr>
                <w:sz w:val="20"/>
                <w:szCs w:val="20"/>
                <w:color w:val="auto"/>
              </w:rPr>
            </w:pPr>
            <w:r>
              <w:rPr>
                <w:rFonts w:ascii="Courier New" w:cs="Courier New" w:eastAsia="Courier New" w:hAnsi="Courier New"/>
                <w:sz w:val="14"/>
                <w:szCs w:val="14"/>
                <w:color w:val="auto"/>
              </w:rPr>
              <w:t>Add back goodwill amortization</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$0.02</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ind w:left="440"/>
        <w:spacing w:after="0"/>
        <w:rPr>
          <w:sz w:val="20"/>
          <w:szCs w:val="20"/>
          <w:color w:val="auto"/>
        </w:rPr>
      </w:pPr>
      <w:r>
        <w:rPr>
          <w:rFonts w:ascii="Courier New" w:cs="Courier New" w:eastAsia="Courier New" w:hAnsi="Courier New"/>
          <w:sz w:val="14"/>
          <w:szCs w:val="14"/>
          <w:color w:val="auto"/>
        </w:rPr>
        <w:t>------------------------------------------------ ------------- ------------ -------------- -------------- -------------</w:t>
      </w:r>
    </w:p>
    <w:tbl>
      <w:tblPr>
        <w:tblLayout w:type="fixed"/>
        <w:tblInd w:w="440" w:type="dxa"/>
        <w:tblCellMar>
          <w:top w:w="0" w:type="dxa"/>
          <w:left w:w="0" w:type="dxa"/>
          <w:bottom w:w="0" w:type="dxa"/>
          <w:right w:w="0" w:type="dxa"/>
        </w:tblCellMar>
      </w:tblPr>
      <w:tr>
        <w:trPr>
          <w:trHeight w:val="147"/>
        </w:trPr>
        <w:tc>
          <w:tcPr>
            <w:tcW w:w="780" w:type="dxa"/>
            <w:vAlign w:val="bottom"/>
          </w:tcPr>
          <w:p>
            <w:pPr>
              <w:spacing w:after="0" w:line="147" w:lineRule="exact"/>
              <w:rPr>
                <w:sz w:val="20"/>
                <w:szCs w:val="20"/>
                <w:color w:val="auto"/>
              </w:rPr>
            </w:pPr>
            <w:r>
              <w:rPr>
                <w:rFonts w:ascii="Courier New" w:cs="Courier New" w:eastAsia="Courier New" w:hAnsi="Courier New"/>
                <w:sz w:val="14"/>
                <w:szCs w:val="14"/>
                <w:color w:val="auto"/>
              </w:rPr>
              <w:t>Adjusted</w:t>
            </w:r>
          </w:p>
        </w:tc>
        <w:tc>
          <w:tcPr>
            <w:tcW w:w="4820" w:type="dxa"/>
            <w:vAlign w:val="bottom"/>
          </w:tcPr>
          <w:p>
            <w:pPr>
              <w:jc w:val="right"/>
              <w:ind w:right="1488"/>
              <w:spacing w:after="0" w:line="147" w:lineRule="exact"/>
              <w:rPr>
                <w:sz w:val="20"/>
                <w:szCs w:val="20"/>
                <w:color w:val="auto"/>
              </w:rPr>
            </w:pPr>
            <w:r>
              <w:rPr>
                <w:rFonts w:ascii="Courier New" w:cs="Courier New" w:eastAsia="Courier New" w:hAnsi="Courier New"/>
                <w:sz w:val="14"/>
                <w:szCs w:val="14"/>
                <w:color w:val="auto"/>
              </w:rPr>
              <w:t>basic net income per  ordinary  share</w:t>
            </w:r>
          </w:p>
        </w:tc>
        <w:tc>
          <w:tcPr>
            <w:tcW w:w="120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$0.99</w:t>
            </w:r>
          </w:p>
        </w:tc>
        <w:tc>
          <w:tcPr>
            <w:tcW w:w="130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$1.22</w:t>
            </w:r>
          </w:p>
        </w:tc>
        <w:tc>
          <w:tcPr>
            <w:tcW w:w="12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$1.55</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$1.94</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4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$0.55</w:t>
            </w:r>
          </w:p>
        </w:tc>
        <w:tc>
          <w:tcPr>
            <w:tcW w:w="12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4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242"/>
        </w:trPr>
        <w:tc>
          <w:tcPr>
            <w:tcW w:w="4400" w:type="dxa"/>
            <w:vAlign w:val="bottom"/>
            <w:vMerge w:val="restart"/>
          </w:tcPr>
          <w:p>
            <w:pPr>
              <w:spacing w:after="0"/>
              <w:rPr>
                <w:sz w:val="20"/>
                <w:szCs w:val="20"/>
                <w:color w:val="auto"/>
              </w:rPr>
            </w:pPr>
            <w:r>
              <w:rPr>
                <w:rFonts w:ascii="Courier New" w:cs="Courier New" w:eastAsia="Courier New" w:hAnsi="Courier New"/>
                <w:sz w:val="14"/>
                <w:szCs w:val="14"/>
                <w:color w:val="auto"/>
              </w:rPr>
              <w:t>Diluted net income per ordinary share reported</w:t>
            </w: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 dollars)</w:t>
            </w: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4400" w:type="dxa"/>
            <w:vAlign w:val="bottom"/>
            <w:vMerge w:val="continue"/>
          </w:tcPr>
          <w:p>
            <w:pPr>
              <w:spacing w:after="0"/>
              <w:rPr>
                <w:sz w:val="12"/>
                <w:szCs w:val="12"/>
                <w:color w:val="auto"/>
              </w:rPr>
            </w:pPr>
          </w:p>
        </w:tc>
        <w:tc>
          <w:tcPr>
            <w:tcW w:w="12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$0.51</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$0.92</w:t>
            </w:r>
          </w:p>
        </w:tc>
        <w:tc>
          <w:tcPr>
            <w:tcW w:w="160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$1.16</w:t>
            </w:r>
          </w:p>
        </w:tc>
        <w:tc>
          <w:tcPr>
            <w:tcW w:w="12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$1.50</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$1.88</w:t>
            </w:r>
          </w:p>
        </w:tc>
        <w:tc>
          <w:tcPr>
            <w:tcW w:w="0" w:type="dxa"/>
            <w:vAlign w:val="bottom"/>
          </w:tcPr>
          <w:p>
            <w:pPr>
              <w:spacing w:after="0"/>
              <w:rPr>
                <w:sz w:val="1"/>
                <w:szCs w:val="1"/>
                <w:color w:val="auto"/>
              </w:rPr>
            </w:pPr>
          </w:p>
        </w:tc>
      </w:tr>
      <w:tr>
        <w:trPr>
          <w:trHeight w:val="90"/>
        </w:trPr>
        <w:tc>
          <w:tcPr>
            <w:tcW w:w="4400" w:type="dxa"/>
            <w:vAlign w:val="bottom"/>
            <w:vMerge w:val="restart"/>
          </w:tcPr>
          <w:p>
            <w:pPr>
              <w:spacing w:after="0"/>
              <w:rPr>
                <w:sz w:val="20"/>
                <w:szCs w:val="20"/>
                <w:color w:val="auto"/>
              </w:rPr>
            </w:pPr>
            <w:r>
              <w:rPr>
                <w:rFonts w:ascii="Courier New" w:cs="Courier New" w:eastAsia="Courier New" w:hAnsi="Courier New"/>
                <w:sz w:val="14"/>
                <w:szCs w:val="14"/>
                <w:color w:val="auto"/>
              </w:rPr>
              <w:t>Add back goodwill amortization</w:t>
            </w:r>
          </w:p>
        </w:tc>
        <w:tc>
          <w:tcPr>
            <w:tcW w:w="12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4400" w:type="dxa"/>
            <w:vAlign w:val="bottom"/>
            <w:vMerge w:val="continue"/>
          </w:tcPr>
          <w:p>
            <w:pPr>
              <w:spacing w:after="0"/>
              <w:rPr>
                <w:sz w:val="16"/>
                <w:szCs w:val="16"/>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$0.02</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ind w:left="440"/>
        <w:spacing w:after="0"/>
        <w:rPr>
          <w:sz w:val="20"/>
          <w:szCs w:val="20"/>
          <w:color w:val="auto"/>
        </w:rPr>
      </w:pPr>
      <w:r>
        <w:rPr>
          <w:rFonts w:ascii="Courier New" w:cs="Courier New" w:eastAsia="Courier New" w:hAnsi="Courier New"/>
          <w:sz w:val="14"/>
          <w:szCs w:val="14"/>
          <w:color w:val="auto"/>
        </w:rPr>
        <w:t>------------------------------------------------ ------------- ------------ -------------- -------------- -------------</w:t>
      </w:r>
    </w:p>
    <w:tbl>
      <w:tblPr>
        <w:tblLayout w:type="fixed"/>
        <w:tblInd w:w="440" w:type="dxa"/>
        <w:tblCellMar>
          <w:top w:w="0" w:type="dxa"/>
          <w:left w:w="0" w:type="dxa"/>
          <w:bottom w:w="0" w:type="dxa"/>
          <w:right w:w="0" w:type="dxa"/>
        </w:tblCellMar>
      </w:tblPr>
      <w:tr>
        <w:trPr>
          <w:trHeight w:val="147"/>
        </w:trPr>
        <w:tc>
          <w:tcPr>
            <w:tcW w:w="780" w:type="dxa"/>
            <w:vAlign w:val="bottom"/>
          </w:tcPr>
          <w:p>
            <w:pPr>
              <w:spacing w:after="0" w:line="147" w:lineRule="exact"/>
              <w:rPr>
                <w:sz w:val="20"/>
                <w:szCs w:val="20"/>
                <w:color w:val="auto"/>
              </w:rPr>
            </w:pPr>
            <w:r>
              <w:rPr>
                <w:rFonts w:ascii="Courier New" w:cs="Courier New" w:eastAsia="Courier New" w:hAnsi="Courier New"/>
                <w:sz w:val="14"/>
                <w:szCs w:val="14"/>
                <w:color w:val="auto"/>
              </w:rPr>
              <w:t>Adjusted</w:t>
            </w:r>
          </w:p>
        </w:tc>
        <w:tc>
          <w:tcPr>
            <w:tcW w:w="4820" w:type="dxa"/>
            <w:vAlign w:val="bottom"/>
          </w:tcPr>
          <w:p>
            <w:pPr>
              <w:jc w:val="right"/>
              <w:ind w:right="1488"/>
              <w:spacing w:after="0" w:line="147" w:lineRule="exact"/>
              <w:rPr>
                <w:sz w:val="20"/>
                <w:szCs w:val="20"/>
                <w:color w:val="auto"/>
              </w:rPr>
            </w:pPr>
            <w:r>
              <w:rPr>
                <w:rFonts w:ascii="Courier New" w:cs="Courier New" w:eastAsia="Courier New" w:hAnsi="Courier New"/>
                <w:sz w:val="14"/>
                <w:szCs w:val="14"/>
                <w:color w:val="auto"/>
              </w:rPr>
              <w:t>diluted net income per ordinary share</w:t>
            </w:r>
          </w:p>
        </w:tc>
        <w:tc>
          <w:tcPr>
            <w:tcW w:w="120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$0.94</w:t>
            </w:r>
          </w:p>
        </w:tc>
        <w:tc>
          <w:tcPr>
            <w:tcW w:w="130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$1.16</w:t>
            </w:r>
          </w:p>
        </w:tc>
        <w:tc>
          <w:tcPr>
            <w:tcW w:w="12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$1.50</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$1.88</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4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$0.51</w:t>
            </w:r>
          </w:p>
        </w:tc>
        <w:tc>
          <w:tcPr>
            <w:tcW w:w="12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440"/>
        <w:spacing w:after="0"/>
        <w:rPr>
          <w:sz w:val="20"/>
          <w:szCs w:val="20"/>
          <w:color w:val="auto"/>
        </w:rPr>
      </w:pPr>
      <w:r>
        <w:rPr>
          <w:rFonts w:ascii="Courier New" w:cs="Courier New" w:eastAsia="Courier New" w:hAnsi="Courier New"/>
          <w:sz w:val="14"/>
          <w:szCs w:val="14"/>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780"/>
        <w:spacing w:after="0" w:line="337" w:lineRule="auto"/>
        <w:rPr>
          <w:sz w:val="20"/>
          <w:szCs w:val="20"/>
          <w:color w:val="auto"/>
        </w:rPr>
      </w:pPr>
      <w:r>
        <w:rPr>
          <w:rFonts w:ascii="Courier New" w:cs="Courier New" w:eastAsia="Courier New" w:hAnsi="Courier New"/>
          <w:sz w:val="14"/>
          <w:szCs w:val="14"/>
          <w:color w:val="auto"/>
        </w:rPr>
        <w:t>You should carefully consider the following factors and any other information in this document before deciding to purchase our American Depository Shares ("ADSs").</w:t>
      </w:r>
    </w:p>
    <w:p>
      <w:pPr>
        <w:spacing w:after="0" w:line="217" w:lineRule="exact"/>
        <w:rPr>
          <w:sz w:val="20"/>
          <w:szCs w:val="20"/>
          <w:color w:val="auto"/>
        </w:rPr>
      </w:pPr>
    </w:p>
    <w:p>
      <w:pPr>
        <w:ind w:right="3780"/>
        <w:spacing w:after="0" w:line="375" w:lineRule="auto"/>
        <w:rPr>
          <w:sz w:val="20"/>
          <w:szCs w:val="20"/>
          <w:color w:val="auto"/>
        </w:rPr>
      </w:pPr>
      <w:r>
        <w:rPr>
          <w:rFonts w:ascii="Courier New" w:cs="Courier New" w:eastAsia="Courier New" w:hAnsi="Courier New"/>
          <w:sz w:val="14"/>
          <w:szCs w:val="14"/>
          <w:color w:val="auto"/>
        </w:rPr>
        <w:t>We are dependent on the continued outsourcing of research and development by the pharmaceutical, biotechnology and medical device industries.</w:t>
      </w:r>
    </w:p>
    <w:p>
      <w:pPr>
        <w:spacing w:after="0" w:line="1" w:lineRule="exact"/>
        <w:rPr>
          <w:sz w:val="20"/>
          <w:szCs w:val="20"/>
          <w:color w:val="auto"/>
        </w:rPr>
      </w:pPr>
    </w:p>
    <w:p>
      <w:pPr>
        <w:ind w:right="3780" w:firstLine="431"/>
        <w:spacing w:after="0" w:line="261" w:lineRule="auto"/>
        <w:rPr>
          <w:sz w:val="20"/>
          <w:szCs w:val="20"/>
          <w:color w:val="auto"/>
        </w:rPr>
      </w:pPr>
      <w:r>
        <w:rPr>
          <w:rFonts w:ascii="Courier New" w:cs="Courier New" w:eastAsia="Courier New" w:hAnsi="Courier New"/>
          <w:sz w:val="14"/>
          <w:szCs w:val="14"/>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77" w:lineRule="exact"/>
        <w:rPr>
          <w:sz w:val="20"/>
          <w:szCs w:val="20"/>
          <w:color w:val="auto"/>
        </w:rPr>
      </w:pPr>
    </w:p>
    <w:p>
      <w:pPr>
        <w:ind w:right="3960"/>
        <w:spacing w:after="0" w:line="375" w:lineRule="auto"/>
        <w:rPr>
          <w:sz w:val="20"/>
          <w:szCs w:val="20"/>
          <w:color w:val="auto"/>
        </w:rPr>
      </w:pPr>
      <w:r>
        <w:rPr>
          <w:rFonts w:ascii="Courier New" w:cs="Courier New" w:eastAsia="Courier New" w:hAnsi="Courier New"/>
          <w:sz w:val="14"/>
          <w:szCs w:val="14"/>
          <w:color w:val="auto"/>
        </w:rPr>
        <w:t>We depend on a limited number of clients and a loss of or significant decrease in business from them could affect our business.</w:t>
      </w:r>
    </w:p>
    <w:p>
      <w:pPr>
        <w:spacing w:after="0" w:line="1" w:lineRule="exact"/>
        <w:rPr>
          <w:sz w:val="20"/>
          <w:szCs w:val="20"/>
          <w:color w:val="auto"/>
        </w:rPr>
      </w:pPr>
    </w:p>
    <w:p>
      <w:pPr>
        <w:ind w:right="3780" w:firstLine="431"/>
        <w:spacing w:after="0" w:line="261" w:lineRule="auto"/>
        <w:rPr>
          <w:sz w:val="20"/>
          <w:szCs w:val="20"/>
          <w:color w:val="auto"/>
        </w:rPr>
      </w:pPr>
      <w:r>
        <w:rPr>
          <w:rFonts w:ascii="Courier New" w:cs="Courier New" w:eastAsia="Courier New" w:hAnsi="Courier New"/>
          <w:sz w:val="14"/>
          <w:szCs w:val="14"/>
          <w:color w:val="auto"/>
        </w:rPr>
        <w:t>We have in the past and may in the future derive a significant portion of our net revenue from a relatively limited number of clients. During the fiscal year ended May 31, 2004, 40% of our net revenue was derived from our top five clients. In fiscal 2004, 17% of our net revenue was from Astra Zeneca, no other client contributed more then 10% of net revenues. During the fiscal year ended May 31, 2003, 51% of our net revenue was derived from our top five clients. In fiscal 2003, 21% of our net revenue was from Astra Zeneca, 11% from Sanofi-synthelabo inc. and 10% from Pfizer. During the fiscal year ended May 31, 2002, 60% of our net revenue was derived from our top five clients. In fiscal 2002, 16% of our net revenue was from Astra Zeneca, 14% from Pfizer and 12% from Bristol Myers Squibb. The loss of, or a significant decrease in business from, one or more of these clients could have a material adverse effect on our business.</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680"/>
          </w:cols>
          <w:pgMar w:left="220" w:top="1253" w:right="999" w:bottom="1440" w:gutter="0" w:footer="0" w:header="0"/>
        </w:sectPr>
      </w:pPr>
    </w:p>
    <w:bookmarkStart w:id="6" w:name="page7"/>
    <w:bookmarkEnd w:id="6"/>
    <w:p>
      <w:pPr>
        <w:ind w:right="3599"/>
        <w:spacing w:after="0" w:line="313" w:lineRule="auto"/>
        <w:rPr>
          <w:sz w:val="20"/>
          <w:szCs w:val="20"/>
          <w:color w:val="auto"/>
        </w:rPr>
      </w:pPr>
      <w:r>
        <w:rPr>
          <w:rFonts w:ascii="Courier New" w:cs="Courier New" w:eastAsia="Courier New" w:hAnsi="Courier New"/>
          <w:sz w:val="14"/>
          <w:szCs w:val="14"/>
          <w:color w:val="auto"/>
        </w:rPr>
        <w:t>If our clients discontinue using our services, or cancel or discontinue projects, our revenue will be adversely affected and we may not receive their business in the future or may not be able to attract new clients.</w:t>
      </w:r>
    </w:p>
    <w:p>
      <w:pPr>
        <w:spacing w:after="0" w:line="42"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69" w:lineRule="exact"/>
        <w:rPr>
          <w:sz w:val="20"/>
          <w:szCs w:val="20"/>
          <w:color w:val="auto"/>
        </w:rPr>
      </w:pPr>
    </w:p>
    <w:p>
      <w:pPr>
        <w:ind w:left="860" w:right="3679" w:hanging="421"/>
        <w:spacing w:after="0" w:line="375"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products being tested to satisfy safety or efficacy requirements;</w:t>
      </w:r>
    </w:p>
    <w:p>
      <w:pPr>
        <w:spacing w:after="0" w:line="1"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unexpected or undesired clinical results of the product;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decision that a particular study is no longer necessary;</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insufficient patient enrollment or investigator recruitment; or</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production problems resulting in shortages of the drug.</w:t>
      </w:r>
    </w:p>
    <w:p>
      <w:pPr>
        <w:spacing w:after="0" w:line="173" w:lineRule="exact"/>
        <w:rPr>
          <w:sz w:val="20"/>
          <w:szCs w:val="20"/>
          <w:color w:val="auto"/>
        </w:rPr>
      </w:pPr>
    </w:p>
    <w:p>
      <w:pPr>
        <w:ind w:right="3859"/>
        <w:spacing w:after="0" w:line="376" w:lineRule="auto"/>
        <w:rPr>
          <w:sz w:val="20"/>
          <w:szCs w:val="20"/>
          <w:color w:val="auto"/>
        </w:rPr>
      </w:pPr>
      <w:r>
        <w:rPr>
          <w:rFonts w:ascii="Courier New" w:cs="Courier New" w:eastAsia="Courier New" w:hAnsi="Courier New"/>
          <w:sz w:val="14"/>
          <w:szCs w:val="14"/>
          <w:color w:val="auto"/>
        </w:rPr>
        <w:t>If we lose clients, we may not be able to attract new ones, and if we lose individual projects, we may not be able to replace them.</w:t>
      </w:r>
    </w:p>
    <w:p>
      <w:pPr>
        <w:spacing w:after="0" w:line="166"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56" w:lineRule="exact"/>
        <w:rPr>
          <w:sz w:val="20"/>
          <w:szCs w:val="20"/>
          <w:color w:val="auto"/>
        </w:rPr>
      </w:pPr>
    </w:p>
    <w:p>
      <w:pPr>
        <w:ind w:right="3419" w:firstLine="431"/>
        <w:spacing w:after="0" w:line="264" w:lineRule="auto"/>
        <w:rPr>
          <w:sz w:val="20"/>
          <w:szCs w:val="20"/>
          <w:color w:val="auto"/>
        </w:rPr>
      </w:pPr>
      <w:r>
        <w:rPr>
          <w:rFonts w:ascii="Courier New" w:cs="Courier New" w:eastAsia="Courier New" w:hAnsi="Courier New"/>
          <w:sz w:val="14"/>
          <w:szCs w:val="14"/>
          <w:color w:val="auto"/>
        </w:rPr>
        <w:t>The market for CROs is highly competitive. We primarily compete against in-house departments of pharmaceutical companies and other CROs including Quintiles Transnational Corporation, Covance Inc., PAREXEL International Corp., Kendle International Inc., Ingenix Inc. (United Health), Omnicare Inc., PRA Inc., MDS Inc., Inveresk Research Group, Inc. and Pharmaceutical Product Development, Inc.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w:t>
      </w:r>
    </w:p>
    <w:p>
      <w:pPr>
        <w:spacing w:after="0" w:line="77" w:lineRule="exact"/>
        <w:rPr>
          <w:sz w:val="20"/>
          <w:szCs w:val="20"/>
          <w:color w:val="auto"/>
        </w:rPr>
      </w:pPr>
    </w:p>
    <w:p>
      <w:pPr>
        <w:ind w:right="3419" w:firstLine="431"/>
        <w:spacing w:after="0" w:line="375" w:lineRule="auto"/>
        <w:rPr>
          <w:sz w:val="20"/>
          <w:szCs w:val="20"/>
          <w:color w:val="auto"/>
        </w:rPr>
      </w:pPr>
      <w:r>
        <w:rPr>
          <w:rFonts w:ascii="Courier New" w:cs="Courier New" w:eastAsia="Courier New" w:hAnsi="Courier New"/>
          <w:sz w:val="14"/>
          <w:szCs w:val="14"/>
          <w:color w:val="auto"/>
        </w:rPr>
        <w:t>Any of these factors may prevent us from getting the opportunity to bid on new projects or prevent us from being competitive in bidding on new contracts.</w:t>
      </w:r>
    </w:p>
    <w:p>
      <w:pPr>
        <w:spacing w:after="0" w:line="1"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Our quarterly results are dependent upon a number of factors and can fluctuate from quarter to quarter.</w:t>
      </w:r>
    </w:p>
    <w:p>
      <w:pPr>
        <w:spacing w:after="0" w:line="1"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Our results of operations in any quarter can fluctuate depending upon, among other things, the number and scope of ongoing client projects, the commencement, postponement, variation and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250" w:lineRule="exact"/>
        <w:rPr>
          <w:sz w:val="20"/>
          <w:szCs w:val="20"/>
          <w:color w:val="auto"/>
        </w:rPr>
      </w:pPr>
    </w:p>
    <w:p>
      <w:pPr>
        <w:ind w:right="3679"/>
        <w:spacing w:after="0" w:line="313" w:lineRule="auto"/>
        <w:rPr>
          <w:sz w:val="20"/>
          <w:szCs w:val="20"/>
          <w:color w:val="auto"/>
        </w:rPr>
      </w:pPr>
      <w:r>
        <w:rPr>
          <w:rFonts w:ascii="Courier New" w:cs="Courier New" w:eastAsia="Courier New" w:hAnsi="Courier New"/>
          <w:sz w:val="14"/>
          <w:szCs w:val="14"/>
          <w:color w:val="auto"/>
        </w:rPr>
        <w:t>Approximately 80% of our net revenue is earned from long-term fixed-fee contracts. We would lose money in performing these contracts if the costs of performance exceed the fixed fees for these projects.</w:t>
      </w:r>
    </w:p>
    <w:p>
      <w:pPr>
        <w:spacing w:after="0" w:line="42" w:lineRule="exact"/>
        <w:rPr>
          <w:sz w:val="20"/>
          <w:szCs w:val="20"/>
          <w:color w:val="auto"/>
        </w:rPr>
      </w:pPr>
    </w:p>
    <w:p>
      <w:pPr>
        <w:ind w:right="3419" w:firstLine="431"/>
        <w:spacing w:after="0" w:line="271" w:lineRule="auto"/>
        <w:rPr>
          <w:sz w:val="20"/>
          <w:szCs w:val="20"/>
          <w:color w:val="auto"/>
        </w:rPr>
      </w:pPr>
      <w:r>
        <w:rPr>
          <w:rFonts w:ascii="Courier New" w:cs="Courier New" w:eastAsia="Courier New" w:hAnsi="Courier New"/>
          <w:sz w:val="14"/>
          <w:szCs w:val="14"/>
          <w:color w:val="auto"/>
        </w:rPr>
        <w:t>Approximately 80%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If we fail to attract or retain qualified staff, our performance may suffer.</w:t>
      </w:r>
    </w:p>
    <w:p>
      <w:pPr>
        <w:spacing w:after="0" w:line="173"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biotechnology and medical device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74"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Failure to comply with the regulations of the U.S. Food and Drug Administration and other regulatory authorities could result in substantial penalties and/or loss of business.</w:t>
      </w:r>
    </w:p>
    <w:p>
      <w:pPr>
        <w:spacing w:after="0" w:line="42"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69" w:lineRule="exact"/>
        <w:rPr>
          <w:sz w:val="20"/>
          <w:szCs w:val="20"/>
          <w:color w:val="auto"/>
        </w:rPr>
      </w:pPr>
    </w:p>
    <w:p>
      <w:pPr>
        <w:ind w:left="860" w:hanging="421"/>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of any research;</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disqualification of data;</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denial of the right to conduct business;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criminal penalties; and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enforcement actions.</w:t>
      </w:r>
    </w:p>
    <w:p>
      <w:pPr>
        <w:spacing w:after="0" w:line="173" w:lineRule="exact"/>
        <w:rPr>
          <w:sz w:val="20"/>
          <w:szCs w:val="20"/>
          <w:color w:val="auto"/>
        </w:rPr>
      </w:pPr>
    </w:p>
    <w:p>
      <w:pPr>
        <w:ind w:right="3339"/>
        <w:spacing w:after="0" w:line="375" w:lineRule="auto"/>
        <w:rPr>
          <w:sz w:val="20"/>
          <w:szCs w:val="20"/>
          <w:color w:val="auto"/>
        </w:rPr>
      </w:pPr>
      <w:r>
        <w:rPr>
          <w:rFonts w:ascii="Courier New" w:cs="Courier New" w:eastAsia="Courier New" w:hAnsi="Courier New"/>
          <w:sz w:val="14"/>
          <w:szCs w:val="14"/>
          <w:color w:val="auto"/>
        </w:rPr>
        <w:t>Our exposure to exchange rate fluctuations could adversely affect our results of operations.</w:t>
      </w:r>
    </w:p>
    <w:p>
      <w:pPr>
        <w:spacing w:after="0" w:line="1"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We derived approximately 37.6% of our consolidated net revenue in 2004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72"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w:t>
      </w:r>
    </w:p>
    <w:p>
      <w:pPr>
        <w:spacing w:after="0" w:line="72" w:lineRule="exact"/>
        <w:rPr>
          <w:sz w:val="20"/>
          <w:szCs w:val="20"/>
          <w:color w:val="auto"/>
        </w:rPr>
      </w:pPr>
    </w:p>
    <w:p>
      <w:pPr>
        <w:ind w:right="3859"/>
        <w:spacing w:after="0" w:line="375" w:lineRule="auto"/>
        <w:rPr>
          <w:sz w:val="20"/>
          <w:szCs w:val="20"/>
          <w:color w:val="auto"/>
        </w:rPr>
      </w:pPr>
      <w:r>
        <w:rPr>
          <w:rFonts w:ascii="Courier New" w:cs="Courier New" w:eastAsia="Courier New" w:hAnsi="Courier New"/>
          <w:sz w:val="14"/>
          <w:szCs w:val="14"/>
          <w:color w:val="auto"/>
        </w:rPr>
        <w:t>Liability claims brought against us could result in payment of substantial damages to plaintiffs and decrease our profitability.</w:t>
      </w:r>
    </w:p>
    <w:p>
      <w:pPr>
        <w:spacing w:after="0" w:line="1" w:lineRule="exact"/>
        <w:rPr>
          <w:sz w:val="20"/>
          <w:szCs w:val="20"/>
          <w:color w:val="auto"/>
        </w:rPr>
      </w:pPr>
    </w:p>
    <w:p>
      <w:pPr>
        <w:ind w:right="3599" w:firstLine="431"/>
        <w:spacing w:after="0" w:line="268" w:lineRule="auto"/>
        <w:rPr>
          <w:sz w:val="20"/>
          <w:szCs w:val="20"/>
          <w:color w:val="auto"/>
        </w:rPr>
      </w:pPr>
      <w:r>
        <w:rPr>
          <w:rFonts w:ascii="Courier New" w:cs="Courier New" w:eastAsia="Courier New" w:hAnsi="Courier New"/>
          <w:sz w:val="14"/>
          <w:szCs w:val="14"/>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74"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w:t>
      </w:r>
    </w:p>
    <w:p>
      <w:pPr>
        <w:spacing w:after="0" w:line="62"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In addition, we maintain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1087" w:right="1440" w:bottom="1440" w:gutter="0" w:footer="0" w:header="0"/>
        </w:sectPr>
      </w:pPr>
    </w:p>
    <w:bookmarkStart w:id="8" w:name="page9"/>
    <w:bookmarkEnd w:id="8"/>
    <w:p>
      <w:pPr>
        <w:spacing w:after="0"/>
        <w:tabs>
          <w:tab w:leader="none" w:pos="760" w:val="left"/>
        </w:tabs>
        <w:rPr>
          <w:sz w:val="20"/>
          <w:szCs w:val="20"/>
          <w:color w:val="auto"/>
        </w:rPr>
      </w:pPr>
      <w:r>
        <w:rPr>
          <w:rFonts w:ascii="Courier New" w:cs="Courier New" w:eastAsia="Courier New" w:hAnsi="Courier New"/>
          <w:sz w:val="14"/>
          <w:szCs w:val="14"/>
          <w:color w:val="auto"/>
        </w:rPr>
        <w:t>Item 4.</w:t>
        <w:tab/>
        <w:t>Information on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May 31, 2004, we had approximately 2,450 employees and operations in 33 locations in 20 countries, including the United States and major markets in Europe and Rest of World and have managed clinical trials in over 50 countries. For the fiscal year ended May 31, 2004, we derived approximately 62.4%, 34.0% and 3.6% of our net revenue in the United States, Europe and Rest of World, respectively.</w:t>
      </w:r>
    </w:p>
    <w:p>
      <w:pPr>
        <w:spacing w:after="0" w:line="77"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Headquartered in Dublin, Ireland, we began operations in 1990 and have expanded our business through internal growth and strategic acquisitions.</w:t>
      </w:r>
    </w:p>
    <w:p>
      <w:pPr>
        <w:spacing w:after="0" w:line="1"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During the fiscal year ended May 31, 2004, we commenced operations in Budapest, Hungary, Barcelona, Spain, and Hong Kong, China.</w:t>
      </w:r>
    </w:p>
    <w:p>
      <w:pPr>
        <w:spacing w:after="0" w:line="1" w:lineRule="exact"/>
        <w:rPr>
          <w:sz w:val="20"/>
          <w:szCs w:val="20"/>
          <w:color w:val="auto"/>
        </w:rPr>
      </w:pPr>
    </w:p>
    <w:p>
      <w:pPr>
        <w:ind w:right="3599"/>
        <w:spacing w:after="0" w:line="292" w:lineRule="auto"/>
        <w:rPr>
          <w:sz w:val="20"/>
          <w:szCs w:val="20"/>
          <w:color w:val="auto"/>
        </w:rPr>
      </w:pPr>
      <w:r>
        <w:rPr>
          <w:rFonts w:ascii="Courier New" w:cs="Courier New" w:eastAsia="Courier New" w:hAnsi="Courier New"/>
          <w:sz w:val="14"/>
          <w:szCs w:val="14"/>
          <w:color w:val="auto"/>
        </w:rPr>
        <w:t>On July 3, 2003, we entered into a creditline facility for a total of U.S.$60 million. This facility was entered into jointly with Bank of Ireland plc and Ulster Bank Ireland Ltd, and replaced existing Allied Irish Banks plc and PNC facilities.</w:t>
      </w:r>
    </w:p>
    <w:p>
      <w:pPr>
        <w:spacing w:after="0" w:line="56"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On August 6, 2003, we completed a secondary offering on the NASDAQ exchange raising approximately $44.3 million, after the deduction of costs, through the issuance of an additional 1.5 million shares at $32.25 per share.</w:t>
      </w:r>
    </w:p>
    <w:p>
      <w:pPr>
        <w:spacing w:after="0" w:line="42"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On September 9, 2003, we completed the acquisition of Globomax LLC, a leading US drug development company which provides a range of development and consulting services to the pharmaceutical, biotechnology industries and medical device.</w:t>
      </w:r>
    </w:p>
    <w:p>
      <w:pPr>
        <w:spacing w:after="0" w:line="42" w:lineRule="exact"/>
        <w:rPr>
          <w:sz w:val="20"/>
          <w:szCs w:val="20"/>
          <w:color w:val="auto"/>
        </w:rPr>
      </w:pPr>
    </w:p>
    <w:p>
      <w:pPr>
        <w:ind w:right="3599"/>
        <w:spacing w:after="0" w:line="292" w:lineRule="auto"/>
        <w:rPr>
          <w:sz w:val="20"/>
          <w:szCs w:val="20"/>
          <w:color w:val="auto"/>
        </w:rPr>
      </w:pPr>
      <w:r>
        <w:rPr>
          <w:rFonts w:ascii="Courier New" w:cs="Courier New" w:eastAsia="Courier New" w:hAnsi="Courier New"/>
          <w:sz w:val="14"/>
          <w:szCs w:val="14"/>
          <w:color w:val="auto"/>
        </w:rPr>
        <w:t>On July 1, 2004 we acquired 70% of the outstanding share capital of Beacon Bioscience, Inc., a leading specialist CRO, which provides a range of medical imaging services to the pharmaceutical, biotechnology and medical device industries.</w:t>
      </w:r>
    </w:p>
    <w:p>
      <w:pPr>
        <w:spacing w:after="0" w:line="56"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ICON plc's principal executive office is located at: South County Business Park, Leopardstown, Dublin 18, Republic of Ireland. The contact telephone number of this office is 353 (1) 291 2000.</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Industry Overview</w:t>
      </w:r>
    </w:p>
    <w:p>
      <w:pPr>
        <w:spacing w:after="0" w:line="173" w:lineRule="exact"/>
        <w:rPr>
          <w:sz w:val="20"/>
          <w:szCs w:val="20"/>
          <w:color w:val="auto"/>
        </w:rPr>
      </w:pPr>
    </w:p>
    <w:p>
      <w:pPr>
        <w:ind w:right="3339" w:firstLine="431"/>
        <w:spacing w:after="0" w:line="262" w:lineRule="auto"/>
        <w:rPr>
          <w:sz w:val="20"/>
          <w:szCs w:val="20"/>
          <w:color w:val="auto"/>
        </w:rPr>
      </w:pPr>
      <w:r>
        <w:rPr>
          <w:rFonts w:ascii="Courier New" w:cs="Courier New" w:eastAsia="Courier New" w:hAnsi="Courier New"/>
          <w:sz w:val="14"/>
          <w:szCs w:val="14"/>
          <w:color w:val="auto"/>
        </w:rPr>
        <w:t>The CRO industry provides independent product development services for the pharmaceutical, biotechnology and medical device industries. Companies in these industries outsource product development services to CROs in order to manage the drug development process more efficiently and cost-effectively to maximize the profit potential of patent-protected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central laboratory and regulatory affairs services. CROs are required to provide these services in accordance with good clinical and laboratory practices, as governed by the applicable regulatory authorities.</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0" w:right="1440" w:bottom="1440" w:gutter="0" w:footer="0" w:header="0"/>
        </w:sectPr>
      </w:pPr>
    </w:p>
    <w:bookmarkStart w:id="9" w:name="page10"/>
    <w:bookmarkEnd w:id="9"/>
    <w:p>
      <w:pPr>
        <w:ind w:right="3339" w:firstLine="431"/>
        <w:spacing w:after="0" w:line="257" w:lineRule="auto"/>
        <w:rPr>
          <w:sz w:val="20"/>
          <w:szCs w:val="20"/>
          <w:color w:val="auto"/>
        </w:rPr>
      </w:pPr>
      <w:r>
        <w:rPr>
          <w:rFonts w:ascii="Courier New" w:cs="Courier New" w:eastAsia="Courier New" w:hAnsi="Courier New"/>
          <w:sz w:val="14"/>
          <w:szCs w:val="14"/>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 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biotechnology and medical device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Trends Affecting the CRO Industry</w:t>
      </w:r>
    </w:p>
    <w:p>
      <w:pPr>
        <w:spacing w:after="0" w:line="17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CROs derive substantially all of their revenue from the research and development expenditures of pharmaceutical, biotechnology and medical device companies. Based on industry surveys and investment analyst research, we estimate that clinical development expenditures outsourced by pharmaceutical and biotechnology companies worldwide in 2003 was in excess of $14 billion. We believe that the following trends create further growth opportunities for global CROs, although there is no assurance that growth will materialize.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Increasing Drug Development Activity.</w:t>
      </w:r>
    </w:p>
    <w:p>
      <w:pPr>
        <w:spacing w:after="0" w:line="173"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Recent improvements in drug discovery and screening technology, biotechnology and disease pathology have reduced the time to develop new drug candidates. These improvements, combined with the threat of patent expirations on existing drugs, have led drug developers to increase the rate at which they are creating new drug candidates for clinical trials. As the number of trials that need to be performed increases, we believe that drug developers will increasingly rely on CROs to manage these trials in order to continue to focus on drug discovery. In addition, as many biotechnology companies do not have a clinical development infrastructure, we believe that the services offered by CROs will continue to be in demand from such companies.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Pressure to Accelerate Time to Markets; Globalization of the Marketplace.</w:t>
      </w:r>
    </w:p>
    <w:p>
      <w:pPr>
        <w:spacing w:after="0" w:line="173" w:lineRule="exact"/>
        <w:rPr>
          <w:sz w:val="20"/>
          <w:szCs w:val="20"/>
          <w:color w:val="auto"/>
        </w:rPr>
      </w:pPr>
    </w:p>
    <w:p>
      <w:pPr>
        <w:ind w:right="3519"/>
        <w:spacing w:after="0" w:line="264" w:lineRule="auto"/>
        <w:rPr>
          <w:sz w:val="20"/>
          <w:szCs w:val="20"/>
          <w:color w:val="auto"/>
        </w:rPr>
      </w:pPr>
      <w:r>
        <w:rPr>
          <w:rFonts w:ascii="Courier New" w:cs="Courier New" w:eastAsia="Courier New" w:hAnsi="Courier New"/>
          <w:sz w:val="14"/>
          <w:szCs w:val="14"/>
          <w:color w:val="auto"/>
        </w:rPr>
        <w:t>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Containment Pressures.</w:t>
      </w:r>
    </w:p>
    <w:p>
      <w:pPr>
        <w:spacing w:after="0" w:line="173"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Over the last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Increasing Number of Large Long-Term Post-Marketing Studies.</w:t>
      </w:r>
    </w:p>
    <w:p>
      <w:pPr>
        <w:spacing w:after="0" w:line="173" w:lineRule="exact"/>
        <w:rPr>
          <w:sz w:val="20"/>
          <w:szCs w:val="20"/>
          <w:color w:val="auto"/>
        </w:rPr>
      </w:pPr>
    </w:p>
    <w:p>
      <w:pPr>
        <w:ind w:right="3939"/>
        <w:spacing w:after="0" w:line="292" w:lineRule="auto"/>
        <w:rPr>
          <w:sz w:val="20"/>
          <w:szCs w:val="20"/>
          <w:color w:val="auto"/>
        </w:rPr>
      </w:pPr>
      <w:r>
        <w:rPr>
          <w:rFonts w:ascii="Courier New" w:cs="Courier New" w:eastAsia="Courier New" w:hAnsi="Courier New"/>
          <w:sz w:val="14"/>
          <w:szCs w:val="14"/>
          <w:color w:val="auto"/>
        </w:rPr>
        <w:t>We believe that to establish competitive claims and to encourage drug prescription by physicians in some large and competitive categories, more clients need to conduct outcome studies to demonstrate, for example, that mortality rates are</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0" w:right="1440" w:bottom="1440" w:gutter="0" w:footer="0" w:header="0"/>
        </w:sectPr>
      </w:pPr>
    </w:p>
    <w:bookmarkStart w:id="10" w:name="page11"/>
    <w:bookmarkEnd w:id="10"/>
    <w:p>
      <w:pPr>
        <w:ind w:right="3419"/>
        <w:spacing w:after="0" w:line="275" w:lineRule="auto"/>
        <w:rPr>
          <w:sz w:val="20"/>
          <w:szCs w:val="20"/>
          <w:color w:val="auto"/>
        </w:rPr>
      </w:pPr>
      <w:r>
        <w:rPr>
          <w:rFonts w:ascii="Courier New" w:cs="Courier New" w:eastAsia="Courier New" w:hAnsi="Courier New"/>
          <w:sz w:val="14"/>
          <w:szCs w:val="14"/>
          <w:color w:val="auto"/>
        </w:rPr>
        <w:t>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Increasing Regulatory Demands.</w:t>
      </w:r>
    </w:p>
    <w:p>
      <w:pPr>
        <w:spacing w:after="0" w:line="173"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Operating Procedures</w:t>
      </w:r>
    </w:p>
    <w:p>
      <w:pPr>
        <w:spacing w:after="0" w:line="173"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We have developed a unique operating model for clinical trial projects based on a "dedicated team approach" in which a team of full time professionals, operating out of centralized offices, is assigned exclusively to each project. This contrasts with the approach of many competitors whose staff typically work on multiple projects at once, sometimes operating from non-office bases in remote locations and some of whom may be part-time. We believe that this operating model offers the following advantages:</w:t>
      </w:r>
    </w:p>
    <w:p>
      <w:pPr>
        <w:spacing w:after="0" w:line="72" w:lineRule="exact"/>
        <w:rPr>
          <w:sz w:val="20"/>
          <w:szCs w:val="20"/>
          <w:color w:val="auto"/>
        </w:rPr>
      </w:pPr>
    </w:p>
    <w:p>
      <w:pPr>
        <w:ind w:left="860" w:right="3679" w:hanging="421"/>
        <w:spacing w:after="0" w:line="375"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client's project receives undivided attention and is executed efficiently as team members do not have conflicting demands;</w:t>
      </w:r>
    </w:p>
    <w:p>
      <w:pPr>
        <w:spacing w:after="0" w:line="1" w:lineRule="exact"/>
        <w:rPr>
          <w:rFonts w:ascii="Courier New" w:cs="Courier New" w:eastAsia="Courier New" w:hAnsi="Courier New"/>
          <w:sz w:val="14"/>
          <w:szCs w:val="14"/>
          <w:color w:val="auto"/>
        </w:rPr>
      </w:pPr>
    </w:p>
    <w:p>
      <w:pPr>
        <w:ind w:left="860" w:right="3419" w:hanging="421"/>
        <w:spacing w:after="0" w:line="375"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conflicting demands on the project team also ensures a high quality service;</w:t>
      </w:r>
    </w:p>
    <w:p>
      <w:pPr>
        <w:spacing w:after="0" w:line="1" w:lineRule="exact"/>
        <w:rPr>
          <w:rFonts w:ascii="Courier New" w:cs="Courier New" w:eastAsia="Courier New" w:hAnsi="Courier New"/>
          <w:sz w:val="14"/>
          <w:szCs w:val="14"/>
          <w:color w:val="auto"/>
        </w:rPr>
      </w:pPr>
    </w:p>
    <w:p>
      <w:pPr>
        <w:ind w:left="860" w:right="3419" w:hanging="421"/>
        <w:spacing w:after="0" w:line="375"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dedicated team approach allows us to develop strong relationships with our clients and to be more responsive to our clients' needs;</w:t>
      </w:r>
    </w:p>
    <w:p>
      <w:pPr>
        <w:spacing w:after="0" w:line="1" w:lineRule="exact"/>
        <w:rPr>
          <w:rFonts w:ascii="Courier New" w:cs="Courier New" w:eastAsia="Courier New" w:hAnsi="Courier New"/>
          <w:sz w:val="14"/>
          <w:szCs w:val="14"/>
          <w:color w:val="auto"/>
        </w:rPr>
      </w:pPr>
    </w:p>
    <w:p>
      <w:pPr>
        <w:ind w:left="860" w:right="3339" w:hanging="421"/>
        <w:spacing w:after="0" w:line="375"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focused project teams facilitate efficient supervision of the project, enhance productivity and improve cost control; and</w:t>
      </w:r>
    </w:p>
    <w:p>
      <w:pPr>
        <w:spacing w:after="0" w:line="1" w:lineRule="exact"/>
        <w:rPr>
          <w:rFonts w:ascii="Courier New" w:cs="Courier New" w:eastAsia="Courier New" w:hAnsi="Courier New"/>
          <w:sz w:val="14"/>
          <w:szCs w:val="14"/>
          <w:color w:val="auto"/>
        </w:rPr>
      </w:pPr>
    </w:p>
    <w:p>
      <w:pPr>
        <w:ind w:left="860" w:right="3339" w:hanging="421"/>
        <w:spacing w:after="0" w:line="375" w:lineRule="auto"/>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administration is required to co-ordinate assignments, leading to a more streamlined corporate management structure.</w:t>
      </w:r>
    </w:p>
    <w:p>
      <w:pPr>
        <w:spacing w:after="0" w:line="1" w:lineRule="exact"/>
        <w:rPr>
          <w:sz w:val="20"/>
          <w:szCs w:val="20"/>
          <w:color w:val="auto"/>
        </w:rPr>
      </w:pPr>
    </w:p>
    <w:p>
      <w:pPr>
        <w:ind w:right="4019"/>
        <w:spacing w:after="0" w:line="375" w:lineRule="auto"/>
        <w:rPr>
          <w:sz w:val="20"/>
          <w:szCs w:val="20"/>
          <w:color w:val="auto"/>
        </w:rPr>
      </w:pPr>
      <w:r>
        <w:rPr>
          <w:rFonts w:ascii="Courier New" w:cs="Courier New" w:eastAsia="Courier New" w:hAnsi="Courier New"/>
          <w:sz w:val="14"/>
          <w:szCs w:val="14"/>
          <w:color w:val="auto"/>
        </w:rPr>
        <w:t>We believe our dedicated team approach has led to repeat business and an expanding client base.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Strategy</w:t>
      </w:r>
    </w:p>
    <w:p>
      <w:pPr>
        <w:spacing w:after="0" w:line="173" w:lineRule="exact"/>
        <w:rPr>
          <w:sz w:val="20"/>
          <w:szCs w:val="20"/>
          <w:color w:val="auto"/>
        </w:rPr>
      </w:pPr>
    </w:p>
    <w:p>
      <w:pPr>
        <w:ind w:right="3339"/>
        <w:spacing w:after="0" w:line="269" w:lineRule="auto"/>
        <w:rPr>
          <w:sz w:val="20"/>
          <w:szCs w:val="20"/>
          <w:color w:val="auto"/>
        </w:rPr>
      </w:pPr>
      <w:r>
        <w:rPr>
          <w:rFonts w:ascii="Courier New" w:cs="Courier New" w:eastAsia="Courier New" w:hAnsi="Courier New"/>
          <w:sz w:val="14"/>
          <w:szCs w:val="14"/>
          <w:color w:val="auto"/>
        </w:rPr>
        <w:t>We believe that our operating model based on dedicated teams differentiates us from our competition in the CRO industry and enables us to deliver high quality services to our clients. Our strategy is to continue to grow by applying this model to penetrate further our existing client base and add new clients. We intend to implement our strategy by continuing to deliver high quality services, by increasing our geographic presence and by expanding the scale and range of our services. We intend to supplement our internal growth with strategic acquisitions.</w:t>
      </w:r>
    </w:p>
    <w:p>
      <w:pPr>
        <w:spacing w:after="0" w:line="246" w:lineRule="exact"/>
        <w:rPr>
          <w:sz w:val="20"/>
          <w:szCs w:val="20"/>
          <w:color w:val="auto"/>
        </w:rPr>
      </w:pPr>
    </w:p>
    <w:p>
      <w:pPr>
        <w:ind w:right="3339"/>
        <w:spacing w:after="0" w:line="269" w:lineRule="auto"/>
        <w:rPr>
          <w:sz w:val="20"/>
          <w:szCs w:val="20"/>
          <w:color w:val="auto"/>
        </w:rPr>
      </w:pPr>
      <w:r>
        <w:rPr>
          <w:rFonts w:ascii="Courier New" w:cs="Courier New" w:eastAsia="Courier New" w:hAnsi="Courier New"/>
          <w:sz w:val="14"/>
          <w:szCs w:val="14"/>
          <w:color w:val="auto"/>
        </w:rPr>
        <w:t>Continue to Deliver High Quality Services and Customer Satisfaction. We believe that our dedicated team approach allows us to provide high quality, timely and cost effective services that are designed to be highly responsive to our clients' needs. We believe that the resulting customer satisfaction and enhanced reputation in the industry will continue to enable us to penetrate our existing client base and add new clients. In the fiscal year ended May 31, 2004, approximately 97% of our net revenue was derived from second or subsequent projects with clients.</w:t>
      </w:r>
    </w:p>
    <w:p>
      <w:pPr>
        <w:spacing w:after="0" w:line="246" w:lineRule="exact"/>
        <w:rPr>
          <w:sz w:val="20"/>
          <w:szCs w:val="20"/>
          <w:color w:val="auto"/>
        </w:rPr>
      </w:pPr>
    </w:p>
    <w:p>
      <w:pPr>
        <w:ind w:right="3519"/>
        <w:spacing w:after="0" w:line="271" w:lineRule="auto"/>
        <w:rPr>
          <w:sz w:val="20"/>
          <w:szCs w:val="20"/>
          <w:color w:val="auto"/>
        </w:rPr>
      </w:pPr>
      <w:r>
        <w:rPr>
          <w:rFonts w:ascii="Courier New" w:cs="Courier New" w:eastAsia="Courier New" w:hAnsi="Courier New"/>
          <w:sz w:val="14"/>
          <w:szCs w:val="14"/>
          <w:color w:val="auto"/>
        </w:rPr>
        <w:t>Expand Geographic Presence. We believe that the capability to provide our services on a global basis in most major and developing pharmaceutical markets enhances our ability to compete for new business from large multinational pharmaceutical, biotechnology and medical device companies. We have expanded geographically through the establishment of 33 offices in 20 countries and intend to continue expanding into regions that have the potential to increase our client base or increase our investigator and patient populations.</w:t>
      </w: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56" w:right="1440" w:bottom="1440" w:gutter="0" w:footer="0" w:header="0"/>
        </w:sectPr>
      </w:pPr>
    </w:p>
    <w:bookmarkStart w:id="11" w:name="page12"/>
    <w:bookmarkEnd w:id="11"/>
    <w:p>
      <w:pPr>
        <w:ind w:right="3339"/>
        <w:spacing w:after="0" w:line="277" w:lineRule="auto"/>
        <w:rPr>
          <w:sz w:val="20"/>
          <w:szCs w:val="20"/>
          <w:color w:val="auto"/>
        </w:rPr>
      </w:pPr>
      <w:r>
        <w:rPr>
          <w:rFonts w:ascii="Courier New" w:cs="Courier New" w:eastAsia="Courier New" w:hAnsi="Courier New"/>
          <w:sz w:val="14"/>
          <w:szCs w:val="14"/>
          <w:color w:val="auto"/>
        </w:rPr>
        <w:t>Increase Scale and Range of Services. We seek to enhance our competitive position by increasing the scale and range of our services. We intend to expand our clinical trials, central laboratory, IVRS (interactive voice recognition system), data management, statistical and consulting operations in order to capitalize further on the outsourcing opportunities currently available from our clients.</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w:t>
      </w:r>
    </w:p>
    <w:p>
      <w:pPr>
        <w:spacing w:after="0" w:line="17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Consistent high quality performance is what we have come to stand for with our clients, and a large part of our continued success is due to the high quality standards we have set and delivered on projects to date. The achievement of these quality goals is made possible by the implementation and maintenance of an effective quality management system, which not only ensures that our business and quality objectives are achieved, but which is sufficiently dynamic to rapidly respond to changes in the clinical research and regulatory environments.</w:t>
      </w:r>
    </w:p>
    <w:p>
      <w:pPr>
        <w:spacing w:after="0" w:line="72"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We maintain an integrated quality management system, which is designed to serve the business needs while complying with Good Corporate Practice ("GCP") guidelines, and which is structured according to the requirements of ISO 9000 international standards. The quality management documentation includes over 700 standard operating procedures ("SOP"s), working procedures and policies that are implemented on a global basis. In addition, our independent quality assurance division has the responsibility for assuring that processes conform to pre-determined quality, ethical and regulatory standards.</w:t>
      </w:r>
    </w:p>
    <w:p>
      <w:pPr>
        <w:spacing w:after="0" w:line="74"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One of the driving forces behind our quality performance is management commitment to ISO 9000. Since 1994 when we were first registered to ISO 9002, we have continued to undergo several quality systems surveillance audits each year, in order to maintain global registration. In 2003 we attained the new ISO 9001:2000 standard.</w:t>
      </w:r>
    </w:p>
    <w:p>
      <w:pPr>
        <w:spacing w:after="0" w:line="62"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This global registration is unique in the industry and demonstrates our commitment to providing exceptional clinical research management services. We remain the only CRO to have ISO registration across all offices and functions.</w:t>
      </w:r>
    </w:p>
    <w:p>
      <w:pPr>
        <w:spacing w:after="0" w:line="42"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During fiscal 2004, our Phase I unit achieved ISO 9001:2000 registration and more new offices are scheduled to undergo the registration audits in 2005. These include offices in South Africa and Canada. Further improvements are resulting in a more effective internal auditing strategy, which combines the advantages and efficiency of operational risk assessment, with a process-focused approach on tasks that are critical to quality and customer satisfaction.</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590" w:right="1440" w:bottom="1440" w:gutter="0" w:footer="0" w:header="0"/>
        </w:sectPr>
      </w:pPr>
    </w:p>
    <w:bookmarkStart w:id="12" w:name="page13"/>
    <w:bookmarkEnd w:id="12"/>
    <w:p>
      <w:pPr>
        <w:ind w:right="3519"/>
        <w:spacing w:after="0" w:line="292" w:lineRule="auto"/>
        <w:rPr>
          <w:sz w:val="20"/>
          <w:szCs w:val="20"/>
          <w:color w:val="auto"/>
        </w:rPr>
      </w:pPr>
      <w:r>
        <w:rPr>
          <w:rFonts w:ascii="Courier New" w:cs="Courier New" w:eastAsia="Courier New" w:hAnsi="Courier New"/>
          <w:sz w:val="14"/>
          <w:szCs w:val="14"/>
          <w:color w:val="auto"/>
        </w:rPr>
        <w:t>The range of clinical research services we provide facilitates the collection, analysis and reporting of clinical trials data, which will ultimately become part of a client's drug registration submission. The range of services is outlined below:</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Clinical Pharmacology</w:t>
      </w:r>
    </w:p>
    <w:p>
      <w:pPr>
        <w:spacing w:after="0" w:line="173" w:lineRule="exact"/>
        <w:rPr>
          <w:sz w:val="20"/>
          <w:szCs w:val="20"/>
          <w:color w:val="auto"/>
        </w:rPr>
      </w:pPr>
    </w:p>
    <w:p>
      <w:pPr>
        <w:ind w:right="3859"/>
        <w:spacing w:after="0" w:line="282" w:lineRule="auto"/>
        <w:rPr>
          <w:sz w:val="20"/>
          <w:szCs w:val="20"/>
          <w:color w:val="auto"/>
        </w:rPr>
      </w:pPr>
      <w:r>
        <w:rPr>
          <w:rFonts w:ascii="Courier New" w:cs="Courier New" w:eastAsia="Courier New" w:hAnsi="Courier New"/>
          <w:sz w:val="14"/>
          <w:szCs w:val="14"/>
          <w:color w:val="auto"/>
        </w:rPr>
        <w:t>A critical step in the clinical development process is the confirmation of safety and efficiency in new drug candiates. This is achieved through the execution of Clinical Pharmacology or Phase I studies. These studies are undertaken to determine the metabolic and pharmacological effects of drug candidates in healthy volunteers.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Bioanalysis</w:t>
      </w:r>
    </w:p>
    <w:p>
      <w:pPr>
        <w:spacing w:after="0" w:line="173"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Supporting the clinical development process, bioanalysis is carried to source the data required for pharmacokinetic and pharmacodynamic analysis. Bioanalysis quantifies the drug and its major metabolites in samples collected from cell culture media, plasma, serum, and urine.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Pharmacokinetic and Pharmacodynamic analysis</w:t>
      </w:r>
    </w:p>
    <w:p>
      <w:pPr>
        <w:spacing w:after="0" w:line="173"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Pharmacokinetic analysis is carried out to measure the effects of absorption, distribution and elimination of a drug and its metabolites. Pharmacodynamic analysis access the effects of new drug candidate on the physiology of the body</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Study Protocol Preparation</w:t>
      </w:r>
    </w:p>
    <w:p>
      <w:pPr>
        <w:spacing w:after="0" w:line="173"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This study protocol is the critical document provided to the investigator which defines the study and details the procedures which must be followed for the proper conduct of the trial. ICON has extensive experience in preparing study protocols in a broad range of therapeutic areas.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Case Report Form ("CRF") Preparation</w:t>
      </w:r>
    </w:p>
    <w:p>
      <w:pPr>
        <w:spacing w:after="0" w:line="173"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The CRF is a study specific document in which the investigator records all relevant information on a trial patient in accordance with the requirements of the protocol. ICON has the capability of producing CRFs for a wide variety of therapeutic indications and in all required languages.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Clinical Trial Approvals</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Prior to start-up, all clinical trials must be approved by the relevant government agencies, by institutional review boards and ethics committees and by certain other bodies in accordance with local requirements. ICON has extensive experience in obtaining such approvals on a multinational basis.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Investigator Recruitment</w:t>
      </w:r>
    </w:p>
    <w:p>
      <w:pPr>
        <w:spacing w:after="0" w:line="173"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The success of a clinical trial is dependent upon finding experienced investigators who are capable of performing clinical trials in accordance with the highest ethical and scientific standards. We have a database of several thousand such investigators who are experienced in numerous therapeutic areas and who have successfully completed many clinical trials for us.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Study Monitoring and Data Collection</w:t>
      </w:r>
    </w:p>
    <w:p>
      <w:pPr>
        <w:spacing w:after="0" w:line="173" w:lineRule="exact"/>
        <w:rPr>
          <w:sz w:val="20"/>
          <w:szCs w:val="20"/>
          <w:color w:val="auto"/>
        </w:rPr>
      </w:pPr>
    </w:p>
    <w:p>
      <w:pPr>
        <w:ind w:right="4019"/>
        <w:spacing w:after="0" w:line="313" w:lineRule="auto"/>
        <w:rPr>
          <w:sz w:val="20"/>
          <w:szCs w:val="20"/>
          <w:color w:val="auto"/>
        </w:rPr>
      </w:pPr>
      <w:r>
        <w:rPr>
          <w:rFonts w:ascii="Courier New" w:cs="Courier New" w:eastAsia="Courier New" w:hAnsi="Courier New"/>
          <w:sz w:val="14"/>
          <w:szCs w:val="14"/>
          <w:color w:val="auto"/>
        </w:rPr>
        <w:t>As patients in a clinical trial are examined and tests are conducted in accordance with the study protocol, patient data is recorded on CRFs and laboratory reports. In order to ensure accurate results, we provide:</w:t>
      </w:r>
    </w:p>
    <w:p>
      <w:pPr>
        <w:spacing w:after="0" w:line="42" w:lineRule="exact"/>
        <w:rPr>
          <w:sz w:val="20"/>
          <w:szCs w:val="20"/>
          <w:color w:val="auto"/>
        </w:rPr>
      </w:pPr>
    </w:p>
    <w:p>
      <w:pPr>
        <w:jc w:val="both"/>
        <w:ind w:left="860" w:right="3599" w:hanging="421"/>
        <w:spacing w:after="0" w:line="263" w:lineRule="auto"/>
        <w:tabs>
          <w:tab w:leader="none" w:pos="8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Specially trained monitors who visit sites regularly to ensure that the CRFs are completed correctly and that all data specified in the protocol are collected.</w:t>
      </w:r>
    </w:p>
    <w:p>
      <w:pPr>
        <w:spacing w:after="0" w:line="2" w:lineRule="exact"/>
        <w:rPr>
          <w:sz w:val="20"/>
          <w:szCs w:val="20"/>
          <w:color w:val="auto"/>
        </w:rPr>
      </w:pPr>
    </w:p>
    <w:p>
      <w:pPr>
        <w:ind w:left="860" w:right="3339" w:hanging="421"/>
        <w:spacing w:after="0" w:line="250" w:lineRule="auto"/>
        <w:tabs>
          <w:tab w:leader="none" w:pos="8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Personnel who review CRFs for consistency and accuracy before the data is entered into an electronic database.</w:t>
      </w:r>
    </w:p>
    <w:p>
      <w:pPr>
        <w:spacing w:after="0" w:line="1" w:lineRule="exact"/>
        <w:rPr>
          <w:sz w:val="20"/>
          <w:szCs w:val="20"/>
          <w:color w:val="auto"/>
        </w:rPr>
      </w:pPr>
    </w:p>
    <w:p>
      <w:pPr>
        <w:ind w:left="860" w:right="3339" w:hanging="421"/>
        <w:spacing w:after="0" w:line="293" w:lineRule="auto"/>
        <w:tabs>
          <w:tab w:leader="none" w:pos="8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Study monitoring and data collection services which comply with the FDA's good clinical practice guide lines and other relevant regulatory requirements.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Patient Safety Monitoring</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In a clinical trial, patient safety is paramount. We have teams of trained physicians and paramedical staff who review any serious adverse events which may occur during a trial and prepare detailed reports of these events on a timely basis for the pharmaceutical company and regulatory bodies as required.</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Clinical Data Management</w:t>
      </w:r>
    </w:p>
    <w:p>
      <w:pPr>
        <w:spacing w:after="0" w:line="173"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As the study progresses, the data from the CRFs is entered into databases that are designed in accordance with the specifications of the project and the particular needs of the client. We provide:</w:t>
      </w:r>
    </w:p>
    <w:p>
      <w:pPr>
        <w:spacing w:after="0" w:line="42" w:lineRule="exact"/>
        <w:rPr>
          <w:sz w:val="20"/>
          <w:szCs w:val="20"/>
          <w:color w:val="auto"/>
        </w:rPr>
      </w:pPr>
    </w:p>
    <w:p>
      <w:pPr>
        <w:ind w:left="860" w:right="3679" w:hanging="421"/>
        <w:spacing w:after="0" w:line="270" w:lineRule="auto"/>
        <w:tabs>
          <w:tab w:leader="none" w:pos="8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Personnel who screen the data to detect errors, omissions or other deficiencies prior to data entry.</w:t>
      </w:r>
    </w:p>
    <w:p>
      <w:pPr>
        <w:ind w:left="860" w:right="4019" w:hanging="421"/>
        <w:spacing w:after="0" w:line="250" w:lineRule="auto"/>
        <w:tabs>
          <w:tab w:leader="none" w:pos="8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Study specific computer programs which are written in order to validate the data.</w:t>
      </w:r>
    </w:p>
    <w:p>
      <w:pPr>
        <w:spacing w:after="0" w:line="1" w:lineRule="exact"/>
        <w:rPr>
          <w:sz w:val="20"/>
          <w:szCs w:val="20"/>
          <w:color w:val="auto"/>
        </w:rPr>
      </w:pPr>
    </w:p>
    <w:p>
      <w:pPr>
        <w:ind w:left="860" w:right="3339" w:hanging="421"/>
        <w:spacing w:after="0" w:line="336" w:lineRule="auto"/>
        <w:tabs>
          <w:tab w:leader="none" w:pos="8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creation of a final database that is electronically transferred to a biostatistical group for subsequent analysis.</w:t>
      </w:r>
    </w:p>
    <w:p>
      <w:pPr>
        <w:spacing w:after="0" w:line="1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56" w:right="1440" w:bottom="12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Biostatistical Services</w:t>
      </w:r>
    </w:p>
    <w:p>
      <w:pPr>
        <w:spacing w:after="0" w:line="173"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Our biostatistical group primarily provides detailed analyses of data generated from clinical trials. In addition to providing this in-house statistical support, our biostatisticians assist clients with all phases of drug development through biostatistical consulting, database design, data analysis and statistical reporting.</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Medical Reporting</w:t>
      </w:r>
    </w:p>
    <w:p>
      <w:pPr>
        <w:spacing w:after="0" w:line="173"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The results of the statistical analysis of the data collected during the trial, together with other clinical data are included in a final clinical trial report, which may then become part of the drug registration submission. ICON's medical reporting team prepare this report and may assist in the presentation of the data in different formats, including for journal publication or for presentation to international symposia.</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Laboratory Services</w:t>
      </w:r>
    </w:p>
    <w:p>
      <w:pPr>
        <w:spacing w:after="0" w:line="173"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An important element in monitoring patient safety during a clinical trial is the conduct of various laboratory tests on the patient's blood, urine and other bodily fluids at appropriate intervals during the trial. The analysis of these samples must be standardized and the results must be promptly transmitted to the investigator. Our central laboratory operation provides:</w:t>
      </w:r>
    </w:p>
    <w:p>
      <w:pPr>
        <w:spacing w:after="0" w:line="62" w:lineRule="exact"/>
        <w:rPr>
          <w:sz w:val="20"/>
          <w:szCs w:val="20"/>
          <w:color w:val="auto"/>
        </w:rPr>
      </w:pPr>
    </w:p>
    <w:p>
      <w:pPr>
        <w:ind w:left="860" w:hanging="421"/>
        <w:spacing w:after="0"/>
        <w:tabs>
          <w:tab w:leader="none" w:pos="8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broad range of sample analyses.</w:t>
      </w:r>
    </w:p>
    <w:p>
      <w:pPr>
        <w:spacing w:after="0" w:line="33" w:lineRule="exact"/>
        <w:rPr>
          <w:sz w:val="20"/>
          <w:szCs w:val="20"/>
          <w:color w:val="auto"/>
        </w:rPr>
      </w:pPr>
    </w:p>
    <w:p>
      <w:pPr>
        <w:ind w:left="860" w:right="3419" w:hanging="421"/>
        <w:spacing w:after="0" w:line="250" w:lineRule="auto"/>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efficient logistics system to ensure rapid receipt of samples from the investigator. . State of the art analytical technology.</w:t>
      </w:r>
    </w:p>
    <w:p>
      <w:pPr>
        <w:spacing w:after="0" w:line="1" w:lineRule="exact"/>
        <w:rPr>
          <w:sz w:val="20"/>
          <w:szCs w:val="20"/>
          <w:color w:val="auto"/>
        </w:rPr>
      </w:pPr>
    </w:p>
    <w:p>
      <w:pPr>
        <w:ind w:right="4199" w:firstLine="439"/>
        <w:spacing w:after="0" w:line="481" w:lineRule="auto"/>
        <w:tabs>
          <w:tab w:leader="none" w:pos="86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Electronic transmission of test results to the investigator. IVR (Interactive Voice Response)</w:t>
      </w:r>
    </w:p>
    <w:p>
      <w:pPr>
        <w:spacing w:after="0" w:line="1" w:lineRule="exact"/>
        <w:rPr>
          <w:sz w:val="20"/>
          <w:szCs w:val="20"/>
          <w:color w:val="auto"/>
        </w:rPr>
      </w:pPr>
    </w:p>
    <w:p>
      <w:pPr>
        <w:jc w:val="both"/>
        <w:ind w:right="3679"/>
        <w:spacing w:after="0" w:line="292" w:lineRule="auto"/>
        <w:rPr>
          <w:sz w:val="20"/>
          <w:szCs w:val="20"/>
          <w:color w:val="auto"/>
        </w:rPr>
      </w:pPr>
      <w:r>
        <w:rPr>
          <w:rFonts w:ascii="Courier New" w:cs="Courier New" w:eastAsia="Courier New" w:hAnsi="Courier New"/>
          <w:sz w:val="14"/>
          <w:szCs w:val="14"/>
          <w:color w:val="auto"/>
        </w:rPr>
        <w:t>IVR systems use the global telecommunication networks to transfer data to a single, centrally located database. IVR systems are used in clinical studies primarily for study site administration, enrolling and randomizing patients, management of clinical supplies and collection of patient diaries.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Animal Health</w:t>
      </w:r>
    </w:p>
    <w:p>
      <w:pPr>
        <w:spacing w:after="0" w:line="173"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The Animal Health division of ICON has broad capabilities in clinical research for the development of drugs, vaccines, and devices for the global animal health industry. The combination of expertise and geographical reach puts ICON in the top tier of animal CROs globally. This group has been dedicated to animal health clinical research for over 10 years and has experience in all target species and all major pharmacological classes. Capabilities include: Complete clinical project management, contract monitoring, data management, statistical analysis, quality assurance services, final study reports, development consulting and post-marketing survey management.</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Consultancy</w:t>
      </w:r>
    </w:p>
    <w:p>
      <w:pPr>
        <w:spacing w:after="0" w:line="173"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Medicinal products are subject to strict regulatory requirements throughout their development, testing and marketing. Authorization by drug regulatory authorities is necessary prior to any product being marketed. The regulatory processes and requirements are lengthy and complex. ICON's regulatory consultancy division provides consultancy on global regulatory requirements during development, advises on suitability of client's documentation for regulatory approvals, prepares and submits applications for regulatory approvals and provides post licensing regulatory support services.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Drug Development Services</w:t>
      </w:r>
    </w:p>
    <w:p>
      <w:pPr>
        <w:spacing w:after="0" w:line="173"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The Strategic Development division of ICON has broad expertise and can offer a full range of global services including regulatory affairs, CMC strategy and management, product development strategy, project managemnt though all phases of clinical development, product life cycle management, qualility, compliance, pharmacokinetics, biopharmaceutics, biostatistics, clinical research, preclinical research, data management, programming and biostatistics.</w:t>
      </w: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0"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2"/>
        </w:trPr>
        <w:tc>
          <w:tcPr>
            <w:tcW w:w="1260" w:type="dxa"/>
            <w:vAlign w:val="bottom"/>
          </w:tcPr>
          <w:p>
            <w:pPr>
              <w:spacing w:after="0"/>
              <w:rPr>
                <w:sz w:val="20"/>
                <w:szCs w:val="20"/>
                <w:color w:val="auto"/>
              </w:rPr>
            </w:pPr>
            <w:r>
              <w:rPr>
                <w:rFonts w:ascii="Courier New" w:cs="Courier New" w:eastAsia="Courier New" w:hAnsi="Courier New"/>
                <w:sz w:val="14"/>
                <w:szCs w:val="14"/>
                <w:color w:val="auto"/>
              </w:rPr>
              <w:t>Organizational</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Structure</w:t>
            </w:r>
          </w:p>
        </w:tc>
        <w:tc>
          <w:tcPr>
            <w:tcW w:w="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828"/>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Name</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Country of incorporation</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Group ownership</w:t>
            </w:r>
          </w:p>
        </w:tc>
      </w:tr>
      <w:tr>
        <w:trPr>
          <w:trHeight w:val="497"/>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ICON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Clinical</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Research</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(UK) Limited</w:t>
            </w: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United Kingdom</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ICON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Clinical</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Research</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Inc.</w:t>
            </w: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USA</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ICON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Clinical</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Research</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Limited</w:t>
            </w: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Republic of Ireland</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ICON</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Japan K.K.</w:t>
            </w:r>
          </w:p>
        </w:tc>
        <w:tc>
          <w:tcPr>
            <w:tcW w:w="1720" w:type="dxa"/>
            <w:vAlign w:val="bottom"/>
          </w:tcPr>
          <w:p>
            <w:pPr>
              <w:spacing w:after="0"/>
              <w:rPr>
                <w:sz w:val="24"/>
                <w:szCs w:val="24"/>
                <w:color w:val="auto"/>
              </w:rPr>
            </w:pP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Japan</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ICON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Clinical</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Research</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GmbH</w:t>
            </w: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Germany</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ICON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Clinical</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Research</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Pty Limited</w:t>
            </w: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Australia</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ICON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Clinical</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Research</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S.A.</w:t>
            </w: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Argentina</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ICON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Clinical</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Research</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SARL</w:t>
            </w: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France</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ICON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Clinical</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Research</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Pte.</w:t>
            </w: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Singapore</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ICON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Clinical</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Research</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Israel Limited</w:t>
            </w: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Israel</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08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Medeval Group</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Limited</w:t>
            </w:r>
          </w:p>
        </w:tc>
        <w:tc>
          <w:tcPr>
            <w:tcW w:w="1720" w:type="dxa"/>
            <w:vAlign w:val="bottom"/>
          </w:tcPr>
          <w:p>
            <w:pPr>
              <w:spacing w:after="0"/>
              <w:rPr>
                <w:sz w:val="24"/>
                <w:szCs w:val="24"/>
                <w:color w:val="auto"/>
              </w:rPr>
            </w:pP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UK</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ICON</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Laboratories, Inc.</w:t>
            </w:r>
          </w:p>
        </w:tc>
        <w:tc>
          <w:tcPr>
            <w:tcW w:w="1720" w:type="dxa"/>
            <w:vAlign w:val="bottom"/>
          </w:tcPr>
          <w:p>
            <w:pPr>
              <w:spacing w:after="0"/>
              <w:rPr>
                <w:sz w:val="24"/>
                <w:szCs w:val="24"/>
                <w:color w:val="auto"/>
              </w:rPr>
            </w:pP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USA</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580" w:type="dxa"/>
            <w:vAlign w:val="bottom"/>
            <w:gridSpan w:val="4"/>
          </w:tcPr>
          <w:p>
            <w:pPr>
              <w:ind w:left="860"/>
              <w:spacing w:after="0"/>
              <w:rPr>
                <w:sz w:val="20"/>
                <w:szCs w:val="20"/>
                <w:color w:val="auto"/>
              </w:rPr>
            </w:pPr>
            <w:r>
              <w:rPr>
                <w:rFonts w:ascii="Courier New" w:cs="Courier New" w:eastAsia="Courier New" w:hAnsi="Courier New"/>
                <w:sz w:val="14"/>
                <w:szCs w:val="14"/>
                <w:color w:val="auto"/>
              </w:rPr>
              <w:t>Managed Clinical Solutions, Inc.</w:t>
            </w: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USA</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ICON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Clinical</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Research</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(Canada) Inc.</w:t>
            </w: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Canada</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08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Globomax LLC</w:t>
            </w: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USA</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ICON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Clinical</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Research</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Espana S.L.</w:t>
            </w: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Spain</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ICON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Clinical</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Research</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Kft</w:t>
            </w:r>
          </w:p>
        </w:tc>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Hungary</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828"/>
        </w:trPr>
        <w:tc>
          <w:tcPr>
            <w:tcW w:w="45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All shareholdings comprise ordinary shares.</w:t>
            </w:r>
          </w:p>
        </w:tc>
        <w:tc>
          <w:tcPr>
            <w:tcW w:w="30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5"/>
        </w:trPr>
        <w:tc>
          <w:tcPr>
            <w:tcW w:w="28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All subsidiary undertakings</w:t>
            </w:r>
          </w:p>
        </w:tc>
        <w:tc>
          <w:tcPr>
            <w:tcW w:w="4720" w:type="dxa"/>
            <w:vAlign w:val="bottom"/>
            <w:gridSpan w:val="2"/>
          </w:tcPr>
          <w:p>
            <w:pPr>
              <w:spacing w:after="0"/>
              <w:rPr>
                <w:sz w:val="20"/>
                <w:szCs w:val="20"/>
                <w:color w:val="auto"/>
              </w:rPr>
            </w:pPr>
            <w:r>
              <w:rPr>
                <w:rFonts w:ascii="Courier New" w:cs="Courier New" w:eastAsia="Courier New" w:hAnsi="Courier New"/>
                <w:sz w:val="14"/>
                <w:szCs w:val="14"/>
                <w:color w:val="auto"/>
              </w:rPr>
              <w:t>are involved in the provision of contract</w:t>
            </w:r>
          </w:p>
        </w:tc>
        <w:tc>
          <w:tcPr>
            <w:tcW w:w="1820" w:type="dxa"/>
            <w:vAlign w:val="bottom"/>
          </w:tcPr>
          <w:p>
            <w:pPr>
              <w:spacing w:after="0"/>
              <w:rPr>
                <w:sz w:val="22"/>
                <w:szCs w:val="22"/>
                <w:color w:val="auto"/>
              </w:rPr>
            </w:pPr>
          </w:p>
        </w:tc>
      </w:tr>
      <w:tr>
        <w:trPr>
          <w:trHeight w:val="166"/>
        </w:trPr>
        <w:tc>
          <w:tcPr>
            <w:tcW w:w="758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research services to the pharmaceutical, biotechnology and medical device</w:t>
            </w:r>
          </w:p>
        </w:tc>
        <w:tc>
          <w:tcPr>
            <w:tcW w:w="1820" w:type="dxa"/>
            <w:vAlign w:val="bottom"/>
          </w:tcPr>
          <w:p>
            <w:pPr>
              <w:spacing w:after="0"/>
              <w:rPr>
                <w:sz w:val="14"/>
                <w:szCs w:val="14"/>
                <w:color w:val="auto"/>
              </w:rPr>
            </w:pPr>
          </w:p>
        </w:tc>
      </w:tr>
      <w:tr>
        <w:trPr>
          <w:trHeight w:val="242"/>
        </w:trPr>
        <w:tc>
          <w:tcPr>
            <w:tcW w:w="2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industries.</w:t>
            </w:r>
          </w:p>
        </w:tc>
        <w:tc>
          <w:tcPr>
            <w:tcW w:w="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97"/>
        </w:trPr>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ind w:left="500"/>
              <w:spacing w:after="0"/>
              <w:rPr>
                <w:sz w:val="20"/>
                <w:szCs w:val="20"/>
                <w:color w:val="auto"/>
              </w:rPr>
            </w:pPr>
            <w:r>
              <w:rPr>
                <w:rFonts w:ascii="Courier New" w:cs="Courier New" w:eastAsia="Courier New" w:hAnsi="Courier New"/>
                <w:sz w:val="14"/>
                <w:szCs w:val="14"/>
                <w:color w:val="auto"/>
              </w:rPr>
              <w:t>13</w:t>
            </w:r>
          </w:p>
        </w:tc>
        <w:tc>
          <w:tcPr>
            <w:tcW w:w="30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0239"/>
          </w:cols>
          <w:pgMar w:left="220" w:top="75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Information Systems</w:t>
      </w:r>
    </w:p>
    <w:p>
      <w:pPr>
        <w:spacing w:after="0" w:line="17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Our information technology strategy is to build systems that help in the delivery of our business strategy. The focus is to provide ease of access to information for our staff and clients. Our current information systems are built around open standards and leading commercial hardware and software. All critical business systems are formally delivered following a documented approach. Critical clinical information systems which manage clinical data are validated in accordance with the latest FDA regulations.</w:t>
      </w:r>
    </w:p>
    <w:p>
      <w:pPr>
        <w:spacing w:after="0" w:line="72"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Recognizing that each client has its own requirements and systems, we seek to ensure an entirely flexible approach to client needs. An example of this flexibility includes linking directly to client systems or for a client to have access to designated ICON systems. Frequently, we have established secure wide area network, or WAN, links to the client's data systems, have trained our staff in those systems and have delivered data on-line to the client's database. We also provide secure remote access to our systems for clients to review their study information.</w:t>
      </w:r>
    </w:p>
    <w:p>
      <w:pPr>
        <w:spacing w:after="0" w:line="74"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We have deployed a suite of software applications that assist in the management of our activities. These software applications are both internally developed and commercially available applications from leading vendors in the industry. These include a clinical trials management application that tracks all relevant data in a trial and automates all management and reporting processes and an investigator grants management application which utilizes this tracking data to trigger payments when they become due to investigators.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WAP enabled device.</w:t>
      </w:r>
    </w:p>
    <w:p>
      <w:pPr>
        <w:spacing w:after="0" w:line="76"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In our central laboratory, we utilize a comprehensive suite of software, including a laboratory information management system (LIMS), a kit/sample management system and a web interface system to allow clients to review results online.</w:t>
      </w:r>
    </w:p>
    <w:p>
      <w:pPr>
        <w:spacing w:after="0" w:line="56"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Our IT systems are operated from two centralised hubs in Philadelphia and Dublin. Other offices are linked to these hubs through a resilient network that is both internally managed and outsourced to a leading telecommunications provider. Travelling staff can also access all systems via secure remote dial up facilities. A global corporate Intranet portal provides access to all authorized data and applications for our internal staff.</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w:t>
      </w:r>
    </w:p>
    <w:p>
      <w:pPr>
        <w:spacing w:after="0" w:line="173" w:lineRule="exact"/>
        <w:rPr>
          <w:sz w:val="20"/>
          <w:szCs w:val="20"/>
          <w:color w:val="auto"/>
        </w:rPr>
      </w:pPr>
    </w:p>
    <w:p>
      <w:pPr>
        <w:ind w:right="3519"/>
        <w:spacing w:after="0" w:line="275" w:lineRule="auto"/>
        <w:rPr>
          <w:sz w:val="20"/>
          <w:szCs w:val="20"/>
          <w:color w:val="auto"/>
        </w:rPr>
      </w:pPr>
      <w:r>
        <w:rPr>
          <w:rFonts w:ascii="Courier New" w:cs="Courier New" w:eastAsia="Courier New" w:hAnsi="Courier New"/>
          <w:sz w:val="14"/>
          <w:szCs w:val="14"/>
          <w:color w:val="auto"/>
        </w:rPr>
        <w:t>Our global sales and marketing strategy is to focus our business development efforts on pharmaceutical, biotechnology and medical device companies whose development projects are advancing. By developing and maintaining close relationships with our clients, we gain repeat business and achieve lateral penetration into other therapeutic divisions where applicable. Simultaneously, we are actively establishing new client relationships.</w:t>
      </w:r>
    </w:p>
    <w:p>
      <w:pPr>
        <w:spacing w:after="0" w:line="69"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While our sales and marketing activities are carried out locally by executives in each of our major locations, the sales and marketing process is coordinated centrally. In addition, all of our business development professionals, senior executives and project team leaders share responsibility for the maintenance of key client relationships and business development activities.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Clients</w:t>
      </w:r>
    </w:p>
    <w:p>
      <w:pPr>
        <w:spacing w:after="0" w:line="173" w:lineRule="exact"/>
        <w:rPr>
          <w:sz w:val="20"/>
          <w:szCs w:val="20"/>
          <w:color w:val="auto"/>
        </w:rPr>
      </w:pPr>
    </w:p>
    <w:p>
      <w:pPr>
        <w:ind w:right="3599"/>
        <w:spacing w:after="0" w:line="375" w:lineRule="auto"/>
        <w:rPr>
          <w:sz w:val="20"/>
          <w:szCs w:val="20"/>
          <w:color w:val="auto"/>
        </w:rPr>
      </w:pPr>
      <w:r>
        <w:rPr>
          <w:rFonts w:ascii="Courier New" w:cs="Courier New" w:eastAsia="Courier New" w:hAnsi="Courier New"/>
          <w:sz w:val="14"/>
          <w:szCs w:val="14"/>
          <w:color w:val="auto"/>
        </w:rPr>
        <w:t>In 2004 revenue was earned from over 350 clients, including all of the top 30 pharmaceutical companies as ranked by 2003 revenues.</w:t>
      </w:r>
    </w:p>
    <w:p>
      <w:pPr>
        <w:spacing w:after="0" w:line="1"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We have expanded geographically in order to pursue larger multi-national clinical trials in markets worldwide and have expanded through acquisition to offer a broader range of services. In the fiscal year ended May 31, 2004, 62.4% of our net revenue was generated in the United States, 34.0% in Europe and 3.6% in Rest of World.</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22" w:right="1440" w:bottom="1440" w:gutter="0" w:footer="0" w:header="0"/>
        </w:sectPr>
      </w:pPr>
    </w:p>
    <w:bookmarkStart w:id="16" w:name="page17"/>
    <w:bookmarkEnd w:id="16"/>
    <w:p>
      <w:pPr>
        <w:ind w:right="3339"/>
        <w:spacing w:after="0" w:line="263" w:lineRule="auto"/>
        <w:rPr>
          <w:sz w:val="20"/>
          <w:szCs w:val="20"/>
          <w:color w:val="auto"/>
        </w:rPr>
      </w:pPr>
      <w:r>
        <w:rPr>
          <w:rFonts w:ascii="Courier New" w:cs="Courier New" w:eastAsia="Courier New" w:hAnsi="Courier New"/>
          <w:sz w:val="14"/>
          <w:szCs w:val="14"/>
          <w:color w:val="auto"/>
        </w:rPr>
        <w:t>We have in the past and may in the future derive a significant portion of our net revenue from a relatively limited number of major projects or clients. During the fiscal year ended May 31, 2002, we received 16% of our net revenue from Astra Zeneca, 14% from Pfizer and 12% from Bristol Myers Squibb. In fiscal year 2003, we received 21% of our net revenue from Astra Zeneca, 11% from Sanofi-Synthelabo Inc. and 10% from Pfizer. In fiscal year 2004, we received 17% of our net revenue from Astra Zeneca. No other client contributed more than 10% of net revenues in fiscal 2004. We believe that the importance of certain clients reflects our success in penetrating our client base. The loss of, or a significant decrease in business from one or more of these key clients could result in a material adverse effect.</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Contractual Arrangements</w:t>
      </w:r>
    </w:p>
    <w:p>
      <w:pPr>
        <w:spacing w:after="0" w:line="173" w:lineRule="exact"/>
        <w:rPr>
          <w:sz w:val="20"/>
          <w:szCs w:val="20"/>
          <w:color w:val="auto"/>
        </w:rPr>
      </w:pPr>
    </w:p>
    <w:p>
      <w:pPr>
        <w:ind w:right="3859"/>
        <w:spacing w:after="0" w:line="313" w:lineRule="auto"/>
        <w:rPr>
          <w:sz w:val="20"/>
          <w:szCs w:val="20"/>
          <w:color w:val="auto"/>
        </w:rPr>
      </w:pPr>
      <w:r>
        <w:rPr>
          <w:rFonts w:ascii="Courier New" w:cs="Courier New" w:eastAsia="Courier New" w:hAnsi="Courier New"/>
          <w:sz w:val="14"/>
          <w:szCs w:val="14"/>
          <w:color w:val="auto"/>
        </w:rPr>
        <w:t>We are generally awarded contracts based upon our response to requests for proposals received from pharmaceutical, biotechnology and medical device industries.</w:t>
      </w:r>
    </w:p>
    <w:p>
      <w:pPr>
        <w:spacing w:after="0" w:line="42"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Most of our revenues are earned from contracts which are fixed price, based on certain activity and performance specifications. Consequently, although we typically bear the cost of overruns, with certain exceptions, we benefit if our costs are lower than anticipated. Payment terms usually provide either for payments based on the achievement of certain identified milestones or activity levels or monthly payments according to a fixed payment schedule over the life of the contract. Where clients request changes in the scope of a trial or in the services to be provided by us, we deal with these by a change order, often resulting in additional revenue to us. We also contract on a "fee-for-service," "days worked" or "time and materials" basis but this accounts for approximately 20% of revenues.</w:t>
      </w:r>
    </w:p>
    <w:p>
      <w:pPr>
        <w:spacing w:after="0" w:line="76"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Contract terms may range from one year to several years depending on the nature of the work to be performed. In most cases, a portion of the contract fee, typically 10% to 20%, is paid at the time the study or trial is started.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travel and accommodation costs and various other direct costs incurred in the course of the clinical trial which are fully reimbursable by the client.</w:t>
      </w:r>
    </w:p>
    <w:p>
      <w:pPr>
        <w:spacing w:after="0" w:line="76"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Most of our contracts are terminable immediately by the client with cause in certain circumstances and on 30-60 days notice without cause. In the event of termination, we are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173"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Our backlog consists of potential net revenue yet to be earned from projects awarded by clients</w:t>
      </w:r>
    </w:p>
    <w:p>
      <w:pPr>
        <w:spacing w:after="0" w:line="1" w:lineRule="exact"/>
        <w:rPr>
          <w:sz w:val="20"/>
          <w:szCs w:val="20"/>
          <w:color w:val="auto"/>
        </w:rPr>
      </w:pPr>
    </w:p>
    <w:p>
      <w:pPr>
        <w:jc w:val="both"/>
        <w:ind w:right="3419"/>
        <w:spacing w:after="0" w:line="282" w:lineRule="auto"/>
        <w:rPr>
          <w:sz w:val="20"/>
          <w:szCs w:val="20"/>
          <w:color w:val="auto"/>
        </w:rPr>
      </w:pPr>
      <w:r>
        <w:rPr>
          <w:rFonts w:ascii="Courier New" w:cs="Courier New" w:eastAsia="Courier New" w:hAnsi="Courier New"/>
          <w:sz w:val="14"/>
          <w:szCs w:val="14"/>
          <w:color w:val="auto"/>
        </w:rPr>
        <w:t>At May 31, 2004, we had a backlog of $464 million, compared with approximately $352 million at May 31, 2003.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5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Quintiles Transnational Corporation, Covance Inc., PAREXEL International Corp., Kendle International Inc., Ingenix Inc. (United Health), Omnicare, Inc., PRA Inc., MDS Inc, Inveresk Research Group, Inc. and Pharmaceutical Product Development, Inc. The trend toward CRO industry consolidation has resulted in heightened competition among the larger CROs for clients and acquisition candidates.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Regulation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Clinical Trials</w:t>
      </w:r>
    </w:p>
    <w:p>
      <w:pPr>
        <w:spacing w:after="0" w:line="173"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 While good clinical practice has not been formally adopted by the FDA or, with certain exceptions, by similar regulatory authorities in other countries, some provisions of good clinical practice have been included in regulations adopted by the FDA. Furthermore, in practice, the FDA and many other regulatory authorities require that study results submitted to such authorities be based on studies conducted in accordance with good clinical practice.</w:t>
      </w:r>
    </w:p>
    <w:p>
      <w:pPr>
        <w:spacing w:after="0" w:line="76" w:lineRule="exact"/>
        <w:rPr>
          <w:sz w:val="20"/>
          <w:szCs w:val="20"/>
          <w:color w:val="auto"/>
        </w:rPr>
      </w:pPr>
    </w:p>
    <w:p>
      <w:pPr>
        <w:ind w:right="3339" w:firstLine="431"/>
        <w:spacing w:after="0" w:line="262" w:lineRule="auto"/>
        <w:rPr>
          <w:sz w:val="20"/>
          <w:szCs w:val="20"/>
          <w:color w:val="auto"/>
        </w:rPr>
      </w:pPr>
      <w:r>
        <w:rPr>
          <w:rFonts w:ascii="Courier New" w:cs="Courier New" w:eastAsia="Courier New" w:hAnsi="Courier New"/>
          <w:sz w:val="14"/>
          <w:szCs w:val="14"/>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 We believe that many pharmaceutical companies do not have the resources to comply with all of these regulations and standards and that this has contributed and will continue to contribute to the growth of third-party service providers.</w:t>
      </w:r>
    </w:p>
    <w:p>
      <w:pPr>
        <w:spacing w:after="0" w:line="76" w:lineRule="exact"/>
        <w:rPr>
          <w:sz w:val="20"/>
          <w:szCs w:val="20"/>
          <w:color w:val="auto"/>
        </w:rPr>
      </w:pPr>
    </w:p>
    <w:p>
      <w:pPr>
        <w:ind w:right="3339" w:firstLine="431"/>
        <w:spacing w:after="0" w:line="272" w:lineRule="auto"/>
        <w:rPr>
          <w:sz w:val="20"/>
          <w:szCs w:val="20"/>
          <w:color w:val="auto"/>
        </w:rPr>
      </w:pPr>
      <w:r>
        <w:rPr>
          <w:rFonts w:ascii="Courier New" w:cs="Courier New" w:eastAsia="Courier New" w:hAnsi="Courier New"/>
          <w:sz w:val="14"/>
          <w:szCs w:val="14"/>
          <w:color w:val="auto"/>
        </w:rPr>
        <w:t>In providing our services in the United States, we are obligated to comply with FDA requirements governing such activities. These include obtaining patient informed consents, verifying qualifications of investigators, reporting patients' adverse reactions to drugs and maintaining thorough and accurate records. We must maintain source documents for each study for specified periods, and such documents may be reviewed by the study sponsor and the FDA during audits.</w:t>
      </w:r>
    </w:p>
    <w:p>
      <w:pPr>
        <w:spacing w:after="0" w:line="247"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The services we provide outside the United States are ultimately subject to similar regulation by the relevant regulatory authority, including the Medicines Control Agency in the United Kingdom and the Bundesinstitut fur Arzneimittel und Medizinprodukte in Germany. In addition, our activities in Europe are affected by the Committee for Proprietary Medicinal Products of the European Union, and its successor, the European Medicines Evaluation Agency, which is based in London, England.</w:t>
      </w:r>
    </w:p>
    <w:p>
      <w:pPr>
        <w:spacing w:after="0" w:line="72"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We must also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5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New Drug Development - An Overview</w:t>
      </w:r>
    </w:p>
    <w:p>
      <w:pPr>
        <w:spacing w:after="0" w:line="173"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62" w:lineRule="exact"/>
        <w:rPr>
          <w:sz w:val="20"/>
          <w:szCs w:val="20"/>
          <w:color w:val="auto"/>
        </w:rPr>
      </w:pPr>
    </w:p>
    <w:p>
      <w:pPr>
        <w:ind w:left="440" w:right="3339"/>
        <w:spacing w:after="0" w:line="275" w:lineRule="auto"/>
        <w:rPr>
          <w:sz w:val="20"/>
          <w:szCs w:val="20"/>
          <w:color w:val="auto"/>
        </w:rPr>
      </w:pPr>
      <w:r>
        <w:rPr>
          <w:rFonts w:ascii="Courier New" w:cs="Courier New" w:eastAsia="Courier New" w:hAnsi="Courier New"/>
          <w:sz w:val="14"/>
          <w:szCs w:val="14"/>
          <w:color w:val="auto"/>
        </w:rPr>
        <w:t>Preclinical Research (1 to 3.5 years). "In vitro" (test tube) and animal studies are conducted to establish the relative toxicity of the drug over a wide range of doses and to detect any potential to cause birth defects or cancer. If results warrant continuing development of the drug, the manufacturer will file for an Investigational New Drug Application, or IND, upon which the FDA may grant permission to begin human trials.</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Clinical Trials (3.5 to 6 years)</w:t>
      </w:r>
    </w:p>
    <w:p>
      <w:pPr>
        <w:spacing w:after="0" w:line="173" w:lineRule="exact"/>
        <w:rPr>
          <w:sz w:val="20"/>
          <w:szCs w:val="20"/>
          <w:color w:val="auto"/>
        </w:rPr>
      </w:pPr>
    </w:p>
    <w:p>
      <w:pPr>
        <w:ind w:left="860" w:right="3339"/>
        <w:spacing w:after="0" w:line="282" w:lineRule="auto"/>
        <w:rPr>
          <w:sz w:val="20"/>
          <w:szCs w:val="20"/>
          <w:color w:val="auto"/>
        </w:rPr>
      </w:pPr>
      <w:r>
        <w:rPr>
          <w:rFonts w:ascii="Courier New" w:cs="Courier New" w:eastAsia="Courier New" w:hAnsi="Courier New"/>
          <w:sz w:val="14"/>
          <w:szCs w:val="14"/>
          <w:color w:val="auto"/>
        </w:rPr>
        <w:t>Phase I (6 months to 1 year). Basic safety and pharmacology testing in 20 to 80 human subjects, usually healthy volunteers, includes studies to determine how the drug works, if it is safe, how it is affected by other drugs, where it goes in the body, how long it remains active and how it is broken down and eliminated from the body.</w:t>
      </w:r>
    </w:p>
    <w:p>
      <w:pPr>
        <w:spacing w:after="0" w:line="62" w:lineRule="exact"/>
        <w:rPr>
          <w:sz w:val="20"/>
          <w:szCs w:val="20"/>
          <w:color w:val="auto"/>
        </w:rPr>
      </w:pPr>
    </w:p>
    <w:p>
      <w:pPr>
        <w:ind w:left="860" w:right="3339"/>
        <w:spacing w:after="0" w:line="292" w:lineRule="auto"/>
        <w:rPr>
          <w:sz w:val="20"/>
          <w:szCs w:val="20"/>
          <w:color w:val="auto"/>
        </w:rPr>
      </w:pPr>
      <w:r>
        <w:rPr>
          <w:rFonts w:ascii="Courier New" w:cs="Courier New" w:eastAsia="Courier New" w:hAnsi="Courier New"/>
          <w:sz w:val="14"/>
          <w:szCs w:val="14"/>
          <w:color w:val="auto"/>
        </w:rPr>
        <w:t>Phase II (1 to 2 years). Basic efficacy (effectiveness) and dose-range testing in 100 to 200 patients to help determine the best effective dose, confirm that the drug works as expected, and provide additional safety data.</w:t>
      </w:r>
    </w:p>
    <w:p>
      <w:pPr>
        <w:spacing w:after="0" w:line="56" w:lineRule="exact"/>
        <w:rPr>
          <w:sz w:val="20"/>
          <w:szCs w:val="20"/>
          <w:color w:val="auto"/>
        </w:rPr>
      </w:pPr>
    </w:p>
    <w:p>
      <w:pPr>
        <w:ind w:left="860" w:right="3339"/>
        <w:spacing w:after="0" w:line="275" w:lineRule="auto"/>
        <w:rPr>
          <w:sz w:val="20"/>
          <w:szCs w:val="20"/>
          <w:color w:val="auto"/>
        </w:rPr>
      </w:pPr>
      <w:r>
        <w:rPr>
          <w:rFonts w:ascii="Courier New" w:cs="Courier New" w:eastAsia="Courier New" w:hAnsi="Courier New"/>
          <w:sz w:val="14"/>
          <w:szCs w:val="14"/>
          <w:color w:val="auto"/>
        </w:rPr>
        <w:t>Phase III (2 to 3 years). Efficacy and safety studies in hundreds or thousands of patients at many investigational sites (hospitals and clinics). These studies can be placebo-controlled trials, in which the new drug is compared with a "sugar pill", or studies comparing the new drug with one or more drugs with established safety and efficacy profiles in the same therapeutic category.</w:t>
      </w:r>
    </w:p>
    <w:p>
      <w:pPr>
        <w:spacing w:after="0" w:line="69" w:lineRule="exact"/>
        <w:rPr>
          <w:sz w:val="20"/>
          <w:szCs w:val="20"/>
          <w:color w:val="auto"/>
        </w:rPr>
      </w:pPr>
    </w:p>
    <w:p>
      <w:pPr>
        <w:ind w:left="440" w:right="3339"/>
        <w:spacing w:after="0" w:line="268" w:lineRule="auto"/>
        <w:rPr>
          <w:sz w:val="20"/>
          <w:szCs w:val="20"/>
          <w:color w:val="auto"/>
        </w:rPr>
      </w:pPr>
      <w:r>
        <w:rPr>
          <w:rFonts w:ascii="Courier New" w:cs="Courier New" w:eastAsia="Courier New" w:hAnsi="Courier New"/>
          <w:sz w:val="14"/>
          <w:szCs w:val="14"/>
          <w:color w:val="auto"/>
        </w:rPr>
        <w:t>TIND (May span late Phase II, Phase III, and FDA review). When results from Phase II or Phase III show special promise in the treatment of a serious condition for which existing therapeutic 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74" w:lineRule="exact"/>
        <w:rPr>
          <w:sz w:val="20"/>
          <w:szCs w:val="20"/>
          <w:color w:val="auto"/>
        </w:rPr>
      </w:pPr>
    </w:p>
    <w:p>
      <w:pPr>
        <w:ind w:left="440" w:right="3519"/>
        <w:spacing w:after="0" w:line="292" w:lineRule="auto"/>
        <w:rPr>
          <w:sz w:val="20"/>
          <w:szCs w:val="20"/>
          <w:color w:val="auto"/>
        </w:rPr>
      </w:pPr>
      <w:r>
        <w:rPr>
          <w:rFonts w:ascii="Courier New" w:cs="Courier New" w:eastAsia="Courier New" w:hAnsi="Courier New"/>
          <w:sz w:val="14"/>
          <w:szCs w:val="14"/>
          <w:color w:val="auto"/>
        </w:rPr>
        <w:t>NDA Preparation and Submission. Upon completion of Phase III trials, the manufacturer assembles the statistically analyzed data from all phases of development into a single large submission, the New Drug Application, or NDA, which today comprises, on average, approximately 100,000 pages.</w:t>
      </w:r>
    </w:p>
    <w:p>
      <w:pPr>
        <w:spacing w:after="0" w:line="56" w:lineRule="exact"/>
        <w:rPr>
          <w:sz w:val="20"/>
          <w:szCs w:val="20"/>
          <w:color w:val="auto"/>
        </w:rPr>
      </w:pPr>
    </w:p>
    <w:p>
      <w:pPr>
        <w:ind w:left="440" w:right="3339"/>
        <w:spacing w:after="0" w:line="292" w:lineRule="auto"/>
        <w:rPr>
          <w:sz w:val="20"/>
          <w:szCs w:val="20"/>
          <w:color w:val="auto"/>
        </w:rPr>
      </w:pPr>
      <w:r>
        <w:rPr>
          <w:rFonts w:ascii="Courier New" w:cs="Courier New" w:eastAsia="Courier New" w:hAnsi="Courier New"/>
          <w:sz w:val="14"/>
          <w:szCs w:val="14"/>
          <w:color w:val="auto"/>
        </w:rPr>
        <w:t>FDA Review &amp; Approval (1 to 1.5 years). Data from all phases of development (including a TIND) is scrutinized to confirm that the manufacturer has complied with regulations and that the drug is safe and effective for the specific use (or "indication") under study.</w:t>
      </w:r>
    </w:p>
    <w:p>
      <w:pPr>
        <w:spacing w:after="0" w:line="56" w:lineRule="exact"/>
        <w:rPr>
          <w:sz w:val="20"/>
          <w:szCs w:val="20"/>
          <w:color w:val="auto"/>
        </w:rPr>
      </w:pPr>
    </w:p>
    <w:p>
      <w:pPr>
        <w:ind w:left="440" w:right="3339"/>
        <w:spacing w:after="0" w:line="266" w:lineRule="auto"/>
        <w:rPr>
          <w:sz w:val="20"/>
          <w:szCs w:val="20"/>
          <w:color w:val="auto"/>
        </w:rPr>
      </w:pPr>
      <w:r>
        <w:rPr>
          <w:rFonts w:ascii="Courier New" w:cs="Courier New" w:eastAsia="Courier New" w:hAnsi="Courier New"/>
          <w:sz w:val="14"/>
          <w:szCs w:val="14"/>
          <w:color w:val="auto"/>
        </w:rPr>
        <w:t>Post-Marketing Surveillance and Phase IV Studies. Federal regulation requires the manufacturer to collect and periodically report to the FDA additional safety and efficacy data on the drug for as 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Potential Liability and Insurance</w:t>
      </w:r>
    </w:p>
    <w:p>
      <w:pPr>
        <w:spacing w:after="0" w:line="173"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0" w:right="1440" w:bottom="1440" w:gutter="0" w:footer="0" w:header="0"/>
        </w:sectPr>
      </w:pPr>
    </w:p>
    <w:bookmarkStart w:id="19" w:name="page20"/>
    <w:bookmarkEnd w:id="19"/>
    <w:p>
      <w:pPr>
        <w:ind w:right="3419" w:firstLine="431"/>
        <w:spacing w:after="0" w:line="264" w:lineRule="auto"/>
        <w:rPr>
          <w:sz w:val="20"/>
          <w:szCs w:val="20"/>
          <w:color w:val="auto"/>
        </w:rPr>
      </w:pPr>
      <w:r>
        <w:rPr>
          <w:rFonts w:ascii="Courier New" w:cs="Courier New" w:eastAsia="Courier New" w:hAnsi="Courier New"/>
          <w:sz w:val="14"/>
          <w:szCs w:val="14"/>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 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77" w:lineRule="exact"/>
        <w:rPr>
          <w:sz w:val="20"/>
          <w:szCs w:val="20"/>
          <w:color w:val="auto"/>
        </w:rPr>
      </w:pPr>
    </w:p>
    <w:p>
      <w:pPr>
        <w:ind w:right="3339" w:firstLine="431"/>
        <w:spacing w:after="0" w:line="259" w:lineRule="auto"/>
        <w:rPr>
          <w:sz w:val="20"/>
          <w:szCs w:val="20"/>
          <w:color w:val="auto"/>
        </w:rPr>
      </w:pPr>
      <w:r>
        <w:rPr>
          <w:rFonts w:ascii="Courier New" w:cs="Courier New" w:eastAsia="Courier New" w:hAnsi="Courier New"/>
          <w:sz w:val="14"/>
          <w:szCs w:val="14"/>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we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Property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lease all but one of our facilities under operating leases.</w:t>
      </w:r>
    </w:p>
    <w:p>
      <w:pPr>
        <w:spacing w:after="0" w:line="173" w:lineRule="exact"/>
        <w:rPr>
          <w:sz w:val="20"/>
          <w:szCs w:val="20"/>
          <w:color w:val="auto"/>
        </w:rPr>
      </w:pPr>
    </w:p>
    <w:p>
      <w:pPr>
        <w:ind w:right="3599"/>
        <w:spacing w:after="0" w:line="282" w:lineRule="auto"/>
        <w:rPr>
          <w:sz w:val="20"/>
          <w:szCs w:val="20"/>
          <w:color w:val="auto"/>
        </w:rPr>
      </w:pPr>
      <w:r>
        <w:rPr>
          <w:rFonts w:ascii="Courier New" w:cs="Courier New" w:eastAsia="Courier New" w:hAnsi="Courier New"/>
          <w:sz w:val="14"/>
          <w:szCs w:val="14"/>
          <w:color w:val="auto"/>
        </w:rPr>
        <w:t>Our principal executive offices are located in South County Business Park, Leopardstown, Dublin, Republic of Ireland, where we own an office facility of approximately 42,000 square feet on approximately two acres which includes an extension completed in August 1999. We have also leased an additional office facility of approximately 25,000 square feet in the same business park.</w:t>
      </w:r>
    </w:p>
    <w:p>
      <w:pPr>
        <w:spacing w:after="0" w:line="62"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We also maintain U.S. offices in Chicago, Philadelphia, Nashville, Irvine, San Francisco, Houston, Wilmington, Raleigh, Baltimore, Tampa and two offices in New York. Our European subsidiaries maintain offices are Southampton, Frankfurt, Paris, Moscow, Amsterdam, Marlow, Manchester, Tel Aviv, Stockholm, Riga, Budapest and Barcelona. Our Rest of World offices are located in Tokyo, Singapore, Sydney, Bangalore, Buenos Aires, Johannesburg, Montreal, and Hong Kong.</w:t>
      </w:r>
    </w:p>
    <w:p>
      <w:pPr>
        <w:spacing w:after="0" w:line="200" w:lineRule="exact"/>
        <w:rPr>
          <w:sz w:val="20"/>
          <w:szCs w:val="20"/>
          <w:color w:val="auto"/>
        </w:rPr>
      </w:pPr>
    </w:p>
    <w:p>
      <w:pPr>
        <w:spacing w:after="0" w:line="21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Operating and Financial Review and Prospects.</w:t>
      </w:r>
    </w:p>
    <w:p>
      <w:pPr>
        <w:spacing w:after="0" w:line="173"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accounting principles generally accepted in the United States.</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419"/>
        <w:spacing w:after="0" w:line="263" w:lineRule="auto"/>
        <w:rPr>
          <w:sz w:val="20"/>
          <w:szCs w:val="20"/>
          <w:color w:val="auto"/>
        </w:rPr>
      </w:pPr>
      <w:r>
        <w:rPr>
          <w:rFonts w:ascii="Courier New" w:cs="Courier New" w:eastAsia="Courier New" w:hAnsi="Courier New"/>
          <w:sz w:val="14"/>
          <w:szCs w:val="14"/>
          <w:color w:val="auto"/>
        </w:rPr>
        <w:t>ICON plc is a contract research organization, providing clinical research and development services on a global basis to the pharmaceutical, biotechnology and medical device industries. We specialize in the management, execution and analysis of complex multi-national clinical trials. Headquartered in Dublin, Ireland, we began operations in 1990 and, to date, have expanded our business through internal growth and strategic bolt-on acquisitions. As of May 31, 2004, we had approximately 2,450 employees and operations in 33 locations in 20 countries, including the United States and major markets in Europe and Rest of World. In fiscal 2004, 62.4%, 36.0% and 3.6% of our net revenue was derived in the United States, Europe and Rest of World, respectively. See Note 15 to the Consolidated Financial Statements.</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90" w:right="1440" w:bottom="1440" w:gutter="0" w:footer="0" w:header="0"/>
        </w:sectPr>
      </w:pPr>
    </w:p>
    <w:bookmarkStart w:id="20" w:name="page21"/>
    <w:bookmarkEnd w:id="20"/>
    <w:p>
      <w:pPr>
        <w:ind w:right="3339"/>
        <w:spacing w:after="0" w:line="260" w:lineRule="auto"/>
        <w:rPr>
          <w:sz w:val="20"/>
          <w:szCs w:val="20"/>
          <w:color w:val="auto"/>
        </w:rPr>
      </w:pPr>
      <w:r>
        <w:rPr>
          <w:rFonts w:ascii="Courier New" w:cs="Courier New" w:eastAsia="Courier New" w:hAnsi="Courier New"/>
          <w:sz w:val="14"/>
          <w:szCs w:val="14"/>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the basis of the relationship between time incurred and the total estimated duration of the trial or on a fee-for service basis according to the particular circumstances of the contract.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51"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62"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Our backlog consists of potential net revenue yet to be earned from projects awarded by clients. At May 31, 2004, we had a backlog of $464 million, compared with approximately $352 million at May 31, 2003.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72"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72"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ICON, although domiciled in Ireland, reports its results in U.S. dollars. As a consequence, the results of our non-U.S. based operations, when translated into U.S. dollars, could be materially affected by fluctuations in exchange rates between the U.S. dollar and the currencies of those operations.</w:t>
      </w:r>
    </w:p>
    <w:p>
      <w:pPr>
        <w:spacing w:after="0" w:line="56" w:lineRule="exact"/>
        <w:rPr>
          <w:sz w:val="20"/>
          <w:szCs w:val="20"/>
          <w:color w:val="auto"/>
        </w:rPr>
      </w:pPr>
    </w:p>
    <w:p>
      <w:pPr>
        <w:ind w:right="3339"/>
        <w:spacing w:after="0" w:line="256" w:lineRule="auto"/>
        <w:rPr>
          <w:sz w:val="20"/>
          <w:szCs w:val="20"/>
          <w:color w:val="auto"/>
        </w:rPr>
      </w:pPr>
      <w:r>
        <w:rPr>
          <w:rFonts w:ascii="Courier New" w:cs="Courier New" w:eastAsia="Courier New" w:hAnsi="Courier New"/>
          <w:sz w:val="14"/>
          <w:szCs w:val="14"/>
          <w:color w:val="auto"/>
        </w:rPr>
        <w:t>In addition to translation exposures, we are also subject to transaction exposures because the currency in which contracts are priced can be different from the currencies in which costs relating to those contracts are incurred. We have twelve operations operating in U.S. dollars, five trading in Euros, three in pounds Sterling, and one each in Australian dollars, Singapore dollars, Yen, Israeli New Shekels, Latvian Lats, Swedish Krona, Argentine Peso, South African Rand, Indian Rupee, Russian Rouble, Canadian dollar, Hungarian Forint and Hong Kong dollar.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ICON's results of operations. We regularly review our currency exposures and hedge a portion of these, using forward exchange contracts, where they are not covered by natural hedges.</w:t>
      </w:r>
    </w:p>
    <w:p>
      <w:pPr>
        <w:spacing w:after="0" w:line="261"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We have received capital and revenue grants from Forbairt,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ICON or failing to comply in other respects with the grant agreements. The operating expenditure grant agreements provide for repayment in the event of a downsizing calculated by reference to any reduction in employee numbers. We have not recognized any loss contingency having assessed as remote the likelihood of these events arising. Up to May 31, 2004, we have received $2,506,507 and $1,863,006 under capital grants and operating grants,</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756" w:right="1440" w:bottom="1440" w:gutter="0" w:footer="0" w:header="0"/>
        </w:sectPr>
      </w:pPr>
    </w:p>
    <w:bookmarkStart w:id="21" w:name="page22"/>
    <w:bookmarkEnd w:id="21"/>
    <w:p>
      <w:pPr>
        <w:ind w:right="740"/>
        <w:spacing w:after="0" w:line="375" w:lineRule="auto"/>
        <w:rPr>
          <w:sz w:val="20"/>
          <w:szCs w:val="20"/>
          <w:color w:val="auto"/>
        </w:rPr>
      </w:pPr>
      <w:r>
        <w:rPr>
          <w:rFonts w:ascii="Courier New" w:cs="Courier New" w:eastAsia="Courier New" w:hAnsi="Courier New"/>
          <w:sz w:val="14"/>
          <w:szCs w:val="14"/>
          <w:color w:val="auto"/>
        </w:rPr>
        <w:t>respectively. Pursuant to the terms of the grant agreements we are restricted from distributing some of these amounts by way of dividend or otherwise.</w:t>
      </w:r>
    </w:p>
    <w:p>
      <w:pPr>
        <w:spacing w:after="0" w:line="1" w:lineRule="exact"/>
        <w:rPr>
          <w:sz w:val="20"/>
          <w:szCs w:val="20"/>
          <w:color w:val="auto"/>
        </w:rPr>
      </w:pPr>
    </w:p>
    <w:p>
      <w:pPr>
        <w:ind w:right="480"/>
        <w:spacing w:after="0" w:line="272" w:lineRule="auto"/>
        <w:rPr>
          <w:sz w:val="20"/>
          <w:szCs w:val="20"/>
          <w:color w:val="auto"/>
        </w:rPr>
      </w:pPr>
      <w:r>
        <w:rPr>
          <w:rFonts w:ascii="Courier New" w:cs="Courier New" w:eastAsia="Courier New" w:hAnsi="Courier New"/>
          <w:sz w:val="14"/>
          <w:szCs w:val="14"/>
          <w:color w:val="auto"/>
        </w:rPr>
        <w:t>As we conduct operations on a global basis, our effective tax rate has depended and will depend on the geographic distribution of our revenue and earnings among locations with varying tax rates. ICON's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Results</w:t>
      </w:r>
    </w:p>
    <w:p>
      <w:pPr>
        <w:spacing w:after="0" w:line="173" w:lineRule="exact"/>
        <w:rPr>
          <w:sz w:val="20"/>
          <w:szCs w:val="20"/>
          <w:color w:val="auto"/>
        </w:rPr>
      </w:pPr>
    </w:p>
    <w:p>
      <w:pPr>
        <w:ind w:right="480"/>
        <w:spacing w:after="0" w:line="292" w:lineRule="auto"/>
        <w:rPr>
          <w:sz w:val="20"/>
          <w:szCs w:val="20"/>
          <w:color w:val="auto"/>
        </w:rPr>
      </w:pPr>
      <w:r>
        <w:rPr>
          <w:rFonts w:ascii="Courier New" w:cs="Courier New" w:eastAsia="Courier New" w:hAnsi="Courier New"/>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620" w:type="dxa"/>
            <w:vAlign w:val="bottom"/>
          </w:tcPr>
          <w:p>
            <w:pPr>
              <w:spacing w:after="0"/>
              <w:rPr>
                <w:sz w:val="21"/>
                <w:szCs w:val="21"/>
                <w:color w:val="auto"/>
              </w:rPr>
            </w:pP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2002</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331"/>
        </w:trPr>
        <w:tc>
          <w:tcPr>
            <w:tcW w:w="3620" w:type="dxa"/>
            <w:vAlign w:val="bottom"/>
          </w:tcPr>
          <w:p>
            <w:pPr>
              <w:spacing w:after="0"/>
              <w:rPr>
                <w:sz w:val="24"/>
                <w:szCs w:val="24"/>
                <w:color w:val="auto"/>
              </w:rPr>
            </w:pPr>
          </w:p>
        </w:tc>
        <w:tc>
          <w:tcPr>
            <w:tcW w:w="3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Percentage of Net Revenue</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revenue</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4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53.3%</w:t>
            </w:r>
          </w:p>
        </w:tc>
        <w:tc>
          <w:tcPr>
            <w:tcW w:w="154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54.2%</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54.7%</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Direct costs</w:t>
            </w:r>
          </w:p>
        </w:tc>
        <w:tc>
          <w:tcPr>
            <w:tcW w:w="148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31.3%</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31.5%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29.9%</w:t>
            </w:r>
          </w:p>
        </w:tc>
        <w:tc>
          <w:tcPr>
            <w:tcW w:w="0" w:type="dxa"/>
            <w:vAlign w:val="bottom"/>
          </w:tcPr>
          <w:p>
            <w:pPr>
              <w:spacing w:after="0"/>
              <w:rPr>
                <w:sz w:val="1"/>
                <w:szCs w:val="1"/>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0" w:type="dxa"/>
            <w:vAlign w:val="bottom"/>
          </w:tcPr>
          <w:p>
            <w:pPr>
              <w:spacing w:after="0"/>
              <w:rPr>
                <w:sz w:val="1"/>
                <w:szCs w:val="1"/>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11.6%</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 May 31, 2004 Compared to Fiscal Year Ended May 31, 2003</w:t>
      </w:r>
    </w:p>
    <w:p>
      <w:pPr>
        <w:spacing w:after="0" w:line="173" w:lineRule="exact"/>
        <w:rPr>
          <w:sz w:val="20"/>
          <w:szCs w:val="20"/>
          <w:color w:val="auto"/>
        </w:rPr>
      </w:pPr>
    </w:p>
    <w:p>
      <w:pPr>
        <w:ind w:right="480"/>
        <w:spacing w:after="0" w:line="256" w:lineRule="auto"/>
        <w:rPr>
          <w:sz w:val="20"/>
          <w:szCs w:val="20"/>
          <w:color w:val="auto"/>
        </w:rPr>
      </w:pPr>
      <w:r>
        <w:rPr>
          <w:rFonts w:ascii="Courier New" w:cs="Courier New" w:eastAsia="Courier New" w:hAnsi="Courier New"/>
          <w:sz w:val="14"/>
          <w:szCs w:val="14"/>
          <w:color w:val="auto"/>
        </w:rPr>
        <w:t>Net revenue increased by $71.2 million, or 31.5%, from $225.7 million to $296.9 million. This improvement arose through a combination of increased business from existing clients, business won from new clients and revenues from acquisitions not included in the comparative period. The additional revenues from these acquisitions (BPA, MCS, Medeval and GloboMax) amounted to $24.5 million for the fiscal year ended May 31, 2004. Including the impact of acquisitions, revenues in the United States, Europe and the Rest of World grew by 16.8%, 65.6% and</w:t>
      </w:r>
    </w:p>
    <w:p>
      <w:pPr>
        <w:spacing w:after="0" w:line="1" w:lineRule="exact"/>
        <w:rPr>
          <w:sz w:val="20"/>
          <w:szCs w:val="20"/>
          <w:color w:val="auto"/>
        </w:rPr>
      </w:pPr>
    </w:p>
    <w:p>
      <w:pPr>
        <w:ind w:right="560"/>
        <w:spacing w:after="0" w:line="261" w:lineRule="auto"/>
        <w:rPr>
          <w:sz w:val="20"/>
          <w:szCs w:val="20"/>
          <w:color w:val="auto"/>
        </w:rPr>
      </w:pPr>
      <w:r>
        <w:rPr>
          <w:rFonts w:ascii="Courier New" w:cs="Courier New" w:eastAsia="Courier New" w:hAnsi="Courier New"/>
          <w:sz w:val="14"/>
          <w:szCs w:val="14"/>
          <w:color w:val="auto"/>
        </w:rPr>
        <w:t>76.4% respectively. In the twelve months to May 31, 2004, net revenue from our central laboratory business grew by 2.8% from $26.2 million to $26.9 million while our clinical research segment grew by 35.3% from $199.6 million to $270.0 million over the comparable period. The growth in net revenue in our clinical research segment and central laboratory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78" w:lineRule="exact"/>
        <w:rPr>
          <w:sz w:val="20"/>
          <w:szCs w:val="20"/>
          <w:color w:val="auto"/>
        </w:rPr>
      </w:pPr>
    </w:p>
    <w:p>
      <w:pPr>
        <w:ind w:right="480"/>
        <w:spacing w:after="0" w:line="277" w:lineRule="auto"/>
        <w:rPr>
          <w:sz w:val="20"/>
          <w:szCs w:val="20"/>
          <w:color w:val="auto"/>
        </w:rPr>
      </w:pPr>
      <w:r>
        <w:rPr>
          <w:rFonts w:ascii="Courier New" w:cs="Courier New" w:eastAsia="Courier New" w:hAnsi="Courier New"/>
          <w:sz w:val="14"/>
          <w:szCs w:val="14"/>
          <w:color w:val="auto"/>
        </w:rPr>
        <w:t>Direct costs increased by $40.2 million, or 32.8%, from $122.4 million to $162.6 million, primarily due to increased staff numbers needed to support increased project related activity and increased costs arising from the acquisitions amounting to $13.2 million. Direct costs as a percentage of net revenue increased from 54.2% in the twelve months to May 31, 2003 to 54.7% in fiscal 2004.</w:t>
      </w:r>
    </w:p>
    <w:p>
      <w:pPr>
        <w:spacing w:after="0" w:line="244" w:lineRule="exact"/>
        <w:rPr>
          <w:sz w:val="20"/>
          <w:szCs w:val="20"/>
          <w:color w:val="auto"/>
        </w:rPr>
      </w:pPr>
    </w:p>
    <w:p>
      <w:pPr>
        <w:ind w:right="560"/>
        <w:spacing w:after="0" w:line="271" w:lineRule="auto"/>
        <w:rPr>
          <w:sz w:val="20"/>
          <w:szCs w:val="20"/>
          <w:color w:val="auto"/>
        </w:rPr>
      </w:pPr>
      <w:r>
        <w:rPr>
          <w:rFonts w:ascii="Courier New" w:cs="Courier New" w:eastAsia="Courier New" w:hAnsi="Courier New"/>
          <w:sz w:val="14"/>
          <w:szCs w:val="14"/>
          <w:color w:val="auto"/>
        </w:rPr>
        <w:t>Selling, general and administrative expenses increased by $17.7 million, or 24.9%, from $71.1 million to $88.8 million. The increase in costs is due to the continued expansion of our operations and additional selling, general and administrative costs from acquisitions of $9.5 million not included in the comparative period. As a percentage of net revenue, selling, general and administrative expenses, decreased from 31.5% in the twelve months to May 31, 2003 to 29.9% for the fiscal year ended May 31, 2004.</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8"/>
              </w:rPr>
              <w:t>to 2003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to 2004</w:t>
            </w:r>
          </w:p>
        </w:tc>
      </w:tr>
      <w:tr>
        <w:trPr>
          <w:trHeight w:val="166"/>
        </w:trPr>
        <w:tc>
          <w:tcPr>
            <w:tcW w:w="2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Percentage Increase/</w:t>
            </w:r>
          </w:p>
        </w:tc>
      </w:tr>
      <w:tr>
        <w:trPr>
          <w:trHeight w:val="242"/>
        </w:trPr>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(Decrease)</w:t>
            </w:r>
          </w:p>
        </w:tc>
        <w:tc>
          <w:tcPr>
            <w:tcW w:w="820" w:type="dxa"/>
            <w:vAlign w:val="bottom"/>
          </w:tcPr>
          <w:p>
            <w:pPr>
              <w:spacing w:after="0"/>
              <w:rPr>
                <w:sz w:val="21"/>
                <w:szCs w:val="21"/>
                <w:color w:val="auto"/>
              </w:rPr>
            </w:pPr>
          </w:p>
        </w:tc>
      </w:tr>
      <w:tr>
        <w:trPr>
          <w:trHeight w:val="497"/>
        </w:trPr>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44.2%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31.5%</w:t>
            </w:r>
          </w:p>
        </w:tc>
      </w:tr>
      <w:tr>
        <w:trPr>
          <w:trHeight w:val="497"/>
        </w:trPr>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32.8%</w:t>
            </w:r>
          </w:p>
        </w:tc>
      </w:tr>
      <w:tr>
        <w:trPr>
          <w:trHeight w:val="331"/>
        </w:trPr>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45.3%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r>
        <w:trPr>
          <w:trHeight w:val="331"/>
        </w:trPr>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52.9%</w:t>
            </w:r>
          </w:p>
        </w:tc>
      </w:tr>
      <w:tr>
        <w:trPr>
          <w:trHeight w:val="331"/>
        </w:trPr>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36.9%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bl>
    <w:p>
      <w:pPr>
        <w:sectPr>
          <w:pgSz w:w="11900" w:h="16838" w:orient="portrait"/>
          <w:cols w:equalWidth="0" w:num="2">
            <w:col w:w="7380" w:space="720"/>
            <w:col w:w="2160"/>
          </w:cols>
          <w:pgMar w:left="220" w:top="590" w:right="1419" w:bottom="1440" w:gutter="0" w:footer="0" w:header="0"/>
        </w:sectPr>
      </w:pPr>
    </w:p>
    <w:bookmarkStart w:id="22" w:name="page23"/>
    <w:bookmarkEnd w:id="22"/>
    <w:p>
      <w:pPr>
        <w:ind w:right="3339"/>
        <w:spacing w:after="0" w:line="272" w:lineRule="auto"/>
        <w:rPr>
          <w:sz w:val="20"/>
          <w:szCs w:val="20"/>
          <w:color w:val="auto"/>
        </w:rPr>
      </w:pPr>
      <w:r>
        <w:rPr>
          <w:rFonts w:ascii="Courier New" w:cs="Courier New" w:eastAsia="Courier New" w:hAnsi="Courier New"/>
          <w:sz w:val="14"/>
          <w:szCs w:val="14"/>
          <w:color w:val="auto"/>
        </w:rPr>
        <w:t>Depreciation expense increased by $3.9 million, or 52.9%, from $7.3 million to $11.2 million. This increase is due to the continued investment in facilities and information technology to support the growth in activity and in providing for future capacity and increased cost arising from acquisitions of $0.6 million. As a percentage of net revenue, depreciation increased from 3.3% of net revenues in the twelve months to May 31, 2003 to 3.8% for the fiscal year ended May 31, 2004.</w:t>
      </w:r>
    </w:p>
    <w:p>
      <w:pPr>
        <w:spacing w:after="0" w:line="247"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Income from operations increased by $9.5 million, or 37.9%, from $24.9 million to $34.4 million, including acquisitions. This improvement is due to increased levels of activity carried out across the Company together with the acquisitions of BPA, MCS, Medeval and GloboMax. As a percentage of net revenue, income from operations increased from 11.0% for the twelve months to May 31, 2003 to 11.6% of net revenues for the fiscal year ended May 31, 2004. For the fiscal year 2004, income from operations, as a percentage of net revenue for the central laboratory fell to (12.2)% from 0.4% in fiscal 2003 due to an expanded cost base. The central laboratory constitutes approximately 9% of our business. Operating margins for our clinical research segment increased from 12.4% in the twelve months to May 31, 2003, to 13.9% for the fiscal year ended May 31, 2004 due principally to improved staff utilization and enhanced leverage of our overhead costs.</w:t>
      </w:r>
    </w:p>
    <w:p>
      <w:pPr>
        <w:spacing w:after="0" w:line="249" w:lineRule="exact"/>
        <w:rPr>
          <w:sz w:val="20"/>
          <w:szCs w:val="20"/>
          <w:color w:val="auto"/>
        </w:rPr>
      </w:pPr>
    </w:p>
    <w:p>
      <w:pPr>
        <w:ind w:right="3679"/>
        <w:spacing w:after="0" w:line="313" w:lineRule="auto"/>
        <w:rPr>
          <w:sz w:val="20"/>
          <w:szCs w:val="20"/>
          <w:color w:val="auto"/>
        </w:rPr>
      </w:pPr>
      <w:r>
        <w:rPr>
          <w:rFonts w:ascii="Courier New" w:cs="Courier New" w:eastAsia="Courier New" w:hAnsi="Courier New"/>
          <w:sz w:val="14"/>
          <w:szCs w:val="14"/>
          <w:color w:val="auto"/>
        </w:rPr>
        <w:t>Net interest income for the year ended May 31, 2004, was $0.3 million, a decrease of $0.1 million on the equivalent period last year due primarily to lower then average interest rates during the current fiscal year.</w:t>
      </w:r>
    </w:p>
    <w:p>
      <w:pPr>
        <w:spacing w:after="0" w:line="42" w:lineRule="exact"/>
        <w:rPr>
          <w:sz w:val="20"/>
          <w:szCs w:val="20"/>
          <w:color w:val="auto"/>
        </w:rPr>
      </w:pPr>
    </w:p>
    <w:p>
      <w:pPr>
        <w:ind w:right="3599"/>
        <w:spacing w:after="0" w:line="292" w:lineRule="auto"/>
        <w:rPr>
          <w:sz w:val="20"/>
          <w:szCs w:val="20"/>
          <w:color w:val="auto"/>
        </w:rPr>
      </w:pPr>
      <w:r>
        <w:rPr>
          <w:rFonts w:ascii="Courier New" w:cs="Courier New" w:eastAsia="Courier New" w:hAnsi="Courier New"/>
          <w:sz w:val="14"/>
          <w:szCs w:val="14"/>
          <w:color w:val="auto"/>
        </w:rPr>
        <w:t>ICON's effective tax rate for the year ended May 31, 2004, was 25.8% compared with 27.7% for the comparable period last year. The decrease in the effective rate was primarily due to a change in the geographic distribution of pre-tax earnings.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 May 31, 2003 Compared to Fiscal Year Ended May 31, 2002</w:t>
      </w:r>
    </w:p>
    <w:p>
      <w:pPr>
        <w:spacing w:after="0" w:line="173"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Net revenue increased by $69.1 million, or 44.2%, from $156.6 million to $225.7 million. This improvement arose through a combination of increased business from existing clients, business won from new clients and revenues from acquisitions not included in the comparative period. The additional revenues from these acquisitions (BPA, MCS and Medeval) amounted to $18.1 million for the fiscal year ended May 31, 2003. Including the impact of acquisitions, revenues in the United States and Europe/Rest of World grew by 47.6% and 36.7%, respectively. In the twelve months to May 31, 2003, net revenue from our central laboratory business grew by 1.1% from $25.9 million to $26.2 million while our clinical research segment grew by 52.7% from $130.7 million to $199.6 million over the comparable period. The growth in net revenue in our clinical research segment and central laboratory is due to the expansion of our services to both existing and new clients, increased use of outsourcing by the Pharmaceutical and Biotechnology industries, an underlying increase in research and development spending and consolidation in the CRO industry.</w:t>
      </w:r>
    </w:p>
    <w:p>
      <w:pPr>
        <w:spacing w:after="0" w:line="83" w:lineRule="exact"/>
        <w:rPr>
          <w:sz w:val="20"/>
          <w:szCs w:val="20"/>
          <w:color w:val="auto"/>
        </w:rPr>
      </w:pPr>
    </w:p>
    <w:p>
      <w:pPr>
        <w:ind w:right="3339"/>
        <w:spacing w:after="0" w:line="277" w:lineRule="auto"/>
        <w:rPr>
          <w:sz w:val="20"/>
          <w:szCs w:val="20"/>
          <w:color w:val="auto"/>
        </w:rPr>
      </w:pPr>
      <w:r>
        <w:rPr>
          <w:rFonts w:ascii="Courier New" w:cs="Courier New" w:eastAsia="Courier New" w:hAnsi="Courier New"/>
          <w:sz w:val="14"/>
          <w:szCs w:val="14"/>
          <w:color w:val="auto"/>
        </w:rPr>
        <w:t>Direct costs increased by $39.0 million, or 46.8%, from $83.4 million to $122.4 million, primarily due to increased staff numbers needed to support increased project related activity and increased costs arising from the acquisitions amounting to $11.1 million. Direct costs as a percentage of net revenue increased from 53.3% in the twelve months to May 31, 2002 to 54.2% in the fiscal 2003.</w:t>
      </w:r>
    </w:p>
    <w:p>
      <w:pPr>
        <w:spacing w:after="0" w:line="244"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Selling, general and administrative expenses increased by $22.2 million, or 45.3%, from $48.9 million to $71.1 million. The increase in costs is due to the continued expansion of our operations and additional selling, general and administrative costs from acquisitions of $5.4 million not included in the comparative period. As a percentage of net revenue, selling, general and administrative expenses, increased from 31.3% in the twelve months to May 31, 2002 to 31.5% for the fiscal year ended May 31, 2003.</w:t>
      </w:r>
    </w:p>
    <w:p>
      <w:pPr>
        <w:spacing w:after="0" w:line="72"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Depreciation expense increased by $1.3 million, or 21.3%, from $6.0 million to $7.3 million. This increase is due to the continued investment in facilities and information technology to support the growth in activity and in providing for future capacity and increased cost arising from acquisitions of $0.2 million. As a percentage of net revenue, depreciation and amortization decreased from 3.8% of net revenues in the twelve months to May 31, 2002 to 3.3% for the fiscal year ended May 31, 2003.</w:t>
      </w:r>
    </w:p>
    <w:p>
      <w:pPr>
        <w:spacing w:after="0" w:line="72" w:lineRule="exact"/>
        <w:rPr>
          <w:sz w:val="20"/>
          <w:szCs w:val="20"/>
          <w:color w:val="auto"/>
        </w:rPr>
      </w:pPr>
    </w:p>
    <w:p>
      <w:pPr>
        <w:jc w:val="both"/>
        <w:ind w:right="3419"/>
        <w:spacing w:after="0" w:line="292" w:lineRule="auto"/>
        <w:rPr>
          <w:sz w:val="20"/>
          <w:szCs w:val="20"/>
          <w:color w:val="auto"/>
        </w:rPr>
      </w:pPr>
      <w:r>
        <w:rPr>
          <w:rFonts w:ascii="Courier New" w:cs="Courier New" w:eastAsia="Courier New" w:hAnsi="Courier New"/>
          <w:sz w:val="14"/>
          <w:szCs w:val="14"/>
          <w:color w:val="auto"/>
        </w:rPr>
        <w:t>Income from operations increased by $6.7 million, or 36.9%, from $18.2 million to $24.9 million, including acquisitions. This improvement is due to increased levels of activity carried out across the Company together with the acquisition of BPA,</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756" w:right="1440" w:bottom="1440" w:gutter="0" w:footer="0" w:header="0"/>
        </w:sectPr>
      </w:pPr>
    </w:p>
    <w:bookmarkStart w:id="23" w:name="page24"/>
    <w:bookmarkEnd w:id="23"/>
    <w:p>
      <w:pPr>
        <w:ind w:right="3419"/>
        <w:spacing w:after="0" w:line="266" w:lineRule="auto"/>
        <w:rPr>
          <w:sz w:val="20"/>
          <w:szCs w:val="20"/>
          <w:color w:val="auto"/>
        </w:rPr>
      </w:pPr>
      <w:r>
        <w:rPr>
          <w:rFonts w:ascii="Courier New" w:cs="Courier New" w:eastAsia="Courier New" w:hAnsi="Courier New"/>
          <w:sz w:val="14"/>
          <w:szCs w:val="14"/>
          <w:color w:val="auto"/>
        </w:rPr>
        <w:t>MCS and Medeval. As a percentage of net revenue, income from operations decreased from 11.6% for the twelve months to May 31, 2002 to 11.0% of net revenues for the fiscal year ended May 31, 2003. For the fiscal year 2003, income from operations, as a percentage of net revenue for the central laboratory fell to 0.4% from 14.1% in fiscal 2002, due principally to a higher than normal level of project cancellations in the first quarter of fiscal 2003. Operating margins for our clinical research segment increased from 11.1% in the twelve months to May 31, 2002, to 12.4% for the fiscal year ended May 31, 2003 due principally to improved staff utilization.</w:t>
      </w:r>
    </w:p>
    <w:p>
      <w:pPr>
        <w:spacing w:after="0" w:line="74"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Net interest income for the year ended May 31, 2003, was $0.4 million, a decrease of $0.8 million on the equivalent period last year due primarily to reduced cash on deposit and lower interest rates during the current fiscal year as cash was used to fund expansion and acquisition.</w:t>
      </w:r>
    </w:p>
    <w:p>
      <w:pPr>
        <w:spacing w:after="0" w:line="56" w:lineRule="exact"/>
        <w:rPr>
          <w:sz w:val="20"/>
          <w:szCs w:val="20"/>
          <w:color w:val="auto"/>
        </w:rPr>
      </w:pPr>
    </w:p>
    <w:p>
      <w:pPr>
        <w:ind w:right="3599"/>
        <w:spacing w:after="0" w:line="292" w:lineRule="auto"/>
        <w:rPr>
          <w:sz w:val="20"/>
          <w:szCs w:val="20"/>
          <w:color w:val="auto"/>
        </w:rPr>
      </w:pPr>
      <w:r>
        <w:rPr>
          <w:rFonts w:ascii="Courier New" w:cs="Courier New" w:eastAsia="Courier New" w:hAnsi="Courier New"/>
          <w:sz w:val="14"/>
          <w:szCs w:val="14"/>
          <w:color w:val="auto"/>
        </w:rPr>
        <w:t>ICON's effective tax rate for the year ended May 31, 2003, was 27.7% compared with 26.5% for the comparable period last year. The increase in the effective rate was primarily due to a change in the geographic distribution of pre-tax earnings.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419"/>
        <w:spacing w:after="0" w:line="262" w:lineRule="auto"/>
        <w:rPr>
          <w:sz w:val="20"/>
          <w:szCs w:val="20"/>
          <w:color w:val="auto"/>
        </w:rPr>
      </w:pPr>
      <w:r>
        <w:rPr>
          <w:rFonts w:ascii="Courier New" w:cs="Courier New" w:eastAsia="Courier New" w:hAnsi="Courier New"/>
          <w:sz w:val="14"/>
          <w:szCs w:val="14"/>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secondary offering in August 2003. Our principal cash needs are payment of salaries, office rents, travel expenditures and payments to investigators. The aggregate amount of employee compensation, excluding stock compensation expense, paid by us and our subsidiaries in the three fiscal years ended May 31, 2002, 2003 and 2004, amounted to $88.2 million, $135.2 million, and $174.5 million, respectively. Investing activities primarily reflect capital expenditures for facilities, information systems enhancements, the purchase of short-term investments and acquisitions.</w:t>
      </w:r>
    </w:p>
    <w:p>
      <w:pPr>
        <w:spacing w:after="0" w:line="76"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52" w:lineRule="exact"/>
        <w:rPr>
          <w:sz w:val="20"/>
          <w:szCs w:val="20"/>
          <w:color w:val="auto"/>
        </w:rPr>
      </w:pPr>
    </w:p>
    <w:p>
      <w:pPr>
        <w:ind w:right="3419"/>
        <w:spacing w:after="0" w:line="263" w:lineRule="auto"/>
        <w:rPr>
          <w:sz w:val="20"/>
          <w:szCs w:val="20"/>
          <w:color w:val="auto"/>
        </w:rPr>
      </w:pPr>
      <w:r>
        <w:rPr>
          <w:rFonts w:ascii="Courier New" w:cs="Courier New" w:eastAsia="Courier New" w:hAnsi="Courier New"/>
          <w:sz w:val="14"/>
          <w:szCs w:val="14"/>
          <w:color w:val="auto"/>
        </w:rPr>
        <w:t>As of May 31, 2004, our working capital was $113.8 million, compared to $53.8 million at May 31, 2003.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60 days at May 31, 2004, 64 days at May 31, 2003 and 67 days at May 31, 2002. The decrease from May 31, 2003 to May 31, 2004, was due primarily to increased cash collections, as a result of a more stringent application of our trading terms with respect to our accounts receivable.</w:t>
      </w:r>
    </w:p>
    <w:p>
      <w:pPr>
        <w:spacing w:after="0" w:line="76"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Net cash provided by operating activities was $43.6 million in the year ended May 31, 2004, compared with $21.5 million in fiscal 2003 and $17.3 million in the fiscal year ended May 31, 2002. The increase in cash provided in fiscal 2004 was due primarily to improved cash collections and increased profitability.</w:t>
      </w:r>
    </w:p>
    <w:p>
      <w:pPr>
        <w:spacing w:after="0" w:line="56"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Net cash used in investing activities was $47.3 million in the year ended May 31, 2004, compared with $35.3 million in the year ended May 31, 2003 and net cash provided by investing activities of $4.8 million in the year ended May 31, 2002. This increase in net cash used is due principally to acquisition activity in the current fiscal year and purchase of short-term investments.</w:t>
      </w:r>
    </w:p>
    <w:p>
      <w:pPr>
        <w:spacing w:after="0" w:line="62"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Net cash provided by financing activities was $42.5 million in the year ended May 31, 2004, compared with net cash used in financing activities of $4.6 million in fiscal 2003 and net cash provided by financing activities of $2.7 million in the fiscal year ended May 31, 2002. The main reason for this increase is the receipt of the net proceeds of $44.3 million, following the issue of 1,500,000 American Depositary Shares by the Company in August 2003.</w:t>
      </w: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590" w:right="1440" w:bottom="1440" w:gutter="0" w:footer="0" w:header="0"/>
        </w:sectPr>
      </w:pPr>
    </w:p>
    <w:bookmarkStart w:id="24" w:name="page25"/>
    <w:bookmarkEnd w:id="24"/>
    <w:p>
      <w:pPr>
        <w:ind w:right="3599"/>
        <w:spacing w:after="0" w:line="292" w:lineRule="auto"/>
        <w:rPr>
          <w:sz w:val="20"/>
          <w:szCs w:val="20"/>
          <w:color w:val="auto"/>
        </w:rPr>
      </w:pPr>
      <w:r>
        <w:rPr>
          <w:rFonts w:ascii="Courier New" w:cs="Courier New" w:eastAsia="Courier New" w:hAnsi="Courier New"/>
          <w:sz w:val="14"/>
          <w:szCs w:val="14"/>
          <w:color w:val="auto"/>
        </w:rPr>
        <w:t>As a result of these cash flows, cash and cash equivalents increased by $37.4 million in the year ended May 31, 2004, compared to a net decrease of $18.0 million in the year ended May 31, 2003 and a net increase of $25.1 million in the year ended May 31, 2004.</w:t>
      </w:r>
    </w:p>
    <w:p>
      <w:pPr>
        <w:spacing w:after="0" w:line="56"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The Company entered into an overdraft agreement with Allied Irish Banks, plc ("AIB") whereby the company guarantees any overdraft of the subsidiary ICON Clinical Research GmbH up to an amount (euro)120,000 (U.S.$146,604). As of May 31, 2004, the full facility was available to be drawn down.</w:t>
      </w:r>
    </w:p>
    <w:p>
      <w:pPr>
        <w:spacing w:after="0" w:line="56" w:lineRule="exact"/>
        <w:rPr>
          <w:sz w:val="20"/>
          <w:szCs w:val="20"/>
          <w:color w:val="auto"/>
        </w:rPr>
      </w:pPr>
    </w:p>
    <w:p>
      <w:pPr>
        <w:ind w:right="3339"/>
        <w:spacing w:after="0" w:line="299" w:lineRule="auto"/>
        <w:rPr>
          <w:sz w:val="20"/>
          <w:szCs w:val="20"/>
          <w:color w:val="auto"/>
        </w:rPr>
      </w:pPr>
      <w:r>
        <w:rPr>
          <w:rFonts w:ascii="Courier New" w:cs="Courier New" w:eastAsia="Courier New" w:hAnsi="Courier New"/>
          <w:sz w:val="14"/>
          <w:szCs w:val="14"/>
          <w:color w:val="auto"/>
        </w:rPr>
        <w:t>The Company also entered into an overdraft agreement with AIB, whereby the company guaranteed any overdraft of the subsidiary ICON Clinical Research Israel Ltd. up to an amount of U.S.$250,000. This facility was terminated on April 20, 2004.</w:t>
      </w:r>
    </w:p>
    <w:p>
      <w:pPr>
        <w:spacing w:after="0" w:line="235"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On November 17, 1998, we entered into an overdraft facility (the "AIB facility") for (euro)2,539,000 ($3,101,896) with AIB. This facility bore an annual interest rate equal to AIB Bank's Prime Rate plus one-quarter of one percent. The full sum of the unpaid principal and interest was repayable on demand. This facility was terminated on July 3, 2003.</w:t>
      </w:r>
    </w:p>
    <w:p>
      <w:pPr>
        <w:spacing w:after="0" w:line="62" w:lineRule="exact"/>
        <w:rPr>
          <w:sz w:val="20"/>
          <w:szCs w:val="20"/>
          <w:color w:val="auto"/>
        </w:rPr>
      </w:pPr>
    </w:p>
    <w:p>
      <w:pPr>
        <w:ind w:right="3419"/>
        <w:spacing w:after="0" w:line="284" w:lineRule="auto"/>
        <w:rPr>
          <w:sz w:val="20"/>
          <w:szCs w:val="20"/>
          <w:color w:val="auto"/>
        </w:rPr>
      </w:pPr>
      <w:r>
        <w:rPr>
          <w:rFonts w:ascii="Courier New" w:cs="Courier New" w:eastAsia="Courier New" w:hAnsi="Courier New"/>
          <w:sz w:val="14"/>
          <w:szCs w:val="14"/>
          <w:color w:val="auto"/>
        </w:rPr>
        <w:t>On July 29, 2002, we entered into an additional AIB facility for STG(pound)50,000 ($91,664) This facility bore interest at an annual rate equal to AIB Bank's Prime Rate plus two percent. The full sum of the unpaid principal and interest was repayable on demand. This facility was terminated on July 3, 2003.</w:t>
      </w:r>
    </w:p>
    <w:p>
      <w:pPr>
        <w:spacing w:after="0" w:line="24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Our U.S. subsidiary, ICON Clinical Research, Inc. (the "Borrower"), had a $12 million secured line of credit (the "PNC Facility") with PNC Bank N.A. ("PNC"). The PNC Facility bore interest at an annual rate equal to PNC's Prime Rate less three-quarters of one percent. The full sum of the unpaid principal and interest was payable on demand. The PNC Facility was secured by a first priority security interest in certain assets of the Borrower. This facility was terminated on July 3, 2003.</w:t>
      </w:r>
    </w:p>
    <w:p>
      <w:pPr>
        <w:spacing w:after="0" w:line="72"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a term loan facility of $40 million and a multi currency overdraft facility of $5 million. As at May 31, 2004, the full amount of these facilities were available to be drawn down. ICON Clinical Research, Inc. (a subsidiary of ICON plc) is entitled to make borrowings under a revolving credit facility of $15 million. As at May 31, 2004, the full amount of this facility was available to be drawn down.</w:t>
      </w:r>
    </w:p>
    <w:p>
      <w:pPr>
        <w:spacing w:after="0" w:line="79" w:lineRule="exact"/>
        <w:rPr>
          <w:sz w:val="20"/>
          <w:szCs w:val="20"/>
          <w:color w:val="auto"/>
        </w:rPr>
      </w:pPr>
    </w:p>
    <w:p>
      <w:pPr>
        <w:ind w:right="3339"/>
        <w:spacing w:after="0" w:line="277" w:lineRule="auto"/>
        <w:rPr>
          <w:sz w:val="20"/>
          <w:szCs w:val="20"/>
          <w:color w:val="auto"/>
        </w:rPr>
      </w:pPr>
      <w:r>
        <w:rPr>
          <w:rFonts w:ascii="Courier New" w:cs="Courier New" w:eastAsia="Courier New" w:hAnsi="Courier New"/>
          <w:sz w:val="14"/>
          <w:szCs w:val="14"/>
          <w:color w:val="auto"/>
        </w:rPr>
        <w:t>On September 9, 2003, we completed the acquisition of Globomax LLC, for an initial cash consideration of $10.9 million. Earn-out provisions have been built into the acquisition contract requiring the potential payment of additional deferred consideration up to a maximum of U.S.$4.0 million depending on the performance of Globomax over the period from date of acquisition to May 31, 2006.</w:t>
      </w:r>
    </w:p>
    <w:p>
      <w:pPr>
        <w:spacing w:after="0" w:line="200" w:lineRule="exact"/>
        <w:rPr>
          <w:sz w:val="20"/>
          <w:szCs w:val="20"/>
          <w:color w:val="auto"/>
        </w:rPr>
      </w:pP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590"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Contractual obligations table</w:t>
      </w:r>
    </w:p>
    <w:p>
      <w:pPr>
        <w:spacing w:after="0" w:line="173" w:lineRule="exact"/>
        <w:rPr>
          <w:sz w:val="20"/>
          <w:szCs w:val="20"/>
          <w:color w:val="auto"/>
        </w:rPr>
      </w:pPr>
    </w:p>
    <w:p>
      <w:pPr>
        <w:ind w:right="3939"/>
        <w:spacing w:after="0" w:line="376" w:lineRule="auto"/>
        <w:rPr>
          <w:sz w:val="20"/>
          <w:szCs w:val="20"/>
          <w:color w:val="auto"/>
        </w:rPr>
      </w:pPr>
      <w:r>
        <w:rPr>
          <w:rFonts w:ascii="Courier New" w:cs="Courier New" w:eastAsia="Courier New" w:hAnsi="Courier New"/>
          <w:sz w:val="14"/>
          <w:szCs w:val="14"/>
          <w:color w:val="auto"/>
        </w:rPr>
        <w:t>The following table represents the contractual obligations and commercial commitments of ICON plc as of May 31, 2004: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80" w:type="dxa"/>
        <w:tblCellMar>
          <w:top w:w="0" w:type="dxa"/>
          <w:left w:w="0" w:type="dxa"/>
          <w:bottom w:w="0" w:type="dxa"/>
          <w:right w:w="0" w:type="dxa"/>
        </w:tblCellMar>
      </w:tblPr>
      <w:tr>
        <w:trPr>
          <w:trHeight w:val="242"/>
        </w:trPr>
        <w:tc>
          <w:tcPr>
            <w:tcW w:w="3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Payments due by period</w:t>
            </w: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Contractual obligations</w:t>
            </w:r>
          </w:p>
        </w:tc>
        <w:tc>
          <w:tcPr>
            <w:tcW w:w="16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Total</w:t>
            </w:r>
          </w:p>
        </w:tc>
        <w:tc>
          <w:tcPr>
            <w:tcW w:w="13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Less than 1</w:t>
            </w:r>
          </w:p>
        </w:tc>
        <w:tc>
          <w:tcPr>
            <w:tcW w:w="10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 to 3</w:t>
            </w:r>
          </w:p>
        </w:tc>
        <w:tc>
          <w:tcPr>
            <w:tcW w:w="7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99"/>
              </w:rPr>
              <w:t>3 to 5</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More</w:t>
            </w:r>
          </w:p>
        </w:tc>
        <w:tc>
          <w:tcPr>
            <w:tcW w:w="0" w:type="dxa"/>
            <w:vAlign w:val="bottom"/>
          </w:tcPr>
          <w:p>
            <w:pPr>
              <w:spacing w:after="0"/>
              <w:rPr>
                <w:sz w:val="1"/>
                <w:szCs w:val="1"/>
                <w:color w:val="auto"/>
              </w:rPr>
            </w:pPr>
          </w:p>
        </w:tc>
      </w:tr>
      <w:tr>
        <w:trPr>
          <w:trHeight w:val="90"/>
        </w:trPr>
        <w:tc>
          <w:tcPr>
            <w:tcW w:w="336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years</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years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than 5</w:t>
            </w:r>
          </w:p>
        </w:tc>
        <w:tc>
          <w:tcPr>
            <w:tcW w:w="0" w:type="dxa"/>
            <w:vAlign w:val="bottom"/>
          </w:tcPr>
          <w:p>
            <w:pPr>
              <w:spacing w:after="0"/>
              <w:rPr>
                <w:sz w:val="1"/>
                <w:szCs w:val="1"/>
                <w:color w:val="auto"/>
              </w:rPr>
            </w:pPr>
          </w:p>
        </w:tc>
      </w:tr>
      <w:tr>
        <w:trPr>
          <w:trHeight w:val="242"/>
        </w:trPr>
        <w:tc>
          <w:tcPr>
            <w:tcW w:w="3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years</w:t>
            </w:r>
          </w:p>
        </w:tc>
        <w:tc>
          <w:tcPr>
            <w:tcW w:w="0" w:type="dxa"/>
            <w:vAlign w:val="bottom"/>
          </w:tcPr>
          <w:p>
            <w:pPr>
              <w:spacing w:after="0"/>
              <w:rPr>
                <w:sz w:val="1"/>
                <w:szCs w:val="1"/>
                <w:color w:val="auto"/>
              </w:rPr>
            </w:pPr>
          </w:p>
        </w:tc>
      </w:tr>
      <w:tr>
        <w:trPr>
          <w:trHeight w:val="421"/>
        </w:trPr>
        <w:tc>
          <w:tcPr>
            <w:tcW w:w="3360" w:type="dxa"/>
            <w:vAlign w:val="bottom"/>
          </w:tcPr>
          <w:p>
            <w:pPr>
              <w:spacing w:after="0"/>
              <w:rPr>
                <w:sz w:val="20"/>
                <w:szCs w:val="20"/>
                <w:color w:val="auto"/>
              </w:rPr>
            </w:pPr>
            <w:r>
              <w:rPr>
                <w:rFonts w:ascii="Courier New" w:cs="Courier New" w:eastAsia="Courier New" w:hAnsi="Courier New"/>
                <w:sz w:val="14"/>
                <w:szCs w:val="14"/>
                <w:color w:val="auto"/>
              </w:rPr>
              <w:t>Long-Term Debt Obligations</w:t>
            </w:r>
          </w:p>
        </w:tc>
        <w:tc>
          <w:tcPr>
            <w:tcW w:w="16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$0.4</w:t>
            </w:r>
          </w:p>
        </w:tc>
        <w:tc>
          <w:tcPr>
            <w:tcW w:w="13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10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7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16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Operating lease Obligations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66.0</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20"/>
                <w:szCs w:val="20"/>
                <w:color w:val="auto"/>
              </w:rPr>
            </w:pPr>
            <w:r>
              <w:rPr>
                <w:rFonts w:ascii="Courier New" w:cs="Courier New" w:eastAsia="Courier New" w:hAnsi="Courier New"/>
                <w:sz w:val="14"/>
                <w:szCs w:val="14"/>
                <w:color w:val="auto"/>
              </w:rPr>
              <w:t>Purchase Obligations (1)</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ind w:left="180"/>
        <w:spacing w:after="0"/>
        <w:rPr>
          <w:sz w:val="20"/>
          <w:szCs w:val="20"/>
          <w:color w:val="auto"/>
        </w:rPr>
      </w:pPr>
      <w:r>
        <w:rPr>
          <w:rFonts w:ascii="Courier New" w:cs="Courier New" w:eastAsia="Courier New" w:hAnsi="Courier New"/>
          <w:sz w:val="14"/>
          <w:szCs w:val="14"/>
          <w:color w:val="auto"/>
        </w:rPr>
        <w:t>----------------------------------------------- --------- -------------- ----------- -------- ---------</w:t>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 (U.S.$ in millions)</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$38.3</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$66.0</w:t>
            </w:r>
          </w:p>
        </w:tc>
      </w:tr>
    </w:tbl>
    <w:p>
      <w:pPr>
        <w:ind w:left="180"/>
        <w:spacing w:after="0"/>
        <w:rPr>
          <w:sz w:val="20"/>
          <w:szCs w:val="20"/>
          <w:color w:val="auto"/>
        </w:rPr>
      </w:pPr>
      <w:r>
        <w:rPr>
          <w:rFonts w:ascii="Courier New" w:cs="Courier New" w:eastAsia="Courier New" w:hAnsi="Courier New"/>
          <w:sz w:val="14"/>
          <w:szCs w:val="14"/>
          <w:color w:val="auto"/>
        </w:rPr>
        <w:t>----------------------------------------------- --------- -------------- ----------- -------- ---------</w:t>
      </w:r>
    </w:p>
    <w:p>
      <w:pPr>
        <w:spacing w:after="0" w:line="312" w:lineRule="exact"/>
        <w:rPr>
          <w:sz w:val="20"/>
          <w:szCs w:val="20"/>
          <w:color w:val="auto"/>
        </w:rPr>
      </w:pPr>
    </w:p>
    <w:p>
      <w:pPr>
        <w:ind w:left="440" w:right="3519" w:hanging="1"/>
        <w:spacing w:after="0" w:line="282" w:lineRule="auto"/>
        <w:tabs>
          <w:tab w:leader="none" w:pos="78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figure consists of $2.0 million payable under earn out clauses included in acquisitions undertaken in fiscal 2004 and the remaining $2.5 million relating to prior period acquisitions. Of the $4.5 million, $2.5 million of the earn out targets have been reached at May 31, 2004 and has been recorded in other liabilities.</w:t>
      </w:r>
    </w:p>
    <w:p>
      <w:pPr>
        <w:spacing w:after="0" w:line="62"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We expect to spend approximately $15 million in the next twelve months on further investments in information technology, the expansion of existing facilities and the addition of new offices and expect to increase this level of spending in subsequent years.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may require additional external financing and we may from time to time seek to obtain funds from public or private issues of equity or debt securities. There can be no assurance that such financing will be available on terms acceptable to ICON.</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3"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62" w:lineRule="exact"/>
        <w:rPr>
          <w:sz w:val="20"/>
          <w:szCs w:val="20"/>
          <w:color w:val="auto"/>
        </w:rPr>
      </w:pPr>
    </w:p>
    <w:p>
      <w:pPr>
        <w:ind w:right="3339" w:firstLine="431"/>
        <w:spacing w:after="0" w:line="272" w:lineRule="auto"/>
        <w:rPr>
          <w:sz w:val="20"/>
          <w:szCs w:val="20"/>
          <w:color w:val="auto"/>
        </w:rPr>
      </w:pPr>
      <w:r>
        <w:rPr>
          <w:rFonts w:ascii="Courier New" w:cs="Courier New" w:eastAsia="Courier New" w:hAnsi="Courier New"/>
          <w:sz w:val="14"/>
          <w:szCs w:val="14"/>
          <w:color w:val="auto"/>
        </w:rPr>
        <w:t>We base our estimates and judgements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judgements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339" w:firstLine="431"/>
        <w:spacing w:after="0" w:line="272" w:lineRule="auto"/>
        <w:rPr>
          <w:sz w:val="20"/>
          <w:szCs w:val="20"/>
          <w:color w:val="auto"/>
        </w:rPr>
      </w:pPr>
      <w:r>
        <w:rPr>
          <w:rFonts w:ascii="Courier New" w:cs="Courier New" w:eastAsia="Courier New" w:hAnsi="Courier New"/>
          <w:sz w:val="14"/>
          <w:szCs w:val="14"/>
          <w:color w:val="auto"/>
        </w:rPr>
        <w:t>Significant management judgements and estimates must be made and used in connection with the recognition of revenue in any accounting period. Material differences in the amount of revenue in any given period may result if these judgements or estimates prove to be incorrect or if management's estimates change on the basis of development of the business or market conditions. To date there has been no material differences arising from these judgements and estimates.</w:t>
      </w:r>
    </w:p>
    <w:p>
      <w:pPr>
        <w:spacing w:after="0" w:line="247" w:lineRule="exact"/>
        <w:rPr>
          <w:sz w:val="20"/>
          <w:szCs w:val="20"/>
          <w:color w:val="auto"/>
        </w:rPr>
      </w:pPr>
    </w:p>
    <w:p>
      <w:pPr>
        <w:ind w:right="3599" w:firstLine="431"/>
        <w:spacing w:after="0" w:line="282" w:lineRule="auto"/>
        <w:rPr>
          <w:sz w:val="20"/>
          <w:szCs w:val="20"/>
          <w:color w:val="auto"/>
        </w:rPr>
      </w:pPr>
      <w:r>
        <w:rPr>
          <w:rFonts w:ascii="Courier New" w:cs="Courier New" w:eastAsia="Courier New" w:hAnsi="Courier New"/>
          <w:sz w:val="14"/>
          <w:szCs w:val="14"/>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921" w:right="1440" w:bottom="1440" w:gutter="0" w:footer="0" w:header="0"/>
        </w:sectPr>
      </w:pPr>
    </w:p>
    <w:bookmarkStart w:id="26" w:name="page27"/>
    <w:bookmarkEnd w:id="26"/>
    <w:p>
      <w:pPr>
        <w:ind w:right="3419"/>
        <w:spacing w:after="0" w:line="271" w:lineRule="auto"/>
        <w:rPr>
          <w:sz w:val="20"/>
          <w:szCs w:val="20"/>
          <w:color w:val="auto"/>
        </w:rPr>
      </w:pPr>
      <w:r>
        <w:rPr>
          <w:rFonts w:ascii="Courier New" w:cs="Courier New" w:eastAsia="Courier New" w:hAnsi="Courier New"/>
          <w:sz w:val="14"/>
          <w:szCs w:val="14"/>
          <w:color w:val="auto"/>
        </w:rPr>
        <w:t>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237"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200" w:lineRule="exact"/>
        <w:rPr>
          <w:sz w:val="20"/>
          <w:szCs w:val="20"/>
          <w:color w:val="auto"/>
        </w:rPr>
      </w:pPr>
    </w:p>
    <w:p>
      <w:pPr>
        <w:spacing w:after="0" w:line="215"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w:t>
      </w:r>
    </w:p>
    <w:p>
      <w:pPr>
        <w:spacing w:after="0" w:line="173" w:lineRule="exact"/>
        <w:rPr>
          <w:sz w:val="20"/>
          <w:szCs w:val="20"/>
          <w:color w:val="auto"/>
        </w:rPr>
      </w:pPr>
    </w:p>
    <w:p>
      <w:pPr>
        <w:ind w:right="3519" w:firstLine="431"/>
        <w:spacing w:after="0" w:line="268" w:lineRule="auto"/>
        <w:rPr>
          <w:sz w:val="20"/>
          <w:szCs w:val="20"/>
          <w:color w:val="auto"/>
        </w:rPr>
      </w:pPr>
      <w:r>
        <w:rPr>
          <w:rFonts w:ascii="Courier New" w:cs="Courier New" w:eastAsia="Courier New" w:hAnsi="Courier New"/>
          <w:sz w:val="14"/>
          <w:szCs w:val="14"/>
          <w:color w:val="auto"/>
        </w:rPr>
        <w:t>The principal judgements and uncertainties affecting our accounting for goodwill relate to carrying values. The carrying values of purchased goodwill are assessed annually, using discounted cash flows and net realisable values. The estimates and judgements used to assess carrying values include those relating to commercial risk, revenue and cost projections, our intention with respect to the acquired goodwill, the impact of competition, the impact of any reorganisation or change of our business focus, the level of third party interest in our operations and market conditions.</w:t>
      </w:r>
    </w:p>
    <w:p>
      <w:pPr>
        <w:spacing w:after="0" w:line="74" w:lineRule="exact"/>
        <w:rPr>
          <w:sz w:val="20"/>
          <w:szCs w:val="20"/>
          <w:color w:val="auto"/>
        </w:rPr>
      </w:pPr>
    </w:p>
    <w:p>
      <w:pPr>
        <w:ind w:right="3519"/>
        <w:spacing w:after="0" w:line="271" w:lineRule="auto"/>
        <w:rPr>
          <w:sz w:val="20"/>
          <w:szCs w:val="20"/>
          <w:color w:val="auto"/>
        </w:rPr>
      </w:pPr>
      <w:r>
        <w:rPr>
          <w:rFonts w:ascii="Courier New" w:cs="Courier New" w:eastAsia="Courier New" w:hAnsi="Courier New"/>
          <w:sz w:val="14"/>
          <w:szCs w:val="14"/>
          <w:color w:val="auto"/>
        </w:rPr>
        <w:t>If the implied fair value of reporting unit goodwill is lower then its carring amount, goodwill is impaired and written down to its implied fair value. If we were to use different estimates or judgements, particularly with respect to expected revenue and cost projections or the impact of any reorganisation or change of business focus, a material impairment charge to the statement of operations could arise. We believe that we have used reasonable estimates and judgements in assessing the carrying value of our goodwill.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939"/>
        <w:spacing w:after="0" w:line="375" w:lineRule="auto"/>
        <w:rPr>
          <w:sz w:val="20"/>
          <w:szCs w:val="20"/>
          <w:color w:val="auto"/>
        </w:rPr>
      </w:pPr>
      <w:r>
        <w:rPr>
          <w:rFonts w:ascii="Courier New" w:cs="Courier New" w:eastAsia="Courier New" w:hAnsi="Courier New"/>
          <w:sz w:val="14"/>
          <w:szCs w:val="14"/>
          <w:color w:val="auto"/>
        </w:rPr>
        <w:t>We believe that the effects of inflation generally do not have a material adverse impact on our operations or financial conditions.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173"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In December 2003, the FASB issued Interpretation No. 46, revised--Consolidation of Variable Interest Entities, an Interpretation of ARB No. 51 ("FIN 46R"). FIN 46R addresses the consolidation of variable interest entities ("VIEs"), which include entities that have one or more of the following characteristics: (1) The equity investment at risk is not sufficient to permit the entity to finance its activities without additional subordinated financial support; (2) The equity investors lack essential characteristics of a controlling financial interest (as defined by FIN 46R); and (3) The equity investors have voting rights that are not proportionate to their economic interests, and the activities of the entity involve or are conducted on behalf of an investor with a disproportionally small voting interest. In addition, FIN 46R provides for certain scope exceptions to its application. Adoption of this Interpretation is required in financial statements that have interests in VIEs or potential VIEs, commonly referred to as special-purpose entities, for periods ending after 15 December 2003. Application for all other types of entities is required in financial statements for periods ending after 15 March 2004. The adoption of FIN 46R has not had a material impact on the Company's Consolidated Financial Statements.</w:t>
      </w:r>
    </w:p>
    <w:p>
      <w:pPr>
        <w:spacing w:after="0" w:line="8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590" w:right="1440" w:bottom="1440" w:gutter="0" w:footer="0" w:header="0"/>
        </w:sectPr>
      </w:pPr>
    </w:p>
    <w:bookmarkStart w:id="27" w:name="page28"/>
    <w:bookmarkEnd w:id="27"/>
    <w:p>
      <w:pPr>
        <w:ind w:right="3519"/>
        <w:spacing w:after="0" w:line="264" w:lineRule="auto"/>
        <w:rPr>
          <w:sz w:val="20"/>
          <w:szCs w:val="20"/>
          <w:color w:val="auto"/>
        </w:rPr>
      </w:pPr>
      <w:r>
        <w:rPr>
          <w:rFonts w:ascii="Courier New" w:cs="Courier New" w:eastAsia="Courier New" w:hAnsi="Courier New"/>
          <w:sz w:val="14"/>
          <w:szCs w:val="14"/>
          <w:color w:val="auto"/>
        </w:rPr>
        <w:t>On April 30, 2003, the FASB issued FASB Statement No. 149, Amendment of Statement 133 on Derivative Instruments and Hedging Activities, which amends FASB Statement No. 133, Accounting for Derivative Instruments and Hedging Activities, to address (1) decisions reached by the Derivatives Implementation Group, (2) developments in other Board projects that address financial instruments, and (3) implementation issues related to the definition of a derivative. Statement 149 has multiple effective date provisions depending on the nature of the amendment to Statement 133. Under SFAS No. 133, our foreign exchange contracts do not qualify for hedge accounting treatment. The adoption of SFAS No.149 did not have a significant impact on our financial statements.</w:t>
      </w:r>
    </w:p>
    <w:p>
      <w:pPr>
        <w:spacing w:after="0" w:line="77"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On May 15, 2003, the FASB issued FASB Statement No. 150, "Accounting for Certain Financial Instruments with Characteristics of both Liabilities and Equity". This Statement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This Statement is effective for financial instruments entered into or modified after May 31, 2003, and otherwise is effective at the beginning of the first interim period beginning after June 15, 2003, except for certain mandatorily redeemable financial instruments. It is to be implemented by reporting the cumulative effect of a change in an accounting principle for financial instruments created before the issuance date of the Statement and still existing at the beginning of the interim period of adoption. Restatement is not permitted. The adoption of SFAS No.150 did not have a significant impact on our financial statements.</w:t>
      </w:r>
    </w:p>
    <w:p>
      <w:pPr>
        <w:spacing w:after="0" w:line="83"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The Emerging Issues Task Force (EITF) has reached a final consensus on EITF Issue No. 00-21, Revenue Arrangements with Multiple Deliverables. This Issue addresses certain aspects of the accounting by a vendor for arrangements under which it will perform multiple revenue-generating activities, specifically how to determine whether an arrangement involving multiple deliverables contains more than one unit of accounting. The Issue also addresses how arrangement consideration should be measured and allocated to the separate units of accounting in the arrangement. The guidance in this Issue is effective for revenue arrangements entered into in fiscal periods beginning after June 15, 2003, with a possible alternative means of adoption by applying the new rules to existing contracts and recording the effect of adoption as a cumulative effect of a change in accounting principle. Early adoption is permitted. We adopted EITF Issue No. 00-21 on June 1, 2003. The adoptions of EITF Issue No. 00-21did not have a significant impact on our financial statements.</w:t>
      </w:r>
    </w:p>
    <w:p>
      <w:pPr>
        <w:spacing w:after="0" w:line="79" w:lineRule="exact"/>
        <w:rPr>
          <w:sz w:val="20"/>
          <w:szCs w:val="20"/>
          <w:color w:val="auto"/>
        </w:rPr>
      </w:pPr>
    </w:p>
    <w:p>
      <w:pPr>
        <w:ind w:right="3419"/>
        <w:spacing w:after="0" w:line="263" w:lineRule="auto"/>
        <w:rPr>
          <w:sz w:val="20"/>
          <w:szCs w:val="20"/>
          <w:color w:val="auto"/>
        </w:rPr>
      </w:pPr>
      <w:r>
        <w:rPr>
          <w:rFonts w:ascii="Courier New" w:cs="Courier New" w:eastAsia="Courier New" w:hAnsi="Courier New"/>
          <w:sz w:val="14"/>
          <w:szCs w:val="14"/>
          <w:color w:val="auto"/>
        </w:rPr>
        <w:t>In December 2003, the FASB issued SFAS Statement No. 132 (revised), "Employers' Disclosures about Pensions and Other Postretirement Benefits" ("SFAS No. 132 (revised)"). SFAS No. 132 (revised) will revise employers' disclosures about pension plans and other postretirement benefit plans. It does not change the measurement or recognition of those plans. SFAS No. 132 (revised) will retain and revise the disclosure requirements contained in the original SFAS No. 132. It also requires additional disclosures about the assets, obligations, cash flows, and net periodic benefit cost of defined benefit pension plans and other postretirement benefit plans. The Statement generally is effective for fiscal years ending after December 15, 2003. SFAS No. 132 did not have a material impact on the Company's Consolidated Financial Statements.</w:t>
      </w:r>
    </w:p>
    <w:p>
      <w:pPr>
        <w:spacing w:after="0" w:line="200" w:lineRule="exact"/>
        <w:rPr>
          <w:sz w:val="20"/>
          <w:szCs w:val="20"/>
          <w:color w:val="auto"/>
        </w:rPr>
      </w:pP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756" w:right="1440" w:bottom="1440" w:gutter="0" w:footer="0" w:header="0"/>
        </w:sectPr>
      </w:pPr>
    </w:p>
    <w:bookmarkStart w:id="28" w:name="page29"/>
    <w:bookmarkEnd w:id="28"/>
    <w:p>
      <w:pPr>
        <w:spacing w:after="0"/>
        <w:tabs>
          <w:tab w:leader="none" w:pos="760" w:val="left"/>
        </w:tabs>
        <w:rPr>
          <w:sz w:val="20"/>
          <w:szCs w:val="20"/>
          <w:color w:val="auto"/>
        </w:rPr>
      </w:pPr>
      <w:r>
        <w:rPr>
          <w:rFonts w:ascii="Courier New" w:cs="Courier New" w:eastAsia="Courier New" w:hAnsi="Courier New"/>
          <w:sz w:val="14"/>
          <w:szCs w:val="14"/>
          <w:color w:val="auto"/>
        </w:rPr>
        <w:t>Item 6.</w:t>
        <w:tab/>
        <w:t>Directors, Senior Management and Employees.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Senior Management</w:t>
      </w:r>
    </w:p>
    <w:p>
      <w:pPr>
        <w:spacing w:after="0" w:line="173"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The following table and accompanying biographies set forth certain information concerning each of ICON plc directors, officers and other key employees as of May 31, 2004.</w:t>
      </w:r>
    </w:p>
    <w:p>
      <w:pPr>
        <w:spacing w:after="0" w:line="42" w:lineRule="exact"/>
        <w:rPr>
          <w:sz w:val="20"/>
          <w:szCs w:val="20"/>
          <w:color w:val="auto"/>
        </w:rPr>
      </w:pPr>
    </w:p>
    <w:p>
      <w:pPr>
        <w:spacing w:after="0"/>
        <w:tabs>
          <w:tab w:leader="none" w:pos="3780" w:val="left"/>
          <w:tab w:leader="none" w:pos="45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Age</w:t>
      </w:r>
      <w:r>
        <w:rPr>
          <w:sz w:val="20"/>
          <w:szCs w:val="20"/>
          <w:color w:val="auto"/>
        </w:rPr>
        <w:tab/>
      </w:r>
      <w:r>
        <w:rPr>
          <w:rFonts w:ascii="Courier New" w:cs="Courier New" w:eastAsia="Courier New" w:hAnsi="Courier New"/>
          <w:sz w:val="14"/>
          <w:szCs w:val="14"/>
          <w:color w:val="auto"/>
        </w:rPr>
        <w:t>Position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2500" w:type="dxa"/>
            <w:vAlign w:val="bottom"/>
          </w:tcPr>
          <w:p>
            <w:pPr>
              <w:spacing w:after="0" w:line="147" w:lineRule="exact"/>
              <w:rPr>
                <w:sz w:val="20"/>
                <w:szCs w:val="20"/>
                <w:color w:val="auto"/>
              </w:rPr>
            </w:pPr>
            <w:r>
              <w:rPr>
                <w:rFonts w:ascii="Courier New" w:cs="Courier New" w:eastAsia="Courier New" w:hAnsi="Courier New"/>
                <w:sz w:val="14"/>
                <w:szCs w:val="14"/>
                <w:color w:val="auto"/>
              </w:rPr>
              <w:t>Dr. John Climax(1)(2)(5)</w:t>
            </w:r>
          </w:p>
        </w:tc>
        <w:tc>
          <w:tcPr>
            <w:tcW w:w="920" w:type="dxa"/>
            <w:vAlign w:val="bottom"/>
          </w:tcPr>
          <w:p>
            <w:pPr>
              <w:jc w:val="right"/>
              <w:ind w:right="248"/>
              <w:spacing w:after="0" w:line="147" w:lineRule="exact"/>
              <w:rPr>
                <w:sz w:val="20"/>
                <w:szCs w:val="20"/>
                <w:color w:val="auto"/>
              </w:rPr>
            </w:pPr>
            <w:r>
              <w:rPr>
                <w:rFonts w:ascii="Courier New" w:cs="Courier New" w:eastAsia="Courier New" w:hAnsi="Courier New"/>
                <w:sz w:val="14"/>
                <w:szCs w:val="14"/>
                <w:color w:val="auto"/>
              </w:rPr>
              <w:t>51</w:t>
            </w:r>
          </w:p>
        </w:tc>
        <w:tc>
          <w:tcPr>
            <w:tcW w:w="3400" w:type="dxa"/>
            <w:vAlign w:val="bottom"/>
          </w:tcPr>
          <w:p>
            <w:pPr>
              <w:ind w:left="300"/>
              <w:spacing w:after="0" w:line="147" w:lineRule="exact"/>
              <w:rPr>
                <w:sz w:val="20"/>
                <w:szCs w:val="20"/>
                <w:color w:val="auto"/>
              </w:rPr>
            </w:pPr>
            <w:r>
              <w:rPr>
                <w:rFonts w:ascii="Courier New" w:cs="Courier New" w:eastAsia="Courier New" w:hAnsi="Courier New"/>
                <w:sz w:val="14"/>
                <w:szCs w:val="14"/>
                <w:color w:val="auto"/>
              </w:rPr>
              <w:t>Chairman of the Board</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Peter Gray(1)</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49</w:t>
            </w: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Chief Executive Officer, Director</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Sean Leech(1)</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w:t>
            </w: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Chief Financial Officer</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Dr. Ronan Lambe(1)</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64</w:t>
            </w: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Thomas Lynch(2)(3)(4)</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w:t>
            </w: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Edward Roberts(2)(3)(4)</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69</w:t>
            </w: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Lee Jones(3)(4)(6)</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48</w:t>
            </w: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Shuji Higuchi</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64</w:t>
            </w: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William Taaffe</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55</w:t>
            </w: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President &amp; Chief Executive Officer</w:t>
            </w:r>
          </w:p>
        </w:tc>
        <w:tc>
          <w:tcPr>
            <w:tcW w:w="0" w:type="dxa"/>
            <w:vAlign w:val="bottom"/>
          </w:tcPr>
          <w:p>
            <w:pPr>
              <w:spacing w:after="0"/>
              <w:rPr>
                <w:sz w:val="1"/>
                <w:szCs w:val="1"/>
                <w:color w:val="auto"/>
              </w:rPr>
            </w:pPr>
          </w:p>
        </w:tc>
      </w:tr>
      <w:tr>
        <w:trPr>
          <w:trHeight w:val="166"/>
        </w:trPr>
        <w:tc>
          <w:tcPr>
            <w:tcW w:w="2500" w:type="dxa"/>
            <w:vAlign w:val="bottom"/>
            <w:vMerge w:val="restart"/>
          </w:tcPr>
          <w:p>
            <w:pPr>
              <w:spacing w:after="0"/>
              <w:rPr>
                <w:sz w:val="20"/>
                <w:szCs w:val="20"/>
                <w:color w:val="auto"/>
              </w:rPr>
            </w:pPr>
            <w:r>
              <w:rPr>
                <w:rFonts w:ascii="Courier New" w:cs="Courier New" w:eastAsia="Courier New" w:hAnsi="Courier New"/>
                <w:sz w:val="14"/>
                <w:szCs w:val="14"/>
                <w:color w:val="auto"/>
              </w:rPr>
              <w:t>Dr. Peter Sowood</w:t>
            </w:r>
          </w:p>
        </w:tc>
        <w:tc>
          <w:tcPr>
            <w:tcW w:w="92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51</w:t>
            </w: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of ICON Clinical Research - U.S.</w:t>
            </w:r>
          </w:p>
        </w:tc>
        <w:tc>
          <w:tcPr>
            <w:tcW w:w="0" w:type="dxa"/>
            <w:vAlign w:val="bottom"/>
          </w:tcPr>
          <w:p>
            <w:pPr>
              <w:spacing w:after="0"/>
              <w:rPr>
                <w:sz w:val="1"/>
                <w:szCs w:val="1"/>
                <w:color w:val="auto"/>
              </w:rPr>
            </w:pPr>
          </w:p>
        </w:tc>
      </w:tr>
      <w:tr>
        <w:trPr>
          <w:trHeight w:val="166"/>
        </w:trPr>
        <w:tc>
          <w:tcPr>
            <w:tcW w:w="25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President of ICON Clinical Research</w:t>
            </w:r>
          </w:p>
        </w:tc>
        <w:tc>
          <w:tcPr>
            <w:tcW w:w="0" w:type="dxa"/>
            <w:vAlign w:val="bottom"/>
          </w:tcPr>
          <w:p>
            <w:pPr>
              <w:spacing w:after="0"/>
              <w:rPr>
                <w:sz w:val="1"/>
                <w:szCs w:val="1"/>
                <w:color w:val="auto"/>
              </w:rPr>
            </w:pPr>
          </w:p>
        </w:tc>
      </w:tr>
      <w:tr>
        <w:trPr>
          <w:trHeight w:val="166"/>
        </w:trPr>
        <w:tc>
          <w:tcPr>
            <w:tcW w:w="2500" w:type="dxa"/>
            <w:vAlign w:val="bottom"/>
            <w:vMerge w:val="restart"/>
          </w:tcPr>
          <w:p>
            <w:pPr>
              <w:spacing w:after="0"/>
              <w:rPr>
                <w:sz w:val="20"/>
                <w:szCs w:val="20"/>
                <w:color w:val="auto"/>
              </w:rPr>
            </w:pPr>
            <w:r>
              <w:rPr>
                <w:rFonts w:ascii="Courier New" w:cs="Courier New" w:eastAsia="Courier New" w:hAnsi="Courier New"/>
                <w:sz w:val="14"/>
                <w:szCs w:val="14"/>
                <w:color w:val="auto"/>
              </w:rPr>
              <w:t>Edward Caffrey</w:t>
            </w:r>
          </w:p>
        </w:tc>
        <w:tc>
          <w:tcPr>
            <w:tcW w:w="92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50</w:t>
            </w: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 Europe</w:t>
            </w:r>
          </w:p>
        </w:tc>
        <w:tc>
          <w:tcPr>
            <w:tcW w:w="0" w:type="dxa"/>
            <w:vAlign w:val="bottom"/>
          </w:tcPr>
          <w:p>
            <w:pPr>
              <w:spacing w:after="0"/>
              <w:rPr>
                <w:sz w:val="1"/>
                <w:szCs w:val="1"/>
                <w:color w:val="auto"/>
              </w:rPr>
            </w:pPr>
          </w:p>
        </w:tc>
      </w:tr>
      <w:tr>
        <w:trPr>
          <w:trHeight w:val="166"/>
        </w:trPr>
        <w:tc>
          <w:tcPr>
            <w:tcW w:w="25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President of ICON Laboratories</w:t>
            </w: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Dr. Dan Weng</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41</w:t>
            </w: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President of ICON Clinical Research</w:t>
            </w:r>
          </w:p>
        </w:tc>
        <w:tc>
          <w:tcPr>
            <w:tcW w:w="0" w:type="dxa"/>
            <w:vAlign w:val="bottom"/>
          </w:tcPr>
          <w:p>
            <w:pPr>
              <w:spacing w:after="0"/>
              <w:rPr>
                <w:sz w:val="1"/>
                <w:szCs w:val="1"/>
                <w:color w:val="auto"/>
              </w:rPr>
            </w:pPr>
          </w:p>
        </w:tc>
      </w:tr>
      <w:tr>
        <w:trPr>
          <w:trHeight w:val="166"/>
        </w:trPr>
        <w:tc>
          <w:tcPr>
            <w:tcW w:w="2500" w:type="dxa"/>
            <w:vAlign w:val="bottom"/>
            <w:vMerge w:val="restart"/>
          </w:tcPr>
          <w:p>
            <w:pPr>
              <w:spacing w:after="0"/>
              <w:rPr>
                <w:sz w:val="20"/>
                <w:szCs w:val="20"/>
                <w:color w:val="auto"/>
              </w:rPr>
            </w:pPr>
            <w:r>
              <w:rPr>
                <w:rFonts w:ascii="Courier New" w:cs="Courier New" w:eastAsia="Courier New" w:hAnsi="Courier New"/>
                <w:sz w:val="14"/>
                <w:szCs w:val="14"/>
                <w:color w:val="auto"/>
              </w:rPr>
              <w:t>Dr. John Hubbard</w:t>
            </w:r>
          </w:p>
        </w:tc>
        <w:tc>
          <w:tcPr>
            <w:tcW w:w="92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47</w:t>
            </w: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 Rest of World</w:t>
            </w:r>
          </w:p>
        </w:tc>
        <w:tc>
          <w:tcPr>
            <w:tcW w:w="0" w:type="dxa"/>
            <w:vAlign w:val="bottom"/>
          </w:tcPr>
          <w:p>
            <w:pPr>
              <w:spacing w:after="0"/>
              <w:rPr>
                <w:sz w:val="1"/>
                <w:szCs w:val="1"/>
                <w:color w:val="auto"/>
              </w:rPr>
            </w:pPr>
          </w:p>
        </w:tc>
      </w:tr>
      <w:tr>
        <w:trPr>
          <w:trHeight w:val="166"/>
        </w:trPr>
        <w:tc>
          <w:tcPr>
            <w:tcW w:w="25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Chief Operating Officer, ICON</w:t>
            </w:r>
          </w:p>
        </w:tc>
        <w:tc>
          <w:tcPr>
            <w:tcW w:w="0" w:type="dxa"/>
            <w:vAlign w:val="bottom"/>
          </w:tcPr>
          <w:p>
            <w:pPr>
              <w:spacing w:after="0"/>
              <w:rPr>
                <w:sz w:val="1"/>
                <w:szCs w:val="1"/>
                <w:color w:val="auto"/>
              </w:rPr>
            </w:pPr>
          </w:p>
        </w:tc>
      </w:tr>
      <w:tr>
        <w:trPr>
          <w:trHeight w:val="166"/>
        </w:trPr>
        <w:tc>
          <w:tcPr>
            <w:tcW w:w="2500" w:type="dxa"/>
            <w:vAlign w:val="bottom"/>
            <w:vMerge w:val="restart"/>
          </w:tcPr>
          <w:p>
            <w:pPr>
              <w:spacing w:after="0"/>
              <w:rPr>
                <w:sz w:val="20"/>
                <w:szCs w:val="20"/>
                <w:color w:val="auto"/>
              </w:rPr>
            </w:pPr>
            <w:r>
              <w:rPr>
                <w:rFonts w:ascii="Courier New" w:cs="Courier New" w:eastAsia="Courier New" w:hAnsi="Courier New"/>
                <w:sz w:val="14"/>
                <w:szCs w:val="14"/>
                <w:color w:val="auto"/>
              </w:rPr>
              <w:t>Dr. Thomas Frey</w:t>
            </w:r>
          </w:p>
        </w:tc>
        <w:tc>
          <w:tcPr>
            <w:tcW w:w="92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51</w:t>
            </w: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Clinical Research - U.S.</w:t>
            </w:r>
          </w:p>
        </w:tc>
        <w:tc>
          <w:tcPr>
            <w:tcW w:w="0" w:type="dxa"/>
            <w:vAlign w:val="bottom"/>
          </w:tcPr>
          <w:p>
            <w:pPr>
              <w:spacing w:after="0"/>
              <w:rPr>
                <w:sz w:val="1"/>
                <w:szCs w:val="1"/>
                <w:color w:val="auto"/>
              </w:rPr>
            </w:pPr>
          </w:p>
        </w:tc>
      </w:tr>
      <w:tr>
        <w:trPr>
          <w:trHeight w:val="166"/>
        </w:trPr>
        <w:tc>
          <w:tcPr>
            <w:tcW w:w="25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Chief Operating Officer, ICON</w:t>
            </w:r>
          </w:p>
        </w:tc>
        <w:tc>
          <w:tcPr>
            <w:tcW w:w="0" w:type="dxa"/>
            <w:vAlign w:val="bottom"/>
          </w:tcPr>
          <w:p>
            <w:pPr>
              <w:spacing w:after="0"/>
              <w:rPr>
                <w:sz w:val="1"/>
                <w:szCs w:val="1"/>
                <w:color w:val="auto"/>
              </w:rPr>
            </w:pPr>
          </w:p>
        </w:tc>
      </w:tr>
      <w:tr>
        <w:trPr>
          <w:trHeight w:val="166"/>
        </w:trPr>
        <w:tc>
          <w:tcPr>
            <w:tcW w:w="2500" w:type="dxa"/>
            <w:vAlign w:val="bottom"/>
            <w:vMerge w:val="restart"/>
          </w:tcPr>
          <w:p>
            <w:pPr>
              <w:spacing w:after="0"/>
              <w:rPr>
                <w:sz w:val="20"/>
                <w:szCs w:val="20"/>
                <w:color w:val="auto"/>
              </w:rPr>
            </w:pPr>
            <w:r>
              <w:rPr>
                <w:rFonts w:ascii="Courier New" w:cs="Courier New" w:eastAsia="Courier New" w:hAnsi="Courier New"/>
                <w:sz w:val="14"/>
                <w:szCs w:val="14"/>
                <w:color w:val="auto"/>
              </w:rPr>
              <w:t>Josephine Coyle</w:t>
            </w:r>
          </w:p>
        </w:tc>
        <w:tc>
          <w:tcPr>
            <w:tcW w:w="92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46</w:t>
            </w: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Clinical Research - Europe</w:t>
            </w:r>
          </w:p>
        </w:tc>
        <w:tc>
          <w:tcPr>
            <w:tcW w:w="0" w:type="dxa"/>
            <w:vAlign w:val="bottom"/>
          </w:tcPr>
          <w:p>
            <w:pPr>
              <w:spacing w:after="0"/>
              <w:rPr>
                <w:sz w:val="1"/>
                <w:szCs w:val="1"/>
                <w:color w:val="auto"/>
              </w:rPr>
            </w:pPr>
          </w:p>
        </w:tc>
      </w:tr>
      <w:tr>
        <w:trPr>
          <w:trHeight w:val="166"/>
        </w:trPr>
        <w:tc>
          <w:tcPr>
            <w:tcW w:w="25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Vice President for Corporate Quality</w:t>
            </w:r>
          </w:p>
        </w:tc>
        <w:tc>
          <w:tcPr>
            <w:tcW w:w="0" w:type="dxa"/>
            <w:vAlign w:val="bottom"/>
          </w:tcPr>
          <w:p>
            <w:pPr>
              <w:spacing w:after="0"/>
              <w:rPr>
                <w:sz w:val="1"/>
                <w:szCs w:val="1"/>
                <w:color w:val="auto"/>
              </w:rPr>
            </w:pPr>
          </w:p>
        </w:tc>
      </w:tr>
      <w:tr>
        <w:trPr>
          <w:trHeight w:val="242"/>
        </w:trPr>
        <w:tc>
          <w:tcPr>
            <w:tcW w:w="2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0" w:type="dxa"/>
            <w:vAlign w:val="bottom"/>
          </w:tcPr>
          <w:p>
            <w:pPr>
              <w:ind w:left="300"/>
              <w:spacing w:after="0"/>
              <w:rPr>
                <w:sz w:val="20"/>
                <w:szCs w:val="20"/>
                <w:color w:val="auto"/>
              </w:rPr>
            </w:pPr>
            <w:r>
              <w:rPr>
                <w:rFonts w:ascii="Courier New" w:cs="Courier New" w:eastAsia="Courier New" w:hAnsi="Courier New"/>
                <w:sz w:val="14"/>
                <w:szCs w:val="14"/>
                <w:color w:val="auto"/>
              </w:rPr>
              <w:t>Assurance</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40" w:hanging="432"/>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 of the Company.</w:t>
      </w:r>
    </w:p>
    <w:p>
      <w:pPr>
        <w:spacing w:after="0" w:line="3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Compensation Committee.</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Audit Committee.</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Nomination Committee.</w:t>
      </w:r>
    </w:p>
    <w:p>
      <w:pPr>
        <w:spacing w:after="0" w:line="7" w:lineRule="exact"/>
        <w:rPr>
          <w:rFonts w:ascii="Courier New" w:cs="Courier New" w:eastAsia="Courier New" w:hAnsi="Courier New"/>
          <w:sz w:val="14"/>
          <w:szCs w:val="14"/>
          <w:color w:val="auto"/>
        </w:rPr>
      </w:pPr>
    </w:p>
    <w:p>
      <w:pPr>
        <w:ind w:left="440" w:right="3519" w:hanging="432"/>
        <w:spacing w:after="0" w:line="336"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Resigned from the Compensation Committee on July 22, 2004. (6) Joined the Compensation Committee on July 22, 2004.</w:t>
      </w:r>
    </w:p>
    <w:p>
      <w:pPr>
        <w:spacing w:after="0" w:line="27" w:lineRule="exact"/>
        <w:rPr>
          <w:sz w:val="20"/>
          <w:szCs w:val="20"/>
          <w:color w:val="auto"/>
        </w:rPr>
      </w:pPr>
    </w:p>
    <w:p>
      <w:pPr>
        <w:ind w:right="3519"/>
        <w:spacing w:after="0" w:line="266" w:lineRule="auto"/>
        <w:rPr>
          <w:sz w:val="20"/>
          <w:szCs w:val="20"/>
          <w:color w:val="auto"/>
        </w:rPr>
      </w:pPr>
      <w:r>
        <w:rPr>
          <w:rFonts w:ascii="Courier New" w:cs="Courier New" w:eastAsia="Courier New" w:hAnsi="Courier New"/>
          <w:sz w:val="14"/>
          <w:szCs w:val="14"/>
          <w:color w:val="auto"/>
        </w:rPr>
        <w:t>Dr. John Climax, one of the Company's co-founders, has served as a director of the Company and its subsidiaries since June 1990. Dr. Climax served as Chief Executive Officer from June 1990 to October 2002 and was appointed Chairman of the Board in November 2002. Dr. Climax has over 19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74" w:lineRule="exact"/>
        <w:rPr>
          <w:sz w:val="20"/>
          <w:szCs w:val="20"/>
          <w:color w:val="auto"/>
        </w:rPr>
      </w:pPr>
    </w:p>
    <w:p>
      <w:pPr>
        <w:ind w:right="3339"/>
        <w:spacing w:after="0" w:line="269" w:lineRule="auto"/>
        <w:rPr>
          <w:sz w:val="20"/>
          <w:szCs w:val="20"/>
          <w:color w:val="auto"/>
        </w:rPr>
      </w:pPr>
      <w:r>
        <w:rPr>
          <w:rFonts w:ascii="Courier New" w:cs="Courier New" w:eastAsia="Courier New" w:hAnsi="Courier New"/>
          <w:sz w:val="14"/>
          <w:szCs w:val="14"/>
          <w:color w:val="auto"/>
        </w:rPr>
        <w:t>Peter Gray has served as the Chief Executive Officer of ICON and its subsidiaries since November 2002. He served as the Group Chief Operating Officer of ICON and its subsidiaries from June 2001, and was Chief Financial Officer from June 1997 to June 2001. He has been a director of the Company since June 1997. Mr. Gray has over 13 years experience in the pharmaceutical services industry and has also worked in the engineering and food sectors. Mr. Gray received a degree in Law from Trinity College Dublin in 1977 and became a chartered accountant in 1980.</w:t>
      </w:r>
    </w:p>
    <w:p>
      <w:pPr>
        <w:spacing w:after="0" w:line="246"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Sean Leech has served as Chief Financial Officer of ICON and its subsidiaries since June 2001 and previously as Group Vice President of Finance from June 1999. Mr. Leech was Group Financial Controller of Jones Group plc, a shipping, manufacturing and fuel distribution company based in Ireland, from 1997 to 1999. Mr. Leech is an Associate member of the Chartered Institute of Management Accountants.</w:t>
      </w:r>
    </w:p>
    <w:p>
      <w:pPr>
        <w:spacing w:after="0" w:line="69" w:lineRule="exact"/>
        <w:rPr>
          <w:sz w:val="20"/>
          <w:szCs w:val="20"/>
          <w:color w:val="auto"/>
        </w:rPr>
      </w:pPr>
    </w:p>
    <w:p>
      <w:pPr>
        <w:ind w:right="3679"/>
        <w:spacing w:after="0" w:line="292" w:lineRule="auto"/>
        <w:rPr>
          <w:sz w:val="20"/>
          <w:szCs w:val="20"/>
          <w:color w:val="auto"/>
        </w:rPr>
      </w:pPr>
      <w:r>
        <w:rPr>
          <w:rFonts w:ascii="Courier New" w:cs="Courier New" w:eastAsia="Courier New" w:hAnsi="Courier New"/>
          <w:sz w:val="14"/>
          <w:szCs w:val="14"/>
          <w:color w:val="auto"/>
        </w:rPr>
        <w:t>Dr. Ronan Lambe, one of the Company's co-founders, served as Chairman of the Board of the Company from June 1990 to November 2002. Dr. Lambe has over 22 years of experience in the contract research industry in Europe. Dr. Lambe attended</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921" w:right="1440" w:bottom="1440" w:gutter="0" w:footer="0" w:header="0"/>
        </w:sectPr>
      </w:pPr>
    </w:p>
    <w:bookmarkStart w:id="29" w:name="page30"/>
    <w:bookmarkEnd w:id="29"/>
    <w:p>
      <w:pPr>
        <w:ind w:right="3519"/>
        <w:spacing w:after="0" w:line="292" w:lineRule="auto"/>
        <w:rPr>
          <w:sz w:val="20"/>
          <w:szCs w:val="20"/>
          <w:color w:val="auto"/>
        </w:rPr>
      </w:pPr>
      <w:r>
        <w:rPr>
          <w:rFonts w:ascii="Courier New" w:cs="Courier New" w:eastAsia="Courier New" w:hAnsi="Courier New"/>
          <w:sz w:val="14"/>
          <w:szCs w:val="14"/>
          <w:color w:val="auto"/>
        </w:rPr>
        <w:t>the National University of Ireland where he received his bachelor of science degree in chemistry in 1959, his masters in biochemistry in 1962 and his Ph.D. in pharmacology in 1976. Dr. Lambe continues to serve as a director of the Company.</w:t>
      </w:r>
    </w:p>
    <w:p>
      <w:pPr>
        <w:spacing w:after="0" w:line="56"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Thomas Lynch has served as an outside director of the Company since January 1996. Since May 1993, Mr. Lynch has held several senior positions in Elan Corporation, plc, a specialty pharmaceutical company, including Executive Vice President, Chief Financial Officer and Deputy Chairman. He is currently Senior Advisor to the Chairman of the Board of Elan Corporation plc. Mr. Lynch is a director of Nanogen, Inc. and Chairman of Amarin Corporation plc. Mr. Lynch was a partner at KPMG from May 1990 to May 1993.</w:t>
      </w:r>
    </w:p>
    <w:p>
      <w:pPr>
        <w:spacing w:after="0" w:line="72" w:lineRule="exact"/>
        <w:rPr>
          <w:sz w:val="20"/>
          <w:szCs w:val="20"/>
          <w:color w:val="auto"/>
        </w:rPr>
      </w:pPr>
    </w:p>
    <w:p>
      <w:pPr>
        <w:ind w:right="3419"/>
        <w:spacing w:after="0" w:line="269" w:lineRule="auto"/>
        <w:rPr>
          <w:sz w:val="20"/>
          <w:szCs w:val="20"/>
          <w:color w:val="auto"/>
        </w:rPr>
      </w:pPr>
      <w:r>
        <w:rPr>
          <w:rFonts w:ascii="Courier New" w:cs="Courier New" w:eastAsia="Courier New" w:hAnsi="Courier New"/>
          <w:sz w:val="14"/>
          <w:szCs w:val="14"/>
          <w:color w:val="auto"/>
        </w:rPr>
        <w:t>Edward Roberts has served as an outside director of the Company since February 1998. Mr. Roberts was Managing Director of the Pharmaceutical Division of Merck KGaA from 1990 to 1998. Prior to that, he held a number of senior management positions with Eli Lilly International in Europe and the United States. Mr. Roberts has over 39 years of experience in the pharmaceutical industry. He has been a partner in Global Health Care Partners since June 1998, and also serves as Chairman of Biopartners and Chairman of the Advisory Board of Merz &amp; Co. GmbH.</w:t>
      </w:r>
    </w:p>
    <w:p>
      <w:pPr>
        <w:spacing w:after="0" w:line="246" w:lineRule="exact"/>
        <w:rPr>
          <w:sz w:val="20"/>
          <w:szCs w:val="20"/>
          <w:color w:val="auto"/>
        </w:rPr>
      </w:pPr>
    </w:p>
    <w:p>
      <w:pPr>
        <w:ind w:right="3519"/>
        <w:spacing w:after="0" w:line="275" w:lineRule="auto"/>
        <w:rPr>
          <w:sz w:val="20"/>
          <w:szCs w:val="20"/>
          <w:color w:val="auto"/>
        </w:rPr>
      </w:pPr>
      <w:r>
        <w:rPr>
          <w:rFonts w:ascii="Courier New" w:cs="Courier New" w:eastAsia="Courier New" w:hAnsi="Courier New"/>
          <w:sz w:val="14"/>
          <w:szCs w:val="14"/>
          <w:color w:val="auto"/>
        </w:rPr>
        <w:t>Lee Jones has served as an outside director of the Company since June 1, 2001. Since March 2000, he has been Chairman and Chief Executive Officer of Americas Doctor, a pharmaceutical services company. Previously, he was Divisional Vice-President of Information Management and Technology in the Pharmaceutical Product Division of Abbott Laboratories. He has held various senior positions with Abbott Laboratories and the Upjohn Company.</w:t>
      </w:r>
    </w:p>
    <w:p>
      <w:pPr>
        <w:spacing w:after="0" w:line="69" w:lineRule="exact"/>
        <w:rPr>
          <w:sz w:val="20"/>
          <w:szCs w:val="20"/>
          <w:color w:val="auto"/>
        </w:rPr>
      </w:pPr>
    </w:p>
    <w:p>
      <w:pPr>
        <w:ind w:right="3339"/>
        <w:spacing w:after="0" w:line="269" w:lineRule="auto"/>
        <w:rPr>
          <w:sz w:val="20"/>
          <w:szCs w:val="20"/>
          <w:color w:val="auto"/>
        </w:rPr>
      </w:pPr>
      <w:r>
        <w:rPr>
          <w:rFonts w:ascii="Courier New" w:cs="Courier New" w:eastAsia="Courier New" w:hAnsi="Courier New"/>
          <w:sz w:val="14"/>
          <w:szCs w:val="14"/>
          <w:color w:val="auto"/>
        </w:rPr>
        <w:t>Mr. Shuji Higuchi has served as an outside Director of the Company since September 2004. Dr. Higuchi has over 39 years of experience in the pharmaceutical industry. Dr. Higuchi is currently Director of R&amp;D and Business Integration, Kyoto University Hospital, Japan. Prior to this Dr. Higuchi has served as President of Takeda Pharma GmbH from 1983 to 1992, President of Takeda Europe R&amp;D Centre, Frankfurt / London from 1992 to 2002, and served as a Corporate Officer of Takeda Chemical Industries Limited, Japan from 1999 to 2002.</w:t>
      </w:r>
    </w:p>
    <w:p>
      <w:pPr>
        <w:spacing w:after="0" w:line="246" w:lineRule="exact"/>
        <w:rPr>
          <w:sz w:val="20"/>
          <w:szCs w:val="20"/>
          <w:color w:val="auto"/>
        </w:rPr>
      </w:pPr>
    </w:p>
    <w:p>
      <w:pPr>
        <w:ind w:right="3519"/>
        <w:spacing w:after="0" w:line="275" w:lineRule="auto"/>
        <w:rPr>
          <w:sz w:val="20"/>
          <w:szCs w:val="20"/>
          <w:color w:val="auto"/>
        </w:rPr>
      </w:pPr>
      <w:r>
        <w:rPr>
          <w:rFonts w:ascii="Courier New" w:cs="Courier New" w:eastAsia="Courier New" w:hAnsi="Courier New"/>
          <w:sz w:val="14"/>
          <w:szCs w:val="14"/>
          <w:color w:val="auto"/>
        </w:rPr>
        <w:t>William Taaffe has served as President of ICON Clinical Research - U.S. since November 1993 and now also holds the title of Chief Executive Officer of ICON Clinical Research - U.S. Mr. Taaffe has over 28 years of experience in the contract research and the pharmaceutical industries in Ireland, Canada and the United States. Mr. Taaffe received his bachelor of science degree in 1970 from the University College Dublin.</w:t>
      </w:r>
    </w:p>
    <w:p>
      <w:pPr>
        <w:spacing w:after="0" w:line="69"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Dr. Peter Sowood, has served the company as President of ICON Clinical Research Europe since November 2003. Prior to joining the Company, Dr. Sowood held various positions at Covance Clinical and Periapproval Services, Ltd., including the position of Vice-president Clinical Research. Dr. Sowood was educated at the University of Cambridge in Medical Sciences and followed on to Oxford University where he took Medical Degrees before joining the RAF as a Medical Officer. Dr. Sowood obtained his PhD in 1988 and MBA in 1993.</w:t>
      </w:r>
    </w:p>
    <w:p>
      <w:pPr>
        <w:spacing w:after="0" w:line="72"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Edward Caffrey has served as President of ICON Laboratories since June 2000. Mr. Caffrey has over 22 years experience in the contract research industry. From January 1998 until joining ICON, Mr. Caffrey was Senior Vice President of Clinical Operations at Covance North America; he also served as a Managing Director at Covance from January 1990 to January 1998. Mr. Caffrey is a fellow of the Institute of Biomedical Sciences in London and holds an MSc from Dublin City University.</w:t>
      </w:r>
    </w:p>
    <w:p>
      <w:pPr>
        <w:spacing w:after="0" w:line="72"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Dr. Dan Weng, has served as President of ICON Clinical Research Rest of World since April 2004, having previously held the position of Senior Vice President - Rest of World since joining the Company in January 2003. Dr. Weng previously worked in the Asia Pacific region for both Pharmanet and Quintiles. Prior to joining the CRO industry in 1997, Dr. Weng worked in the US at the Harvard Medical School and at UCSF. Educated as a physician in China, Dr. Weng subsequently obtained an MBA and a PhD in the UK.</w:t>
      </w:r>
    </w:p>
    <w:p>
      <w:pPr>
        <w:spacing w:after="0" w:line="72"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Dr. John W. Hubbard has served as Chief Operating Officer of ICON Clinical Research - U.S. since October 1999. Dr. Hubbard has more than 19 years of experience in pharmaceutical research and development. From July 1997 until joining ICON, he held the position of Senior Vice President of Clinical Research Operations at Clinical Studies, a division of</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56" w:right="1440" w:bottom="1440" w:gutter="0" w:footer="0" w:header="0"/>
        </w:sectPr>
      </w:pPr>
    </w:p>
    <w:bookmarkStart w:id="30" w:name="page31"/>
    <w:bookmarkEnd w:id="30"/>
    <w:p>
      <w:pPr>
        <w:ind w:right="4019"/>
        <w:spacing w:after="0" w:line="313" w:lineRule="auto"/>
        <w:rPr>
          <w:sz w:val="20"/>
          <w:szCs w:val="20"/>
          <w:color w:val="auto"/>
        </w:rPr>
      </w:pPr>
      <w:r>
        <w:rPr>
          <w:rFonts w:ascii="Courier New" w:cs="Courier New" w:eastAsia="Courier New" w:hAnsi="Courier New"/>
          <w:sz w:val="14"/>
          <w:szCs w:val="14"/>
          <w:color w:val="auto"/>
        </w:rPr>
        <w:t>Innovative Clinical Solutions, Ltd. Dr. Hubbard received a Ph.D. in Cardiovascular Physiology from the University of Tennessee and a B.S. in Psychology/Biology from the University of Santa Clara.</w:t>
      </w:r>
    </w:p>
    <w:p>
      <w:pPr>
        <w:spacing w:after="0" w:line="42"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Dr. Thomas Frey has served as Chief Operating Officer for ICON Clinical Research Europe since June 2001 and previously served as Vice President of ICON Clinical Operations Europe from January 2000 to May 2001. Dr. Frey has 16 years of experience in pharmaceutical research and development. He started his career in 1987 with Hoechst Pharmaceuticals. From 1995 to the end of 1999 he was Senior Director of Clinical Development Europe at Hoechst Marion Roussel. Dr. Frey received his medical degree in 1980 from the University of Heidelberg.</w:t>
      </w:r>
    </w:p>
    <w:p>
      <w:pPr>
        <w:spacing w:after="0" w:line="72"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Josephine Coyle has served as Vice President for Corporate Quality Assurance since April 2000. Ms. Coyle has held positions of increasing responsibility in ICON since August 1992 and previously held the position of director of Quality Assurance.</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33"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ICON's Articles of Association provide that, unless otherwise determined by ICON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Accordingly, at the annual general meeting of ICON to be held in 2005, it is anticipated that three directors will retire by rotation and offer themselves for re-election, such directors to be determined, unless otherwise agreed, by lot. Any additional director appointed by us shall hold office until the next annual general meeting and will be subject to re-election at that meeting.</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committees</w:t>
      </w:r>
    </w:p>
    <w:p>
      <w:pPr>
        <w:spacing w:after="0" w:line="33" w:lineRule="exact"/>
        <w:rPr>
          <w:sz w:val="20"/>
          <w:szCs w:val="20"/>
          <w:color w:val="auto"/>
        </w:rPr>
      </w:pPr>
    </w:p>
    <w:p>
      <w:pPr>
        <w:ind w:right="3519"/>
        <w:spacing w:after="0" w:line="293" w:lineRule="auto"/>
        <w:rPr>
          <w:sz w:val="20"/>
          <w:szCs w:val="20"/>
          <w:color w:val="auto"/>
        </w:rPr>
      </w:pPr>
      <w:r>
        <w:rPr>
          <w:rFonts w:ascii="Courier New" w:cs="Courier New" w:eastAsia="Courier New" w:hAnsi="Courier New"/>
          <w:sz w:val="14"/>
          <w:szCs w:val="14"/>
          <w:color w:val="auto"/>
        </w:rPr>
        <w:t>We established a compensation committee and an audit committee in 1998 and the nominating committee in 2004, all of which are committees of the Board of Directors and are composed mainly of non-executive directors of ICON plc.</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w:t>
      </w:r>
    </w:p>
    <w:p>
      <w:pPr>
        <w:spacing w:after="0" w:line="33"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The compensation committee comprises Thomas Lynch (Chairman), Edward Roberts and Lee Jones. It deals with all aspects of senior executive remuneration. The committee aims to ensure that remuneration packages are competitive so that individuals are appropriately rewarded relative to their responsibility, experience and value to ICON.</w:t>
      </w:r>
    </w:p>
    <w:p>
      <w:pPr>
        <w:spacing w:after="0" w:line="69"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Annual bonuses for executive directors are determined by the committee based on the achievement of ICON's objectives.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w:t>
      </w:r>
    </w:p>
    <w:p>
      <w:pPr>
        <w:spacing w:after="0" w:line="33"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The audit committee comprises Edward Roberts (Chairman), Thomas Lynch and Lee Jones. It reviews the annual report, the quarterly earnings releases, the effectiveness of the system of internal controls, reviews the compliance with our ethical code and legal requirements and approves the appointment and removal of the external auditors. It also addresses all issues raised and recommendations made by the external auditors and pre-approve all auditor services.</w:t>
      </w: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Nomination committee</w:t>
      </w:r>
    </w:p>
    <w:p>
      <w:pPr>
        <w:spacing w:after="0" w:line="33" w:lineRule="exact"/>
        <w:rPr>
          <w:sz w:val="20"/>
          <w:szCs w:val="20"/>
          <w:color w:val="auto"/>
        </w:rPr>
      </w:pPr>
    </w:p>
    <w:p>
      <w:pPr>
        <w:ind w:right="3419"/>
        <w:spacing w:after="0" w:line="265" w:lineRule="auto"/>
        <w:rPr>
          <w:sz w:val="20"/>
          <w:szCs w:val="20"/>
          <w:color w:val="auto"/>
        </w:rPr>
      </w:pPr>
      <w:r>
        <w:rPr>
          <w:rFonts w:ascii="Courier New" w:cs="Courier New" w:eastAsia="Courier New" w:hAnsi="Courier New"/>
          <w:sz w:val="14"/>
          <w:szCs w:val="14"/>
          <w:color w:val="auto"/>
        </w:rPr>
        <w:t>The Nominating Committee comprises Thomas Lynch, Edward Roberts and Lee Jones. On an ongoing basis it reviews the membership of the board of directors, board committees and the performance of the directors and management. It identifies and recommends individuals to fill any vacancy that is anticipated or arises on the board of directors. It reviews and recommends the corporate governance principles of the Company. The nominating committee held one formal meeting during 2004.</w:t>
      </w:r>
    </w:p>
    <w:p>
      <w:pPr>
        <w:spacing w:after="0" w:line="248"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The aggregate compensation paid by ICON to all persons who served in the capacity of director or executive officer in fiscal 2004 (8 persons) was approximately $2.2 million, but does not include expenses reimbursed to officers (including business travel, professional and business association dues and expenses). As of May 31, 2004, options granted to directors and executive officers of ICON to purchase an aggregate of 82,400 of our ordinary shares were outstanding. The options are exercisable at prices between $18.00 and $42.15 and expire between May 15, 2006 and February 4, 2012.</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590" w:right="1440" w:bottom="1440" w:gutter="0" w:footer="0" w:header="0"/>
        </w:sectPr>
      </w:pPr>
    </w:p>
    <w:bookmarkStart w:id="31" w:name="page32"/>
    <w:bookmarkEnd w:id="31"/>
    <w:p>
      <w:pPr>
        <w:ind w:right="3419"/>
        <w:spacing w:after="0" w:line="376" w:lineRule="auto"/>
        <w:rPr>
          <w:sz w:val="20"/>
          <w:szCs w:val="20"/>
          <w:color w:val="auto"/>
        </w:rPr>
      </w:pPr>
      <w:r>
        <w:rPr>
          <w:rFonts w:ascii="Courier New" w:cs="Courier New" w:eastAsia="Courier New" w:hAnsi="Courier New"/>
          <w:sz w:val="14"/>
          <w:szCs w:val="14"/>
          <w:color w:val="auto"/>
        </w:rPr>
        <w:t>In addition, our officers are eligible to participate in ICON's Incentive Share Option Scheme. See Note 9 to the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We employed 2,432, 2,280 and 1,637 people for the years ending May 31, 2004, 2003 and 2002, respectively. Our employees are not unionized and we believe that our relations with our employees are good.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Ownership</w:t>
      </w:r>
    </w:p>
    <w:p>
      <w:pPr>
        <w:spacing w:after="0" w:line="173"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The following table sets forth certain information regarding beneficial ownership of ICON's ordinary shares (including ADSs) as of July 23, 2004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69" w:lineRule="exact"/>
        <w:rPr>
          <w:sz w:val="20"/>
          <w:szCs w:val="20"/>
          <w:color w:val="auto"/>
        </w:rPr>
      </w:pPr>
    </w:p>
    <w:p>
      <w:pPr>
        <w:spacing w:after="0"/>
        <w:tabs>
          <w:tab w:leader="none" w:pos="3440" w:val="left"/>
          <w:tab w:leader="none" w:pos="5760" w:val="left"/>
        </w:tabs>
        <w:rPr>
          <w:sz w:val="20"/>
          <w:szCs w:val="20"/>
          <w:color w:val="auto"/>
        </w:rPr>
      </w:pPr>
      <w:r>
        <w:rPr>
          <w:rFonts w:ascii="Courier New" w:cs="Courier New" w:eastAsia="Courier New" w:hAnsi="Courier New"/>
          <w:sz w:val="14"/>
          <w:szCs w:val="14"/>
          <w:color w:val="auto"/>
        </w:rPr>
        <w:t>Name of Owner or Identity of Group</w:t>
      </w:r>
      <w:r>
        <w:rPr>
          <w:sz w:val="20"/>
          <w:szCs w:val="20"/>
          <w:color w:val="auto"/>
        </w:rPr>
        <w:tab/>
      </w:r>
      <w:r>
        <w:rPr>
          <w:rFonts w:ascii="Courier New" w:cs="Courier New" w:eastAsia="Courier New" w:hAnsi="Courier New"/>
          <w:sz w:val="14"/>
          <w:szCs w:val="14"/>
          <w:color w:val="auto"/>
        </w:rPr>
        <w:t>No. of Shares (1)</w:t>
      </w:r>
      <w:r>
        <w:rPr>
          <w:sz w:val="20"/>
          <w:szCs w:val="20"/>
          <w:color w:val="auto"/>
        </w:rPr>
        <w:tab/>
      </w:r>
      <w:r>
        <w:rPr>
          <w:rFonts w:ascii="Courier New" w:cs="Courier New" w:eastAsia="Courier New" w:hAnsi="Courier New"/>
          <w:sz w:val="14"/>
          <w:szCs w:val="14"/>
          <w:color w:val="auto"/>
        </w:rPr>
        <w:t>Options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2860" w:type="dxa"/>
            <w:vAlign w:val="bottom"/>
          </w:tcPr>
          <w:p>
            <w:pPr>
              <w:spacing w:after="0" w:line="147" w:lineRule="exact"/>
              <w:rPr>
                <w:sz w:val="20"/>
                <w:szCs w:val="20"/>
                <w:color w:val="auto"/>
              </w:rPr>
            </w:pPr>
            <w:r>
              <w:rPr>
                <w:rFonts w:ascii="Courier New" w:cs="Courier New" w:eastAsia="Courier New" w:hAnsi="Courier New"/>
                <w:sz w:val="14"/>
                <w:szCs w:val="14"/>
                <w:color w:val="auto"/>
              </w:rPr>
              <w:t>Dr. Ronan Lambe</w:t>
            </w:r>
          </w:p>
        </w:tc>
        <w:tc>
          <w:tcPr>
            <w:tcW w:w="2540" w:type="dxa"/>
            <w:vAlign w:val="bottom"/>
          </w:tcPr>
          <w:p>
            <w:pPr>
              <w:jc w:val="right"/>
              <w:ind w:right="408"/>
              <w:spacing w:after="0" w:line="147" w:lineRule="exact"/>
              <w:rPr>
                <w:sz w:val="20"/>
                <w:szCs w:val="20"/>
                <w:color w:val="auto"/>
              </w:rPr>
            </w:pPr>
            <w:r>
              <w:rPr>
                <w:rFonts w:ascii="Courier New" w:cs="Courier New" w:eastAsia="Courier New" w:hAnsi="Courier New"/>
                <w:sz w:val="14"/>
                <w:szCs w:val="14"/>
                <w:color w:val="auto"/>
              </w:rPr>
              <w:t>1,107,170</w:t>
            </w:r>
          </w:p>
        </w:tc>
        <w:tc>
          <w:tcPr>
            <w:tcW w:w="9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6,000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Dr. John Climax</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1,556,892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Mr. Peter Gray</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54,220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Mr. Sean Leech</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18,400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Mr. Thomas Lynch</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12,500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Mr. Edward Roberts</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8,500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Mr. Lee Jones</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5,500</w:t>
            </w:r>
          </w:p>
        </w:tc>
      </w:tr>
      <w:tr>
        <w:trPr>
          <w:trHeight w:val="242"/>
        </w:trPr>
        <w:tc>
          <w:tcPr>
            <w:tcW w:w="2860" w:type="dxa"/>
            <w:vAlign w:val="bottom"/>
          </w:tcPr>
          <w:p>
            <w:pPr>
              <w:spacing w:after="0"/>
              <w:rPr>
                <w:sz w:val="20"/>
                <w:szCs w:val="20"/>
                <w:color w:val="auto"/>
              </w:rPr>
            </w:pPr>
            <w:r>
              <w:rPr>
                <w:rFonts w:ascii="Courier New" w:cs="Courier New" w:eastAsia="Courier New" w:hAnsi="Courier New"/>
                <w:sz w:val="14"/>
                <w:szCs w:val="14"/>
                <w:color w:val="auto"/>
              </w:rPr>
              <w:t>Mr. Shugi Higuchi</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1,500</w:t>
            </w:r>
          </w:p>
        </w:tc>
      </w:tr>
    </w:tbl>
    <w:p>
      <w:pPr>
        <w:spacing w:after="0" w:line="90" w:lineRule="exact"/>
        <w:rPr>
          <w:sz w:val="20"/>
          <w:szCs w:val="20"/>
          <w:color w:val="auto"/>
        </w:rPr>
      </w:pPr>
    </w:p>
    <w:p>
      <w:pPr>
        <w:ind w:left="860" w:right="3339" w:hanging="421"/>
        <w:spacing w:after="0" w:line="272" w:lineRule="auto"/>
        <w:tabs>
          <w:tab w:leader="none" w:pos="8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Share Option Schemes</w:t>
      </w:r>
    </w:p>
    <w:p>
      <w:pPr>
        <w:spacing w:after="0" w:line="173"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On January 17, 2003, we adopted the Share Option Plan 2003, or the 2003 Plan, pursuant to which the Compensation Committee of the Board may grant options to employees of the Company or its subsidiaries for the purchase of ordinary shares. Each option will be either an incentive stock option, or ISO, described in Section 422 of the Code or an employee stock option, or NSO, not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77" w:lineRule="exact"/>
        <w:rPr>
          <w:sz w:val="20"/>
          <w:szCs w:val="20"/>
          <w:color w:val="auto"/>
        </w:rPr>
      </w:pPr>
    </w:p>
    <w:p>
      <w:pPr>
        <w:ind w:right="3519"/>
        <w:spacing w:after="0" w:line="271" w:lineRule="auto"/>
        <w:rPr>
          <w:sz w:val="20"/>
          <w:szCs w:val="20"/>
          <w:color w:val="auto"/>
        </w:rPr>
      </w:pPr>
      <w:r>
        <w:rPr>
          <w:rFonts w:ascii="Courier New" w:cs="Courier New" w:eastAsia="Courier New" w:hAnsi="Courier New"/>
          <w:sz w:val="14"/>
          <w:szCs w:val="14"/>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options can be granted after January 17, 2013.</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590"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Executive officers and Directors remuneration</w:t>
      </w:r>
    </w:p>
    <w:p>
      <w:pPr>
        <w:spacing w:after="0" w:line="173" w:lineRule="exact"/>
        <w:rPr>
          <w:sz w:val="20"/>
          <w:szCs w:val="20"/>
          <w:color w:val="auto"/>
        </w:rPr>
      </w:pPr>
    </w:p>
    <w:p>
      <w:pPr>
        <w:ind w:right="4900"/>
        <w:spacing w:after="0" w:line="263" w:lineRule="auto"/>
        <w:rPr>
          <w:sz w:val="20"/>
          <w:szCs w:val="20"/>
          <w:color w:val="auto"/>
        </w:rPr>
      </w:pPr>
      <w:r>
        <w:rPr>
          <w:rFonts w:ascii="Courier New" w:cs="Courier New" w:eastAsia="Courier New" w:hAnsi="Courier New"/>
          <w:sz w:val="14"/>
          <w:szCs w:val="14"/>
          <w:color w:val="auto"/>
        </w:rPr>
        <w:t>For the year ended May 31, 2004, the total remuneration paid to our directors and executive officers including salary, bonus, pension and benefits-in-kind (2003: $2,437,294), was as follows:</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2940" w:type="dxa"/>
            <w:vAlign w:val="bottom"/>
          </w:tcPr>
          <w:p>
            <w:pPr>
              <w:spacing w:after="0" w:line="147" w:lineRule="exact"/>
              <w:rPr>
                <w:sz w:val="20"/>
                <w:szCs w:val="20"/>
                <w:color w:val="auto"/>
              </w:rPr>
            </w:pPr>
            <w:r>
              <w:rPr>
                <w:rFonts w:ascii="Courier New" w:cs="Courier New" w:eastAsia="Courier New" w:hAnsi="Courier New"/>
                <w:sz w:val="14"/>
                <w:szCs w:val="14"/>
                <w:color w:val="auto"/>
              </w:rPr>
              <w:t>Dr. John Climax</w:t>
            </w:r>
          </w:p>
        </w:tc>
        <w:tc>
          <w:tcPr>
            <w:tcW w:w="22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734,470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Dr. Ronan Lambe</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284,111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Mr. Peter Gray</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578,550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Mr. Sean Leech</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308,367</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Mr. Lee Jones</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28,750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Mr. Edward Roberts</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43,750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Mr. Thomas Lynch</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32,500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Mr. Shugi Higuchi</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242"/>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$2,035,499</w:t>
            </w:r>
          </w:p>
        </w:tc>
      </w:tr>
    </w:tbl>
    <w:p>
      <w:pPr>
        <w:spacing w:after="0" w:line="9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Major Shareholders and Related Party Transactions.</w:t>
      </w:r>
    </w:p>
    <w:p>
      <w:pPr>
        <w:spacing w:after="0" w:line="173" w:lineRule="exact"/>
        <w:rPr>
          <w:sz w:val="20"/>
          <w:szCs w:val="20"/>
          <w:color w:val="auto"/>
        </w:rPr>
      </w:pPr>
    </w:p>
    <w:p>
      <w:pPr>
        <w:ind w:left="860" w:right="5240" w:hanging="421"/>
        <w:spacing w:after="0" w:line="375" w:lineRule="auto"/>
        <w:tabs>
          <w:tab w:leader="none" w:pos="8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ICON plc, is not directly or indirectly, owned or controlled by another corporation or by any government.</w:t>
      </w:r>
    </w:p>
    <w:p>
      <w:pPr>
        <w:spacing w:after="0" w:line="1" w:lineRule="exact"/>
        <w:rPr>
          <w:rFonts w:ascii="Courier New" w:cs="Courier New" w:eastAsia="Courier New" w:hAnsi="Courier New"/>
          <w:sz w:val="14"/>
          <w:szCs w:val="14"/>
          <w:color w:val="auto"/>
        </w:rPr>
      </w:pPr>
    </w:p>
    <w:p>
      <w:pPr>
        <w:ind w:left="860" w:right="4640" w:hanging="421"/>
        <w:spacing w:after="0" w:line="266" w:lineRule="auto"/>
        <w:tabs>
          <w:tab w:leader="none" w:pos="8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certain information regarding beneficial ownership of ICON's ordinary shares (including ADS's) as of July 23, 2004 (i) by each person that beneficially owns more than 5% of the outstanding ordinary shares, based upon publicly available information; and (ii) by all of our current directors and executive officers as a group. Unless otherwise indicated below, to our knowledge, all persons listed below have sole voting and investment power with respect to their ordinary shares, except to the extent authority is shared by spouses under applicable law.</w:t>
      </w:r>
    </w:p>
    <w:p>
      <w:pPr>
        <w:spacing w:after="0" w:line="200" w:lineRule="exact"/>
        <w:rPr>
          <w:sz w:val="20"/>
          <w:szCs w:val="20"/>
          <w:color w:val="auto"/>
        </w:rPr>
      </w:pPr>
    </w:p>
    <w:p>
      <w:pPr>
        <w:spacing w:after="0" w:line="206" w:lineRule="exact"/>
        <w:rPr>
          <w:sz w:val="20"/>
          <w:szCs w:val="20"/>
          <w:color w:val="auto"/>
        </w:rPr>
      </w:pPr>
    </w:p>
    <w:p>
      <w:pPr>
        <w:spacing w:after="0"/>
        <w:tabs>
          <w:tab w:leader="none" w:pos="5680" w:val="left"/>
          <w:tab w:leader="none" w:pos="8420" w:val="left"/>
        </w:tabs>
        <w:rPr>
          <w:sz w:val="20"/>
          <w:szCs w:val="20"/>
          <w:color w:val="auto"/>
        </w:rPr>
      </w:pPr>
      <w:r>
        <w:rPr>
          <w:rFonts w:ascii="Courier New" w:cs="Courier New" w:eastAsia="Courier New" w:hAnsi="Courier New"/>
          <w:sz w:val="14"/>
          <w:szCs w:val="14"/>
          <w:color w:val="auto"/>
        </w:rPr>
        <w:t>Name of Owner or Identity of Group</w:t>
      </w:r>
      <w:r>
        <w:rPr>
          <w:sz w:val="20"/>
          <w:szCs w:val="20"/>
          <w:color w:val="auto"/>
        </w:rPr>
        <w:tab/>
      </w:r>
      <w:r>
        <w:rPr>
          <w:rFonts w:ascii="Courier New" w:cs="Courier New" w:eastAsia="Courier New" w:hAnsi="Courier New"/>
          <w:sz w:val="14"/>
          <w:szCs w:val="14"/>
          <w:color w:val="auto"/>
        </w:rPr>
        <w:t>No. of Shares (1)</w:t>
      </w:r>
      <w:r>
        <w:rPr>
          <w:sz w:val="20"/>
          <w:szCs w:val="20"/>
          <w:color w:val="auto"/>
        </w:rPr>
        <w:tab/>
      </w:r>
      <w:r>
        <w:rPr>
          <w:rFonts w:ascii="Courier New" w:cs="Courier New" w:eastAsia="Courier New" w:hAnsi="Courier New"/>
          <w:sz w:val="14"/>
          <w:szCs w:val="14"/>
          <w:color w:val="auto"/>
        </w:rPr>
        <w:t>Percent of Class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Wasatch Group Companies (3)</w:t>
            </w:r>
          </w:p>
        </w:tc>
        <w:tc>
          <w:tcPr>
            <w:tcW w:w="2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2,201,659</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Dr. John Climax (2)</w:t>
            </w:r>
          </w:p>
        </w:tc>
        <w:tc>
          <w:tcPr>
            <w:tcW w:w="2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1,571,892</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Fidelity Group Companies (3)</w:t>
            </w:r>
          </w:p>
        </w:tc>
        <w:tc>
          <w:tcPr>
            <w:tcW w:w="2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1,404,294</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Dr. Ronan Lambe</w:t>
            </w:r>
          </w:p>
        </w:tc>
        <w:tc>
          <w:tcPr>
            <w:tcW w:w="2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1,113,170</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Morgan Stanley Group Companies (3)</w:t>
            </w:r>
          </w:p>
        </w:tc>
        <w:tc>
          <w:tcPr>
            <w:tcW w:w="2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851,500</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242"/>
        </w:trPr>
        <w:tc>
          <w:tcPr>
            <w:tcW w:w="5340" w:type="dxa"/>
            <w:vAlign w:val="bottom"/>
          </w:tcPr>
          <w:p>
            <w:pPr>
              <w:spacing w:after="0"/>
              <w:rPr>
                <w:sz w:val="20"/>
                <w:szCs w:val="20"/>
                <w:color w:val="auto"/>
              </w:rPr>
            </w:pPr>
            <w:r>
              <w:rPr>
                <w:rFonts w:ascii="Courier New" w:cs="Courier New" w:eastAsia="Courier New" w:hAnsi="Courier New"/>
                <w:sz w:val="14"/>
                <w:szCs w:val="14"/>
                <w:color w:val="auto"/>
              </w:rPr>
              <w:t>All officers and executive officers as a group (4)</w:t>
            </w:r>
          </w:p>
        </w:tc>
        <w:tc>
          <w:tcPr>
            <w:tcW w:w="2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2,969,014</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bl>
    <w:p>
      <w:pPr>
        <w:spacing w:after="0" w:line="200" w:lineRule="exact"/>
        <w:rPr>
          <w:sz w:val="20"/>
          <w:szCs w:val="20"/>
          <w:color w:val="auto"/>
        </w:rPr>
      </w:pPr>
    </w:p>
    <w:p>
      <w:pPr>
        <w:spacing w:after="0" w:line="221" w:lineRule="exact"/>
        <w:rPr>
          <w:sz w:val="20"/>
          <w:szCs w:val="20"/>
          <w:color w:val="auto"/>
        </w:rPr>
      </w:pPr>
    </w:p>
    <w:p>
      <w:pPr>
        <w:ind w:left="860" w:right="4640" w:hanging="421"/>
        <w:spacing w:after="0" w:line="272" w:lineRule="auto"/>
        <w:tabs>
          <w:tab w:leader="none" w:pos="8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246" w:lineRule="exact"/>
        <w:rPr>
          <w:rFonts w:ascii="Courier New" w:cs="Courier New" w:eastAsia="Courier New" w:hAnsi="Courier New"/>
          <w:sz w:val="14"/>
          <w:szCs w:val="14"/>
          <w:color w:val="auto"/>
        </w:rPr>
      </w:pPr>
    </w:p>
    <w:p>
      <w:pPr>
        <w:ind w:left="860" w:right="5160" w:hanging="421"/>
        <w:spacing w:after="0" w:line="375" w:lineRule="auto"/>
        <w:tabs>
          <w:tab w:leader="none" w:pos="8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1,556,852 ADSs held by Poplar Limited, a Jersey company controlled by Dr. Climax.</w:t>
      </w:r>
    </w:p>
    <w:p>
      <w:pPr>
        <w:spacing w:after="0" w:line="1" w:lineRule="exact"/>
        <w:rPr>
          <w:rFonts w:ascii="Courier New" w:cs="Courier New" w:eastAsia="Courier New" w:hAnsi="Courier New"/>
          <w:sz w:val="14"/>
          <w:szCs w:val="14"/>
          <w:color w:val="auto"/>
        </w:rPr>
      </w:pPr>
    </w:p>
    <w:p>
      <w:pPr>
        <w:ind w:left="860" w:right="4820" w:hanging="421"/>
        <w:spacing w:after="0" w:line="375" w:lineRule="auto"/>
        <w:tabs>
          <w:tab w:leader="none" w:pos="8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officers, directors or affiliates hold any voting power in this entity.</w:t>
      </w:r>
    </w:p>
    <w:p>
      <w:pPr>
        <w:spacing w:after="0" w:line="1" w:lineRule="exact"/>
        <w:rPr>
          <w:rFonts w:ascii="Courier New" w:cs="Courier New" w:eastAsia="Courier New" w:hAnsi="Courier New"/>
          <w:sz w:val="14"/>
          <w:szCs w:val="14"/>
          <w:color w:val="auto"/>
        </w:rPr>
      </w:pPr>
    </w:p>
    <w:p>
      <w:pPr>
        <w:ind w:left="860" w:right="4820" w:hanging="421"/>
        <w:spacing w:after="0" w:line="376" w:lineRule="auto"/>
        <w:tabs>
          <w:tab w:leader="none" w:pos="8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210,730 ordinary shares issuable upon the exercise of stock options granted by the Company.</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1540"/>
          </w:cols>
          <w:pgMar w:left="220" w:top="756" w:right="139"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Related Parties</w:t>
      </w:r>
    </w:p>
    <w:p>
      <w:pPr>
        <w:spacing w:after="0" w:line="173"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On February 6, 1998, ICON entered into an Option Agreement ("The Put Option") with Rosa Investment Limited ("Rosa"). Rosa's sole activity was to hold an investment in Clear Investments Limited ("Clear"), the sole activity of which was to hold Mr. Gray's option to exercise 54,000 ordinary shares. Mr. Gray is a director of Rosa and Clear. Rosa is owned by a trust of which Mr. Gray is a beneficiary. On April 21, 2004, Mr. Gray acquired Clear from Rosa and exercised the Put Option in accordance with the terms of the Option Agreement. On April 22, 2004, pursuant to the Option Agreement, ICON purchased the outstanding share capital in Clear from Mr. Gray, the consideration for the acquisition being the issuance of 54,000 fully paid up ordinary shares in ICON, to Mr. Gray, such a sale being the economic equivalent of Mr. Gray exercising his stock options.</w:t>
      </w:r>
    </w:p>
    <w:p>
      <w:pPr>
        <w:spacing w:after="0" w:line="7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Financial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item 18.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419"/>
        <w:spacing w:after="0" w:line="313" w:lineRule="auto"/>
        <w:rPr>
          <w:sz w:val="20"/>
          <w:szCs w:val="20"/>
          <w:color w:val="auto"/>
        </w:rPr>
      </w:pPr>
      <w:r>
        <w:rPr>
          <w:rFonts w:ascii="Courier New" w:cs="Courier New" w:eastAsia="Courier New" w:hAnsi="Courier New"/>
          <w:sz w:val="14"/>
          <w:szCs w:val="14"/>
          <w:color w:val="auto"/>
        </w:rPr>
        <w:t>ICON is not party to any litigation or other legal proceedings that we believe could reasonably be expected to have a material adverse effect on our business, results of operations and financial condition.</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jc w:val="both"/>
        <w:ind w:right="3419"/>
        <w:spacing w:after="0" w:line="375" w:lineRule="auto"/>
        <w:rPr>
          <w:sz w:val="20"/>
          <w:szCs w:val="20"/>
          <w:color w:val="auto"/>
        </w:rPr>
      </w:pPr>
      <w:r>
        <w:rPr>
          <w:rFonts w:ascii="Courier New" w:cs="Courier New" w:eastAsia="Courier New" w:hAnsi="Courier New"/>
          <w:sz w:val="14"/>
          <w:szCs w:val="14"/>
          <w:color w:val="auto"/>
        </w:rPr>
        <w:t>We have not paid cash dividends on our ordinary shares and do not intend to pay cash dividends on our ordinary shares in the foreseeable future.</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590" w:right="1440" w:bottom="1440" w:gutter="0" w:footer="0" w:header="0"/>
        </w:sectPr>
      </w:pPr>
    </w:p>
    <w:bookmarkStart w:id="34" w:name="page35"/>
    <w:bookmarkEnd w:id="34"/>
    <w:p>
      <w:pPr>
        <w:spacing w:after="0"/>
        <w:tabs>
          <w:tab w:leader="none" w:pos="760" w:val="left"/>
        </w:tabs>
        <w:rPr>
          <w:sz w:val="20"/>
          <w:szCs w:val="20"/>
          <w:color w:val="auto"/>
        </w:rPr>
      </w:pPr>
      <w:r>
        <w:rPr>
          <w:rFonts w:ascii="Courier New" w:cs="Courier New" w:eastAsia="Courier New" w:hAnsi="Courier New"/>
          <w:sz w:val="14"/>
          <w:szCs w:val="14"/>
          <w:color w:val="auto"/>
        </w:rPr>
        <w:t>Item 9.</w:t>
        <w:tab/>
        <w:t>The Offer and the Listing.</w:t>
      </w:r>
    </w:p>
    <w:p>
      <w:pPr>
        <w:spacing w:after="0" w:line="173"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ICON's ADSs are traded on the Nasdaq National Market under the symbol "ICLR". Our Depository for the ADSs is The Bank of New York. ICON also has a secondary listing on the Official List of the Irish Stock Exchange. No securities of ICON are traded in any other market. The following table sets forth the trading price for the dates indicated for ICON plc ADSs as reported by Nasdaq.</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20" w:type="dxa"/>
            <w:vAlign w:val="bottom"/>
            <w:vMerge w:val="restart"/>
          </w:tcPr>
          <w:p>
            <w:pPr>
              <w:spacing w:after="0"/>
              <w:rPr>
                <w:sz w:val="20"/>
                <w:szCs w:val="20"/>
                <w:color w:val="auto"/>
              </w:rPr>
            </w:pPr>
            <w:r>
              <w:rPr>
                <w:rFonts w:ascii="Courier New" w:cs="Courier New" w:eastAsia="Courier New" w:hAnsi="Courier New"/>
                <w:sz w:val="14"/>
                <w:szCs w:val="14"/>
                <w:color w:val="auto"/>
              </w:rPr>
              <w:t>Year Ending</w:t>
            </w:r>
          </w:p>
        </w:tc>
        <w:tc>
          <w:tcPr>
            <w:tcW w:w="2760" w:type="dxa"/>
            <w:vAlign w:val="bottom"/>
          </w:tcPr>
          <w:p>
            <w:pPr>
              <w:ind w:left="1160"/>
              <w:spacing w:after="0"/>
              <w:rPr>
                <w:sz w:val="20"/>
                <w:szCs w:val="20"/>
                <w:color w:val="auto"/>
              </w:rPr>
            </w:pPr>
            <w:r>
              <w:rPr>
                <w:rFonts w:ascii="Courier New" w:cs="Courier New" w:eastAsia="Courier New" w:hAnsi="Courier New"/>
                <w:sz w:val="14"/>
                <w:szCs w:val="14"/>
                <w:color w:val="auto"/>
              </w:rPr>
              <w:t>High Sales Price</w:t>
            </w:r>
          </w:p>
        </w:tc>
        <w:tc>
          <w:tcPr>
            <w:tcW w:w="15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Low Sales Price</w:t>
            </w:r>
          </w:p>
        </w:tc>
        <w:tc>
          <w:tcPr>
            <w:tcW w:w="0" w:type="dxa"/>
            <w:vAlign w:val="bottom"/>
          </w:tcPr>
          <w:p>
            <w:pPr>
              <w:spacing w:after="0"/>
              <w:rPr>
                <w:sz w:val="1"/>
                <w:szCs w:val="1"/>
                <w:color w:val="auto"/>
              </w:rPr>
            </w:pPr>
          </w:p>
        </w:tc>
      </w:tr>
      <w:tr>
        <w:trPr>
          <w:trHeight w:val="192"/>
        </w:trPr>
        <w:tc>
          <w:tcPr>
            <w:tcW w:w="2120" w:type="dxa"/>
            <w:vAlign w:val="bottom"/>
            <w:vMerge w:val="continue"/>
          </w:tcPr>
          <w:p>
            <w:pPr>
              <w:spacing w:after="0"/>
              <w:rPr>
                <w:sz w:val="16"/>
                <w:szCs w:val="16"/>
                <w:color w:val="auto"/>
              </w:rPr>
            </w:pPr>
          </w:p>
        </w:tc>
        <w:tc>
          <w:tcPr>
            <w:tcW w:w="2760" w:type="dxa"/>
            <w:vAlign w:val="bottom"/>
          </w:tcPr>
          <w:p>
            <w:pPr>
              <w:ind w:left="1240"/>
              <w:spacing w:after="0"/>
              <w:rPr>
                <w:sz w:val="20"/>
                <w:szCs w:val="20"/>
                <w:color w:val="auto"/>
              </w:rPr>
            </w:pPr>
            <w:r>
              <w:rPr>
                <w:rFonts w:ascii="Courier New" w:cs="Courier New" w:eastAsia="Courier New" w:hAnsi="Courier New"/>
                <w:sz w:val="14"/>
                <w:szCs w:val="14"/>
                <w:color w:val="auto"/>
              </w:rPr>
              <w:t>During Period</w:t>
            </w:r>
          </w:p>
        </w:tc>
        <w:tc>
          <w:tcPr>
            <w:tcW w:w="15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During Period</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w:t>
      </w:r>
    </w:p>
    <w:tbl>
      <w:tblPr>
        <w:tblLayout w:type="fixed"/>
        <w:tblInd w:w="0" w:type="dxa"/>
        <w:tblCellMar>
          <w:top w:w="0" w:type="dxa"/>
          <w:left w:w="0" w:type="dxa"/>
          <w:bottom w:w="0" w:type="dxa"/>
          <w:right w:w="0" w:type="dxa"/>
        </w:tblCellMar>
      </w:tblPr>
      <w:tr>
        <w:trPr>
          <w:trHeight w:val="147"/>
        </w:trPr>
        <w:tc>
          <w:tcPr>
            <w:tcW w:w="2200" w:type="dxa"/>
            <w:vAlign w:val="bottom"/>
          </w:tcPr>
          <w:p>
            <w:pPr>
              <w:spacing w:after="0" w:line="147" w:lineRule="exact"/>
              <w:rPr>
                <w:sz w:val="20"/>
                <w:szCs w:val="20"/>
                <w:color w:val="auto"/>
              </w:rPr>
            </w:pPr>
            <w:r>
              <w:rPr>
                <w:rFonts w:ascii="Courier New" w:cs="Courier New" w:eastAsia="Courier New" w:hAnsi="Courier New"/>
                <w:sz w:val="14"/>
                <w:szCs w:val="14"/>
                <w:color w:val="auto"/>
              </w:rPr>
              <w:t>May 31, 1999</w:t>
            </w:r>
          </w:p>
        </w:tc>
        <w:tc>
          <w:tcPr>
            <w:tcW w:w="2540" w:type="dxa"/>
            <w:vAlign w:val="bottom"/>
          </w:tcPr>
          <w:p>
            <w:pPr>
              <w:jc w:val="center"/>
              <w:ind w:left="748"/>
              <w:spacing w:after="0" w:line="147" w:lineRule="exact"/>
              <w:rPr>
                <w:sz w:val="20"/>
                <w:szCs w:val="20"/>
                <w:color w:val="auto"/>
              </w:rPr>
            </w:pPr>
            <w:r>
              <w:rPr>
                <w:rFonts w:ascii="Courier New" w:cs="Courier New" w:eastAsia="Courier New" w:hAnsi="Courier New"/>
                <w:sz w:val="14"/>
                <w:szCs w:val="14"/>
                <w:color w:val="auto"/>
              </w:rPr>
              <w:t>$36.75</w:t>
            </w:r>
          </w:p>
        </w:tc>
        <w:tc>
          <w:tcPr>
            <w:tcW w:w="148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May 31, 2000</w:t>
            </w:r>
          </w:p>
        </w:tc>
        <w:tc>
          <w:tcPr>
            <w:tcW w:w="254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$29.00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$11.87</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May 31, 2001</w:t>
            </w:r>
          </w:p>
        </w:tc>
        <w:tc>
          <w:tcPr>
            <w:tcW w:w="254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$29.75</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May 31, 2002</w:t>
            </w:r>
          </w:p>
        </w:tc>
        <w:tc>
          <w:tcPr>
            <w:tcW w:w="254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$39.58</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$22.93</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May 31, 2003</w:t>
            </w:r>
          </w:p>
        </w:tc>
        <w:tc>
          <w:tcPr>
            <w:tcW w:w="254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$32.87</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$14.88</w:t>
            </w: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0"/>
                <w:szCs w:val="20"/>
                <w:color w:val="auto"/>
              </w:rPr>
            </w:pPr>
            <w:r>
              <w:rPr>
                <w:rFonts w:ascii="Courier New" w:cs="Courier New" w:eastAsia="Courier New" w:hAnsi="Courier New"/>
                <w:sz w:val="14"/>
                <w:szCs w:val="14"/>
                <w:color w:val="auto"/>
              </w:rPr>
              <w:t>May 31, 2004</w:t>
            </w:r>
          </w:p>
        </w:tc>
        <w:tc>
          <w:tcPr>
            <w:tcW w:w="254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$46.05</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$25.87</w:t>
            </w:r>
          </w:p>
        </w:tc>
        <w:tc>
          <w:tcPr>
            <w:tcW w:w="0" w:type="dxa"/>
            <w:vAlign w:val="bottom"/>
          </w:tcPr>
          <w:p>
            <w:pPr>
              <w:spacing w:after="0"/>
              <w:rPr>
                <w:sz w:val="1"/>
                <w:szCs w:val="1"/>
                <w:color w:val="auto"/>
              </w:rPr>
            </w:pPr>
          </w:p>
        </w:tc>
      </w:tr>
      <w:tr>
        <w:trPr>
          <w:trHeight w:val="255"/>
        </w:trPr>
        <w:tc>
          <w:tcPr>
            <w:tcW w:w="2200" w:type="dxa"/>
            <w:vAlign w:val="bottom"/>
            <w:vMerge w:val="restart"/>
          </w:tcPr>
          <w:p>
            <w:pPr>
              <w:spacing w:after="0"/>
              <w:rPr>
                <w:sz w:val="20"/>
                <w:szCs w:val="20"/>
                <w:color w:val="auto"/>
              </w:rPr>
            </w:pPr>
            <w:r>
              <w:rPr>
                <w:rFonts w:ascii="Courier New" w:cs="Courier New" w:eastAsia="Courier New" w:hAnsi="Courier New"/>
                <w:sz w:val="14"/>
                <w:szCs w:val="14"/>
                <w:color w:val="auto"/>
              </w:rPr>
              <w:t>Quarter Ending</w:t>
            </w:r>
          </w:p>
        </w:tc>
        <w:tc>
          <w:tcPr>
            <w:tcW w:w="2540" w:type="dxa"/>
            <w:vAlign w:val="bottom"/>
          </w:tcPr>
          <w:p>
            <w:pPr>
              <w:jc w:val="center"/>
              <w:ind w:left="768"/>
              <w:spacing w:after="0"/>
              <w:rPr>
                <w:sz w:val="20"/>
                <w:szCs w:val="20"/>
                <w:color w:val="auto"/>
              </w:rPr>
            </w:pPr>
            <w:r>
              <w:rPr>
                <w:rFonts w:ascii="Courier New" w:cs="Courier New" w:eastAsia="Courier New" w:hAnsi="Courier New"/>
                <w:sz w:val="14"/>
                <w:szCs w:val="14"/>
                <w:color w:val="auto"/>
              </w:rPr>
              <w:t>High Sales Price</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Low Sales Price</w:t>
            </w:r>
          </w:p>
        </w:tc>
        <w:tc>
          <w:tcPr>
            <w:tcW w:w="0" w:type="dxa"/>
            <w:vAlign w:val="bottom"/>
          </w:tcPr>
          <w:p>
            <w:pPr>
              <w:spacing w:after="0"/>
              <w:rPr>
                <w:sz w:val="1"/>
                <w:szCs w:val="1"/>
                <w:color w:val="auto"/>
              </w:rPr>
            </w:pPr>
          </w:p>
        </w:tc>
      </w:tr>
      <w:tr>
        <w:trPr>
          <w:trHeight w:val="192"/>
        </w:trPr>
        <w:tc>
          <w:tcPr>
            <w:tcW w:w="2200" w:type="dxa"/>
            <w:vAlign w:val="bottom"/>
            <w:vMerge w:val="continue"/>
          </w:tcPr>
          <w:p>
            <w:pPr>
              <w:spacing w:after="0"/>
              <w:rPr>
                <w:sz w:val="16"/>
                <w:szCs w:val="16"/>
                <w:color w:val="auto"/>
              </w:rPr>
            </w:pPr>
          </w:p>
        </w:tc>
        <w:tc>
          <w:tcPr>
            <w:tcW w:w="2540" w:type="dxa"/>
            <w:vAlign w:val="bottom"/>
          </w:tcPr>
          <w:p>
            <w:pPr>
              <w:ind w:left="1080"/>
              <w:spacing w:after="0"/>
              <w:rPr>
                <w:sz w:val="20"/>
                <w:szCs w:val="20"/>
                <w:color w:val="auto"/>
              </w:rPr>
            </w:pPr>
            <w:r>
              <w:rPr>
                <w:rFonts w:ascii="Courier New" w:cs="Courier New" w:eastAsia="Courier New" w:hAnsi="Courier New"/>
                <w:sz w:val="14"/>
                <w:szCs w:val="14"/>
                <w:color w:val="auto"/>
              </w:rPr>
              <w:t>During Period</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During Period</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w:t>
      </w:r>
    </w:p>
    <w:tbl>
      <w:tblPr>
        <w:tblLayout w:type="fixed"/>
        <w:tblInd w:w="0" w:type="dxa"/>
        <w:tblCellMar>
          <w:top w:w="0" w:type="dxa"/>
          <w:left w:w="0" w:type="dxa"/>
          <w:bottom w:w="0" w:type="dxa"/>
          <w:right w:w="0" w:type="dxa"/>
        </w:tblCellMar>
      </w:tblPr>
      <w:tr>
        <w:trPr>
          <w:trHeight w:val="147"/>
        </w:trPr>
        <w:tc>
          <w:tcPr>
            <w:tcW w:w="2120" w:type="dxa"/>
            <w:vAlign w:val="bottom"/>
          </w:tcPr>
          <w:p>
            <w:pPr>
              <w:spacing w:after="0" w:line="147" w:lineRule="exact"/>
              <w:rPr>
                <w:sz w:val="20"/>
                <w:szCs w:val="20"/>
                <w:color w:val="auto"/>
              </w:rPr>
            </w:pPr>
            <w:r>
              <w:rPr>
                <w:rFonts w:ascii="Courier New" w:cs="Courier New" w:eastAsia="Courier New" w:hAnsi="Courier New"/>
                <w:sz w:val="14"/>
                <w:szCs w:val="14"/>
                <w:color w:val="auto"/>
              </w:rPr>
              <w:t>May 31, 2001</w:t>
            </w:r>
          </w:p>
        </w:tc>
        <w:tc>
          <w:tcPr>
            <w:tcW w:w="2620" w:type="dxa"/>
            <w:vAlign w:val="bottom"/>
          </w:tcPr>
          <w:p>
            <w:pPr>
              <w:jc w:val="center"/>
              <w:ind w:left="828"/>
              <w:spacing w:after="0" w:line="147" w:lineRule="exact"/>
              <w:rPr>
                <w:sz w:val="20"/>
                <w:szCs w:val="20"/>
                <w:color w:val="auto"/>
              </w:rPr>
            </w:pPr>
            <w:r>
              <w:rPr>
                <w:rFonts w:ascii="Courier New" w:cs="Courier New" w:eastAsia="Courier New" w:hAnsi="Courier New"/>
                <w:sz w:val="14"/>
                <w:szCs w:val="14"/>
                <w:color w:val="auto"/>
              </w:rPr>
              <w:t>$27.55</w:t>
            </w:r>
          </w:p>
        </w:tc>
        <w:tc>
          <w:tcPr>
            <w:tcW w:w="1480" w:type="dxa"/>
            <w:vAlign w:val="bottom"/>
          </w:tcPr>
          <w:p>
            <w:pPr>
              <w:jc w:val="right"/>
              <w:ind w:right="188"/>
              <w:spacing w:after="0" w:line="147" w:lineRule="exact"/>
              <w:rPr>
                <w:sz w:val="20"/>
                <w:szCs w:val="20"/>
                <w:color w:val="auto"/>
              </w:rPr>
            </w:pPr>
            <w:r>
              <w:rPr>
                <w:rFonts w:ascii="Courier New" w:cs="Courier New" w:eastAsia="Courier New" w:hAnsi="Courier New"/>
                <w:sz w:val="14"/>
                <w:szCs w:val="14"/>
                <w:color w:val="auto"/>
              </w:rPr>
              <w:t>$18.38</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Aug 31, 2001</w:t>
            </w:r>
          </w:p>
        </w:tc>
        <w:tc>
          <w:tcPr>
            <w:tcW w:w="262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$39.58</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$26.74</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Nov 30, 2001</w:t>
            </w:r>
          </w:p>
        </w:tc>
        <w:tc>
          <w:tcPr>
            <w:tcW w:w="262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$35.69</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$22.93</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Feb 28, 2002</w:t>
            </w:r>
          </w:p>
        </w:tc>
        <w:tc>
          <w:tcPr>
            <w:tcW w:w="262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$32.79</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$25.13</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May 31, 2002</w:t>
            </w:r>
          </w:p>
        </w:tc>
        <w:tc>
          <w:tcPr>
            <w:tcW w:w="262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$34.49</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$23.87</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Aug 31, 2002</w:t>
            </w:r>
          </w:p>
        </w:tc>
        <w:tc>
          <w:tcPr>
            <w:tcW w:w="262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$30.50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$14.88</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Nov 30, 2002</w:t>
            </w:r>
          </w:p>
        </w:tc>
        <w:tc>
          <w:tcPr>
            <w:tcW w:w="262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$26.00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$18.99</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Feb 28, 2003</w:t>
            </w:r>
          </w:p>
        </w:tc>
        <w:tc>
          <w:tcPr>
            <w:tcW w:w="262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$32.87</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$22.35</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May 31, 2003</w:t>
            </w:r>
          </w:p>
        </w:tc>
        <w:tc>
          <w:tcPr>
            <w:tcW w:w="262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$30.85</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$21.36</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Aug 31, 2003</w:t>
            </w:r>
          </w:p>
        </w:tc>
        <w:tc>
          <w:tcPr>
            <w:tcW w:w="262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$36.80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$25.87</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Nov 30, 2003</w:t>
            </w:r>
          </w:p>
        </w:tc>
        <w:tc>
          <w:tcPr>
            <w:tcW w:w="262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$45.04</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$31.20</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Feb 29, 2004</w:t>
            </w:r>
          </w:p>
        </w:tc>
        <w:tc>
          <w:tcPr>
            <w:tcW w:w="262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$46.05</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$33.03</w:t>
            </w:r>
          </w:p>
        </w:tc>
        <w:tc>
          <w:tcPr>
            <w:tcW w:w="0" w:type="dxa"/>
            <w:vAlign w:val="bottom"/>
          </w:tcPr>
          <w:p>
            <w:pPr>
              <w:spacing w:after="0"/>
              <w:rPr>
                <w:sz w:val="1"/>
                <w:szCs w:val="1"/>
                <w:color w:val="auto"/>
              </w:rPr>
            </w:pPr>
          </w:p>
        </w:tc>
      </w:tr>
      <w:tr>
        <w:trPr>
          <w:trHeight w:val="242"/>
        </w:trPr>
        <w:tc>
          <w:tcPr>
            <w:tcW w:w="2120" w:type="dxa"/>
            <w:vAlign w:val="bottom"/>
          </w:tcPr>
          <w:p>
            <w:pPr>
              <w:spacing w:after="0"/>
              <w:rPr>
                <w:sz w:val="20"/>
                <w:szCs w:val="20"/>
                <w:color w:val="auto"/>
              </w:rPr>
            </w:pPr>
            <w:r>
              <w:rPr>
                <w:rFonts w:ascii="Courier New" w:cs="Courier New" w:eastAsia="Courier New" w:hAnsi="Courier New"/>
                <w:sz w:val="14"/>
                <w:szCs w:val="14"/>
                <w:color w:val="auto"/>
              </w:rPr>
              <w:t>May 31, 2004</w:t>
            </w:r>
          </w:p>
        </w:tc>
        <w:tc>
          <w:tcPr>
            <w:tcW w:w="262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$43.49</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$29.74</w:t>
            </w:r>
          </w:p>
        </w:tc>
        <w:tc>
          <w:tcPr>
            <w:tcW w:w="0" w:type="dxa"/>
            <w:vAlign w:val="bottom"/>
          </w:tcPr>
          <w:p>
            <w:pPr>
              <w:spacing w:after="0"/>
              <w:rPr>
                <w:sz w:val="1"/>
                <w:szCs w:val="1"/>
                <w:color w:val="auto"/>
              </w:rPr>
            </w:pPr>
          </w:p>
        </w:tc>
      </w:tr>
      <w:tr>
        <w:trPr>
          <w:trHeight w:val="255"/>
        </w:trPr>
        <w:tc>
          <w:tcPr>
            <w:tcW w:w="2120" w:type="dxa"/>
            <w:vAlign w:val="bottom"/>
            <w:vMerge w:val="restart"/>
          </w:tcPr>
          <w:p>
            <w:pPr>
              <w:spacing w:after="0"/>
              <w:rPr>
                <w:sz w:val="20"/>
                <w:szCs w:val="20"/>
                <w:color w:val="auto"/>
              </w:rPr>
            </w:pPr>
            <w:r>
              <w:rPr>
                <w:rFonts w:ascii="Courier New" w:cs="Courier New" w:eastAsia="Courier New" w:hAnsi="Courier New"/>
                <w:sz w:val="14"/>
                <w:szCs w:val="14"/>
                <w:color w:val="auto"/>
              </w:rPr>
              <w:t>Month Ending</w:t>
            </w:r>
          </w:p>
        </w:tc>
        <w:tc>
          <w:tcPr>
            <w:tcW w:w="262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High Sales Price</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Low Sales Price</w:t>
            </w:r>
          </w:p>
        </w:tc>
        <w:tc>
          <w:tcPr>
            <w:tcW w:w="0" w:type="dxa"/>
            <w:vAlign w:val="bottom"/>
          </w:tcPr>
          <w:p>
            <w:pPr>
              <w:spacing w:after="0"/>
              <w:rPr>
                <w:sz w:val="1"/>
                <w:szCs w:val="1"/>
                <w:color w:val="auto"/>
              </w:rPr>
            </w:pPr>
          </w:p>
        </w:tc>
      </w:tr>
      <w:tr>
        <w:trPr>
          <w:trHeight w:val="192"/>
        </w:trPr>
        <w:tc>
          <w:tcPr>
            <w:tcW w:w="2120" w:type="dxa"/>
            <w:vAlign w:val="bottom"/>
            <w:vMerge w:val="continue"/>
          </w:tcPr>
          <w:p>
            <w:pPr>
              <w:spacing w:after="0"/>
              <w:rPr>
                <w:sz w:val="16"/>
                <w:szCs w:val="16"/>
                <w:color w:val="auto"/>
              </w:rPr>
            </w:pPr>
          </w:p>
        </w:tc>
        <w:tc>
          <w:tcPr>
            <w:tcW w:w="2620" w:type="dxa"/>
            <w:vAlign w:val="bottom"/>
          </w:tcPr>
          <w:p>
            <w:pPr>
              <w:ind w:left="1160"/>
              <w:spacing w:after="0"/>
              <w:rPr>
                <w:sz w:val="20"/>
                <w:szCs w:val="20"/>
                <w:color w:val="auto"/>
              </w:rPr>
            </w:pPr>
            <w:r>
              <w:rPr>
                <w:rFonts w:ascii="Courier New" w:cs="Courier New" w:eastAsia="Courier New" w:hAnsi="Courier New"/>
                <w:sz w:val="14"/>
                <w:szCs w:val="14"/>
                <w:color w:val="auto"/>
              </w:rPr>
              <w:t>During Period</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During Period</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w:t>
      </w:r>
    </w:p>
    <w:tbl>
      <w:tblPr>
        <w:tblLayout w:type="fixed"/>
        <w:tblInd w:w="0" w:type="dxa"/>
        <w:tblCellMar>
          <w:top w:w="0" w:type="dxa"/>
          <w:left w:w="0" w:type="dxa"/>
          <w:bottom w:w="0" w:type="dxa"/>
          <w:right w:w="0" w:type="dxa"/>
        </w:tblCellMar>
      </w:tblPr>
      <w:tr>
        <w:trPr>
          <w:trHeight w:val="147"/>
        </w:trPr>
        <w:tc>
          <w:tcPr>
            <w:tcW w:w="2300" w:type="dxa"/>
            <w:vAlign w:val="bottom"/>
          </w:tcPr>
          <w:p>
            <w:pPr>
              <w:spacing w:after="0" w:line="147" w:lineRule="exact"/>
              <w:rPr>
                <w:sz w:val="20"/>
                <w:szCs w:val="20"/>
                <w:color w:val="auto"/>
              </w:rPr>
            </w:pPr>
            <w:r>
              <w:rPr>
                <w:rFonts w:ascii="Courier New" w:cs="Courier New" w:eastAsia="Courier New" w:hAnsi="Courier New"/>
                <w:sz w:val="14"/>
                <w:szCs w:val="14"/>
                <w:color w:val="auto"/>
              </w:rPr>
              <w:t>Dec 31, 2003</w:t>
            </w:r>
          </w:p>
        </w:tc>
        <w:tc>
          <w:tcPr>
            <w:tcW w:w="2480" w:type="dxa"/>
            <w:vAlign w:val="bottom"/>
          </w:tcPr>
          <w:p>
            <w:pPr>
              <w:jc w:val="right"/>
              <w:ind w:right="568"/>
              <w:spacing w:after="0" w:line="147" w:lineRule="exact"/>
              <w:rPr>
                <w:sz w:val="20"/>
                <w:szCs w:val="20"/>
                <w:color w:val="auto"/>
              </w:rPr>
            </w:pPr>
            <w:r>
              <w:rPr>
                <w:rFonts w:ascii="Courier New" w:cs="Courier New" w:eastAsia="Courier New" w:hAnsi="Courier New"/>
                <w:sz w:val="14"/>
                <w:szCs w:val="14"/>
                <w:color w:val="auto"/>
              </w:rPr>
              <w:t>$45.17</w:t>
            </w:r>
          </w:p>
        </w:tc>
        <w:tc>
          <w:tcPr>
            <w:tcW w:w="11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$40.30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Jan 31, 2004</w:t>
            </w:r>
          </w:p>
        </w:tc>
        <w:tc>
          <w:tcPr>
            <w:tcW w:w="2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$46.05</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$34.55</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Feb 29, 2004</w:t>
            </w:r>
          </w:p>
        </w:tc>
        <w:tc>
          <w:tcPr>
            <w:tcW w:w="2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$38.95</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$33.03</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March 31, 2004</w:t>
            </w:r>
          </w:p>
        </w:tc>
        <w:tc>
          <w:tcPr>
            <w:tcW w:w="2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$37.20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$29.74</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April 30, 2004</w:t>
            </w:r>
          </w:p>
        </w:tc>
        <w:tc>
          <w:tcPr>
            <w:tcW w:w="2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$43.49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$35.44</w:t>
            </w:r>
          </w:p>
        </w:tc>
      </w:tr>
      <w:tr>
        <w:trPr>
          <w:trHeight w:val="242"/>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May 31, 2004</w:t>
            </w:r>
          </w:p>
        </w:tc>
        <w:tc>
          <w:tcPr>
            <w:tcW w:w="2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$42.03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$36.71</w:t>
            </w:r>
          </w:p>
        </w:tc>
      </w:tr>
      <w:tr>
        <w:trPr>
          <w:trHeight w:val="497"/>
        </w:trPr>
        <w:tc>
          <w:tcPr>
            <w:tcW w:w="2300" w:type="dxa"/>
            <w:vAlign w:val="bottom"/>
          </w:tcPr>
          <w:p>
            <w:pPr>
              <w:spacing w:after="0"/>
              <w:rPr>
                <w:sz w:val="24"/>
                <w:szCs w:val="24"/>
                <w:color w:val="auto"/>
              </w:rPr>
            </w:pPr>
          </w:p>
        </w:tc>
        <w:tc>
          <w:tcPr>
            <w:tcW w:w="248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33</w:t>
            </w:r>
          </w:p>
        </w:tc>
        <w:tc>
          <w:tcPr>
            <w:tcW w:w="1180" w:type="dxa"/>
            <w:vAlign w:val="bottom"/>
          </w:tcPr>
          <w:p>
            <w:pPr>
              <w:spacing w:after="0"/>
              <w:rPr>
                <w:sz w:val="24"/>
                <w:szCs w:val="24"/>
                <w:color w:val="auto"/>
              </w:rPr>
            </w:pPr>
          </w:p>
        </w:tc>
      </w:tr>
    </w:tbl>
    <w:p>
      <w:pPr>
        <w:sectPr>
          <w:pgSz w:w="11900" w:h="16838" w:orient="portrait"/>
          <w:cols w:equalWidth="0" w:num="1">
            <w:col w:w="10239"/>
          </w:cols>
          <w:pgMar w:left="220" w:top="921" w:right="1440" w:bottom="1440" w:gutter="0" w:footer="0" w:header="0"/>
        </w:sectPr>
      </w:pPr>
    </w:p>
    <w:bookmarkStart w:id="35" w:name="page36"/>
    <w:bookmarkEnd w:id="35"/>
    <w:p>
      <w:pPr>
        <w:spacing w:after="0"/>
        <w:tabs>
          <w:tab w:leader="none" w:pos="840" w:val="left"/>
        </w:tabs>
        <w:rPr>
          <w:sz w:val="20"/>
          <w:szCs w:val="20"/>
          <w:color w:val="auto"/>
        </w:rPr>
      </w:pPr>
      <w:r>
        <w:rPr>
          <w:rFonts w:ascii="Courier New" w:cs="Courier New" w:eastAsia="Courier New" w:hAnsi="Courier New"/>
          <w:sz w:val="14"/>
          <w:szCs w:val="14"/>
          <w:color w:val="auto"/>
        </w:rPr>
        <w:t>Item 10.</w:t>
        <w:tab/>
        <w:t>Additional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Memorandum and Articles of Association</w:t>
      </w:r>
    </w:p>
    <w:p>
      <w:pPr>
        <w:spacing w:after="0" w:line="173"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On January 12, 2004, at ICON's Annual General Meeting, the Articles of Association of ICON plc were amended to accommodate the electronic communication with shareholders. The following amendments were made:</w:t>
      </w:r>
    </w:p>
    <w:p>
      <w:pPr>
        <w:spacing w:after="0" w:line="42" w:lineRule="exact"/>
        <w:rPr>
          <w:sz w:val="20"/>
          <w:szCs w:val="20"/>
          <w:color w:val="auto"/>
        </w:rPr>
      </w:pPr>
    </w:p>
    <w:p>
      <w:pPr>
        <w:ind w:left="440" w:right="3599" w:hanging="1"/>
        <w:spacing w:after="0" w:line="375" w:lineRule="auto"/>
        <w:tabs>
          <w:tab w:leader="none" w:pos="785"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of Article 1 through the deletion of the definition of "the Acts" and the insertion of the following new definitions:</w:t>
      </w:r>
    </w:p>
    <w:p>
      <w:pPr>
        <w:spacing w:after="0" w:line="1" w:lineRule="exact"/>
        <w:rPr>
          <w:sz w:val="20"/>
          <w:szCs w:val="20"/>
          <w:color w:val="auto"/>
        </w:rPr>
      </w:pPr>
    </w:p>
    <w:tbl>
      <w:tblPr>
        <w:tblLayout w:type="fixed"/>
        <w:tblInd w:w="1220" w:type="dxa"/>
        <w:tblCellMar>
          <w:top w:w="0" w:type="dxa"/>
          <w:left w:w="0" w:type="dxa"/>
          <w:bottom w:w="0" w:type="dxa"/>
          <w:right w:w="0" w:type="dxa"/>
        </w:tblCellMar>
      </w:tblP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"the Acts"</w:t>
            </w:r>
          </w:p>
        </w:tc>
        <w:tc>
          <w:tcPr>
            <w:tcW w:w="3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the Companies Acts, 1963 to 2003 and</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every statutory modification or</w:t>
            </w:r>
          </w:p>
        </w:tc>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being</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re-enactment thereof for the time</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980" w:type="dxa"/>
            <w:vAlign w:val="bottom"/>
          </w:tcPr>
          <w:p>
            <w:pPr>
              <w:spacing w:after="0"/>
              <w:rPr>
                <w:sz w:val="21"/>
                <w:szCs w:val="21"/>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in effect;</w:t>
            </w:r>
          </w:p>
        </w:tc>
        <w:tc>
          <w:tcPr>
            <w:tcW w:w="2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980" w:type="dxa"/>
            <w:vAlign w:val="bottom"/>
          </w:tcPr>
          <w:p>
            <w:pPr>
              <w:spacing w:after="0"/>
              <w:rPr>
                <w:sz w:val="20"/>
                <w:szCs w:val="20"/>
                <w:color w:val="auto"/>
              </w:rPr>
            </w:pPr>
            <w:r>
              <w:rPr>
                <w:rFonts w:ascii="Courier New" w:cs="Courier New" w:eastAsia="Courier New" w:hAnsi="Courier New"/>
                <w:sz w:val="14"/>
                <w:szCs w:val="14"/>
                <w:color w:val="auto"/>
              </w:rPr>
              <w:t>"Address"</w:t>
            </w:r>
          </w:p>
        </w:tc>
        <w:tc>
          <w:tcPr>
            <w:tcW w:w="3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includes any number or address used for</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3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the purposes of communication by way of</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electronic</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mail or other Electronic</w:t>
            </w:r>
          </w:p>
        </w:tc>
        <w:tc>
          <w:tcPr>
            <w:tcW w:w="0" w:type="dxa"/>
            <w:vAlign w:val="bottom"/>
          </w:tcPr>
          <w:p>
            <w:pPr>
              <w:spacing w:after="0"/>
              <w:rPr>
                <w:sz w:val="1"/>
                <w:szCs w:val="1"/>
                <w:color w:val="auto"/>
              </w:rPr>
            </w:pPr>
          </w:p>
        </w:tc>
      </w:tr>
      <w:tr>
        <w:trPr>
          <w:trHeight w:val="242"/>
        </w:trPr>
        <w:tc>
          <w:tcPr>
            <w:tcW w:w="1980" w:type="dxa"/>
            <w:vAlign w:val="bottom"/>
          </w:tcPr>
          <w:p>
            <w:pPr>
              <w:spacing w:after="0"/>
              <w:rPr>
                <w:sz w:val="21"/>
                <w:szCs w:val="21"/>
                <w:color w:val="auto"/>
              </w:rPr>
            </w:pPr>
          </w:p>
        </w:tc>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Communication;</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980" w:type="dxa"/>
            <w:vAlign w:val="bottom"/>
          </w:tcPr>
          <w:p>
            <w:pPr>
              <w:spacing w:after="0"/>
              <w:rPr>
                <w:sz w:val="20"/>
                <w:szCs w:val="20"/>
                <w:color w:val="auto"/>
              </w:rPr>
            </w:pPr>
            <w:r>
              <w:rPr>
                <w:rFonts w:ascii="Courier New" w:cs="Courier New" w:eastAsia="Courier New" w:hAnsi="Courier New"/>
                <w:sz w:val="14"/>
                <w:szCs w:val="14"/>
                <w:color w:val="auto"/>
              </w:rPr>
              <w:t>"Advanced Electronic</w:t>
            </w:r>
          </w:p>
        </w:tc>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has the same meaning as under the</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Signature"</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Electronic</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Commerce Act, 2000 (as</w:t>
            </w:r>
          </w:p>
        </w:tc>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to</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amended or</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supplemented from time</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980" w:type="dxa"/>
            <w:vAlign w:val="bottom"/>
          </w:tcPr>
          <w:p>
            <w:pPr>
              <w:spacing w:after="0"/>
              <w:rPr>
                <w:sz w:val="21"/>
                <w:szCs w:val="21"/>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time);</w:t>
            </w:r>
          </w:p>
        </w:tc>
        <w:tc>
          <w:tcPr>
            <w:tcW w:w="2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980" w:type="dxa"/>
            <w:vAlign w:val="bottom"/>
          </w:tcPr>
          <w:p>
            <w:pPr>
              <w:spacing w:after="0"/>
              <w:rPr>
                <w:sz w:val="20"/>
                <w:szCs w:val="20"/>
                <w:color w:val="auto"/>
              </w:rPr>
            </w:pPr>
            <w:r>
              <w:rPr>
                <w:rFonts w:ascii="Courier New" w:cs="Courier New" w:eastAsia="Courier New" w:hAnsi="Courier New"/>
                <w:sz w:val="14"/>
                <w:szCs w:val="14"/>
                <w:color w:val="auto"/>
              </w:rPr>
              <w:t>"Electronic</w:t>
            </w:r>
          </w:p>
        </w:tc>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has the same meaning as under the</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Communication"</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Electronic</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Commerce Act, 2000 (as</w:t>
            </w:r>
          </w:p>
        </w:tc>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to</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amended or</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supplemented from time</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980" w:type="dxa"/>
            <w:vAlign w:val="bottom"/>
          </w:tcPr>
          <w:p>
            <w:pPr>
              <w:spacing w:after="0"/>
              <w:rPr>
                <w:sz w:val="21"/>
                <w:szCs w:val="21"/>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time);</w:t>
            </w:r>
          </w:p>
        </w:tc>
        <w:tc>
          <w:tcPr>
            <w:tcW w:w="2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980" w:type="dxa"/>
            <w:vAlign w:val="bottom"/>
          </w:tcPr>
          <w:p>
            <w:pPr>
              <w:spacing w:after="0"/>
              <w:rPr>
                <w:sz w:val="20"/>
                <w:szCs w:val="20"/>
                <w:color w:val="auto"/>
              </w:rPr>
            </w:pPr>
            <w:r>
              <w:rPr>
                <w:rFonts w:ascii="Courier New" w:cs="Courier New" w:eastAsia="Courier New" w:hAnsi="Courier New"/>
                <w:sz w:val="14"/>
                <w:szCs w:val="14"/>
                <w:color w:val="auto"/>
              </w:rPr>
              <w:t>"Electronic</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Signature"</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has the same meaning as under</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 Electronic Commerce Act, 2000</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(as</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amended or</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supplemented from time</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0" w:type="dxa"/>
            <w:vAlign w:val="bottom"/>
          </w:tcPr>
          <w:p>
            <w:pPr>
              <w:spacing w:after="0"/>
              <w:rPr>
                <w:sz w:val="1"/>
                <w:szCs w:val="1"/>
                <w:color w:val="auto"/>
              </w:rPr>
            </w:pPr>
          </w:p>
        </w:tc>
      </w:tr>
      <w:tr>
        <w:trPr>
          <w:trHeight w:val="242"/>
        </w:trPr>
        <w:tc>
          <w:tcPr>
            <w:tcW w:w="1980" w:type="dxa"/>
            <w:vAlign w:val="bottom"/>
          </w:tcPr>
          <w:p>
            <w:pPr>
              <w:spacing w:after="0"/>
              <w:rPr>
                <w:sz w:val="21"/>
                <w:szCs w:val="21"/>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time);</w:t>
            </w:r>
          </w:p>
        </w:tc>
        <w:tc>
          <w:tcPr>
            <w:tcW w:w="2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980" w:type="dxa"/>
            <w:vAlign w:val="bottom"/>
          </w:tcPr>
          <w:p>
            <w:pPr>
              <w:spacing w:after="0"/>
              <w:rPr>
                <w:sz w:val="20"/>
                <w:szCs w:val="20"/>
                <w:color w:val="auto"/>
              </w:rPr>
            </w:pPr>
            <w:r>
              <w:rPr>
                <w:rFonts w:ascii="Courier New" w:cs="Courier New" w:eastAsia="Courier New" w:hAnsi="Courier New"/>
                <w:sz w:val="14"/>
                <w:szCs w:val="14"/>
                <w:color w:val="auto"/>
              </w:rPr>
              <w:t>"in writing"</w:t>
            </w:r>
          </w:p>
        </w:tc>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written, printed, photographed or</w:t>
            </w:r>
          </w:p>
        </w:tc>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in</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lithographed or visibly expressed</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all or any</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those or any other modes</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3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of representing or reproducing words</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provided that it shall not include</w:t>
            </w:r>
          </w:p>
        </w:tc>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as</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writing in</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electronic form except</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provided in these Articles and/or</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where</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3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it constitutes writing in electronic</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form sent to either the Company</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3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or a member of the Company, the Company</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3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or member of the Company has agreed to</w:t>
            </w:r>
          </w:p>
        </w:tc>
        <w:tc>
          <w:tcPr>
            <w:tcW w:w="0" w:type="dxa"/>
            <w:vAlign w:val="bottom"/>
          </w:tcPr>
          <w:p>
            <w:pPr>
              <w:spacing w:after="0"/>
              <w:rPr>
                <w:sz w:val="1"/>
                <w:szCs w:val="1"/>
                <w:color w:val="auto"/>
              </w:rPr>
            </w:pPr>
          </w:p>
        </w:tc>
      </w:tr>
      <w:tr>
        <w:trPr>
          <w:trHeight w:val="242"/>
        </w:trPr>
        <w:tc>
          <w:tcPr>
            <w:tcW w:w="1980" w:type="dxa"/>
            <w:vAlign w:val="bottom"/>
          </w:tcPr>
          <w:p>
            <w:pPr>
              <w:spacing w:after="0"/>
              <w:rPr>
                <w:sz w:val="21"/>
                <w:szCs w:val="21"/>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receipt in</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such form;</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860" w:right="3419" w:hanging="421"/>
        <w:spacing w:after="0" w:line="375" w:lineRule="auto"/>
        <w:tabs>
          <w:tab w:leader="none" w:pos="8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insertion of the following words in the fourth line of Article 33, after the words "in writing" :</w:t>
      </w:r>
    </w:p>
    <w:p>
      <w:pPr>
        <w:spacing w:after="0" w:line="1"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writing in electronic form)"</w:t>
      </w:r>
    </w:p>
    <w:p>
      <w:pPr>
        <w:spacing w:after="0" w:line="338" w:lineRule="exact"/>
        <w:rPr>
          <w:rFonts w:ascii="Courier New" w:cs="Courier New" w:eastAsia="Courier New" w:hAnsi="Courier New"/>
          <w:sz w:val="14"/>
          <w:szCs w:val="14"/>
          <w:color w:val="auto"/>
        </w:rPr>
      </w:pPr>
    </w:p>
    <w:p>
      <w:pPr>
        <w:ind w:left="860" w:right="3599" w:hanging="421"/>
        <w:spacing w:after="0" w:line="375" w:lineRule="auto"/>
        <w:tabs>
          <w:tab w:leader="none" w:pos="8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insertion of the following words in the last line of Article 105, after the word "documents":</w:t>
      </w:r>
    </w:p>
    <w:p>
      <w:pPr>
        <w:spacing w:after="0" w:line="1"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by means of Electronic Communication)"</w:t>
      </w:r>
    </w:p>
    <w:p>
      <w:pPr>
        <w:spacing w:after="0" w:line="338" w:lineRule="exact"/>
        <w:rPr>
          <w:rFonts w:ascii="Courier New" w:cs="Courier New" w:eastAsia="Courier New" w:hAnsi="Courier New"/>
          <w:sz w:val="14"/>
          <w:szCs w:val="14"/>
          <w:color w:val="auto"/>
        </w:rPr>
      </w:pPr>
    </w:p>
    <w:p>
      <w:pPr>
        <w:ind w:left="860" w:right="3419" w:hanging="421"/>
        <w:spacing w:after="0" w:line="375" w:lineRule="auto"/>
        <w:tabs>
          <w:tab w:leader="none" w:pos="8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insertion of the following words in the second line of Article 125, after the words "in writing":</w:t>
      </w:r>
    </w:p>
    <w:p>
      <w:pPr>
        <w:spacing w:after="0" w:line="1" w:lineRule="exact"/>
        <w:rPr>
          <w:rFonts w:ascii="Courier New" w:cs="Courier New" w:eastAsia="Courier New" w:hAnsi="Courier New"/>
          <w:sz w:val="14"/>
          <w:szCs w:val="14"/>
          <w:color w:val="auto"/>
        </w:rPr>
      </w:pPr>
    </w:p>
    <w:p>
      <w:pPr>
        <w:ind w:left="860" w:right="3339"/>
        <w:spacing w:after="0" w:line="31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by sending the same by electronic mail or other form of Electronic Communication approved by the Directors to the address of any Member notified to the Company by the Member for such purpose."</w:t>
      </w:r>
    </w:p>
    <w:p>
      <w:pPr>
        <w:spacing w:after="0" w:line="42" w:lineRule="exact"/>
        <w:rPr>
          <w:rFonts w:ascii="Courier New" w:cs="Courier New" w:eastAsia="Courier New" w:hAnsi="Courier New"/>
          <w:sz w:val="14"/>
          <w:szCs w:val="14"/>
          <w:color w:val="auto"/>
        </w:rPr>
      </w:pPr>
    </w:p>
    <w:p>
      <w:pPr>
        <w:ind w:left="860" w:right="3679" w:hanging="421"/>
        <w:spacing w:after="0" w:line="375" w:lineRule="auto"/>
        <w:tabs>
          <w:tab w:leader="none" w:pos="8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insertion of the following sub-paragraph (a)(iv) in Article 126:</w:t>
      </w:r>
    </w:p>
    <w:p>
      <w:pPr>
        <w:spacing w:after="0" w:line="1" w:lineRule="exact"/>
        <w:rPr>
          <w:rFonts w:ascii="Courier New" w:cs="Courier New" w:eastAsia="Courier New" w:hAnsi="Courier New"/>
          <w:sz w:val="14"/>
          <w:szCs w:val="14"/>
          <w:color w:val="auto"/>
        </w:rPr>
      </w:pPr>
    </w:p>
    <w:p>
      <w:pPr>
        <w:ind w:left="860" w:right="3339"/>
        <w:spacing w:after="0" w:line="31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by sending the same by electronic mail or by other form of Electronic Communication approved by the Directors to the address of a Member notified to the Company by the Member for such purpose."</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921" w:right="1440" w:bottom="1440" w:gutter="0" w:footer="0" w:header="0"/>
        </w:sectPr>
      </w:pPr>
    </w:p>
    <w:bookmarkStart w:id="36" w:name="page37"/>
    <w:bookmarkEnd w:id="36"/>
    <w:p>
      <w:pPr>
        <w:ind w:left="860" w:right="3599" w:hanging="421"/>
        <w:spacing w:after="0" w:line="375" w:lineRule="auto"/>
        <w:tabs>
          <w:tab w:leader="none" w:pos="8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insertion of the following additional sentence at the end of sub-section (c) of Article 126:</w:t>
      </w:r>
    </w:p>
    <w:p>
      <w:pPr>
        <w:spacing w:after="0" w:line="1" w:lineRule="exact"/>
        <w:rPr>
          <w:rFonts w:ascii="Courier New" w:cs="Courier New" w:eastAsia="Courier New" w:hAnsi="Courier New"/>
          <w:sz w:val="14"/>
          <w:szCs w:val="14"/>
          <w:color w:val="auto"/>
        </w:rPr>
      </w:pPr>
    </w:p>
    <w:p>
      <w:pPr>
        <w:ind w:left="860" w:right="3419"/>
        <w:spacing w:after="0" w:line="27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"Where a notice or document is given, served or delivered pursuant to sub-paragraph (iv) of this Article, the giving, service or delivery thereof shall be deemed to have been effected at the expiration of forty-eight (48) hours after the dispatch of the Electronic Communication and a transaction report shall be conclusive evidence thereof."</w:t>
      </w:r>
    </w:p>
    <w:p>
      <w:pPr>
        <w:spacing w:after="0" w:line="234" w:lineRule="exact"/>
        <w:rPr>
          <w:rFonts w:ascii="Courier New" w:cs="Courier New" w:eastAsia="Courier New" w:hAnsi="Courier New"/>
          <w:sz w:val="14"/>
          <w:szCs w:val="14"/>
          <w:color w:val="auto"/>
        </w:rPr>
      </w:pPr>
    </w:p>
    <w:p>
      <w:pPr>
        <w:ind w:left="860" w:right="3339" w:hanging="421"/>
        <w:spacing w:after="0" w:line="375" w:lineRule="auto"/>
        <w:tabs>
          <w:tab w:leader="none" w:pos="8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amendment of sub paragraph (e) of Article 126 so that the first two lines now read as follows:</w:t>
      </w:r>
    </w:p>
    <w:p>
      <w:pPr>
        <w:spacing w:after="0" w:line="1"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"Without prejudice to the provisions of sub-paragraph (a)(i), (ii) and</w:t>
      </w:r>
    </w:p>
    <w:p>
      <w:pPr>
        <w:spacing w:after="0" w:line="33"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w:t>
      </w:r>
    </w:p>
    <w:p>
      <w:pPr>
        <w:spacing w:after="0" w:line="312" w:lineRule="exact"/>
        <w:rPr>
          <w:rFonts w:ascii="Courier New" w:cs="Courier New" w:eastAsia="Courier New" w:hAnsi="Courier New"/>
          <w:sz w:val="14"/>
          <w:szCs w:val="14"/>
          <w:color w:val="auto"/>
        </w:rPr>
      </w:pPr>
    </w:p>
    <w:p>
      <w:pPr>
        <w:ind w:left="860" w:right="3419" w:hanging="421"/>
        <w:spacing w:after="0" w:line="375" w:lineRule="auto"/>
        <w:tabs>
          <w:tab w:leader="none" w:pos="8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insertion of the following into Article 127, between the words "address" and "but":</w:t>
      </w:r>
    </w:p>
    <w:p>
      <w:pPr>
        <w:spacing w:after="0" w:line="1" w:lineRule="exact"/>
        <w:rPr>
          <w:rFonts w:ascii="Courier New" w:cs="Courier New" w:eastAsia="Courier New" w:hAnsi="Courier New"/>
          <w:sz w:val="14"/>
          <w:szCs w:val="14"/>
          <w:color w:val="auto"/>
        </w:rPr>
      </w:pPr>
    </w:p>
    <w:p>
      <w:pPr>
        <w:jc w:val="both"/>
        <w:ind w:left="860" w:right="3419"/>
        <w:spacing w:after="0" w:line="31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shall be entitled to receive notices by electronic mail, or other formal Electronic Communication approved by the Directors, to be sent to an address notified to the Company by the Member for such purpose"</w:t>
      </w:r>
    </w:p>
    <w:p>
      <w:pPr>
        <w:spacing w:after="0" w:line="207" w:lineRule="exact"/>
        <w:rPr>
          <w:rFonts w:ascii="Courier New" w:cs="Courier New" w:eastAsia="Courier New" w:hAnsi="Courier New"/>
          <w:sz w:val="14"/>
          <w:szCs w:val="14"/>
          <w:color w:val="auto"/>
        </w:rPr>
      </w:pPr>
    </w:p>
    <w:p>
      <w:pPr>
        <w:ind w:left="860" w:right="3419" w:hanging="421"/>
        <w:spacing w:after="0" w:line="375" w:lineRule="auto"/>
        <w:tabs>
          <w:tab w:leader="none" w:pos="8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insertion of the following into Article 128, between the words "Share" and "and":</w:t>
      </w:r>
    </w:p>
    <w:p>
      <w:pPr>
        <w:spacing w:after="0" w:line="1" w:lineRule="exact"/>
        <w:rPr>
          <w:rFonts w:ascii="Courier New" w:cs="Courier New" w:eastAsia="Courier New" w:hAnsi="Courier New"/>
          <w:sz w:val="14"/>
          <w:szCs w:val="14"/>
          <w:color w:val="auto"/>
        </w:rPr>
      </w:pPr>
    </w:p>
    <w:p>
      <w:pPr>
        <w:ind w:left="860" w:right="3419"/>
        <w:spacing w:after="0" w:line="29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in the case of a notice sent by electronic mail or other form of Electronic Communication approved by the Directors, to the address in respect of the Joint Holding notified to the Company by the Joint Holders for such purpose,"</w:t>
      </w:r>
    </w:p>
    <w:p>
      <w:pPr>
        <w:spacing w:after="0" w:line="56" w:lineRule="exact"/>
        <w:rPr>
          <w:rFonts w:ascii="Courier New" w:cs="Courier New" w:eastAsia="Courier New" w:hAnsi="Courier New"/>
          <w:sz w:val="14"/>
          <w:szCs w:val="14"/>
          <w:color w:val="auto"/>
        </w:rPr>
      </w:pPr>
    </w:p>
    <w:p>
      <w:pPr>
        <w:ind w:left="860" w:right="3679" w:hanging="421"/>
        <w:spacing w:after="0" w:line="375" w:lineRule="auto"/>
        <w:tabs>
          <w:tab w:leader="none" w:pos="8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insertion of the following into Article 129(b), between the words "address" and "if":</w:t>
      </w:r>
    </w:p>
    <w:p>
      <w:pPr>
        <w:spacing w:after="0" w:line="1"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"(inclusive of an electronic address)"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inclusion of the following words at the end of Article 130:</w:t>
      </w:r>
    </w:p>
    <w:p>
      <w:pPr>
        <w:spacing w:after="0" w:line="172" w:lineRule="exact"/>
        <w:rPr>
          <w:rFonts w:ascii="Courier New" w:cs="Courier New" w:eastAsia="Courier New" w:hAnsi="Courier New"/>
          <w:sz w:val="14"/>
          <w:szCs w:val="14"/>
          <w:color w:val="auto"/>
        </w:rPr>
      </w:pPr>
    </w:p>
    <w:p>
      <w:pPr>
        <w:ind w:left="860" w:right="3339"/>
        <w:spacing w:after="0" w:line="31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in the case of a notice in electronic form the signature may be an Electronic Signature, Advanced Electronic Signature or otherwise as the Directors may approve."</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Controls and Other Limitations Affecting Security Holders.</w:t>
      </w:r>
    </w:p>
    <w:p>
      <w:pPr>
        <w:spacing w:after="0" w:line="173"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such as ICON. Except as indicated below, dividends and redemption proceeds also continue to be freely transferable to non-resident holders of such securities.</w:t>
      </w:r>
    </w:p>
    <w:p>
      <w:pPr>
        <w:spacing w:after="0" w:line="69"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The Financial Transfers Act, 1992 gives power to the Minister for Finance of Ireland to make provision for the restriction of financial transfers between Ireland and other countries. Financial transfers are broadly defined, and include all transfers, which would be movements of capital or payments within the meaning of the treaties governing the European Communities. The acquisition or disposal of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only to, or by the order of, or on behalf of, listed terrorist organizations, also listed residents and entities of Zimbabwe and Burma/Myanmar without the prior permission of the Central Bank of Ireland.</w:t>
      </w:r>
    </w:p>
    <w:p>
      <w:pPr>
        <w:spacing w:after="0" w:line="2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921" w:right="1440" w:bottom="1440" w:gutter="0" w:footer="0" w:header="0"/>
        </w:sectPr>
      </w:pPr>
    </w:p>
    <w:bookmarkStart w:id="37" w:name="page38"/>
    <w:bookmarkEnd w:id="37"/>
    <w:p>
      <w:pPr>
        <w:ind w:right="3339"/>
        <w:spacing w:after="0" w:line="271" w:lineRule="auto"/>
        <w:rPr>
          <w:sz w:val="20"/>
          <w:szCs w:val="20"/>
          <w:color w:val="auto"/>
        </w:rPr>
      </w:pPr>
      <w:r>
        <w:rPr>
          <w:rFonts w:ascii="Courier New" w:cs="Courier New" w:eastAsia="Courier New" w:hAnsi="Courier New"/>
          <w:sz w:val="14"/>
          <w:szCs w:val="14"/>
          <w:color w:val="auto"/>
        </w:rPr>
        <w:t>Any transfer of, or payment in respect of an ADS involving the government of any country which is currently the subject of United Nations sanctions, any person or body controlled by any of the foregoing, or by any person acting on behalf of the foregoing, may be subject to restrictions pursuant to such sanctions as implemented into Irish law. There are no restrictions under ICON's Articles of Association, or under Irish Law, that limit the right of non-residents or foreign owners to hold or vote the ordinary shares.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249"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purposes of the discussion under Irish Taxation of U.S. Holders (A) is not a resident of, or ordinarily resident in, Ireland for the purposes of Irish tax; and (B) is not engaged in trade or business in Ireland through a permanent establishment.</w:t>
      </w:r>
    </w:p>
    <w:p>
      <w:pPr>
        <w:spacing w:after="0" w:line="250" w:lineRule="exact"/>
        <w:rPr>
          <w:sz w:val="20"/>
          <w:szCs w:val="20"/>
          <w:color w:val="auto"/>
        </w:rPr>
      </w:pPr>
    </w:p>
    <w:p>
      <w:pPr>
        <w:ind w:right="3599"/>
        <w:spacing w:after="0" w:line="375" w:lineRule="auto"/>
        <w:rPr>
          <w:sz w:val="20"/>
          <w:szCs w:val="20"/>
          <w:color w:val="auto"/>
        </w:rPr>
      </w:pPr>
      <w:r>
        <w:rPr>
          <w:rFonts w:ascii="Courier New" w:cs="Courier New" w:eastAsia="Courier New" w:hAnsi="Courier New"/>
          <w:sz w:val="14"/>
          <w:szCs w:val="14"/>
          <w:color w:val="auto"/>
        </w:rPr>
        <w:t>AS USED HEREIN, REFERENCES TO THE ORDINARY SHARES SHALL INCLUDE ADSs REPRESENTING SUCH ORDINARY SHARES AND ADRs EVIDENCING OWNERSHIP OF SUCH ADSs.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Irish Taxation</w:t>
      </w:r>
    </w:p>
    <w:p>
      <w:pPr>
        <w:spacing w:after="0" w:line="173"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ICON is a public limited company incorporated and resident for tax purposes in Ireland.</w:t>
      </w:r>
    </w:p>
    <w:p>
      <w:pPr>
        <w:spacing w:after="0" w:line="1"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For Irish tax purposes, the residence of a company is in the jurisdiction where the central management and control of the company is located. Subject to certain exceptions, all Irish incorporated companies are deemed to be Irish tax resident. 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77" w:lineRule="exact"/>
        <w:rPr>
          <w:sz w:val="20"/>
          <w:szCs w:val="20"/>
          <w:color w:val="auto"/>
        </w:rPr>
      </w:pPr>
    </w:p>
    <w:p>
      <w:pPr>
        <w:ind w:right="3859"/>
        <w:spacing w:after="0" w:line="376" w:lineRule="auto"/>
        <w:rPr>
          <w:sz w:val="20"/>
          <w:szCs w:val="20"/>
          <w:color w:val="auto"/>
        </w:rPr>
      </w:pPr>
      <w:r>
        <w:rPr>
          <w:rFonts w:ascii="Courier New" w:cs="Courier New" w:eastAsia="Courier New" w:hAnsi="Courier New"/>
          <w:sz w:val="14"/>
          <w:szCs w:val="14"/>
          <w:color w:val="auto"/>
        </w:rPr>
        <w:t>The standard rate of Irish corporation tax on trading income (with certain exceptions) is currently 12.5%.</w:t>
      </w:r>
    </w:p>
    <w:p>
      <w:pPr>
        <w:spacing w:after="0" w:line="166"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Patent exemption is available to Irish resident companies whose income derives from qualifying royalties or license fees paid in respect of qualifying patents. The main requirement to qualify for the exemption is that the research, planning, processing, experimentation, testing, devising, designing, developing or similar activity leading to the invention which is the subject of the patent is carried out in Ireland. Under Irish law, income from such qualifying patents is disregarded for taxation purposes. There is no termination date for this relief specified in the legislation.</w:t>
      </w:r>
    </w:p>
    <w:p>
      <w:pPr>
        <w:spacing w:after="0" w:line="200" w:lineRule="exact"/>
        <w:rPr>
          <w:sz w:val="20"/>
          <w:szCs w:val="20"/>
          <w:color w:val="auto"/>
        </w:rPr>
      </w:pPr>
    </w:p>
    <w:p>
      <w:pPr>
        <w:spacing w:after="0" w:line="2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590" w:right="1440" w:bottom="1440" w:gutter="0" w:footer="0" w:header="0"/>
        </w:sectPr>
      </w:pPr>
    </w:p>
    <w:bookmarkStart w:id="38" w:name="page39"/>
    <w:bookmarkEnd w:id="38"/>
    <w:p>
      <w:pPr>
        <w:ind w:right="3339"/>
        <w:spacing w:after="0" w:line="292" w:lineRule="auto"/>
        <w:rPr>
          <w:sz w:val="20"/>
          <w:szCs w:val="20"/>
          <w:color w:val="auto"/>
        </w:rPr>
      </w:pPr>
      <w:r>
        <w:rPr>
          <w:rFonts w:ascii="Courier New" w:cs="Courier New" w:eastAsia="Courier New" w:hAnsi="Courier New"/>
          <w:sz w:val="14"/>
          <w:szCs w:val="14"/>
          <w:color w:val="auto"/>
        </w:rPr>
        <w:t>To the extent that the company is involved in the "manufacture" of goods in Ireland, income from this activity, in respect of its data processing operations carried out in Ireland, can qualify for a 10% rate of tax. This relief is available until December 31, 2010.</w:t>
      </w:r>
    </w:p>
    <w:p>
      <w:pPr>
        <w:spacing w:after="0" w:line="56" w:lineRule="exact"/>
        <w:rPr>
          <w:sz w:val="20"/>
          <w:szCs w:val="20"/>
          <w:color w:val="auto"/>
        </w:rPr>
      </w:pPr>
    </w:p>
    <w:p>
      <w:pPr>
        <w:jc w:val="both"/>
        <w:ind w:right="3419"/>
        <w:spacing w:after="0" w:line="313" w:lineRule="auto"/>
        <w:rPr>
          <w:sz w:val="20"/>
          <w:szCs w:val="20"/>
          <w:color w:val="auto"/>
        </w:rPr>
      </w:pPr>
      <w:r>
        <w:rPr>
          <w:rFonts w:ascii="Courier New" w:cs="Courier New" w:eastAsia="Courier New" w:hAnsi="Courier New"/>
          <w:sz w:val="14"/>
          <w:szCs w:val="14"/>
          <w:color w:val="auto"/>
        </w:rPr>
        <w:t>Corporation tax is charged at the rate of 25% on a company's non-trading income and certain types of trading income not eligible for the lower rates discussed above.</w:t>
      </w:r>
    </w:p>
    <w:p>
      <w:pPr>
        <w:spacing w:after="0" w:line="42"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Irish capital duty, a tax on the issuance of share capital by companies, is payable at the rate of 1% of proceeds received by the company in consideration of such issuance.</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Taxation of Dividends</w:t>
      </w:r>
    </w:p>
    <w:p>
      <w:pPr>
        <w:spacing w:after="0" w:line="173" w:lineRule="exact"/>
        <w:rPr>
          <w:sz w:val="20"/>
          <w:szCs w:val="20"/>
          <w:color w:val="auto"/>
        </w:rPr>
      </w:pPr>
    </w:p>
    <w:p>
      <w:pPr>
        <w:ind w:right="3339"/>
        <w:spacing w:after="0" w:line="261" w:lineRule="auto"/>
        <w:rPr>
          <w:sz w:val="20"/>
          <w:szCs w:val="20"/>
          <w:color w:val="auto"/>
        </w:rPr>
      </w:pPr>
      <w:r>
        <w:rPr>
          <w:rFonts w:ascii="Courier New" w:cs="Courier New" w:eastAsia="Courier New" w:hAnsi="Courier New"/>
          <w:sz w:val="14"/>
          <w:szCs w:val="14"/>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resident nor ordinarily resident for tax purposes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of the paying company, the dividend will be exempt if the Irish corporate shareholder makes the requisite declaration.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Non-Irish resident corporate shareholders that:</w:t>
      </w:r>
    </w:p>
    <w:p>
      <w:pPr>
        <w:spacing w:after="0" w:line="173" w:lineRule="exact"/>
        <w:rPr>
          <w:sz w:val="20"/>
          <w:szCs w:val="20"/>
          <w:color w:val="auto"/>
        </w:rPr>
      </w:pPr>
    </w:p>
    <w:p>
      <w:pPr>
        <w:ind w:left="860" w:hanging="421"/>
        <w:spacing w:after="0"/>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ultimately controlled by residents of a Relevant Territory;</w:t>
      </w:r>
    </w:p>
    <w:p>
      <w:pPr>
        <w:spacing w:after="0" w:line="172" w:lineRule="exact"/>
        <w:rPr>
          <w:rFonts w:ascii="Courier New" w:cs="Courier New" w:eastAsia="Courier New" w:hAnsi="Courier New"/>
          <w:sz w:val="14"/>
          <w:szCs w:val="14"/>
          <w:color w:val="auto"/>
        </w:rPr>
      </w:pPr>
    </w:p>
    <w:p>
      <w:pPr>
        <w:ind w:left="860" w:right="3519" w:hanging="421"/>
        <w:spacing w:after="0" w:line="375"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resident in a Relevant Territory and are not controlled by Irish residents;</w:t>
      </w:r>
    </w:p>
    <w:p>
      <w:pPr>
        <w:spacing w:after="0" w:line="1" w:lineRule="exact"/>
        <w:rPr>
          <w:rFonts w:ascii="Courier New" w:cs="Courier New" w:eastAsia="Courier New" w:hAnsi="Courier New"/>
          <w:sz w:val="14"/>
          <w:szCs w:val="14"/>
          <w:color w:val="auto"/>
        </w:rPr>
      </w:pPr>
    </w:p>
    <w:p>
      <w:pPr>
        <w:ind w:left="860" w:right="3519" w:hanging="421"/>
        <w:spacing w:after="0" w:line="313"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the principal class of their shares, or shares of a 75% parent, substantially and regularly traded on one or more recognized stock exchanges in a Relevant Territory or Territories; or</w:t>
      </w:r>
    </w:p>
    <w:p>
      <w:pPr>
        <w:spacing w:after="0" w:line="42" w:lineRule="exact"/>
        <w:rPr>
          <w:rFonts w:ascii="Courier New" w:cs="Courier New" w:eastAsia="Courier New" w:hAnsi="Courier New"/>
          <w:sz w:val="14"/>
          <w:szCs w:val="14"/>
          <w:color w:val="auto"/>
        </w:rPr>
      </w:pPr>
    </w:p>
    <w:p>
      <w:pPr>
        <w:ind w:left="860" w:right="3519" w:hanging="421"/>
        <w:spacing w:after="0" w:line="313"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wholly owned by two or more companies, each of whose principal class of shares is substantially and regularly traded on one or more recognized stock exchanges in a Relevant Territory or Territories;</w:t>
      </w:r>
    </w:p>
    <w:p>
      <w:pPr>
        <w:spacing w:after="0" w:line="42" w:lineRule="exact"/>
        <w:rPr>
          <w:sz w:val="20"/>
          <w:szCs w:val="20"/>
          <w:color w:val="auto"/>
        </w:rPr>
      </w:pPr>
    </w:p>
    <w:p>
      <w:pPr>
        <w:ind w:right="4019"/>
        <w:spacing w:after="0" w:line="375" w:lineRule="auto"/>
        <w:rPr>
          <w:sz w:val="20"/>
          <w:szCs w:val="20"/>
          <w:color w:val="auto"/>
        </w:rPr>
      </w:pPr>
      <w:r>
        <w:rPr>
          <w:rFonts w:ascii="Courier New" w:cs="Courier New" w:eastAsia="Courier New" w:hAnsi="Courier New"/>
          <w:sz w:val="14"/>
          <w:szCs w:val="14"/>
          <w:color w:val="auto"/>
        </w:rPr>
        <w:t>will be exempt from withholding tax on the production of the appropriate certificates and declarations.</w:t>
      </w:r>
    </w:p>
    <w:p>
      <w:pPr>
        <w:spacing w:after="0" w:line="1"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42"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Special arrangements are available in the case of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56" w:lineRule="exact"/>
        <w:rPr>
          <w:sz w:val="20"/>
          <w:szCs w:val="20"/>
          <w:color w:val="auto"/>
        </w:rPr>
      </w:pPr>
    </w:p>
    <w:p>
      <w:pPr>
        <w:ind w:left="860" w:right="3339" w:hanging="421"/>
        <w:spacing w:after="0" w:line="313" w:lineRule="auto"/>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depositary has been authorized by the Irish Revenue Commissioners as a qualifying intermediary and such authorization has not expired or revoked; and either</w:t>
      </w:r>
    </w:p>
    <w:p>
      <w:pPr>
        <w:spacing w:after="0" w:line="42" w:lineRule="exact"/>
        <w:rPr>
          <w:rFonts w:ascii="Courier New" w:cs="Courier New" w:eastAsia="Courier New" w:hAnsi="Courier New"/>
          <w:sz w:val="14"/>
          <w:szCs w:val="14"/>
          <w:color w:val="auto"/>
        </w:rPr>
      </w:pPr>
    </w:p>
    <w:p>
      <w:pPr>
        <w:ind w:left="860" w:right="3339" w:hanging="421"/>
        <w:spacing w:after="0" w:line="375" w:lineRule="auto"/>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depositary bank's ADS register shows that the beneficial owner has a U.S. address on the register; or</w:t>
      </w:r>
    </w:p>
    <w:p>
      <w:pPr>
        <w:spacing w:after="0" w:line="1" w:lineRule="exact"/>
        <w:rPr>
          <w:rFonts w:ascii="Courier New" w:cs="Courier New" w:eastAsia="Courier New" w:hAnsi="Courier New"/>
          <w:sz w:val="14"/>
          <w:szCs w:val="14"/>
          <w:color w:val="auto"/>
        </w:rPr>
      </w:pPr>
    </w:p>
    <w:p>
      <w:pPr>
        <w:ind w:left="860" w:right="3339" w:hanging="421"/>
        <w:spacing w:after="0" w:line="292" w:lineRule="auto"/>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w:t>
      </w:r>
    </w:p>
    <w:p>
      <w:pPr>
        <w:spacing w:after="0" w:line="173"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Under certain circumstances, non-Irish resident shareholders will be subject to Irish income tax on dividend income. This liability is limited to tax at the standard rate and therefore, where withholding tax has been deducted, this will satisfy the tax</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590"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liability.</w:t>
      </w:r>
    </w:p>
    <w:p>
      <w:pPr>
        <w:spacing w:after="0" w:line="173" w:lineRule="exact"/>
        <w:rPr>
          <w:sz w:val="20"/>
          <w:szCs w:val="20"/>
          <w:color w:val="auto"/>
        </w:rPr>
      </w:pPr>
    </w:p>
    <w:p>
      <w:pPr>
        <w:jc w:val="both"/>
        <w:ind w:right="3419"/>
        <w:spacing w:after="0" w:line="313" w:lineRule="auto"/>
        <w:rPr>
          <w:sz w:val="20"/>
          <w:szCs w:val="20"/>
          <w:color w:val="auto"/>
        </w:rPr>
      </w:pPr>
      <w:r>
        <w:rPr>
          <w:rFonts w:ascii="Courier New" w:cs="Courier New" w:eastAsia="Courier New" w:hAnsi="Courier New"/>
          <w:sz w:val="14"/>
          <w:szCs w:val="14"/>
          <w:color w:val="auto"/>
        </w:rPr>
        <w:t>However, a U.S. Holder will not have an Irish income tax liability on dividends from the company if the U.S. Holder is neither resident nor ordinarily resident in the Republic of Ireland and the U.S. Holder is:</w:t>
      </w:r>
    </w:p>
    <w:p>
      <w:pPr>
        <w:spacing w:after="0" w:line="42" w:lineRule="exact"/>
        <w:rPr>
          <w:sz w:val="20"/>
          <w:szCs w:val="20"/>
          <w:color w:val="auto"/>
        </w:rPr>
      </w:pPr>
    </w:p>
    <w:p>
      <w:pPr>
        <w:ind w:left="860" w:hanging="421"/>
        <w:spacing w:after="0"/>
        <w:tabs>
          <w:tab w:leader="none" w:pos="8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individual resident in the U.S. (or several other countries);</w:t>
      </w:r>
    </w:p>
    <w:p>
      <w:pPr>
        <w:spacing w:after="0" w:line="172" w:lineRule="exact"/>
        <w:rPr>
          <w:rFonts w:ascii="Courier New" w:cs="Courier New" w:eastAsia="Courier New" w:hAnsi="Courier New"/>
          <w:sz w:val="14"/>
          <w:szCs w:val="14"/>
          <w:color w:val="auto"/>
        </w:rPr>
      </w:pPr>
    </w:p>
    <w:p>
      <w:pPr>
        <w:ind w:left="860" w:right="3339" w:hanging="421"/>
        <w:spacing w:after="0" w:line="375" w:lineRule="auto"/>
        <w:tabs>
          <w:tab w:leader="none" w:pos="8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that is ultimately controlled by persons resident in the U.S. (or several other countries);</w:t>
      </w:r>
    </w:p>
    <w:p>
      <w:pPr>
        <w:spacing w:after="0" w:line="1" w:lineRule="exact"/>
        <w:rPr>
          <w:rFonts w:ascii="Courier New" w:cs="Courier New" w:eastAsia="Courier New" w:hAnsi="Courier New"/>
          <w:sz w:val="14"/>
          <w:szCs w:val="14"/>
          <w:color w:val="auto"/>
        </w:rPr>
      </w:pPr>
    </w:p>
    <w:p>
      <w:pPr>
        <w:ind w:left="860" w:right="3519" w:hanging="421"/>
        <w:spacing w:after="0" w:line="292" w:lineRule="auto"/>
        <w:tabs>
          <w:tab w:leader="none" w:pos="8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56" w:lineRule="exact"/>
        <w:rPr>
          <w:rFonts w:ascii="Courier New" w:cs="Courier New" w:eastAsia="Courier New" w:hAnsi="Courier New"/>
          <w:sz w:val="14"/>
          <w:szCs w:val="14"/>
          <w:color w:val="auto"/>
        </w:rPr>
      </w:pPr>
    </w:p>
    <w:p>
      <w:pPr>
        <w:ind w:left="860" w:right="3339" w:hanging="421"/>
        <w:spacing w:after="0" w:line="313" w:lineRule="auto"/>
        <w:tabs>
          <w:tab w:leader="none" w:pos="8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resident in another EU member state or in a country with which Ireland has concluded a double taxation treaty, which is not controlled directly or indirectly by Irish residents; or</w:t>
      </w:r>
    </w:p>
    <w:p>
      <w:pPr>
        <w:spacing w:after="0" w:line="42" w:lineRule="exact"/>
        <w:rPr>
          <w:rFonts w:ascii="Courier New" w:cs="Courier New" w:eastAsia="Courier New" w:hAnsi="Courier New"/>
          <w:sz w:val="14"/>
          <w:szCs w:val="14"/>
          <w:color w:val="auto"/>
        </w:rPr>
      </w:pPr>
    </w:p>
    <w:p>
      <w:pPr>
        <w:ind w:left="860" w:right="3339" w:hanging="421"/>
        <w:spacing w:after="0" w:line="292" w:lineRule="auto"/>
        <w:tabs>
          <w:tab w:leader="none" w:pos="8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56"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Taxation of Capital Gains</w:t>
      </w:r>
    </w:p>
    <w:p>
      <w:pPr>
        <w:spacing w:after="0" w:line="173"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There are provisions to subject a person who disposes of an interest in a company while temporarily non-resident in the Republic of Ireland, to Irish capital gains tax. This treatment will apply to individuals who:</w:t>
      </w:r>
    </w:p>
    <w:p>
      <w:pPr>
        <w:spacing w:after="0" w:line="74" w:lineRule="exact"/>
        <w:rPr>
          <w:sz w:val="20"/>
          <w:szCs w:val="20"/>
          <w:color w:val="auto"/>
        </w:rPr>
      </w:pPr>
    </w:p>
    <w:p>
      <w:pPr>
        <w:ind w:left="860" w:hanging="421"/>
        <w:spacing w:after="0"/>
        <w:tabs>
          <w:tab w:leader="none" w:pos="8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cease to be Irish resident;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 the shares when they cease to be resident;</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resume their Irish residence within five years;</w:t>
      </w:r>
    </w:p>
    <w:p>
      <w:pPr>
        <w:spacing w:after="0" w:line="172" w:lineRule="exact"/>
        <w:rPr>
          <w:rFonts w:ascii="Courier New" w:cs="Courier New" w:eastAsia="Courier New" w:hAnsi="Courier New"/>
          <w:sz w:val="14"/>
          <w:szCs w:val="14"/>
          <w:color w:val="auto"/>
        </w:rPr>
      </w:pPr>
    </w:p>
    <w:p>
      <w:pPr>
        <w:ind w:left="860" w:right="4459" w:hanging="421"/>
        <w:spacing w:after="0" w:line="375" w:lineRule="auto"/>
        <w:tabs>
          <w:tab w:leader="none" w:pos="8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dispose of an interest in a company during this temporary non-residence; and</w:t>
      </w:r>
    </w:p>
    <w:p>
      <w:pPr>
        <w:spacing w:after="0" w:line="1" w:lineRule="exact"/>
        <w:rPr>
          <w:rFonts w:ascii="Courier New" w:cs="Courier New" w:eastAsia="Courier New" w:hAnsi="Courier New"/>
          <w:sz w:val="14"/>
          <w:szCs w:val="14"/>
          <w:color w:val="auto"/>
        </w:rPr>
      </w:pPr>
    </w:p>
    <w:p>
      <w:pPr>
        <w:ind w:left="860" w:right="3339" w:hanging="421"/>
        <w:spacing w:after="0" w:line="375" w:lineRule="auto"/>
        <w:tabs>
          <w:tab w:leader="none" w:pos="8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disposed of represents 5% or greater of the share capital of the company or is worth at least (euro)500,000.</w:t>
      </w:r>
    </w:p>
    <w:p>
      <w:pPr>
        <w:spacing w:after="0" w:line="1"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Irish Capital Acquisitions Tax</w:t>
      </w:r>
    </w:p>
    <w:p>
      <w:pPr>
        <w:spacing w:after="0" w:line="33" w:lineRule="exact"/>
        <w:rPr>
          <w:sz w:val="20"/>
          <w:szCs w:val="20"/>
          <w:color w:val="auto"/>
        </w:rPr>
      </w:pPr>
    </w:p>
    <w:p>
      <w:pPr>
        <w:ind w:right="4019"/>
        <w:spacing w:after="0" w:line="336" w:lineRule="auto"/>
        <w:rPr>
          <w:sz w:val="20"/>
          <w:szCs w:val="20"/>
          <w:color w:val="auto"/>
        </w:rPr>
      </w:pPr>
      <w:r>
        <w:rPr>
          <w:rFonts w:ascii="Courier New" w:cs="Courier New" w:eastAsia="Courier New" w:hAnsi="Courier New"/>
          <w:sz w:val="14"/>
          <w:szCs w:val="14"/>
          <w:color w:val="auto"/>
        </w:rPr>
        <w:t>Irish capital acquisitions tax (referred to as CAT) applies to gifts and inheritances.</w:t>
      </w:r>
    </w:p>
    <w:p>
      <w:pPr>
        <w:spacing w:after="0" w:line="27"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Where a gift or inheritance is taken under a disposition made after December 1, 1999, it will be within the charge to CAT:</w:t>
      </w:r>
    </w:p>
    <w:p>
      <w:pPr>
        <w:spacing w:after="0" w:line="1" w:lineRule="exact"/>
        <w:rPr>
          <w:sz w:val="20"/>
          <w:szCs w:val="20"/>
          <w:color w:val="auto"/>
        </w:rPr>
      </w:pPr>
    </w:p>
    <w:p>
      <w:pPr>
        <w:ind w:left="860" w:right="3679" w:hanging="421"/>
        <w:spacing w:after="0" w:line="263" w:lineRule="auto"/>
        <w:tabs>
          <w:tab w:leader="none" w:pos="8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property of which the gift or inheritance consists is situated in the Republic of Ireland at the date of the gift or inheritance;</w:t>
      </w:r>
    </w:p>
    <w:p>
      <w:pPr>
        <w:spacing w:after="0" w:line="1" w:lineRule="exact"/>
        <w:rPr>
          <w:rFonts w:ascii="Courier New" w:cs="Courier New" w:eastAsia="Courier New" w:hAnsi="Courier New"/>
          <w:sz w:val="14"/>
          <w:szCs w:val="14"/>
          <w:color w:val="auto"/>
        </w:rPr>
      </w:pPr>
    </w:p>
    <w:p>
      <w:pPr>
        <w:ind w:left="860" w:right="3419" w:hanging="421"/>
        <w:spacing w:after="0" w:line="293" w:lineRule="auto"/>
        <w:tabs>
          <w:tab w:leader="none" w:pos="8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the person making the gift or inheritance is or was resident or ordinarily resident in the Republic of Ireland at the date of the disposition under which the gift or inheritance is taken;</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590" w:right="1440" w:bottom="1440" w:gutter="0" w:footer="0" w:header="0"/>
        </w:sectPr>
      </w:pPr>
    </w:p>
    <w:bookmarkStart w:id="40" w:name="page41"/>
    <w:bookmarkEnd w:id="40"/>
    <w:p>
      <w:pPr>
        <w:ind w:left="860" w:right="3339" w:hanging="421"/>
        <w:spacing w:after="0" w:line="258" w:lineRule="auto"/>
        <w:tabs>
          <w:tab w:leader="none" w:pos="8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his death; or</w:t>
      </w:r>
    </w:p>
    <w:p>
      <w:pPr>
        <w:spacing w:after="0" w:line="1" w:lineRule="exact"/>
        <w:rPr>
          <w:rFonts w:ascii="Courier New" w:cs="Courier New" w:eastAsia="Courier New" w:hAnsi="Courier New"/>
          <w:sz w:val="14"/>
          <w:szCs w:val="14"/>
          <w:color w:val="auto"/>
        </w:rPr>
      </w:pPr>
    </w:p>
    <w:p>
      <w:pPr>
        <w:ind w:left="860" w:right="3339" w:hanging="421"/>
        <w:spacing w:after="0" w:line="293" w:lineRule="auto"/>
        <w:tabs>
          <w:tab w:leader="none" w:pos="8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the person receiving the gift or inheritance is resident or ordinarily resident in the Republic of Ireland at the date of the gift or inheritance.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 a gift or an inheritance is taken under a disposition made prior 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 1999, CAT is chargeable in the following circumstances:</w:t>
      </w:r>
    </w:p>
    <w:p>
      <w:pPr>
        <w:spacing w:after="0" w:line="147" w:lineRule="exact"/>
        <w:rPr>
          <w:sz w:val="20"/>
          <w:szCs w:val="20"/>
          <w:color w:val="auto"/>
        </w:rPr>
      </w:pPr>
    </w:p>
    <w:p>
      <w:pPr>
        <w:ind w:left="860" w:right="3679" w:hanging="421"/>
        <w:spacing w:after="0" w:line="263" w:lineRule="auto"/>
        <w:tabs>
          <w:tab w:leader="none" w:pos="8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property of which the gift or inheritance consists is situated in the Republic of Ireland at the date of the gift or inheritance;</w:t>
      </w:r>
    </w:p>
    <w:p>
      <w:pPr>
        <w:spacing w:after="0" w:line="1" w:lineRule="exact"/>
        <w:rPr>
          <w:rFonts w:ascii="Courier New" w:cs="Courier New" w:eastAsia="Courier New" w:hAnsi="Courier New"/>
          <w:sz w:val="14"/>
          <w:szCs w:val="14"/>
          <w:color w:val="auto"/>
        </w:rPr>
      </w:pPr>
    </w:p>
    <w:p>
      <w:pPr>
        <w:ind w:left="860" w:right="3339" w:hanging="421"/>
        <w:spacing w:after="0" w:line="250" w:lineRule="auto"/>
        <w:tabs>
          <w:tab w:leader="none" w:pos="8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the person making the gift or inheritance is or was domiciled in Ireland at the date of the disposition under which the gift or inheritance is taken;</w:t>
      </w:r>
    </w:p>
    <w:p>
      <w:pPr>
        <w:spacing w:after="0" w:line="1" w:lineRule="exact"/>
        <w:rPr>
          <w:rFonts w:ascii="Courier New" w:cs="Courier New" w:eastAsia="Courier New" w:hAnsi="Courier New"/>
          <w:sz w:val="14"/>
          <w:szCs w:val="14"/>
          <w:color w:val="auto"/>
        </w:rPr>
      </w:pPr>
    </w:p>
    <w:p>
      <w:pPr>
        <w:ind w:left="860" w:right="3519" w:hanging="421"/>
        <w:spacing w:after="0" w:line="272" w:lineRule="auto"/>
        <w:tabs>
          <w:tab w:leader="none" w:pos="8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gift taken under a discretionary trust, where the disponer, who is usually the settlor, in relation to that trust was domiciled in Ireland at the date he made the settlement, or at the date of the gift or, where the gift is taken after his death, at the date of his death.</w:t>
      </w:r>
    </w:p>
    <w:p>
      <w:pPr>
        <w:spacing w:after="0" w:line="69"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The person who receives the gift or inheritance is primarily liable for CAT. A person is secondarily liable if he is the donor, his personal representative or an agent, trustee or other person in whose care the property constituting the gift or inheritance or the income therefrom is placed.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tax-free threshold amounts currently in force are:</w:t>
      </w:r>
    </w:p>
    <w:p>
      <w:pPr>
        <w:spacing w:after="0" w:line="173" w:lineRule="exact"/>
        <w:rPr>
          <w:sz w:val="20"/>
          <w:szCs w:val="20"/>
          <w:color w:val="auto"/>
        </w:rPr>
      </w:pPr>
    </w:p>
    <w:p>
      <w:pPr>
        <w:ind w:left="860" w:right="4019" w:hanging="421"/>
        <w:spacing w:after="0" w:line="270" w:lineRule="auto"/>
        <w:tabs>
          <w:tab w:leader="none" w:pos="8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(euro)22,822 in the case of persons who are not related to one another;</w:t>
      </w:r>
    </w:p>
    <w:p>
      <w:pPr>
        <w:ind w:left="860" w:right="3419" w:hanging="421"/>
        <w:spacing w:after="0" w:line="250" w:lineRule="auto"/>
        <w:tabs>
          <w:tab w:leader="none" w:pos="8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(euro)45,644 in the case of gifts or inheritances received from inter alia a brother or sister or from a brother or sister of a parent or from a grandparent; and</w:t>
      </w:r>
    </w:p>
    <w:p>
      <w:pPr>
        <w:spacing w:after="0" w:line="1" w:lineRule="exact"/>
        <w:rPr>
          <w:rFonts w:ascii="Courier New" w:cs="Courier New" w:eastAsia="Courier New" w:hAnsi="Courier New"/>
          <w:sz w:val="14"/>
          <w:szCs w:val="14"/>
          <w:color w:val="auto"/>
        </w:rPr>
      </w:pPr>
    </w:p>
    <w:p>
      <w:pPr>
        <w:jc w:val="both"/>
        <w:ind w:left="860" w:right="3599" w:hanging="421"/>
        <w:spacing w:after="0" w:line="293" w:lineRule="auto"/>
        <w:tabs>
          <w:tab w:leader="none" w:pos="8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(euro)456,438 in the case of gifts and inheritances received from a parent (or from a grandparent by a minor child of a deceased child) and specified inheritances received by a parent from a child.</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Gifts and inheritances passing between spouses are exempt from CAT.</w:t>
      </w:r>
    </w:p>
    <w:p>
      <w:pPr>
        <w:spacing w:after="0" w:line="338"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56"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Irish Probate Tax</w:t>
      </w:r>
    </w:p>
    <w:p>
      <w:pPr>
        <w:spacing w:after="0" w:line="33" w:lineRule="exact"/>
        <w:rPr>
          <w:sz w:val="20"/>
          <w:szCs w:val="20"/>
          <w:color w:val="auto"/>
        </w:rPr>
      </w:pPr>
    </w:p>
    <w:p>
      <w:pPr>
        <w:jc w:val="both"/>
        <w:ind w:right="3339"/>
        <w:spacing w:after="0" w:line="293" w:lineRule="auto"/>
        <w:rPr>
          <w:sz w:val="20"/>
          <w:szCs w:val="20"/>
          <w:color w:val="auto"/>
        </w:rPr>
      </w:pPr>
      <w:r>
        <w:rPr>
          <w:rFonts w:ascii="Courier New" w:cs="Courier New" w:eastAsia="Courier New" w:hAnsi="Courier New"/>
          <w:sz w:val="14"/>
          <w:szCs w:val="14"/>
          <w:color w:val="auto"/>
        </w:rPr>
        <w:t>Irish probate tax was abolished under the Finance Act, 2001. No probate tax will arise on any assets passing in respect of a death occurring on or after December 6, 2000.</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Irish Stamp Duty - Ordinary Shares</w:t>
      </w:r>
    </w:p>
    <w:p>
      <w:pPr>
        <w:spacing w:after="0" w:line="338"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756" w:right="1440" w:bottom="1440" w:gutter="0" w:footer="0" w:header="0"/>
        </w:sectPr>
      </w:pPr>
    </w:p>
    <w:bookmarkStart w:id="41" w:name="page42"/>
    <w:bookmarkEnd w:id="41"/>
    <w:p>
      <w:pPr>
        <w:ind w:right="3339"/>
        <w:spacing w:after="0" w:line="271" w:lineRule="auto"/>
        <w:rPr>
          <w:sz w:val="20"/>
          <w:szCs w:val="20"/>
          <w:color w:val="auto"/>
        </w:rPr>
      </w:pPr>
      <w:r>
        <w:rPr>
          <w:rFonts w:ascii="Courier New" w:cs="Courier New" w:eastAsia="Courier New" w:hAnsi="Courier New"/>
          <w:sz w:val="14"/>
          <w:szCs w:val="14"/>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(euro)12.70 (the nominal rate) will apply.</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Irish Stamp Duty - ADSs Representing Ordinary Shares</w:t>
      </w:r>
    </w:p>
    <w:p>
      <w:pPr>
        <w:spacing w:after="0" w:line="173"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the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(euro)12.70 applies.</w:t>
      </w:r>
    </w:p>
    <w:p>
      <w:pPr>
        <w:spacing w:after="0" w:line="254"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Transfers of ADSs are exempt from Irish stamp duty as long as the ADSs are dealt in on the Nasdaq National Market or any recognized stock exchange in the United States or Canada.</w:t>
      </w:r>
    </w:p>
    <w:p>
      <w:pPr>
        <w:spacing w:after="0" w:line="42"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The person accountable for payment of stamp duty is the transferee or, in the case of a transfer by way of gift, or for a consideration less than the market value, all parties to the transfer. A late or inadequate payment of stamp duty will result in a liability to pay interest, penalties and fines.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Documents on Display</w:t>
      </w:r>
    </w:p>
    <w:p>
      <w:pPr>
        <w:spacing w:after="0" w:line="173"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We are subject to the informational requirements of the Securities Exchange Act of 1934, as amended, and file reports and other information with the SEC. You may read and copy any of our reports and other information at, and obtain copies upon payment of prescribed fees from, the Public Reference Room maintained by the SEC at 450 Fifth Street, N.W., Room 1024, Washington, D.C. 20549 and at the SEC's regional office at Northwestern Atrium Center, 500 West Madison Street, Suite 1400, Chicago, IL 60661. In addition, the SEC maintains a Web site that contains reports, proxy and information statements and other information regarding registrants that file electronically with the SEC at http://www.sec.gov. The public may obtain information on the operation of the Public Reference Room by calling the SEC at 1-800-SEC-0330.</w:t>
      </w:r>
    </w:p>
    <w:p>
      <w:pPr>
        <w:spacing w:after="0" w:line="76"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is 333-8704.</w:t>
      </w:r>
    </w:p>
    <w:p>
      <w:pPr>
        <w:spacing w:after="0" w:line="69"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As a foreign private issuer, we are exempt from the rules under the Securities Exchange Act of 1934, as amended, prescribing the furnishing and content of proxy statements to shareholders.</w:t>
      </w:r>
    </w:p>
    <w:p>
      <w:pPr>
        <w:spacing w:after="0" w:line="42"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Brian O'Dwyer, telephone number: (353) 1 291 2000.</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756" w:right="1440" w:bottom="1440" w:gutter="0" w:footer="0" w:header="0"/>
        </w:sectPr>
      </w:pPr>
    </w:p>
    <w:bookmarkStart w:id="42" w:name="page43"/>
    <w:bookmarkEnd w:id="42"/>
    <w:p>
      <w:pPr>
        <w:spacing w:after="0"/>
        <w:tabs>
          <w:tab w:leader="none" w:pos="840" w:val="left"/>
        </w:tabs>
        <w:rPr>
          <w:sz w:val="20"/>
          <w:szCs w:val="20"/>
          <w:color w:val="auto"/>
        </w:rPr>
      </w:pPr>
      <w:r>
        <w:rPr>
          <w:rFonts w:ascii="Courier New" w:cs="Courier New" w:eastAsia="Courier New" w:hAnsi="Courier New"/>
          <w:sz w:val="14"/>
          <w:szCs w:val="14"/>
          <w:color w:val="auto"/>
        </w:rPr>
        <w:t>Item 11.</w:t>
        <w:tab/>
        <w:t>Quantitative and Qualitative Disclosures about Market Risk.</w:t>
      </w:r>
    </w:p>
    <w:p>
      <w:pPr>
        <w:spacing w:after="0" w:line="173" w:lineRule="exact"/>
        <w:rPr>
          <w:sz w:val="20"/>
          <w:szCs w:val="20"/>
          <w:color w:val="auto"/>
        </w:rPr>
      </w:pPr>
    </w:p>
    <w:p>
      <w:pPr>
        <w:ind w:right="940"/>
        <w:spacing w:after="0" w:line="313" w:lineRule="auto"/>
        <w:rPr>
          <w:sz w:val="20"/>
          <w:szCs w:val="20"/>
          <w:color w:val="auto"/>
        </w:rPr>
      </w:pPr>
      <w:r>
        <w:rPr>
          <w:rFonts w:ascii="Courier New" w:cs="Courier New" w:eastAsia="Courier New" w:hAnsi="Courier New"/>
          <w:sz w:val="14"/>
          <w:szCs w:val="14"/>
          <w:color w:val="auto"/>
        </w:rPr>
        <w:t>Qualitative Disclosure of Market Risk. The principal market risks (i.e. risk of loss arising from adverse changes in market rates and prices) to which we are exposed are:</w:t>
      </w:r>
    </w:p>
    <w:p>
      <w:pPr>
        <w:spacing w:after="0" w:line="42" w:lineRule="exact"/>
        <w:rPr>
          <w:sz w:val="20"/>
          <w:szCs w:val="20"/>
          <w:color w:val="auto"/>
        </w:rPr>
      </w:pPr>
    </w:p>
    <w:p>
      <w:pPr>
        <w:jc w:val="both"/>
        <w:ind w:left="860" w:right="1040" w:hanging="421"/>
        <w:spacing w:after="0" w:line="263" w:lineRule="auto"/>
        <w:tabs>
          <w:tab w:leader="none" w:pos="8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changes on short term investments (available for sale) in the form of floating rate notes and medium term minimum "A" rated corporate securities, and</w:t>
      </w:r>
    </w:p>
    <w:p>
      <w:pPr>
        <w:spacing w:after="0" w:line="1" w:lineRule="exact"/>
        <w:rPr>
          <w:rFonts w:ascii="Courier New" w:cs="Courier New" w:eastAsia="Courier New" w:hAnsi="Courier New"/>
          <w:sz w:val="14"/>
          <w:szCs w:val="14"/>
          <w:color w:val="auto"/>
        </w:rPr>
      </w:pPr>
    </w:p>
    <w:p>
      <w:pPr>
        <w:ind w:left="860" w:right="860" w:hanging="421"/>
        <w:spacing w:after="0" w:line="336" w:lineRule="auto"/>
        <w:tabs>
          <w:tab w:leader="none" w:pos="8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risk on non-U.S. dollar denominated cash and non-U.S. dollar denominated debt.</w:t>
      </w:r>
    </w:p>
    <w:p>
      <w:pPr>
        <w:spacing w:after="0" w:line="27" w:lineRule="exact"/>
        <w:rPr>
          <w:sz w:val="20"/>
          <w:szCs w:val="20"/>
          <w:color w:val="auto"/>
        </w:rPr>
      </w:pPr>
    </w:p>
    <w:p>
      <w:pPr>
        <w:ind w:right="860"/>
        <w:spacing w:after="0" w:line="313" w:lineRule="auto"/>
        <w:rPr>
          <w:sz w:val="20"/>
          <w:szCs w:val="20"/>
          <w:color w:val="auto"/>
        </w:rPr>
      </w:pPr>
      <w:r>
        <w:rPr>
          <w:rFonts w:ascii="Courier New" w:cs="Courier New" w:eastAsia="Courier New" w:hAnsi="Courier New"/>
          <w:sz w:val="14"/>
          <w:szCs w:val="14"/>
          <w:color w:val="auto"/>
        </w:rPr>
        <w:t>We use derivative financial instruments solely to hedge exposure to these market risks and we do not enter into these instruments for trading or speculative purposes.</w:t>
      </w:r>
    </w:p>
    <w:p>
      <w:pPr>
        <w:spacing w:after="0" w:line="42" w:lineRule="exact"/>
        <w:rPr>
          <w:sz w:val="20"/>
          <w:szCs w:val="20"/>
          <w:color w:val="auto"/>
        </w:rPr>
      </w:pPr>
    </w:p>
    <w:p>
      <w:pPr>
        <w:ind w:right="860"/>
        <w:spacing w:after="0" w:line="268" w:lineRule="auto"/>
        <w:rPr>
          <w:sz w:val="20"/>
          <w:szCs w:val="20"/>
          <w:color w:val="auto"/>
        </w:rPr>
      </w:pPr>
      <w:r>
        <w:rPr>
          <w:rFonts w:ascii="Courier New" w:cs="Courier New" w:eastAsia="Courier New" w:hAnsi="Courier New"/>
          <w:sz w:val="14"/>
          <w:szCs w:val="14"/>
          <w:color w:val="auto"/>
        </w:rPr>
        <w:t>Our primary foreign currency exchange risk relates to movements in rates between the U.S. dollar, Sterling and the Euro. At May 31, 2004, we had cash denominated in non-U.S. dollar denominated currencies. In order to reduce the foreign currency exchange risk during the year, we entered into certain derivative instruments to reduce our exposure to adverse changes in exchange rates. These financial instruments comprised of a series of foreign exchange forward contracts all of which were settled during the 2004 fiscal year. At May 31, 2004, we held no foreign exchange forward contracts.</w:t>
      </w:r>
    </w:p>
    <w:p>
      <w:pPr>
        <w:spacing w:after="0" w:line="74" w:lineRule="exact"/>
        <w:rPr>
          <w:sz w:val="20"/>
          <w:szCs w:val="20"/>
          <w:color w:val="auto"/>
        </w:rPr>
      </w:pPr>
    </w:p>
    <w:p>
      <w:pPr>
        <w:ind w:right="1040"/>
        <w:spacing w:after="0" w:line="275" w:lineRule="auto"/>
        <w:rPr>
          <w:sz w:val="20"/>
          <w:szCs w:val="20"/>
          <w:color w:val="auto"/>
        </w:rPr>
      </w:pPr>
      <w:r>
        <w:rPr>
          <w:rFonts w:ascii="Courier New" w:cs="Courier New" w:eastAsia="Courier New" w:hAnsi="Courier New"/>
          <w:sz w:val="14"/>
          <w:szCs w:val="14"/>
          <w:color w:val="auto"/>
        </w:rPr>
        <w:t>Quantitative disclosure of Market Risk. The analysis below presents the sensitivity of the market value, or fair value of our financial instruments to selected changes in market rates and prices. The changes chosen represent our view of changes that are reasonable over a one year period. The estimated fair value of the foreign exchange forward contracts is based on quotations from independent third party financial institutions.</w:t>
      </w:r>
    </w:p>
    <w:p>
      <w:pPr>
        <w:spacing w:after="0" w:line="69" w:lineRule="exact"/>
        <w:rPr>
          <w:sz w:val="20"/>
          <w:szCs w:val="20"/>
          <w:color w:val="auto"/>
        </w:rPr>
      </w:pPr>
    </w:p>
    <w:p>
      <w:pPr>
        <w:ind w:right="860"/>
        <w:spacing w:after="0" w:line="271" w:lineRule="auto"/>
        <w:rPr>
          <w:sz w:val="20"/>
          <w:szCs w:val="20"/>
          <w:color w:val="auto"/>
        </w:rPr>
      </w:pPr>
      <w:r>
        <w:rPr>
          <w:rFonts w:ascii="Courier New" w:cs="Courier New" w:eastAsia="Courier New" w:hAnsi="Courier New"/>
          <w:sz w:val="14"/>
          <w:szCs w:val="14"/>
          <w:color w:val="auto"/>
        </w:rPr>
        <w:t>The hypothetical changes in fair value are estimated based on the same methodology used by the third party financial institutions to calculate the fair value of the original instruments, keeping all variables constant except the relevant exchange rate, as the case may be, which has been adjusted to reflect the hypothetical change. Fair value estimates by their nature are subjective and involve uncertainties and matters of significant judgment and therefore cannot be determined precisely.</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Exchange Risk</w:t>
      </w:r>
    </w:p>
    <w:p>
      <w:pPr>
        <w:spacing w:after="0" w:line="173" w:lineRule="exact"/>
        <w:rPr>
          <w:sz w:val="20"/>
          <w:szCs w:val="20"/>
          <w:color w:val="auto"/>
        </w:rPr>
      </w:pPr>
    </w:p>
    <w:p>
      <w:pPr>
        <w:ind w:right="940"/>
        <w:spacing w:after="0" w:line="376" w:lineRule="auto"/>
        <w:rPr>
          <w:sz w:val="20"/>
          <w:szCs w:val="20"/>
          <w:color w:val="auto"/>
        </w:rPr>
      </w:pPr>
      <w:r>
        <w:rPr>
          <w:rFonts w:ascii="Courier New" w:cs="Courier New" w:eastAsia="Courier New" w:hAnsi="Courier New"/>
          <w:sz w:val="14"/>
          <w:szCs w:val="14"/>
          <w:color w:val="auto"/>
        </w:rPr>
        <w:t>The sensitivity analysis below represents the hypothetical change in fair value based on an immediate 10% movement in the exchange rates.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80" w:type="dxa"/>
            <w:vAlign w:val="bottom"/>
          </w:tcPr>
          <w:p>
            <w:pPr>
              <w:spacing w:after="0"/>
              <w:rPr>
                <w:sz w:val="14"/>
                <w:szCs w:val="14"/>
                <w:color w:val="auto"/>
              </w:rPr>
            </w:pPr>
          </w:p>
        </w:tc>
        <w:tc>
          <w:tcPr>
            <w:tcW w:w="18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Fair value at</w:t>
            </w:r>
          </w:p>
        </w:tc>
        <w:tc>
          <w:tcPr>
            <w:tcW w:w="2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 value Change +10%</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2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movement in foreign exchange</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May 31, 2004</w:t>
            </w:r>
          </w:p>
        </w:tc>
        <w:tc>
          <w:tcPr>
            <w:tcW w:w="2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rate</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1"/>
                <w:szCs w:val="21"/>
                <w:color w:val="auto"/>
              </w:rPr>
            </w:pPr>
          </w:p>
        </w:tc>
        <w:tc>
          <w:tcPr>
            <w:tcW w:w="1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 thousands)</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497"/>
        </w:trPr>
        <w:tc>
          <w:tcPr>
            <w:tcW w:w="3280" w:type="dxa"/>
            <w:vAlign w:val="bottom"/>
          </w:tcPr>
          <w:p>
            <w:pPr>
              <w:spacing w:after="0"/>
              <w:rPr>
                <w:sz w:val="20"/>
                <w:szCs w:val="20"/>
                <w:color w:val="auto"/>
              </w:rPr>
            </w:pPr>
            <w:r>
              <w:rPr>
                <w:rFonts w:ascii="Courier New" w:cs="Courier New" w:eastAsia="Courier New" w:hAnsi="Courier New"/>
                <w:sz w:val="14"/>
                <w:szCs w:val="14"/>
                <w:color w:val="auto"/>
              </w:rPr>
              <w:t>Non-U.S. Dollar denominated cash</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$17,877</w:t>
            </w:r>
          </w:p>
        </w:tc>
        <w:tc>
          <w:tcPr>
            <w:tcW w:w="2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$1,788</w:t>
            </w:r>
          </w:p>
        </w:tc>
        <w:tc>
          <w:tcPr>
            <w:tcW w:w="0" w:type="dxa"/>
            <w:vAlign w:val="bottom"/>
          </w:tcPr>
          <w:p>
            <w:pPr>
              <w:spacing w:after="0"/>
              <w:rPr>
                <w:sz w:val="1"/>
                <w:szCs w:val="1"/>
                <w:color w:val="auto"/>
              </w:rPr>
            </w:pPr>
          </w:p>
        </w:tc>
      </w:tr>
      <w:tr>
        <w:trPr>
          <w:trHeight w:val="587"/>
        </w:trPr>
        <w:tc>
          <w:tcPr>
            <w:tcW w:w="3280" w:type="dxa"/>
            <w:vAlign w:val="bottom"/>
          </w:tcPr>
          <w:p>
            <w:pPr>
              <w:spacing w:after="0"/>
              <w:rPr>
                <w:sz w:val="20"/>
                <w:szCs w:val="20"/>
                <w:color w:val="auto"/>
              </w:rPr>
            </w:pPr>
            <w:r>
              <w:rPr>
                <w:rFonts w:ascii="Courier New" w:cs="Courier New" w:eastAsia="Courier New" w:hAnsi="Courier New"/>
                <w:sz w:val="14"/>
                <w:szCs w:val="14"/>
                <w:color w:val="auto"/>
              </w:rPr>
              <w:t>Non-U.S. Dollar denominated</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0"/>
                <w:szCs w:val="20"/>
                <w:color w:val="auto"/>
              </w:rPr>
            </w:pPr>
            <w:r>
              <w:rPr>
                <w:rFonts w:ascii="Courier New" w:cs="Courier New" w:eastAsia="Courier New" w:hAnsi="Courier New"/>
                <w:sz w:val="14"/>
                <w:szCs w:val="14"/>
                <w:color w:val="auto"/>
              </w:rPr>
              <w:t>short term debt</w:t>
            </w:r>
          </w:p>
        </w:tc>
        <w:tc>
          <w:tcPr>
            <w:tcW w:w="18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Description of Securities Other than Equity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80"/>
        <w:spacing w:after="0" w:line="263" w:lineRule="auto"/>
        <w:rPr>
          <w:sz w:val="20"/>
          <w:szCs w:val="20"/>
          <w:color w:val="auto"/>
        </w:rPr>
      </w:pPr>
      <w:r>
        <w:rPr>
          <w:rFonts w:ascii="Courier New" w:cs="Courier New" w:eastAsia="Courier New" w:hAnsi="Courier New"/>
          <w:sz w:val="14"/>
          <w:szCs w:val="14"/>
          <w:color w:val="auto"/>
        </w:rPr>
        <w:t>Fair value Change -10% movement in foreign exchange rate</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(in thousands)</w:t>
      </w:r>
    </w:p>
    <w:p>
      <w:pPr>
        <w:spacing w:after="0" w:line="312"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 (1,788)</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760" w:space="520"/>
            <w:col w:w="1980"/>
          </w:cols>
          <w:pgMar w:left="220" w:top="921" w:right="1419"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Defaults, Dividend Arrearages and Delinquencies.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Item 14. Material Modifications to the Rights of Security Holders and Use of Proceeds.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15. Controls and Procedures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Evaluation of disclosure controls and procedures.</w:t>
      </w:r>
    </w:p>
    <w:p>
      <w:pPr>
        <w:spacing w:after="0" w:line="173" w:lineRule="exact"/>
        <w:rPr>
          <w:sz w:val="20"/>
          <w:szCs w:val="20"/>
          <w:color w:val="auto"/>
        </w:rPr>
      </w:pPr>
    </w:p>
    <w:p>
      <w:pPr>
        <w:ind w:right="3419"/>
        <w:spacing w:after="0" w:line="264" w:lineRule="auto"/>
        <w:rPr>
          <w:sz w:val="20"/>
          <w:szCs w:val="20"/>
          <w:color w:val="auto"/>
        </w:rPr>
      </w:pPr>
      <w:r>
        <w:rPr>
          <w:rFonts w:ascii="Courier New" w:cs="Courier New" w:eastAsia="Courier New" w:hAnsi="Courier New"/>
          <w:sz w:val="14"/>
          <w:szCs w:val="14"/>
          <w:color w:val="auto"/>
        </w:rPr>
        <w:t>At the end of the fiscal year, an evaluation was carried out under the supervision and with the participation of the Company's management, including the Chief Executive Officer (CEO) and the Chief Financial Officer (CFO), of the effectiveness of our disclosure controls and procedures.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Changes in internal controls.</w:t>
      </w:r>
    </w:p>
    <w:p>
      <w:pPr>
        <w:spacing w:after="0" w:line="173" w:lineRule="exact"/>
        <w:rPr>
          <w:sz w:val="20"/>
          <w:szCs w:val="20"/>
          <w:color w:val="auto"/>
        </w:rPr>
      </w:pPr>
    </w:p>
    <w:p>
      <w:pPr>
        <w:ind w:right="3679"/>
        <w:spacing w:after="0" w:line="313" w:lineRule="auto"/>
        <w:rPr>
          <w:sz w:val="20"/>
          <w:szCs w:val="20"/>
          <w:color w:val="auto"/>
        </w:rPr>
      </w:pPr>
      <w:r>
        <w:rPr>
          <w:rFonts w:ascii="Courier New" w:cs="Courier New" w:eastAsia="Courier New" w:hAnsi="Courier New"/>
          <w:sz w:val="14"/>
          <w:szCs w:val="14"/>
          <w:color w:val="auto"/>
        </w:rPr>
        <w:t>The CEO and CFO have concluded there were no significant changes in the Company's internal controls or in the other factors that could significantly affect those controls subsequent to the date of their evaluation.</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16. Reserved.</w:t>
      </w:r>
    </w:p>
    <w:p>
      <w:pPr>
        <w:spacing w:after="0" w:line="173" w:lineRule="exact"/>
        <w:rPr>
          <w:sz w:val="20"/>
          <w:szCs w:val="20"/>
          <w:color w:val="auto"/>
        </w:rPr>
      </w:pPr>
    </w:p>
    <w:p>
      <w:pPr>
        <w:ind w:left="440" w:hanging="432"/>
        <w:spacing w:after="0"/>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 Financial Expert</w:t>
      </w:r>
    </w:p>
    <w:p>
      <w:pPr>
        <w:spacing w:after="0" w:line="173" w:lineRule="exact"/>
        <w:rPr>
          <w:sz w:val="20"/>
          <w:szCs w:val="20"/>
          <w:color w:val="auto"/>
        </w:rPr>
      </w:pPr>
    </w:p>
    <w:p>
      <w:pPr>
        <w:ind w:right="4119"/>
        <w:spacing w:after="0" w:line="292" w:lineRule="auto"/>
        <w:rPr>
          <w:sz w:val="20"/>
          <w:szCs w:val="20"/>
          <w:color w:val="auto"/>
        </w:rPr>
      </w:pPr>
      <w:r>
        <w:rPr>
          <w:rFonts w:ascii="Courier New" w:cs="Courier New" w:eastAsia="Courier New" w:hAnsi="Courier New"/>
          <w:sz w:val="14"/>
          <w:szCs w:val="14"/>
          <w:color w:val="auto"/>
        </w:rPr>
        <w:t>During fiscal year 2004 the Company named Mr. Thomas Lynch, as an audit committee financial expert serving on its audit committee and board of directors. Mr. Lynch is independent and serves as one of the company's non-executive directors.</w:t>
      </w:r>
    </w:p>
    <w:p>
      <w:pPr>
        <w:spacing w:after="0" w:line="56" w:lineRule="exact"/>
        <w:rPr>
          <w:sz w:val="20"/>
          <w:szCs w:val="20"/>
          <w:color w:val="auto"/>
        </w:rPr>
      </w:pPr>
    </w:p>
    <w:p>
      <w:pPr>
        <w:ind w:left="440" w:hanging="432"/>
        <w:spacing w:after="0"/>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of Ethics</w:t>
      </w:r>
    </w:p>
    <w:p>
      <w:pPr>
        <w:spacing w:after="0" w:line="173"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The Company's Board of Directors adopted a code of ethics in 2003 that applies to the Chief Executive Officer, the Chief Financial Officer and any persons performing similar functions, if any, of the Company.</w:t>
      </w:r>
    </w:p>
    <w:p>
      <w:pPr>
        <w:spacing w:after="0" w:line="42"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There are no material modifications to, or waivers from, the provisions of such code, which are required to be disclosed.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code is available on the Company's website at the following address: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http://www.iconclinical.com/index.asp?getpage=true&amp;sid=1&amp;ssid=0&amp;sssid=0&amp;page=17</w:t>
      </w:r>
    </w:p>
    <w:p>
      <w:pPr>
        <w:spacing w:after="0" w:line="173" w:lineRule="exact"/>
        <w:rPr>
          <w:sz w:val="20"/>
          <w:szCs w:val="20"/>
          <w:color w:val="auto"/>
        </w:rPr>
      </w:pPr>
    </w:p>
    <w:p>
      <w:pPr>
        <w:ind w:left="440" w:hanging="432"/>
        <w:spacing w:after="0"/>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Accountant Fees and Services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principal accountants for the years 2003 and 2004 were KPMG.</w:t>
      </w:r>
    </w:p>
    <w:p>
      <w:pPr>
        <w:spacing w:after="0" w:line="173"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The table below summarizes the fees for professional services rendered by KPMG for the audit of the Company's annual financial statements for 2003 and 2004 and fees billed for other services rendered by KPMG.</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921"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6"/>
        </w:trPr>
        <w:tc>
          <w:tcPr>
            <w:tcW w:w="2340" w:type="dxa"/>
            <w:vAlign w:val="bottom"/>
          </w:tcPr>
          <w:p>
            <w:pPr>
              <w:spacing w:after="0"/>
              <w:rPr>
                <w:sz w:val="14"/>
                <w:szCs w:val="14"/>
                <w:color w:val="auto"/>
              </w:rPr>
            </w:pPr>
          </w:p>
        </w:tc>
        <w:tc>
          <w:tcPr>
            <w:tcW w:w="1380" w:type="dxa"/>
            <w:vAlign w:val="bottom"/>
            <w:vMerge w:val="restart"/>
          </w:tcPr>
          <w:p>
            <w:pPr>
              <w:jc w:val="right"/>
              <w:ind w:right="548"/>
              <w:spacing w:after="0"/>
              <w:rPr>
                <w:sz w:val="20"/>
                <w:szCs w:val="20"/>
                <w:color w:val="auto"/>
              </w:rPr>
            </w:pPr>
            <w:r>
              <w:rPr>
                <w:rFonts w:ascii="Courier New" w:cs="Courier New" w:eastAsia="Courier New" w:hAnsi="Courier New"/>
                <w:sz w:val="14"/>
                <w:szCs w:val="14"/>
                <w:color w:val="auto"/>
              </w:rPr>
              <w:t>2003</w:t>
            </w:r>
          </w:p>
        </w:tc>
        <w:tc>
          <w:tcPr>
            <w:tcW w:w="2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Year ended May 31st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7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40" w:type="dxa"/>
            <w:vAlign w:val="bottom"/>
            <w:vMerge w:val="restart"/>
          </w:tcPr>
          <w:p>
            <w:pPr>
              <w:spacing w:after="0"/>
              <w:rPr>
                <w:sz w:val="20"/>
                <w:szCs w:val="20"/>
                <w:color w:val="auto"/>
              </w:rPr>
            </w:pPr>
            <w:r>
              <w:rPr>
                <w:rFonts w:ascii="Courier New" w:cs="Courier New" w:eastAsia="Courier New" w:hAnsi="Courier New"/>
                <w:sz w:val="14"/>
                <w:szCs w:val="14"/>
                <w:color w:val="auto"/>
              </w:rPr>
              <w:t>Audit fees (1)</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(in thousands)</w:t>
            </w:r>
          </w:p>
        </w:tc>
        <w:tc>
          <w:tcPr>
            <w:tcW w:w="720" w:type="dxa"/>
            <w:vAlign w:val="bottom"/>
            <w:vMerge w:val="continue"/>
          </w:tcPr>
          <w:p>
            <w:pPr>
              <w:spacing w:after="0"/>
              <w:rPr>
                <w:sz w:val="14"/>
                <w:szCs w:val="14"/>
                <w:color w:val="auto"/>
              </w:rPr>
            </w:pPr>
          </w:p>
        </w:tc>
        <w:tc>
          <w:tcPr>
            <w:tcW w:w="22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(in thousands) %</w:t>
            </w:r>
          </w:p>
        </w:tc>
        <w:tc>
          <w:tcPr>
            <w:tcW w:w="0" w:type="dxa"/>
            <w:vAlign w:val="bottom"/>
          </w:tcPr>
          <w:p>
            <w:pPr>
              <w:spacing w:after="0"/>
              <w:rPr>
                <w:sz w:val="1"/>
                <w:szCs w:val="1"/>
                <w:color w:val="auto"/>
              </w:rPr>
            </w:pPr>
          </w:p>
        </w:tc>
      </w:tr>
      <w:tr>
        <w:trPr>
          <w:trHeight w:val="166"/>
        </w:trPr>
        <w:tc>
          <w:tcPr>
            <w:tcW w:w="2340" w:type="dxa"/>
            <w:vAlign w:val="bottom"/>
            <w:vMerge w:val="continue"/>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$554</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$647</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Audit related fees (2)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Tax fees (3)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392</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w:t>
            </w:r>
          </w:p>
        </w:tc>
        <w:tc>
          <w:tcPr>
            <w:tcW w:w="0" w:type="dxa"/>
            <w:vAlign w:val="bottom"/>
          </w:tcPr>
          <w:p>
            <w:pPr>
              <w:spacing w:after="0"/>
              <w:rPr>
                <w:sz w:val="1"/>
                <w:szCs w:val="1"/>
                <w:color w:val="auto"/>
              </w:rPr>
            </w:pPr>
          </w:p>
        </w:tc>
      </w:tr>
      <w:tr>
        <w:trPr>
          <w:trHeight w:val="242"/>
        </w:trPr>
        <w:tc>
          <w:tcPr>
            <w:tcW w:w="2340" w:type="dxa"/>
            <w:vAlign w:val="bottom"/>
          </w:tcPr>
          <w:p>
            <w:pPr>
              <w:spacing w:after="0"/>
              <w:rPr>
                <w:sz w:val="20"/>
                <w:szCs w:val="20"/>
                <w:color w:val="auto"/>
              </w:rPr>
            </w:pPr>
            <w:r>
              <w:rPr>
                <w:rFonts w:ascii="Courier New" w:cs="Courier New" w:eastAsia="Courier New" w:hAnsi="Courier New"/>
                <w:sz w:val="14"/>
                <w:szCs w:val="14"/>
                <w:color w:val="auto"/>
              </w:rPr>
              <w:t>All other fees (4)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255"/>
        </w:trPr>
        <w:tc>
          <w:tcPr>
            <w:tcW w:w="2340" w:type="dxa"/>
            <w:vAlign w:val="bottom"/>
            <w:vMerge w:val="restart"/>
          </w:tcPr>
          <w:p>
            <w:pPr>
              <w:spacing w:after="0"/>
              <w:rPr>
                <w:sz w:val="20"/>
                <w:szCs w:val="20"/>
                <w:color w:val="auto"/>
              </w:rPr>
            </w:pPr>
            <w:r>
              <w:rPr>
                <w:rFonts w:ascii="Courier New" w:cs="Courier New" w:eastAsia="Courier New" w:hAnsi="Courier New"/>
                <w:sz w:val="28"/>
                <w:szCs w:val="28"/>
                <w:color w:val="auto"/>
                <w:w w:val="87"/>
                <w:vertAlign w:val="subscript"/>
              </w:rPr>
              <w:t>Total</w:t>
            </w:r>
            <w:r>
              <w:rPr>
                <w:rFonts w:ascii="Courier New" w:cs="Courier New" w:eastAsia="Courier New" w:hAnsi="Courier New"/>
                <w:sz w:val="14"/>
                <w:szCs w:val="14"/>
                <w:color w:val="auto"/>
                <w:w w:val="87"/>
              </w:rPr>
              <w:t>-------------------------</w:t>
            </w:r>
          </w:p>
        </w:tc>
        <w:tc>
          <w:tcPr>
            <w:tcW w:w="43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 ---------- --------------- -------</w:t>
            </w:r>
          </w:p>
        </w:tc>
        <w:tc>
          <w:tcPr>
            <w:tcW w:w="0" w:type="dxa"/>
            <w:vAlign w:val="bottom"/>
          </w:tcPr>
          <w:p>
            <w:pPr>
              <w:spacing w:after="0"/>
              <w:rPr>
                <w:sz w:val="1"/>
                <w:szCs w:val="1"/>
                <w:color w:val="auto"/>
              </w:rPr>
            </w:pPr>
          </w:p>
        </w:tc>
      </w:tr>
      <w:tr>
        <w:trPr>
          <w:trHeight w:val="166"/>
        </w:trPr>
        <w:tc>
          <w:tcPr>
            <w:tcW w:w="2340" w:type="dxa"/>
            <w:vAlign w:val="bottom"/>
            <w:vMerge w:val="continue"/>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$1,082</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$1,075</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242"/>
        </w:trPr>
        <w:tc>
          <w:tcPr>
            <w:tcW w:w="2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 ---------- --------------- -------</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599" w:firstLine="8"/>
        <w:spacing w:after="0" w:line="375" w:lineRule="auto"/>
        <w:tabs>
          <w:tab w:leader="none" w:pos="344"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fees include annual audit fees for ICON plc and its subsidiaries as well as an audit for the registration statement filed in 2003.</w:t>
      </w:r>
    </w:p>
    <w:p>
      <w:pPr>
        <w:spacing w:after="0" w:line="1" w:lineRule="exact"/>
        <w:rPr>
          <w:rFonts w:ascii="Courier New" w:cs="Courier New" w:eastAsia="Courier New" w:hAnsi="Courier New"/>
          <w:sz w:val="14"/>
          <w:szCs w:val="14"/>
          <w:color w:val="auto"/>
        </w:rPr>
      </w:pPr>
    </w:p>
    <w:p>
      <w:pPr>
        <w:ind w:right="3339" w:firstLine="8"/>
        <w:spacing w:after="0" w:line="375" w:lineRule="auto"/>
        <w:tabs>
          <w:tab w:leader="none" w:pos="344"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related fees principally consisted of fees for financial due diligence services and fees for audit of financial statements of employee benefit plans.</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fees are fees for tax compliance and tax consultation services.</w:t>
      </w:r>
    </w:p>
    <w:p>
      <w:pPr>
        <w:spacing w:after="0" w:line="172" w:lineRule="exact"/>
        <w:rPr>
          <w:rFonts w:ascii="Courier New" w:cs="Courier New" w:eastAsia="Courier New" w:hAnsi="Courier New"/>
          <w:sz w:val="14"/>
          <w:szCs w:val="14"/>
          <w:color w:val="auto"/>
        </w:rPr>
      </w:pPr>
    </w:p>
    <w:p>
      <w:pPr>
        <w:ind w:right="3419" w:firstLine="8"/>
        <w:spacing w:after="0" w:line="375" w:lineRule="auto"/>
        <w:tabs>
          <w:tab w:leader="none" w:pos="344"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fees are fees for secretarial assistance and grant certifications rendered by the Company's auditors.</w:t>
      </w:r>
    </w:p>
    <w:p>
      <w:pPr>
        <w:spacing w:after="0" w:line="1" w:lineRule="exact"/>
        <w:rPr>
          <w:sz w:val="20"/>
          <w:szCs w:val="20"/>
          <w:color w:val="auto"/>
        </w:rPr>
      </w:pPr>
    </w:p>
    <w:p>
      <w:pPr>
        <w:ind w:right="3779"/>
        <w:spacing w:after="0" w:line="375" w:lineRule="auto"/>
        <w:rPr>
          <w:sz w:val="20"/>
          <w:szCs w:val="20"/>
          <w:color w:val="auto"/>
        </w:rPr>
      </w:pPr>
      <w:r>
        <w:rPr>
          <w:rFonts w:ascii="Courier New" w:cs="Courier New" w:eastAsia="Courier New" w:hAnsi="Courier New"/>
          <w:sz w:val="14"/>
          <w:szCs w:val="14"/>
          <w:color w:val="auto"/>
        </w:rPr>
        <w:t>The Audit Committee pre-approves on an annual basis the audit and non-audit services provided to the Company by its auditors.</w:t>
      </w:r>
    </w:p>
    <w:p>
      <w:pPr>
        <w:spacing w:after="0" w:line="1"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Such annual pre-approval is given with respect to particular services. The Audit Committee, on a case-by-case basis, may approve additional services not covered by the annual pre-approval, as the need for such services arises.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17.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18.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is made to pages 45 to 77 of this Form 20-F.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19. Financial Statements and 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 of ICON plc and subsidiaries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Consolidated Balance Sheets at May 31, 2003, and May 31, 2004</w:t>
      </w:r>
    </w:p>
    <w:p>
      <w:pPr>
        <w:spacing w:after="0" w:line="173" w:lineRule="exact"/>
        <w:rPr>
          <w:sz w:val="20"/>
          <w:szCs w:val="20"/>
          <w:color w:val="auto"/>
        </w:rPr>
      </w:pPr>
    </w:p>
    <w:p>
      <w:pPr>
        <w:ind w:left="440" w:right="3679"/>
        <w:spacing w:after="0" w:line="375" w:lineRule="auto"/>
        <w:rPr>
          <w:sz w:val="20"/>
          <w:szCs w:val="20"/>
          <w:color w:val="auto"/>
        </w:rPr>
      </w:pPr>
      <w:r>
        <w:rPr>
          <w:rFonts w:ascii="Courier New" w:cs="Courier New" w:eastAsia="Courier New" w:hAnsi="Courier New"/>
          <w:sz w:val="14"/>
          <w:szCs w:val="14"/>
          <w:color w:val="auto"/>
        </w:rPr>
        <w:t>Consolidated Statements of Operations for the years ended May 31, 2002, 2003 and 2004</w:t>
      </w:r>
    </w:p>
    <w:p>
      <w:pPr>
        <w:spacing w:after="0" w:line="1" w:lineRule="exact"/>
        <w:rPr>
          <w:sz w:val="20"/>
          <w:szCs w:val="20"/>
          <w:color w:val="auto"/>
        </w:rPr>
      </w:pPr>
    </w:p>
    <w:p>
      <w:pPr>
        <w:ind w:left="440" w:right="3599"/>
        <w:spacing w:after="0" w:line="375" w:lineRule="auto"/>
        <w:rPr>
          <w:sz w:val="20"/>
          <w:szCs w:val="20"/>
          <w:color w:val="auto"/>
        </w:rPr>
      </w:pPr>
      <w:r>
        <w:rPr>
          <w:rFonts w:ascii="Courier New" w:cs="Courier New" w:eastAsia="Courier New" w:hAnsi="Courier New"/>
          <w:sz w:val="14"/>
          <w:szCs w:val="14"/>
          <w:color w:val="auto"/>
        </w:rPr>
        <w:t>Consolidated Statements of Shareholders' Equity and Comprehensive Income for the years ended May 31, 2002, 2003 and 2004.</w:t>
      </w:r>
    </w:p>
    <w:p>
      <w:pPr>
        <w:spacing w:after="0" w:line="1" w:lineRule="exact"/>
        <w:rPr>
          <w:sz w:val="20"/>
          <w:szCs w:val="20"/>
          <w:color w:val="auto"/>
        </w:rPr>
      </w:pPr>
    </w:p>
    <w:p>
      <w:pPr>
        <w:ind w:left="440" w:right="3679"/>
        <w:spacing w:after="0" w:line="376" w:lineRule="auto"/>
        <w:rPr>
          <w:sz w:val="20"/>
          <w:szCs w:val="20"/>
          <w:color w:val="auto"/>
        </w:rPr>
      </w:pPr>
      <w:r>
        <w:rPr>
          <w:rFonts w:ascii="Courier New" w:cs="Courier New" w:eastAsia="Courier New" w:hAnsi="Courier New"/>
          <w:sz w:val="14"/>
          <w:szCs w:val="14"/>
          <w:color w:val="auto"/>
        </w:rPr>
        <w:t>Consolidated Statements of Cash Flows for the years ended May 31, 2002, 2003 and 2004</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921" w:right="1440" w:bottom="1440" w:gutter="0" w:footer="0" w:header="0"/>
        </w:sectPr>
      </w:pPr>
    </w:p>
    <w:bookmarkStart w:id="45" w:name="page46"/>
    <w:bookmarkEnd w:id="45"/>
    <w:p>
      <w:pPr>
        <w:ind w:left="440"/>
        <w:spacing w:after="0"/>
        <w:rPr>
          <w:sz w:val="20"/>
          <w:szCs w:val="20"/>
          <w:color w:val="auto"/>
        </w:rPr>
      </w:pPr>
      <w:r>
        <w:rPr>
          <w:rFonts w:ascii="Courier New" w:cs="Courier New" w:eastAsia="Courier New" w:hAnsi="Courier New"/>
          <w:sz w:val="14"/>
          <w:szCs w:val="14"/>
          <w:color w:val="auto"/>
        </w:rPr>
        <w:t>Notes to the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 of ICON plc and subsidiaries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Significant subsidiaries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906 certifications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756" w:right="1440" w:bottom="1440" w:gutter="0" w:footer="0" w:header="0"/>
        </w:sectPr>
      </w:pPr>
    </w:p>
    <w:bookmarkStart w:id="46" w:name="page47"/>
    <w:bookmarkEnd w:id="46"/>
    <w:p>
      <w:pPr>
        <w:ind w:left="112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Directors and Shareholders of ICON plc</w:t>
      </w:r>
    </w:p>
    <w:p>
      <w:pPr>
        <w:spacing w:after="0" w:line="200" w:lineRule="exact"/>
        <w:rPr>
          <w:sz w:val="20"/>
          <w:szCs w:val="20"/>
          <w:color w:val="auto"/>
        </w:rPr>
      </w:pPr>
    </w:p>
    <w:p>
      <w:pPr>
        <w:spacing w:after="0" w:line="304" w:lineRule="exact"/>
        <w:rPr>
          <w:sz w:val="20"/>
          <w:szCs w:val="20"/>
          <w:color w:val="auto"/>
        </w:rPr>
      </w:pPr>
    </w:p>
    <w:p>
      <w:pPr>
        <w:ind w:left="440" w:right="3339"/>
        <w:spacing w:after="0" w:line="271" w:lineRule="auto"/>
        <w:rPr>
          <w:sz w:val="20"/>
          <w:szCs w:val="20"/>
          <w:color w:val="auto"/>
        </w:rPr>
      </w:pPr>
      <w:r>
        <w:rPr>
          <w:rFonts w:ascii="Courier New" w:cs="Courier New" w:eastAsia="Courier New" w:hAnsi="Courier New"/>
          <w:sz w:val="14"/>
          <w:szCs w:val="14"/>
          <w:color w:val="auto"/>
        </w:rPr>
        <w:t>We have audited the accompanying consolidated balance sheets of ICON plc and subsidiaries as of May 31, 2003 and 2004 and the related consolidated statements of operations, shareholders' equity and comprehensive income and cash flows for each of the years in the three-year period ended May 31, 2004. These consolidated financial statements are the responsibility of the Company's management. Our responsibility is to express an opinion on these consolidated financial statements based on our audits.</w:t>
      </w:r>
    </w:p>
    <w:p>
      <w:pPr>
        <w:spacing w:after="0" w:line="72" w:lineRule="exact"/>
        <w:rPr>
          <w:sz w:val="20"/>
          <w:szCs w:val="20"/>
          <w:color w:val="auto"/>
        </w:rPr>
      </w:pPr>
    </w:p>
    <w:p>
      <w:pPr>
        <w:ind w:left="440" w:right="3339"/>
        <w:spacing w:after="0" w:line="264"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Ireland and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7" w:lineRule="exact"/>
        <w:rPr>
          <w:sz w:val="20"/>
          <w:szCs w:val="20"/>
          <w:color w:val="auto"/>
        </w:rPr>
      </w:pPr>
    </w:p>
    <w:p>
      <w:pPr>
        <w:ind w:left="440" w:right="3419"/>
        <w:spacing w:after="0" w:line="275"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ICON plc and subsidiaries as of May 31, 2003 and 2004, and the consolidated results of their operations and their cash flows for each of the years in the three-year period ended May 31, 2004 in conformity with accounting principles generally accepted in the United States.</w:t>
      </w:r>
    </w:p>
    <w:p>
      <w:pPr>
        <w:spacing w:after="0" w:line="2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KPMG</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Public Accounting Firm</w:t>
      </w:r>
    </w:p>
    <w:p>
      <w:pPr>
        <w:spacing w:after="0" w:line="14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Dublin, Ireland</w:t>
      </w:r>
    </w:p>
    <w:p>
      <w:pPr>
        <w:spacing w:after="0" w:line="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July 23, 2004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922" w:right="1440" w:bottom="1440" w:gutter="0" w:footer="0" w:header="0"/>
        </w:sectPr>
      </w:pPr>
    </w:p>
    <w:bookmarkStart w:id="47" w:name="page48"/>
    <w:bookmarkEnd w:id="47"/>
    <w:p>
      <w:pPr>
        <w:ind w:left="3100"/>
        <w:spacing w:after="0"/>
        <w:rPr>
          <w:sz w:val="20"/>
          <w:szCs w:val="20"/>
          <w:color w:val="auto"/>
        </w:rPr>
      </w:pPr>
      <w:r>
        <w:rPr>
          <w:rFonts w:ascii="Courier New" w:cs="Courier New" w:eastAsia="Courier New" w:hAnsi="Courier New"/>
          <w:sz w:val="14"/>
          <w:szCs w:val="14"/>
          <w:color w:val="auto"/>
        </w:rPr>
        <w:t>ICON plc</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7160" w:type="dxa"/>
            <w:vAlign w:val="bottom"/>
          </w:tcPr>
          <w:p>
            <w:pPr>
              <w:spacing w:after="0"/>
              <w:rPr>
                <w:sz w:val="24"/>
                <w:szCs w:val="24"/>
                <w:color w:val="auto"/>
              </w:rPr>
            </w:pPr>
          </w:p>
        </w:tc>
        <w:tc>
          <w:tcPr>
            <w:tcW w:w="134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May 31,</w:t>
            </w:r>
          </w:p>
        </w:tc>
        <w:tc>
          <w:tcPr>
            <w:tcW w:w="0" w:type="dxa"/>
            <w:vAlign w:val="bottom"/>
          </w:tcPr>
          <w:p>
            <w:pPr>
              <w:spacing w:after="0"/>
              <w:rPr>
                <w:sz w:val="1"/>
                <w:szCs w:val="1"/>
                <w:color w:val="auto"/>
              </w:rPr>
            </w:pPr>
          </w:p>
        </w:tc>
      </w:tr>
      <w:tr>
        <w:trPr>
          <w:trHeight w:val="166"/>
        </w:trPr>
        <w:tc>
          <w:tcPr>
            <w:tcW w:w="7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242"/>
        </w:trPr>
        <w:tc>
          <w:tcPr>
            <w:tcW w:w="7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421"/>
        </w:trPr>
        <w:tc>
          <w:tcPr>
            <w:tcW w:w="71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34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$18,311</w:t>
            </w:r>
          </w:p>
        </w:tc>
        <w:tc>
          <w:tcPr>
            <w:tcW w:w="18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$55,678</w:t>
            </w:r>
          </w:p>
        </w:tc>
        <w:tc>
          <w:tcPr>
            <w:tcW w:w="0" w:type="dxa"/>
            <w:vAlign w:val="bottom"/>
          </w:tcPr>
          <w:p>
            <w:pPr>
              <w:spacing w:after="0"/>
              <w:rPr>
                <w:sz w:val="1"/>
                <w:szCs w:val="1"/>
                <w:color w:val="auto"/>
              </w:rPr>
            </w:pPr>
          </w:p>
        </w:tc>
      </w:tr>
      <w:tr>
        <w:trPr>
          <w:trHeight w:val="166"/>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13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Short term investments - available for sale (Note 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23,085</w:t>
            </w:r>
          </w:p>
        </w:tc>
        <w:tc>
          <w:tcPr>
            <w:tcW w:w="0" w:type="dxa"/>
            <w:vAlign w:val="bottom"/>
          </w:tcPr>
          <w:p>
            <w:pPr>
              <w:spacing w:after="0"/>
              <w:rPr>
                <w:sz w:val="1"/>
                <w:szCs w:val="1"/>
                <w:color w:val="auto"/>
              </w:rPr>
            </w:pPr>
          </w:p>
        </w:tc>
      </w:tr>
      <w:tr>
        <w:trPr>
          <w:trHeight w:val="166"/>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Accounts receivable</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74,645</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74,079</w:t>
            </w:r>
          </w:p>
        </w:tc>
        <w:tc>
          <w:tcPr>
            <w:tcW w:w="0" w:type="dxa"/>
            <w:vAlign w:val="bottom"/>
          </w:tcPr>
          <w:p>
            <w:pPr>
              <w:spacing w:after="0"/>
              <w:rPr>
                <w:sz w:val="1"/>
                <w:szCs w:val="1"/>
                <w:color w:val="auto"/>
              </w:rPr>
            </w:pPr>
          </w:p>
        </w:tc>
      </w:tr>
      <w:tr>
        <w:trPr>
          <w:trHeight w:val="166"/>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Unbilled revenue</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44,783</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59,861</w:t>
            </w:r>
          </w:p>
        </w:tc>
        <w:tc>
          <w:tcPr>
            <w:tcW w:w="0" w:type="dxa"/>
            <w:vAlign w:val="bottom"/>
          </w:tcPr>
          <w:p>
            <w:pPr>
              <w:spacing w:after="0"/>
              <w:rPr>
                <w:sz w:val="1"/>
                <w:szCs w:val="1"/>
                <w:color w:val="auto"/>
              </w:rPr>
            </w:pPr>
          </w:p>
        </w:tc>
      </w:tr>
      <w:tr>
        <w:trPr>
          <w:trHeight w:val="166"/>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Other receivables</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4,385</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4,306</w:t>
            </w:r>
          </w:p>
        </w:tc>
        <w:tc>
          <w:tcPr>
            <w:tcW w:w="0" w:type="dxa"/>
            <w:vAlign w:val="bottom"/>
          </w:tcPr>
          <w:p>
            <w:pPr>
              <w:spacing w:after="0"/>
              <w:rPr>
                <w:sz w:val="1"/>
                <w:szCs w:val="1"/>
                <w:color w:val="auto"/>
              </w:rPr>
            </w:pPr>
          </w:p>
        </w:tc>
      </w:tr>
      <w:tr>
        <w:trPr>
          <w:trHeight w:val="166"/>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Deferred tax asset (Note 12)</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1,684</w:t>
            </w:r>
          </w:p>
        </w:tc>
        <w:tc>
          <w:tcPr>
            <w:tcW w:w="0" w:type="dxa"/>
            <w:vAlign w:val="bottom"/>
          </w:tcPr>
          <w:p>
            <w:pPr>
              <w:spacing w:after="0"/>
              <w:rPr>
                <w:sz w:val="1"/>
                <w:szCs w:val="1"/>
                <w:color w:val="auto"/>
              </w:rPr>
            </w:pPr>
          </w:p>
        </w:tc>
      </w:tr>
      <w:tr>
        <w:trPr>
          <w:trHeight w:val="192"/>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Prepayments and other current assets</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8,326</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9,468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w:t>
      </w:r>
    </w:p>
    <w:tbl>
      <w:tblPr>
        <w:tblLayout w:type="fixed"/>
        <w:tblInd w:w="0" w:type="dxa"/>
        <w:tblCellMar>
          <w:top w:w="0" w:type="dxa"/>
          <w:left w:w="0" w:type="dxa"/>
          <w:bottom w:w="0" w:type="dxa"/>
          <w:right w:w="0" w:type="dxa"/>
        </w:tblCellMar>
      </w:tblPr>
      <w:tr>
        <w:trPr>
          <w:trHeight w:val="147"/>
        </w:trPr>
        <w:tc>
          <w:tcPr>
            <w:tcW w:w="5740" w:type="dxa"/>
            <w:vAlign w:val="bottom"/>
          </w:tcPr>
          <w:p>
            <w:pPr>
              <w:ind w:left="360"/>
              <w:spacing w:after="0" w:line="147" w:lineRule="exact"/>
              <w:rPr>
                <w:sz w:val="20"/>
                <w:szCs w:val="20"/>
                <w:color w:val="auto"/>
              </w:rPr>
            </w:pPr>
            <w:r>
              <w:rPr>
                <w:rFonts w:ascii="Courier New" w:cs="Courier New" w:eastAsia="Courier New" w:hAnsi="Courier New"/>
                <w:sz w:val="14"/>
                <w:szCs w:val="14"/>
                <w:color w:val="auto"/>
              </w:rPr>
              <w:t>Total current assets</w:t>
            </w:r>
          </w:p>
        </w:tc>
        <w:tc>
          <w:tcPr>
            <w:tcW w:w="2960" w:type="dxa"/>
            <w:vAlign w:val="bottom"/>
          </w:tcPr>
          <w:p>
            <w:pPr>
              <w:jc w:val="right"/>
              <w:ind w:right="608"/>
              <w:spacing w:after="0" w:line="147" w:lineRule="exact"/>
              <w:rPr>
                <w:sz w:val="20"/>
                <w:szCs w:val="20"/>
                <w:color w:val="auto"/>
              </w:rPr>
            </w:pPr>
            <w:r>
              <w:rPr>
                <w:rFonts w:ascii="Courier New" w:cs="Courier New" w:eastAsia="Courier New" w:hAnsi="Courier New"/>
                <w:sz w:val="14"/>
                <w:szCs w:val="14"/>
                <w:color w:val="auto"/>
              </w:rPr>
              <w:t>150,482</w:t>
            </w:r>
          </w:p>
        </w:tc>
        <w:tc>
          <w:tcPr>
            <w:tcW w:w="13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228,161</w:t>
            </w:r>
          </w:p>
        </w:tc>
        <w:tc>
          <w:tcPr>
            <w:tcW w:w="0" w:type="dxa"/>
            <w:vAlign w:val="bottom"/>
          </w:tcPr>
          <w:p>
            <w:pPr>
              <w:spacing w:after="0"/>
              <w:rPr>
                <w:sz w:val="1"/>
                <w:szCs w:val="1"/>
                <w:color w:val="auto"/>
              </w:rPr>
            </w:pP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96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39,503</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42,936</w:t>
            </w:r>
          </w:p>
        </w:tc>
        <w:tc>
          <w:tcPr>
            <w:tcW w:w="0" w:type="dxa"/>
            <w:vAlign w:val="bottom"/>
          </w:tcPr>
          <w:p>
            <w:pPr>
              <w:spacing w:after="0"/>
              <w:rPr>
                <w:sz w:val="1"/>
                <w:szCs w:val="1"/>
                <w:color w:val="auto"/>
              </w:rPr>
            </w:pPr>
          </w:p>
        </w:tc>
      </w:tr>
      <w:tr>
        <w:trPr>
          <w:trHeight w:val="166"/>
        </w:trPr>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Property, plant and equipment, net (Note 5)</w:t>
            </w:r>
          </w:p>
        </w:tc>
        <w:tc>
          <w:tcPr>
            <w:tcW w:w="29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Goodwill (Note 4)</w:t>
            </w: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45,029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64,226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$235,014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$335,323</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96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$11,092</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$12,801</w:t>
            </w:r>
          </w:p>
        </w:tc>
        <w:tc>
          <w:tcPr>
            <w:tcW w:w="0" w:type="dxa"/>
            <w:vAlign w:val="bottom"/>
          </w:tcPr>
          <w:p>
            <w:pPr>
              <w:spacing w:after="0"/>
              <w:rPr>
                <w:sz w:val="1"/>
                <w:szCs w:val="1"/>
                <w:color w:val="auto"/>
              </w:rPr>
            </w:pPr>
          </w:p>
        </w:tc>
      </w:tr>
      <w:tr>
        <w:trPr>
          <w:trHeight w:val="166"/>
        </w:trPr>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w:t>
            </w:r>
          </w:p>
        </w:tc>
        <w:tc>
          <w:tcPr>
            <w:tcW w:w="29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Payments on account</w:t>
            </w: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45,763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61,960</w:t>
            </w:r>
          </w:p>
        </w:tc>
        <w:tc>
          <w:tcPr>
            <w:tcW w:w="0" w:type="dxa"/>
            <w:vAlign w:val="bottom"/>
          </w:tcPr>
          <w:p>
            <w:pPr>
              <w:spacing w:after="0"/>
              <w:rPr>
                <w:sz w:val="1"/>
                <w:szCs w:val="1"/>
                <w:color w:val="auto"/>
              </w:rPr>
            </w:pPr>
          </w:p>
        </w:tc>
      </w:tr>
      <w:tr>
        <w:trPr>
          <w:trHeight w:val="166"/>
        </w:trPr>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Other liabilities (Note 6)</w:t>
            </w: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28,289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35,091</w:t>
            </w:r>
          </w:p>
        </w:tc>
        <w:tc>
          <w:tcPr>
            <w:tcW w:w="0" w:type="dxa"/>
            <w:vAlign w:val="bottom"/>
          </w:tcPr>
          <w:p>
            <w:pPr>
              <w:spacing w:after="0"/>
              <w:rPr>
                <w:sz w:val="1"/>
                <w:szCs w:val="1"/>
                <w:color w:val="auto"/>
              </w:rPr>
            </w:pPr>
          </w:p>
        </w:tc>
      </w:tr>
      <w:tr>
        <w:trPr>
          <w:trHeight w:val="166"/>
        </w:trPr>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Income taxes payable</w:t>
            </w: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4,385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4,496</w:t>
            </w:r>
          </w:p>
        </w:tc>
        <w:tc>
          <w:tcPr>
            <w:tcW w:w="0" w:type="dxa"/>
            <w:vAlign w:val="bottom"/>
          </w:tcPr>
          <w:p>
            <w:pPr>
              <w:spacing w:after="0"/>
              <w:rPr>
                <w:sz w:val="1"/>
                <w:szCs w:val="1"/>
                <w:color w:val="auto"/>
              </w:rPr>
            </w:pPr>
          </w:p>
        </w:tc>
      </w:tr>
      <w:tr>
        <w:trPr>
          <w:trHeight w:val="192"/>
        </w:trPr>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Bank overdraft and loan facilities (Note 7)</w:t>
            </w: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7,126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w:t>
      </w:r>
    </w:p>
    <w:tbl>
      <w:tblPr>
        <w:tblLayout w:type="fixed"/>
        <w:tblInd w:w="0" w:type="dxa"/>
        <w:tblCellMar>
          <w:top w:w="0" w:type="dxa"/>
          <w:left w:w="0" w:type="dxa"/>
          <w:bottom w:w="0" w:type="dxa"/>
          <w:right w:w="0" w:type="dxa"/>
        </w:tblCellMar>
      </w:tblPr>
      <w:tr>
        <w:trPr>
          <w:trHeight w:val="147"/>
        </w:trPr>
        <w:tc>
          <w:tcPr>
            <w:tcW w:w="7020" w:type="dxa"/>
            <w:vAlign w:val="bottom"/>
          </w:tcPr>
          <w:p>
            <w:pPr>
              <w:ind w:left="360"/>
              <w:spacing w:after="0" w:line="147" w:lineRule="exact"/>
              <w:rPr>
                <w:sz w:val="20"/>
                <w:szCs w:val="20"/>
                <w:color w:val="auto"/>
              </w:rPr>
            </w:pPr>
            <w:r>
              <w:rPr>
                <w:rFonts w:ascii="Courier New" w:cs="Courier New" w:eastAsia="Courier New" w:hAnsi="Courier New"/>
                <w:sz w:val="14"/>
                <w:szCs w:val="14"/>
                <w:color w:val="auto"/>
              </w:rPr>
              <w:t>Total current liabilities</w:t>
            </w:r>
          </w:p>
        </w:tc>
        <w:tc>
          <w:tcPr>
            <w:tcW w:w="1680" w:type="dxa"/>
            <w:vAlign w:val="bottom"/>
          </w:tcPr>
          <w:p>
            <w:pPr>
              <w:jc w:val="right"/>
              <w:ind w:right="608"/>
              <w:spacing w:after="0" w:line="147" w:lineRule="exact"/>
              <w:rPr>
                <w:sz w:val="20"/>
                <w:szCs w:val="20"/>
                <w:color w:val="auto"/>
              </w:rPr>
            </w:pPr>
            <w:r>
              <w:rPr>
                <w:rFonts w:ascii="Courier New" w:cs="Courier New" w:eastAsia="Courier New" w:hAnsi="Courier New"/>
                <w:sz w:val="14"/>
                <w:szCs w:val="14"/>
                <w:color w:val="auto"/>
              </w:rPr>
              <w:t>96,655</w:t>
            </w:r>
          </w:p>
        </w:tc>
        <w:tc>
          <w:tcPr>
            <w:tcW w:w="130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114,348</w:t>
            </w:r>
          </w:p>
        </w:tc>
        <w:tc>
          <w:tcPr>
            <w:tcW w:w="0" w:type="dxa"/>
            <w:vAlign w:val="bottom"/>
          </w:tcPr>
          <w:p>
            <w:pPr>
              <w:spacing w:after="0"/>
              <w:rPr>
                <w:sz w:val="1"/>
                <w:szCs w:val="1"/>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68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1,140</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1,411</w:t>
            </w:r>
          </w:p>
        </w:tc>
        <w:tc>
          <w:tcPr>
            <w:tcW w:w="0" w:type="dxa"/>
            <w:vAlign w:val="bottom"/>
          </w:tcPr>
          <w:p>
            <w:pPr>
              <w:spacing w:after="0"/>
              <w:rPr>
                <w:sz w:val="1"/>
                <w:szCs w:val="1"/>
                <w:color w:val="auto"/>
              </w:rPr>
            </w:pPr>
          </w:p>
        </w:tc>
      </w:tr>
      <w:tr>
        <w:trPr>
          <w:trHeight w:val="166"/>
        </w:trPr>
        <w:tc>
          <w:tcPr>
            <w:tcW w:w="7020" w:type="dxa"/>
            <w:vAlign w:val="bottom"/>
          </w:tcPr>
          <w:p>
            <w:pPr>
              <w:ind w:left="360"/>
              <w:spacing w:after="0"/>
              <w:rPr>
                <w:sz w:val="20"/>
                <w:szCs w:val="20"/>
                <w:color w:val="auto"/>
              </w:rPr>
            </w:pPr>
            <w:r>
              <w:rPr>
                <w:rFonts w:ascii="Courier New" w:cs="Courier New" w:eastAsia="Courier New" w:hAnsi="Courier New"/>
                <w:sz w:val="14"/>
                <w:szCs w:val="14"/>
                <w:color w:val="auto"/>
              </w:rPr>
              <w:t>Long term government grants (Note 10)</w:t>
            </w:r>
          </w:p>
        </w:tc>
        <w:tc>
          <w:tcPr>
            <w:tcW w:w="16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tcPr>
          <w:p>
            <w:pPr>
              <w:ind w:left="360"/>
              <w:spacing w:after="0"/>
              <w:rPr>
                <w:sz w:val="20"/>
                <w:szCs w:val="20"/>
                <w:color w:val="auto"/>
              </w:rPr>
            </w:pPr>
            <w:r>
              <w:rPr>
                <w:rFonts w:ascii="Courier New" w:cs="Courier New" w:eastAsia="Courier New" w:hAnsi="Courier New"/>
                <w:sz w:val="14"/>
                <w:szCs w:val="14"/>
                <w:color w:val="auto"/>
              </w:rPr>
              <w:t>Long term finance leases</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309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167</w:t>
            </w:r>
          </w:p>
        </w:tc>
        <w:tc>
          <w:tcPr>
            <w:tcW w:w="0" w:type="dxa"/>
            <w:vAlign w:val="bottom"/>
          </w:tcPr>
          <w:p>
            <w:pPr>
              <w:spacing w:after="0"/>
              <w:rPr>
                <w:sz w:val="1"/>
                <w:szCs w:val="1"/>
                <w:color w:val="auto"/>
              </w:rPr>
            </w:pPr>
          </w:p>
        </w:tc>
      </w:tr>
      <w:tr>
        <w:trPr>
          <w:trHeight w:val="242"/>
        </w:trPr>
        <w:tc>
          <w:tcPr>
            <w:tcW w:w="7020" w:type="dxa"/>
            <w:vAlign w:val="bottom"/>
          </w:tcPr>
          <w:p>
            <w:pPr>
              <w:ind w:left="360"/>
              <w:spacing w:after="0"/>
              <w:rPr>
                <w:sz w:val="20"/>
                <w:szCs w:val="20"/>
                <w:color w:val="auto"/>
              </w:rPr>
            </w:pPr>
            <w:r>
              <w:rPr>
                <w:rFonts w:ascii="Courier New" w:cs="Courier New" w:eastAsia="Courier New" w:hAnsi="Courier New"/>
                <w:sz w:val="14"/>
                <w:szCs w:val="14"/>
                <w:color w:val="auto"/>
              </w:rPr>
              <w:t>Non-current deferred tax liability (Note 12)</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2,637</w:t>
            </w:r>
          </w:p>
        </w:tc>
        <w:tc>
          <w:tcPr>
            <w:tcW w:w="0" w:type="dxa"/>
            <w:vAlign w:val="bottom"/>
          </w:tcPr>
          <w:p>
            <w:pPr>
              <w:spacing w:after="0"/>
              <w:rPr>
                <w:sz w:val="1"/>
                <w:szCs w:val="1"/>
                <w:color w:val="auto"/>
              </w:rPr>
            </w:pPr>
          </w:p>
        </w:tc>
      </w:tr>
      <w:tr>
        <w:trPr>
          <w:trHeight w:val="255"/>
        </w:trPr>
        <w:tc>
          <w:tcPr>
            <w:tcW w:w="70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6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7020" w:type="dxa"/>
            <w:vAlign w:val="bottom"/>
          </w:tcPr>
          <w:p>
            <w:pPr>
              <w:ind w:left="360"/>
              <w:spacing w:after="0"/>
              <w:rPr>
                <w:sz w:val="20"/>
                <w:szCs w:val="20"/>
                <w:color w:val="auto"/>
              </w:rPr>
            </w:pPr>
            <w:r>
              <w:rPr>
                <w:rFonts w:ascii="Courier New" w:cs="Courier New" w:eastAsia="Courier New" w:hAnsi="Courier New"/>
                <w:sz w:val="14"/>
                <w:szCs w:val="14"/>
                <w:color w:val="auto"/>
              </w:rPr>
              <w:t>Ordinary shares, par value 6 Euro cents per share; 20,000,000 shares</w:t>
            </w:r>
          </w:p>
        </w:tc>
        <w:tc>
          <w:tcPr>
            <w:tcW w:w="1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tcPr>
          <w:p>
            <w:pPr>
              <w:ind w:left="360"/>
              <w:spacing w:after="0"/>
              <w:rPr>
                <w:sz w:val="20"/>
                <w:szCs w:val="20"/>
                <w:color w:val="auto"/>
              </w:rPr>
            </w:pPr>
            <w:r>
              <w:rPr>
                <w:rFonts w:ascii="Courier New" w:cs="Courier New" w:eastAsia="Courier New" w:hAnsi="Courier New"/>
                <w:sz w:val="14"/>
                <w:szCs w:val="14"/>
                <w:color w:val="auto"/>
              </w:rPr>
              <w:t>authorized, 11,841,557 shares issued and outstanding at May 31, 2003 and</w:t>
            </w:r>
          </w:p>
        </w:tc>
        <w:tc>
          <w:tcPr>
            <w:tcW w:w="168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841</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980</w:t>
            </w:r>
          </w:p>
        </w:tc>
        <w:tc>
          <w:tcPr>
            <w:tcW w:w="0" w:type="dxa"/>
            <w:vAlign w:val="bottom"/>
          </w:tcPr>
          <w:p>
            <w:pPr>
              <w:spacing w:after="0"/>
              <w:rPr>
                <w:sz w:val="1"/>
                <w:szCs w:val="1"/>
                <w:color w:val="auto"/>
              </w:rPr>
            </w:pPr>
          </w:p>
        </w:tc>
      </w:tr>
      <w:tr>
        <w:trPr>
          <w:trHeight w:val="166"/>
        </w:trPr>
        <w:tc>
          <w:tcPr>
            <w:tcW w:w="7020" w:type="dxa"/>
            <w:vAlign w:val="bottom"/>
          </w:tcPr>
          <w:p>
            <w:pPr>
              <w:ind w:left="360"/>
              <w:spacing w:after="0"/>
              <w:rPr>
                <w:sz w:val="20"/>
                <w:szCs w:val="20"/>
                <w:color w:val="auto"/>
              </w:rPr>
            </w:pPr>
            <w:r>
              <w:rPr>
                <w:rFonts w:ascii="Courier New" w:cs="Courier New" w:eastAsia="Courier New" w:hAnsi="Courier New"/>
                <w:sz w:val="14"/>
                <w:szCs w:val="14"/>
                <w:color w:val="auto"/>
              </w:rPr>
              <w:t>13,838,476 shares issued and outstanding at May 31, 2004 (Note 11)</w:t>
            </w:r>
          </w:p>
        </w:tc>
        <w:tc>
          <w:tcPr>
            <w:tcW w:w="16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20" w:type="dxa"/>
            <w:vAlign w:val="bottom"/>
          </w:tcPr>
          <w:p>
            <w:pPr>
              <w:ind w:left="360"/>
              <w:spacing w:after="0"/>
              <w:rPr>
                <w:sz w:val="20"/>
                <w:szCs w:val="20"/>
                <w:color w:val="auto"/>
              </w:rPr>
            </w:pPr>
            <w:r>
              <w:rPr>
                <w:rFonts w:ascii="Courier New" w:cs="Courier New" w:eastAsia="Courier New" w:hAnsi="Courier New"/>
                <w:sz w:val="14"/>
                <w:szCs w:val="14"/>
                <w:color w:val="auto"/>
              </w:rPr>
              <w:t>Additional paid-in capital</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61,164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112,936</w:t>
            </w:r>
          </w:p>
        </w:tc>
        <w:tc>
          <w:tcPr>
            <w:tcW w:w="0" w:type="dxa"/>
            <w:vAlign w:val="bottom"/>
          </w:tcPr>
          <w:p>
            <w:pPr>
              <w:spacing w:after="0"/>
              <w:rPr>
                <w:sz w:val="1"/>
                <w:szCs w:val="1"/>
                <w:color w:val="auto"/>
              </w:rPr>
            </w:pPr>
          </w:p>
        </w:tc>
      </w:tr>
      <w:tr>
        <w:trPr>
          <w:trHeight w:val="166"/>
        </w:trPr>
        <w:tc>
          <w:tcPr>
            <w:tcW w:w="7020" w:type="dxa"/>
            <w:vAlign w:val="bottom"/>
          </w:tcPr>
          <w:p>
            <w:pPr>
              <w:ind w:left="360"/>
              <w:spacing w:after="0"/>
              <w:rPr>
                <w:sz w:val="20"/>
                <w:szCs w:val="20"/>
                <w:color w:val="auto"/>
              </w:rPr>
            </w:pPr>
            <w:r>
              <w:rPr>
                <w:rFonts w:ascii="Courier New" w:cs="Courier New" w:eastAsia="Courier New" w:hAnsi="Courier New"/>
                <w:sz w:val="14"/>
                <w:szCs w:val="14"/>
                <w:color w:val="auto"/>
              </w:rPr>
              <w:t>Accumulated other comprehensive income</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7,787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9,984</w:t>
            </w:r>
          </w:p>
        </w:tc>
        <w:tc>
          <w:tcPr>
            <w:tcW w:w="0" w:type="dxa"/>
            <w:vAlign w:val="bottom"/>
          </w:tcPr>
          <w:p>
            <w:pPr>
              <w:spacing w:after="0"/>
              <w:rPr>
                <w:sz w:val="1"/>
                <w:szCs w:val="1"/>
                <w:color w:val="auto"/>
              </w:rPr>
            </w:pPr>
          </w:p>
        </w:tc>
      </w:tr>
      <w:tr>
        <w:trPr>
          <w:trHeight w:val="166"/>
        </w:trPr>
        <w:tc>
          <w:tcPr>
            <w:tcW w:w="7020" w:type="dxa"/>
            <w:vAlign w:val="bottom"/>
          </w:tcPr>
          <w:p>
            <w:pPr>
              <w:ind w:left="360"/>
              <w:spacing w:after="0"/>
              <w:rPr>
                <w:sz w:val="20"/>
                <w:szCs w:val="20"/>
                <w:color w:val="auto"/>
              </w:rPr>
            </w:pPr>
            <w:r>
              <w:rPr>
                <w:rFonts w:ascii="Courier New" w:cs="Courier New" w:eastAsia="Courier New" w:hAnsi="Courier New"/>
                <w:sz w:val="14"/>
                <w:szCs w:val="14"/>
                <w:color w:val="auto"/>
              </w:rPr>
              <w:t>Merger reserve</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0" w:type="dxa"/>
            <w:vAlign w:val="bottom"/>
          </w:tcPr>
          <w:p>
            <w:pPr>
              <w:spacing w:after="0"/>
              <w:rPr>
                <w:sz w:val="1"/>
                <w:szCs w:val="1"/>
                <w:color w:val="auto"/>
              </w:rPr>
            </w:pPr>
          </w:p>
        </w:tc>
      </w:tr>
      <w:tr>
        <w:trPr>
          <w:trHeight w:val="192"/>
        </w:trPr>
        <w:tc>
          <w:tcPr>
            <w:tcW w:w="7020" w:type="dxa"/>
            <w:vAlign w:val="bottom"/>
          </w:tcPr>
          <w:p>
            <w:pPr>
              <w:ind w:left="360"/>
              <w:spacing w:after="0"/>
              <w:rPr>
                <w:sz w:val="20"/>
                <w:szCs w:val="20"/>
                <w:color w:val="auto"/>
              </w:rPr>
            </w:pPr>
            <w:r>
              <w:rPr>
                <w:rFonts w:ascii="Courier New" w:cs="Courier New" w:eastAsia="Courier New" w:hAnsi="Courier New"/>
                <w:sz w:val="14"/>
                <w:szCs w:val="14"/>
                <w:color w:val="auto"/>
              </w:rPr>
              <w:t>Retained earnings</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67,071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92,813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4640" w:type="dxa"/>
            <w:vAlign w:val="bottom"/>
          </w:tcPr>
          <w:p>
            <w:pPr>
              <w:spacing w:after="0"/>
              <w:rPr>
                <w:sz w:val="20"/>
                <w:szCs w:val="20"/>
                <w:color w:val="auto"/>
              </w:rPr>
            </w:pPr>
            <w:r>
              <w:rPr>
                <w:rFonts w:ascii="Courier New" w:cs="Courier New" w:eastAsia="Courier New" w:hAnsi="Courier New"/>
                <w:sz w:val="14"/>
                <w:szCs w:val="14"/>
                <w:color w:val="auto"/>
              </w:rPr>
              <w:t>Total Shareholders' Equity</w:t>
            </w:r>
          </w:p>
        </w:tc>
        <w:tc>
          <w:tcPr>
            <w:tcW w:w="37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136,910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216,760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5300" w:type="dxa"/>
            <w:vAlign w:val="bottom"/>
          </w:tcPr>
          <w:p>
            <w:pPr>
              <w:spacing w:after="0"/>
              <w:rPr>
                <w:sz w:val="20"/>
                <w:szCs w:val="20"/>
                <w:color w:val="auto"/>
              </w:rPr>
            </w:pPr>
            <w:r>
              <w:rPr>
                <w:rFonts w:ascii="Courier New" w:cs="Courier New" w:eastAsia="Courier New" w:hAnsi="Courier New"/>
                <w:sz w:val="14"/>
                <w:szCs w:val="14"/>
                <w:color w:val="auto"/>
              </w:rPr>
              <w:t>Total Liabilities and Shareholders' Equity</w:t>
            </w:r>
          </w:p>
        </w:tc>
        <w:tc>
          <w:tcPr>
            <w:tcW w:w="3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$235,014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$335,323</w:t>
            </w:r>
          </w:p>
        </w:tc>
      </w:tr>
    </w:tbl>
    <w:p>
      <w:pPr>
        <w:spacing w:after="0"/>
        <w:rPr>
          <w:sz w:val="20"/>
          <w:szCs w:val="20"/>
          <w:color w:val="auto"/>
        </w:rPr>
      </w:pPr>
      <w:r>
        <w:rPr>
          <w:rFonts w:ascii="Courier New" w:cs="Courier New" w:eastAsia="Courier New" w:hAnsi="Courier New"/>
          <w:sz w:val="14"/>
          <w:szCs w:val="14"/>
          <w:color w:val="auto"/>
        </w:rPr>
        <w:t>- --------------------------------------------------------------------------- ------------------ ----------------------</w:t>
      </w:r>
    </w:p>
    <w:p>
      <w:pPr>
        <w:spacing w:after="0" w:line="312" w:lineRule="exact"/>
        <w:rPr>
          <w:sz w:val="20"/>
          <w:szCs w:val="20"/>
          <w:color w:val="auto"/>
        </w:rPr>
      </w:pPr>
    </w:p>
    <w:p>
      <w:pPr>
        <w:ind w:left="440" w:right="3440"/>
        <w:spacing w:after="0" w:line="375"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340"/>
          </w:cols>
          <w:pgMar w:left="220" w:top="590" w:right="1339" w:bottom="1440" w:gutter="0" w:footer="0" w:header="0"/>
        </w:sectPr>
      </w:pPr>
    </w:p>
    <w:bookmarkStart w:id="48" w:name="page49"/>
    <w:bookmarkEnd w:id="48"/>
    <w:p>
      <w:pPr>
        <w:jc w:val="center"/>
        <w:ind w:right="3360"/>
        <w:spacing w:after="0"/>
        <w:rPr>
          <w:sz w:val="20"/>
          <w:szCs w:val="20"/>
          <w:color w:val="auto"/>
        </w:rPr>
      </w:pPr>
      <w:r>
        <w:rPr>
          <w:rFonts w:ascii="Courier New" w:cs="Courier New" w:eastAsia="Courier New" w:hAnsi="Courier New"/>
          <w:sz w:val="14"/>
          <w:szCs w:val="14"/>
          <w:color w:val="auto"/>
        </w:rPr>
        <w:t>ICON plc</w:t>
      </w:r>
    </w:p>
    <w:p>
      <w:pPr>
        <w:spacing w:after="0" w:line="33"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020" w:type="dxa"/>
            <w:vAlign w:val="bottom"/>
          </w:tcPr>
          <w:p>
            <w:pPr>
              <w:spacing w:after="0"/>
              <w:rPr>
                <w:sz w:val="24"/>
                <w:szCs w:val="24"/>
                <w:color w:val="auto"/>
              </w:rPr>
            </w:pPr>
          </w:p>
        </w:tc>
        <w:tc>
          <w:tcPr>
            <w:tcW w:w="33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Year Ended May 31,</w:t>
            </w:r>
          </w:p>
        </w:tc>
        <w:tc>
          <w:tcPr>
            <w:tcW w:w="9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14"/>
                <w:szCs w:val="14"/>
                <w:color w:val="auto"/>
              </w:rPr>
            </w:pPr>
          </w:p>
        </w:tc>
        <w:tc>
          <w:tcPr>
            <w:tcW w:w="3300" w:type="dxa"/>
            <w:vAlign w:val="bottom"/>
            <w:vMerge w:val="continue"/>
          </w:tcPr>
          <w:p>
            <w:pPr>
              <w:spacing w:after="0"/>
              <w:rPr>
                <w:sz w:val="14"/>
                <w:szCs w:val="14"/>
                <w:color w:val="auto"/>
              </w:rPr>
            </w:pP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2003</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1"/>
                <w:szCs w:val="21"/>
                <w:color w:val="auto"/>
              </w:rPr>
            </w:pPr>
          </w:p>
        </w:tc>
        <w:tc>
          <w:tcPr>
            <w:tcW w:w="6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thousands, except share and per share data)</w:t>
            </w:r>
          </w:p>
        </w:tc>
        <w:tc>
          <w:tcPr>
            <w:tcW w:w="0" w:type="dxa"/>
            <w:vAlign w:val="bottom"/>
          </w:tcPr>
          <w:p>
            <w:pPr>
              <w:spacing w:after="0"/>
              <w:rPr>
                <w:sz w:val="1"/>
                <w:szCs w:val="1"/>
                <w:color w:val="auto"/>
              </w:rPr>
            </w:pPr>
          </w:p>
        </w:tc>
      </w:tr>
      <w:tr>
        <w:trPr>
          <w:trHeight w:val="587"/>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3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$218,842</w:t>
            </w:r>
          </w:p>
        </w:tc>
        <w:tc>
          <w:tcPr>
            <w:tcW w:w="17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$340,971</w:t>
            </w:r>
          </w:p>
        </w:tc>
        <w:tc>
          <w:tcPr>
            <w:tcW w:w="9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$443,875</w:t>
            </w:r>
          </w:p>
        </w:tc>
        <w:tc>
          <w:tcPr>
            <w:tcW w:w="0" w:type="dxa"/>
            <w:vAlign w:val="bottom"/>
          </w:tcPr>
          <w:p>
            <w:pPr>
              <w:spacing w:after="0"/>
              <w:rPr>
                <w:sz w:val="1"/>
                <w:szCs w:val="1"/>
                <w:color w:val="auto"/>
              </w:rPr>
            </w:pP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Gross revenue</w:t>
            </w:r>
          </w:p>
        </w:tc>
        <w:tc>
          <w:tcPr>
            <w:tcW w:w="330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Subcontractor costs</w:t>
            </w:r>
          </w:p>
        </w:tc>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(62,287)</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(115,246)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(146,952)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Net revenue</w:t>
            </w:r>
          </w:p>
        </w:tc>
        <w:tc>
          <w:tcPr>
            <w:tcW w:w="3220" w:type="dxa"/>
            <w:vAlign w:val="bottom"/>
          </w:tcPr>
          <w:p>
            <w:pPr>
              <w:spacing w:after="0"/>
              <w:rPr>
                <w:sz w:val="21"/>
                <w:szCs w:val="21"/>
                <w:color w:val="auto"/>
              </w:rPr>
            </w:pPr>
          </w:p>
        </w:tc>
        <w:tc>
          <w:tcPr>
            <w:tcW w:w="2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156,555</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225,725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296,923</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3220" w:type="dxa"/>
            <w:vAlign w:val="bottom"/>
          </w:tcPr>
          <w:p>
            <w:pPr>
              <w:spacing w:after="0"/>
              <w:rPr>
                <w:sz w:val="19"/>
                <w:szCs w:val="19"/>
                <w:color w:val="auto"/>
              </w:rPr>
            </w:pPr>
          </w:p>
        </w:tc>
        <w:tc>
          <w:tcPr>
            <w:tcW w:w="26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83,371</w:t>
            </w:r>
          </w:p>
        </w:tc>
        <w:tc>
          <w:tcPr>
            <w:tcW w:w="13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122,373</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162,562</w:t>
            </w:r>
          </w:p>
        </w:tc>
        <w:tc>
          <w:tcPr>
            <w:tcW w:w="0" w:type="dxa"/>
            <w:vAlign w:val="bottom"/>
          </w:tcPr>
          <w:p>
            <w:pPr>
              <w:spacing w:after="0"/>
              <w:rPr>
                <w:sz w:val="1"/>
                <w:szCs w:val="1"/>
                <w:color w:val="auto"/>
              </w:rPr>
            </w:pP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Direct costs</w:t>
            </w:r>
          </w:p>
        </w:tc>
        <w:tc>
          <w:tcPr>
            <w:tcW w:w="32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and administrative</w:t>
            </w:r>
          </w:p>
        </w:tc>
        <w:tc>
          <w:tcPr>
            <w:tcW w:w="26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Selling, general</w:t>
            </w:r>
          </w:p>
        </w:tc>
        <w:tc>
          <w:tcPr>
            <w:tcW w:w="3220" w:type="dxa"/>
            <w:vAlign w:val="bottom"/>
            <w:vMerge w:val="continue"/>
          </w:tcPr>
          <w:p>
            <w:pPr>
              <w:spacing w:after="0"/>
              <w:rPr>
                <w:sz w:val="14"/>
                <w:szCs w:val="14"/>
                <w:color w:val="auto"/>
              </w:rPr>
            </w:pPr>
          </w:p>
        </w:tc>
        <w:tc>
          <w:tcPr>
            <w:tcW w:w="2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48,951</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71,118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88,807</w:t>
            </w:r>
          </w:p>
        </w:tc>
        <w:tc>
          <w:tcPr>
            <w:tcW w:w="0" w:type="dxa"/>
            <w:vAlign w:val="bottom"/>
          </w:tcPr>
          <w:p>
            <w:pPr>
              <w:spacing w:after="0"/>
              <w:rPr>
                <w:sz w:val="1"/>
                <w:szCs w:val="1"/>
                <w:color w:val="auto"/>
              </w:rPr>
            </w:pPr>
          </w:p>
        </w:tc>
      </w:tr>
      <w:tr>
        <w:trPr>
          <w:trHeight w:val="192"/>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amortization</w:t>
            </w:r>
          </w:p>
        </w:tc>
        <w:tc>
          <w:tcPr>
            <w:tcW w:w="2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6,020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11,171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costs and expenses</w:t>
            </w:r>
          </w:p>
        </w:tc>
        <w:tc>
          <w:tcPr>
            <w:tcW w:w="31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138,342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200,796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262,540</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Income from operations</w:t>
            </w:r>
          </w:p>
        </w:tc>
        <w:tc>
          <w:tcPr>
            <w:tcW w:w="3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18,213</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24,929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34,383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3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1,603</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490</w:t>
            </w:r>
          </w:p>
        </w:tc>
      </w:tr>
      <w:tr>
        <w:trPr>
          <w:trHeight w:val="192"/>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3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(487)</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provision for income taxes</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19,329</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25,283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34,671</w:t>
            </w:r>
          </w:p>
        </w:tc>
      </w:tr>
      <w:tr>
        <w:trPr>
          <w:trHeight w:val="192"/>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Provision for</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income taxes (Note 12)</w:t>
            </w:r>
          </w:p>
        </w:tc>
        <w:tc>
          <w:tcPr>
            <w:tcW w:w="2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(5,129)</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(8,929)</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$14,200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$18,283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$25,742</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income per ordinary share:</w:t>
            </w:r>
          </w:p>
        </w:tc>
        <w:tc>
          <w:tcPr>
            <w:tcW w:w="30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$1.22</w:t>
            </w:r>
          </w:p>
        </w:tc>
        <w:tc>
          <w:tcPr>
            <w:tcW w:w="13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$1.55</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$1.94</w:t>
            </w:r>
          </w:p>
        </w:tc>
        <w:tc>
          <w:tcPr>
            <w:tcW w:w="0" w:type="dxa"/>
            <w:vAlign w:val="bottom"/>
          </w:tcPr>
          <w:p>
            <w:pPr>
              <w:spacing w:after="0"/>
              <w:rPr>
                <w:sz w:val="1"/>
                <w:szCs w:val="1"/>
                <w:color w:val="auto"/>
              </w:rPr>
            </w:pPr>
          </w:p>
        </w:tc>
      </w:tr>
      <w:tr>
        <w:trPr>
          <w:trHeight w:val="192"/>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Basic</w:t>
            </w:r>
          </w:p>
        </w:tc>
        <w:tc>
          <w:tcPr>
            <w:tcW w:w="306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w:t>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352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3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number of ordinary shares outstanding:</w:t>
            </w:r>
          </w:p>
        </w:tc>
        <w:tc>
          <w:tcPr>
            <w:tcW w:w="19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11,656,153</w:t>
            </w:r>
          </w:p>
        </w:tc>
        <w:tc>
          <w:tcPr>
            <w:tcW w:w="13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11,813,788</w:t>
            </w:r>
          </w:p>
        </w:tc>
        <w:tc>
          <w:tcPr>
            <w:tcW w:w="13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13,267,531</w:t>
            </w:r>
          </w:p>
        </w:tc>
        <w:tc>
          <w:tcPr>
            <w:tcW w:w="0" w:type="dxa"/>
            <w:vAlign w:val="bottom"/>
          </w:tcPr>
          <w:p>
            <w:pPr>
              <w:spacing w:after="0"/>
              <w:rPr>
                <w:sz w:val="1"/>
                <w:szCs w:val="1"/>
                <w:color w:val="auto"/>
              </w:rPr>
            </w:pPr>
          </w:p>
        </w:tc>
      </w:tr>
      <w:tr>
        <w:trPr>
          <w:trHeight w:val="166"/>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5420" w:type="dxa"/>
            <w:vAlign w:val="bottom"/>
          </w:tcPr>
          <w:p>
            <w:pPr>
              <w:ind w:left="220"/>
              <w:spacing w:after="0"/>
              <w:rPr>
                <w:sz w:val="20"/>
                <w:szCs w:val="20"/>
                <w:color w:val="auto"/>
              </w:rPr>
            </w:pPr>
            <w:r>
              <w:rPr>
                <w:rFonts w:ascii="Courier New" w:cs="Courier New" w:eastAsia="Courier New" w:hAnsi="Courier New"/>
                <w:sz w:val="14"/>
                <w:szCs w:val="14"/>
                <w:color w:val="auto"/>
              </w:rPr>
              <w:t>Basic</w:t>
            </w:r>
          </w:p>
        </w:tc>
        <w:tc>
          <w:tcPr>
            <w:tcW w:w="19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40" w:type="dxa"/>
            <w:vAlign w:val="bottom"/>
            <w:vMerge w:val="continue"/>
          </w:tcPr>
          <w:p>
            <w:pPr>
              <w:spacing w:after="0"/>
              <w:rPr>
                <w:sz w:val="21"/>
                <w:szCs w:val="21"/>
                <w:color w:val="auto"/>
              </w:rPr>
            </w:pPr>
          </w:p>
        </w:tc>
        <w:tc>
          <w:tcPr>
            <w:tcW w:w="10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 --------------</w:t>
            </w:r>
          </w:p>
        </w:tc>
        <w:tc>
          <w:tcPr>
            <w:tcW w:w="0" w:type="dxa"/>
            <w:vAlign w:val="bottom"/>
          </w:tcPr>
          <w:p>
            <w:pPr>
              <w:spacing w:after="0"/>
              <w:rPr>
                <w:sz w:val="1"/>
                <w:szCs w:val="1"/>
                <w:color w:val="auto"/>
              </w:rPr>
            </w:pPr>
          </w:p>
        </w:tc>
      </w:tr>
      <w:tr>
        <w:trPr>
          <w:trHeight w:val="255"/>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5420" w:type="dxa"/>
            <w:vAlign w:val="bottom"/>
          </w:tcPr>
          <w:p>
            <w:pPr>
              <w:ind w:left="220"/>
              <w:spacing w:after="0"/>
              <w:rPr>
                <w:sz w:val="20"/>
                <w:szCs w:val="20"/>
                <w:color w:val="auto"/>
              </w:rPr>
            </w:pPr>
            <w:r>
              <w:rPr>
                <w:rFonts w:ascii="Courier New" w:cs="Courier New" w:eastAsia="Courier New" w:hAnsi="Courier New"/>
                <w:sz w:val="14"/>
                <w:szCs w:val="14"/>
                <w:color w:val="auto"/>
              </w:rPr>
              <w:t>Diluted</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12,241,820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12,181,094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13,703,163</w:t>
            </w:r>
          </w:p>
        </w:tc>
        <w:tc>
          <w:tcPr>
            <w:tcW w:w="0" w:type="dxa"/>
            <w:vAlign w:val="bottom"/>
          </w:tcPr>
          <w:p>
            <w:pPr>
              <w:spacing w:after="0"/>
              <w:rPr>
                <w:sz w:val="1"/>
                <w:szCs w:val="1"/>
                <w:color w:val="auto"/>
              </w:rPr>
            </w:pPr>
          </w:p>
        </w:tc>
      </w:tr>
      <w:tr>
        <w:trPr>
          <w:trHeight w:val="242"/>
        </w:trPr>
        <w:tc>
          <w:tcPr>
            <w:tcW w:w="140" w:type="dxa"/>
            <w:vAlign w:val="bottom"/>
            <w:vMerge w:val="continue"/>
          </w:tcPr>
          <w:p>
            <w:pPr>
              <w:spacing w:after="0"/>
              <w:rPr>
                <w:sz w:val="21"/>
                <w:szCs w:val="21"/>
                <w:color w:val="auto"/>
              </w:rPr>
            </w:pPr>
          </w:p>
        </w:tc>
        <w:tc>
          <w:tcPr>
            <w:tcW w:w="10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440" w:right="3360"/>
        <w:spacing w:after="0" w:line="376"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60"/>
          </w:cols>
          <w:pgMar w:left="220" w:top="1087" w:right="1419" w:bottom="1440" w:gutter="0" w:footer="0" w:header="0"/>
        </w:sectPr>
      </w:pPr>
    </w:p>
    <w:bookmarkStart w:id="49" w:name="page50"/>
    <w:bookmarkEnd w:id="49"/>
    <w:p>
      <w:pPr>
        <w:spacing w:after="0" w:line="310"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ICON plc</w:t>
      </w:r>
    </w:p>
    <w:p>
      <w:pPr>
        <w:spacing w:after="0" w:line="33"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CONSOLIDATED STATEMENTS OF SHAREHOLDERS' EQUITY AND COMPREHENSIVE INCOME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94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3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Additional</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Accumulated</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w:t>
            </w:r>
          </w:p>
        </w:tc>
        <w:tc>
          <w:tcPr>
            <w:tcW w:w="10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Retained</w:t>
            </w:r>
          </w:p>
        </w:tc>
        <w:tc>
          <w:tcPr>
            <w:tcW w:w="112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Merger</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080" w:type="dxa"/>
            <w:vAlign w:val="bottom"/>
            <w:vMerge w:val="restart"/>
          </w:tcPr>
          <w:p>
            <w:pPr>
              <w:ind w:left="400"/>
              <w:spacing w:after="0"/>
              <w:rPr>
                <w:sz w:val="20"/>
                <w:szCs w:val="20"/>
                <w:color w:val="auto"/>
              </w:rPr>
            </w:pPr>
            <w:r>
              <w:rPr>
                <w:rFonts w:ascii="Courier New" w:cs="Courier New" w:eastAsia="Courier New" w:hAnsi="Courier New"/>
                <w:sz w:val="14"/>
                <w:szCs w:val="14"/>
                <w:color w:val="auto"/>
              </w:rPr>
              <w:t>Shares</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Amount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Paid-in</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Comprehensive</w:t>
            </w:r>
          </w:p>
        </w:tc>
        <w:tc>
          <w:tcPr>
            <w:tcW w:w="10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2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Capital</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Earnings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Reserve</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900" w:type="dxa"/>
            <w:vAlign w:val="bottom"/>
            <w:gridSpan w:val="4"/>
          </w:tcPr>
          <w:p>
            <w:pPr>
              <w:jc w:val="right"/>
              <w:ind w:right="688"/>
              <w:spacing w:after="0"/>
              <w:rPr>
                <w:sz w:val="20"/>
                <w:szCs w:val="20"/>
                <w:color w:val="auto"/>
              </w:rPr>
            </w:pPr>
            <w:r>
              <w:rPr>
                <w:rFonts w:ascii="Courier New" w:cs="Courier New" w:eastAsia="Courier New" w:hAnsi="Courier New"/>
                <w:sz w:val="14"/>
                <w:szCs w:val="14"/>
                <w:color w:val="auto"/>
              </w:rPr>
              <w:t>(in thousands, except share and per share data)</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98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 --------- ------------- ---------------- ----------- ---------- --------------</w:t>
            </w:r>
          </w:p>
        </w:tc>
        <w:tc>
          <w:tcPr>
            <w:tcW w:w="0" w:type="dxa"/>
            <w:vAlign w:val="bottom"/>
          </w:tcPr>
          <w:p>
            <w:pPr>
              <w:spacing w:after="0"/>
              <w:rPr>
                <w:sz w:val="1"/>
                <w:szCs w:val="1"/>
                <w:color w:val="auto"/>
              </w:rPr>
            </w:pPr>
          </w:p>
        </w:tc>
      </w:tr>
      <w:tr>
        <w:trPr>
          <w:trHeight w:val="281"/>
        </w:trPr>
        <w:tc>
          <w:tcPr>
            <w:tcW w:w="3320" w:type="dxa"/>
            <w:vAlign w:val="bottom"/>
          </w:tcPr>
          <w:p>
            <w:pPr>
              <w:spacing w:after="0"/>
              <w:rPr>
                <w:sz w:val="20"/>
                <w:szCs w:val="20"/>
                <w:color w:val="auto"/>
              </w:rPr>
            </w:pPr>
            <w:r>
              <w:rPr>
                <w:rFonts w:ascii="Courier New" w:cs="Courier New" w:eastAsia="Courier New" w:hAnsi="Courier New"/>
                <w:sz w:val="14"/>
                <w:szCs w:val="14"/>
                <w:color w:val="auto"/>
              </w:rPr>
              <w:t>Balance at May 31, 2001</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11,429,629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$56,537</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$(5,411)</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$34,588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$86,580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 ---------------- ----------- ----------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14,200</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14,200</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Currency translation adjustment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2,950</w:t>
            </w:r>
          </w:p>
        </w:tc>
        <w:tc>
          <w:tcPr>
            <w:tcW w:w="0" w:type="dxa"/>
            <w:vAlign w:val="bottom"/>
          </w:tcPr>
          <w:p>
            <w:pPr>
              <w:spacing w:after="0"/>
              <w:rPr>
                <w:sz w:val="1"/>
                <w:szCs w:val="1"/>
                <w:color w:val="auto"/>
              </w:rPr>
            </w:pPr>
          </w:p>
        </w:tc>
      </w:tr>
      <w:tr>
        <w:trPr>
          <w:trHeight w:val="166"/>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rPr>
              <w:t>Total comprehensive income</w:t>
            </w: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320" w:type="dxa"/>
            <w:vAlign w:val="bottom"/>
            <w:vMerge w:val="continue"/>
          </w:tcPr>
          <w:p>
            <w:pPr>
              <w:spacing w:after="0"/>
              <w:rPr>
                <w:sz w:val="14"/>
                <w:szCs w:val="14"/>
                <w:color w:val="auto"/>
              </w:rPr>
            </w:pP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358,100</w:t>
            </w:r>
          </w:p>
        </w:tc>
        <w:tc>
          <w:tcPr>
            <w:tcW w:w="9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128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2,655</w:t>
            </w:r>
          </w:p>
        </w:tc>
        <w:tc>
          <w:tcPr>
            <w:tcW w:w="13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17,150</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Exercise of share options</w:t>
            </w: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2,674</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Shares issued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10,772</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w:t>
            </w:r>
          </w:p>
        </w:tc>
        <w:tc>
          <w:tcPr>
            <w:tcW w:w="0" w:type="dxa"/>
            <w:vAlign w:val="bottom"/>
          </w:tcPr>
          <w:p>
            <w:pPr>
              <w:spacing w:after="0"/>
              <w:rPr>
                <w:sz w:val="1"/>
                <w:szCs w:val="1"/>
                <w:color w:val="auto"/>
              </w:rPr>
            </w:pPr>
          </w:p>
        </w:tc>
      </w:tr>
      <w:tr>
        <w:trPr>
          <w:trHeight w:val="24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Tax benefit on exercise of options</w:t>
            </w: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792</w:t>
            </w:r>
          </w:p>
        </w:tc>
        <w:tc>
          <w:tcPr>
            <w:tcW w:w="13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792</w:t>
            </w:r>
          </w:p>
        </w:tc>
        <w:tc>
          <w:tcPr>
            <w:tcW w:w="0" w:type="dxa"/>
            <w:vAlign w:val="bottom"/>
          </w:tcPr>
          <w:p>
            <w:pPr>
              <w:spacing w:after="0"/>
              <w:rPr>
                <w:sz w:val="1"/>
                <w:szCs w:val="1"/>
                <w:color w:val="auto"/>
              </w:rPr>
            </w:pPr>
          </w:p>
        </w:tc>
      </w:tr>
      <w:tr>
        <w:trPr>
          <w:trHeight w:val="90"/>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320" w:type="dxa"/>
            <w:vAlign w:val="bottom"/>
            <w:vMerge w:val="continue"/>
          </w:tcPr>
          <w:p>
            <w:pPr>
              <w:spacing w:after="0"/>
              <w:rPr>
                <w:sz w:val="14"/>
                <w:szCs w:val="14"/>
                <w:color w:val="auto"/>
              </w:rPr>
            </w:pPr>
          </w:p>
        </w:tc>
        <w:tc>
          <w:tcPr>
            <w:tcW w:w="79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 ----------- ---------- --------------</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20"/>
                <w:szCs w:val="20"/>
                <w:color w:val="auto"/>
              </w:rPr>
            </w:pPr>
            <w:r>
              <w:rPr>
                <w:rFonts w:ascii="Courier New" w:cs="Courier New" w:eastAsia="Courier New" w:hAnsi="Courier New"/>
                <w:sz w:val="14"/>
                <w:szCs w:val="14"/>
                <w:color w:val="auto"/>
              </w:rPr>
              <w:t>Balance at May 31, 2002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11,798,501</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$839</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$60,348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$(2,461)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$48,788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$107,561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 ---------------- ----------- ----------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18,283</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18,283</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Currency translation adjustment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10,248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10,248</w:t>
            </w:r>
          </w:p>
        </w:tc>
        <w:tc>
          <w:tcPr>
            <w:tcW w:w="0" w:type="dxa"/>
            <w:vAlign w:val="bottom"/>
          </w:tcPr>
          <w:p>
            <w:pPr>
              <w:spacing w:after="0"/>
              <w:rPr>
                <w:sz w:val="1"/>
                <w:szCs w:val="1"/>
                <w:color w:val="auto"/>
              </w:rPr>
            </w:pPr>
          </w:p>
        </w:tc>
      </w:tr>
      <w:tr>
        <w:trPr>
          <w:trHeight w:val="166"/>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rPr>
              <w:t>Total comprehensive income</w:t>
            </w: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320" w:type="dxa"/>
            <w:vAlign w:val="bottom"/>
            <w:vMerge w:val="continue"/>
          </w:tcPr>
          <w:p>
            <w:pPr>
              <w:spacing w:after="0"/>
              <w:rPr>
                <w:sz w:val="14"/>
                <w:szCs w:val="14"/>
                <w:color w:val="auto"/>
              </w:rPr>
            </w:pP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39,360</w:t>
            </w:r>
          </w:p>
        </w:tc>
        <w:tc>
          <w:tcPr>
            <w:tcW w:w="9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136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726</w:t>
            </w:r>
          </w:p>
        </w:tc>
        <w:tc>
          <w:tcPr>
            <w:tcW w:w="12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28,531</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Exercise of share options</w:t>
            </w: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Shares issued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3,696</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Share issue costs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0" w:type="dxa"/>
            <w:vAlign w:val="bottom"/>
          </w:tcPr>
          <w:p>
            <w:pPr>
              <w:spacing w:after="0"/>
              <w:rPr>
                <w:sz w:val="1"/>
                <w:szCs w:val="1"/>
                <w:color w:val="auto"/>
              </w:rPr>
            </w:pPr>
          </w:p>
        </w:tc>
      </w:tr>
      <w:tr>
        <w:trPr>
          <w:trHeight w:val="24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Tax benefit on exercise of options</w:t>
            </w: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48</w:t>
            </w:r>
          </w:p>
        </w:tc>
        <w:tc>
          <w:tcPr>
            <w:tcW w:w="12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48</w:t>
            </w:r>
          </w:p>
        </w:tc>
        <w:tc>
          <w:tcPr>
            <w:tcW w:w="0" w:type="dxa"/>
            <w:vAlign w:val="bottom"/>
          </w:tcPr>
          <w:p>
            <w:pPr>
              <w:spacing w:after="0"/>
              <w:rPr>
                <w:sz w:val="1"/>
                <w:szCs w:val="1"/>
                <w:color w:val="auto"/>
              </w:rPr>
            </w:pPr>
          </w:p>
        </w:tc>
      </w:tr>
      <w:tr>
        <w:trPr>
          <w:trHeight w:val="90"/>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320" w:type="dxa"/>
            <w:vAlign w:val="bottom"/>
            <w:vMerge w:val="continue"/>
          </w:tcPr>
          <w:p>
            <w:pPr>
              <w:spacing w:after="0"/>
              <w:rPr>
                <w:sz w:val="14"/>
                <w:szCs w:val="14"/>
                <w:color w:val="auto"/>
              </w:rPr>
            </w:pPr>
          </w:p>
        </w:tc>
        <w:tc>
          <w:tcPr>
            <w:tcW w:w="79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 ----------- ---------- --------------</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20"/>
                <w:szCs w:val="20"/>
                <w:color w:val="auto"/>
              </w:rPr>
            </w:pPr>
            <w:r>
              <w:rPr>
                <w:rFonts w:ascii="Courier New" w:cs="Courier New" w:eastAsia="Courier New" w:hAnsi="Courier New"/>
                <w:sz w:val="14"/>
                <w:szCs w:val="14"/>
                <w:color w:val="auto"/>
              </w:rPr>
              <w:t>Balance at May 31, 2003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11,841,557</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$841</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$61,164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$7,787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$67,071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$136,910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 ---------------- ----------- ----------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4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25,742</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25,742</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Currency translation adjustment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2,197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2,197</w:t>
            </w:r>
          </w:p>
        </w:tc>
        <w:tc>
          <w:tcPr>
            <w:tcW w:w="0" w:type="dxa"/>
            <w:vAlign w:val="bottom"/>
          </w:tcPr>
          <w:p>
            <w:pPr>
              <w:spacing w:after="0"/>
              <w:rPr>
                <w:sz w:val="1"/>
                <w:szCs w:val="1"/>
                <w:color w:val="auto"/>
              </w:rPr>
            </w:pPr>
          </w:p>
        </w:tc>
      </w:tr>
      <w:tr>
        <w:trPr>
          <w:trHeight w:val="166"/>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rPr>
              <w:t>Total comprehensive income</w:t>
            </w: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320" w:type="dxa"/>
            <w:vAlign w:val="bottom"/>
            <w:vMerge w:val="continue"/>
          </w:tcPr>
          <w:p>
            <w:pPr>
              <w:spacing w:after="0"/>
              <w:rPr>
                <w:sz w:val="14"/>
                <w:szCs w:val="14"/>
                <w:color w:val="auto"/>
              </w:rPr>
            </w:pP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496,919</w:t>
            </w:r>
          </w:p>
        </w:tc>
        <w:tc>
          <w:tcPr>
            <w:tcW w:w="860" w:type="dxa"/>
            <w:vAlign w:val="bottom"/>
            <w:vMerge w:val="restart"/>
          </w:tcPr>
          <w:p>
            <w:pPr>
              <w:jc w:val="right"/>
              <w:ind w:right="168"/>
              <w:spacing w:after="0"/>
              <w:rPr>
                <w:sz w:val="20"/>
                <w:szCs w:val="20"/>
                <w:color w:val="auto"/>
              </w:rPr>
            </w:pPr>
            <w:r>
              <w:rPr>
                <w:rFonts w:ascii="Courier New" w:cs="Courier New" w:eastAsia="Courier New" w:hAnsi="Courier New"/>
                <w:sz w:val="14"/>
                <w:szCs w:val="14"/>
                <w:color w:val="auto"/>
              </w:rPr>
              <w:t>35</w:t>
            </w:r>
          </w:p>
        </w:tc>
        <w:tc>
          <w:tcPr>
            <w:tcW w:w="14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5,323</w:t>
            </w:r>
          </w:p>
        </w:tc>
        <w:tc>
          <w:tcPr>
            <w:tcW w:w="12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27,939</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Exercise of share options</w:t>
            </w:r>
          </w:p>
        </w:tc>
        <w:tc>
          <w:tcPr>
            <w:tcW w:w="11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5,358</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Shares issued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1,500,000</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104</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45,601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45,705</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Share issue costs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(1,428)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(1,428)</w:t>
            </w:r>
          </w:p>
        </w:tc>
        <w:tc>
          <w:tcPr>
            <w:tcW w:w="0" w:type="dxa"/>
            <w:vAlign w:val="bottom"/>
          </w:tcPr>
          <w:p>
            <w:pPr>
              <w:spacing w:after="0"/>
              <w:rPr>
                <w:sz w:val="1"/>
                <w:szCs w:val="1"/>
                <w:color w:val="auto"/>
              </w:rPr>
            </w:pPr>
          </w:p>
        </w:tc>
      </w:tr>
      <w:tr>
        <w:trPr>
          <w:trHeight w:val="24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Tax benefit on exercise of options</w:t>
            </w:r>
          </w:p>
        </w:tc>
        <w:tc>
          <w:tcPr>
            <w:tcW w:w="11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4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2,276</w:t>
            </w:r>
          </w:p>
        </w:tc>
        <w:tc>
          <w:tcPr>
            <w:tcW w:w="12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2,276</w:t>
            </w:r>
          </w:p>
        </w:tc>
        <w:tc>
          <w:tcPr>
            <w:tcW w:w="0" w:type="dxa"/>
            <w:vAlign w:val="bottom"/>
          </w:tcPr>
          <w:p>
            <w:pPr>
              <w:spacing w:after="0"/>
              <w:rPr>
                <w:sz w:val="1"/>
                <w:szCs w:val="1"/>
                <w:color w:val="auto"/>
              </w:rPr>
            </w:pPr>
          </w:p>
        </w:tc>
      </w:tr>
      <w:tr>
        <w:trPr>
          <w:trHeight w:val="90"/>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320" w:type="dxa"/>
            <w:vAlign w:val="bottom"/>
            <w:vMerge w:val="continue"/>
          </w:tcPr>
          <w:p>
            <w:pPr>
              <w:spacing w:after="0"/>
              <w:rPr>
                <w:sz w:val="14"/>
                <w:szCs w:val="14"/>
                <w:color w:val="auto"/>
              </w:rPr>
            </w:pPr>
          </w:p>
        </w:tc>
        <w:tc>
          <w:tcPr>
            <w:tcW w:w="79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 ----------- ---------- --------------</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20"/>
                <w:szCs w:val="20"/>
                <w:color w:val="auto"/>
              </w:rPr>
            </w:pPr>
            <w:r>
              <w:rPr>
                <w:rFonts w:ascii="Courier New" w:cs="Courier New" w:eastAsia="Courier New" w:hAnsi="Courier New"/>
                <w:sz w:val="14"/>
                <w:szCs w:val="14"/>
                <w:color w:val="auto"/>
              </w:rPr>
              <w:t>Balance at May 31, 2004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13,838,476</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$980</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$112,936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$9,984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$92,813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$216,760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 ---------------- ----------- ---------- --------------</w:t>
      </w:r>
    </w:p>
    <w:p>
      <w:pPr>
        <w:spacing w:after="0" w:line="312" w:lineRule="exact"/>
        <w:rPr>
          <w:sz w:val="20"/>
          <w:szCs w:val="20"/>
          <w:color w:val="auto"/>
        </w:rPr>
      </w:pPr>
    </w:p>
    <w:p>
      <w:pPr>
        <w:ind w:left="440" w:right="4400"/>
        <w:spacing w:after="0" w:line="375"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1300"/>
          </w:cols>
          <w:pgMar w:left="220" w:top="1440" w:right="379" w:bottom="1440" w:gutter="0" w:footer="0" w:header="0"/>
        </w:sectPr>
      </w:pPr>
    </w:p>
    <w:bookmarkStart w:id="50" w:name="page51"/>
    <w:bookmarkEnd w:id="50"/>
    <w:p>
      <w:pPr>
        <w:jc w:val="center"/>
        <w:ind w:right="3339"/>
        <w:spacing w:after="0"/>
        <w:rPr>
          <w:sz w:val="20"/>
          <w:szCs w:val="20"/>
          <w:color w:val="auto"/>
        </w:rPr>
      </w:pPr>
      <w:r>
        <w:rPr>
          <w:rFonts w:ascii="Courier New" w:cs="Courier New" w:eastAsia="Courier New" w:hAnsi="Courier New"/>
          <w:sz w:val="14"/>
          <w:szCs w:val="14"/>
          <w:color w:val="auto"/>
        </w:rPr>
        <w:t>ICON plc</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2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5400" w:type="dxa"/>
            <w:vAlign w:val="bottom"/>
          </w:tcPr>
          <w:p>
            <w:pPr>
              <w:spacing w:after="0"/>
              <w:rPr>
                <w:sz w:val="24"/>
                <w:szCs w:val="24"/>
                <w:color w:val="auto"/>
              </w:rPr>
            </w:pPr>
          </w:p>
        </w:tc>
        <w:tc>
          <w:tcPr>
            <w:tcW w:w="18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2002</w:t>
            </w:r>
          </w:p>
        </w:tc>
        <w:tc>
          <w:tcPr>
            <w:tcW w:w="1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Year Ended May 31,</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2003</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4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 thousands)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8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$14,200</w:t>
            </w:r>
          </w:p>
        </w:tc>
        <w:tc>
          <w:tcPr>
            <w:tcW w:w="186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$18,283</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$25,742</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4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(used in)/ provided by operating activities:</w:t>
            </w:r>
          </w:p>
        </w:tc>
        <w:tc>
          <w:tcPr>
            <w:tcW w:w="18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186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222</w:t>
            </w:r>
          </w:p>
        </w:tc>
        <w:tc>
          <w:tcPr>
            <w:tcW w:w="0" w:type="dxa"/>
            <w:vAlign w:val="bottom"/>
          </w:tcPr>
          <w:p>
            <w:pPr>
              <w:spacing w:after="0"/>
              <w:rPr>
                <w:sz w:val="1"/>
                <w:szCs w:val="1"/>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Loss on disposal of fixed assets</w:t>
            </w:r>
          </w:p>
        </w:tc>
        <w:tc>
          <w:tcPr>
            <w:tcW w:w="184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Depreciation</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6,020</w:t>
            </w:r>
          </w:p>
        </w:tc>
        <w:tc>
          <w:tcPr>
            <w:tcW w:w="1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7,305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11,171</w:t>
            </w:r>
          </w:p>
        </w:tc>
        <w:tc>
          <w:tcPr>
            <w:tcW w:w="0" w:type="dxa"/>
            <w:vAlign w:val="bottom"/>
          </w:tcPr>
          <w:p>
            <w:pPr>
              <w:spacing w:after="0"/>
              <w:rPr>
                <w:sz w:val="1"/>
                <w:szCs w:val="1"/>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grants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1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(569)</w:t>
            </w:r>
          </w:p>
        </w:tc>
        <w:tc>
          <w:tcPr>
            <w:tcW w:w="0" w:type="dxa"/>
            <w:vAlign w:val="bottom"/>
          </w:tcPr>
          <w:p>
            <w:pPr>
              <w:spacing w:after="0"/>
              <w:rPr>
                <w:sz w:val="1"/>
                <w:szCs w:val="1"/>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Deferred taxes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1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985</w:t>
            </w:r>
          </w:p>
        </w:tc>
        <w:tc>
          <w:tcPr>
            <w:tcW w:w="0" w:type="dxa"/>
            <w:vAlign w:val="bottom"/>
          </w:tcPr>
          <w:p>
            <w:pPr>
              <w:spacing w:after="0"/>
              <w:rPr>
                <w:sz w:val="1"/>
                <w:szCs w:val="1"/>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Changes in assets and liabilities:</w:t>
            </w:r>
          </w:p>
        </w:tc>
        <w:tc>
          <w:tcPr>
            <w:tcW w:w="18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(10,873)</w:t>
            </w:r>
          </w:p>
        </w:tc>
        <w:tc>
          <w:tcPr>
            <w:tcW w:w="186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(23,232)</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4,089</w:t>
            </w:r>
          </w:p>
        </w:tc>
        <w:tc>
          <w:tcPr>
            <w:tcW w:w="0" w:type="dxa"/>
            <w:vAlign w:val="bottom"/>
          </w:tcPr>
          <w:p>
            <w:pPr>
              <w:spacing w:after="0"/>
              <w:rPr>
                <w:sz w:val="1"/>
                <w:szCs w:val="1"/>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(Increase)/decrease in accounts receivable</w:t>
            </w:r>
          </w:p>
        </w:tc>
        <w:tc>
          <w:tcPr>
            <w:tcW w:w="184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Increase in unbilled revenue</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(5,376)</w:t>
            </w:r>
          </w:p>
        </w:tc>
        <w:tc>
          <w:tcPr>
            <w:tcW w:w="1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(14,480)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(15,329)</w:t>
            </w:r>
          </w:p>
        </w:tc>
        <w:tc>
          <w:tcPr>
            <w:tcW w:w="0" w:type="dxa"/>
            <w:vAlign w:val="bottom"/>
          </w:tcPr>
          <w:p>
            <w:pPr>
              <w:spacing w:after="0"/>
              <w:rPr>
                <w:sz w:val="1"/>
                <w:szCs w:val="1"/>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Decrease in other receivables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2,062</w:t>
            </w:r>
          </w:p>
        </w:tc>
        <w:tc>
          <w:tcPr>
            <w:tcW w:w="1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7,515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4,307</w:t>
            </w:r>
          </w:p>
        </w:tc>
        <w:tc>
          <w:tcPr>
            <w:tcW w:w="0" w:type="dxa"/>
            <w:vAlign w:val="bottom"/>
          </w:tcPr>
          <w:p>
            <w:pPr>
              <w:spacing w:after="0"/>
              <w:rPr>
                <w:sz w:val="1"/>
                <w:szCs w:val="1"/>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Increase in prepayments and other current assets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(2,697)</w:t>
            </w:r>
          </w:p>
        </w:tc>
        <w:tc>
          <w:tcPr>
            <w:tcW w:w="1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(778)</w:t>
            </w:r>
          </w:p>
        </w:tc>
        <w:tc>
          <w:tcPr>
            <w:tcW w:w="0" w:type="dxa"/>
            <w:vAlign w:val="bottom"/>
          </w:tcPr>
          <w:p>
            <w:pPr>
              <w:spacing w:after="0"/>
              <w:rPr>
                <w:sz w:val="1"/>
                <w:szCs w:val="1"/>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Increase in payments on account</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8,655</w:t>
            </w:r>
          </w:p>
        </w:tc>
        <w:tc>
          <w:tcPr>
            <w:tcW w:w="1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25,485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14,228</w:t>
            </w:r>
          </w:p>
        </w:tc>
        <w:tc>
          <w:tcPr>
            <w:tcW w:w="0" w:type="dxa"/>
            <w:vAlign w:val="bottom"/>
          </w:tcPr>
          <w:p>
            <w:pPr>
              <w:spacing w:after="0"/>
              <w:rPr>
                <w:sz w:val="1"/>
                <w:szCs w:val="1"/>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Increase/(decrease) in other liabilities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731</w:t>
            </w:r>
          </w:p>
        </w:tc>
        <w:tc>
          <w:tcPr>
            <w:tcW w:w="1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(1,787)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(1,654)</w:t>
            </w:r>
          </w:p>
        </w:tc>
        <w:tc>
          <w:tcPr>
            <w:tcW w:w="0" w:type="dxa"/>
            <w:vAlign w:val="bottom"/>
          </w:tcPr>
          <w:p>
            <w:pPr>
              <w:spacing w:after="0"/>
              <w:rPr>
                <w:sz w:val="1"/>
                <w:szCs w:val="1"/>
                <w:color w:val="auto"/>
              </w:rPr>
            </w:pPr>
          </w:p>
        </w:tc>
      </w:tr>
      <w:tr>
        <w:trPr>
          <w:trHeight w:val="166"/>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Increase in income taxes payable</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2,897</w:t>
            </w:r>
          </w:p>
        </w:tc>
        <w:tc>
          <w:tcPr>
            <w:tcW w:w="1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253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2,237</w:t>
            </w:r>
          </w:p>
        </w:tc>
        <w:tc>
          <w:tcPr>
            <w:tcW w:w="0" w:type="dxa"/>
            <w:vAlign w:val="bottom"/>
          </w:tcPr>
          <w:p>
            <w:pPr>
              <w:spacing w:after="0"/>
              <w:rPr>
                <w:sz w:val="1"/>
                <w:szCs w:val="1"/>
                <w:color w:val="auto"/>
              </w:rPr>
            </w:pPr>
          </w:p>
        </w:tc>
      </w:tr>
      <w:tr>
        <w:trPr>
          <w:trHeight w:val="192"/>
        </w:trPr>
        <w:tc>
          <w:tcPr>
            <w:tcW w:w="5400" w:type="dxa"/>
            <w:vAlign w:val="bottom"/>
          </w:tcPr>
          <w:p>
            <w:pPr>
              <w:ind w:left="360"/>
              <w:spacing w:after="0"/>
              <w:rPr>
                <w:sz w:val="20"/>
                <w:szCs w:val="20"/>
                <w:color w:val="auto"/>
              </w:rPr>
            </w:pPr>
            <w:r>
              <w:rPr>
                <w:rFonts w:ascii="Courier New" w:cs="Courier New" w:eastAsia="Courier New" w:hAnsi="Courier New"/>
                <w:sz w:val="14"/>
                <w:szCs w:val="14"/>
                <w:color w:val="auto"/>
              </w:rPr>
              <w:t>Increase/(decrease) in accounts payable</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1,631</w:t>
            </w:r>
          </w:p>
        </w:tc>
        <w:tc>
          <w:tcPr>
            <w:tcW w:w="1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3,768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17,269</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21,485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43,642</w:t>
            </w:r>
          </w:p>
        </w:tc>
        <w:tc>
          <w:tcPr>
            <w:tcW w:w="0" w:type="dxa"/>
            <w:vAlign w:val="bottom"/>
          </w:tcPr>
          <w:p>
            <w:pPr>
              <w:spacing w:after="0"/>
              <w:rPr>
                <w:sz w:val="1"/>
                <w:szCs w:val="1"/>
                <w:color w:val="auto"/>
              </w:rPr>
            </w:pP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6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(10,425)</w:t>
            </w:r>
          </w:p>
        </w:tc>
        <w:tc>
          <w:tcPr>
            <w:tcW w:w="146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(15,788)</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(13,097)</w:t>
            </w:r>
          </w:p>
        </w:tc>
        <w:tc>
          <w:tcPr>
            <w:tcW w:w="0" w:type="dxa"/>
            <w:vAlign w:val="bottom"/>
          </w:tcPr>
          <w:p>
            <w:pPr>
              <w:spacing w:after="0"/>
              <w:rPr>
                <w:sz w:val="1"/>
                <w:szCs w:val="1"/>
                <w:color w:val="auto"/>
              </w:rPr>
            </w:pPr>
          </w:p>
        </w:tc>
      </w:tr>
      <w:tr>
        <w:trPr>
          <w:trHeight w:val="166"/>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Purchase of property, plant and equipment</w:t>
            </w:r>
          </w:p>
        </w:tc>
        <w:tc>
          <w:tcPr>
            <w:tcW w:w="16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Purchase of subsidiary undertakings and acquisition costs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(36,873)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(11,258)</w:t>
            </w:r>
          </w:p>
        </w:tc>
        <w:tc>
          <w:tcPr>
            <w:tcW w:w="0" w:type="dxa"/>
            <w:vAlign w:val="bottom"/>
          </w:tcPr>
          <w:p>
            <w:pPr>
              <w:spacing w:after="0"/>
              <w:rPr>
                <w:sz w:val="1"/>
                <w:szCs w:val="1"/>
                <w:color w:val="auto"/>
              </w:rPr>
            </w:pPr>
          </w:p>
        </w:tc>
      </w:tr>
      <w:tr>
        <w:trPr>
          <w:trHeight w:val="166"/>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Cash acquired with subsidiary undertakings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1,910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891</w:t>
            </w:r>
          </w:p>
        </w:tc>
        <w:tc>
          <w:tcPr>
            <w:tcW w:w="0" w:type="dxa"/>
            <w:vAlign w:val="bottom"/>
          </w:tcPr>
          <w:p>
            <w:pPr>
              <w:spacing w:after="0"/>
              <w:rPr>
                <w:sz w:val="1"/>
                <w:szCs w:val="1"/>
                <w:color w:val="auto"/>
              </w:rPr>
            </w:pPr>
          </w:p>
        </w:tc>
      </w:tr>
      <w:tr>
        <w:trPr>
          <w:trHeight w:val="166"/>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Deferred payments in respect of prior year acquisitions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(2,615)</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(3,078)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(1,733)</w:t>
            </w:r>
          </w:p>
        </w:tc>
        <w:tc>
          <w:tcPr>
            <w:tcW w:w="0" w:type="dxa"/>
            <w:vAlign w:val="bottom"/>
          </w:tcPr>
          <w:p>
            <w:pPr>
              <w:spacing w:after="0"/>
              <w:rPr>
                <w:sz w:val="1"/>
                <w:szCs w:val="1"/>
                <w:color w:val="auto"/>
              </w:rPr>
            </w:pPr>
          </w:p>
        </w:tc>
      </w:tr>
      <w:tr>
        <w:trPr>
          <w:trHeight w:val="166"/>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Sale of short term investments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29,868</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18,551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Purchase of short term investments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(12,478)</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(23,085)</w:t>
            </w:r>
          </w:p>
        </w:tc>
        <w:tc>
          <w:tcPr>
            <w:tcW w:w="0" w:type="dxa"/>
            <w:vAlign w:val="bottom"/>
          </w:tcPr>
          <w:p>
            <w:pPr>
              <w:spacing w:after="0"/>
              <w:rPr>
                <w:sz w:val="1"/>
                <w:szCs w:val="1"/>
                <w:color w:val="auto"/>
              </w:rPr>
            </w:pPr>
          </w:p>
        </w:tc>
      </w:tr>
      <w:tr>
        <w:trPr>
          <w:trHeight w:val="192"/>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Receipt of government grant</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945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Net cash provided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by/(used</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in) investing activities</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4,814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(35,278)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(47,337)</w:t>
            </w:r>
          </w:p>
        </w:tc>
        <w:tc>
          <w:tcPr>
            <w:tcW w:w="0" w:type="dxa"/>
            <w:vAlign w:val="bottom"/>
          </w:tcPr>
          <w:p>
            <w:pPr>
              <w:spacing w:after="0"/>
              <w:rPr>
                <w:sz w:val="1"/>
                <w:szCs w:val="1"/>
                <w:color w:val="auto"/>
              </w:rPr>
            </w:pPr>
          </w:p>
        </w:tc>
      </w:tr>
      <w:tr>
        <w:trPr>
          <w:trHeight w:val="166"/>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9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547</w:t>
            </w:r>
          </w:p>
        </w:tc>
        <w:tc>
          <w:tcPr>
            <w:tcW w:w="146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(5,319)</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(7,126)</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(repayment of) bank overdraft</w:t>
            </w:r>
          </w:p>
        </w:tc>
        <w:tc>
          <w:tcPr>
            <w:tcW w:w="19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Repayment of long term</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(338)</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exercise</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of share options</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2,674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5,358</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issuance of share capital</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45,705</w:t>
            </w:r>
          </w:p>
        </w:tc>
        <w:tc>
          <w:tcPr>
            <w:tcW w:w="0" w:type="dxa"/>
            <w:vAlign w:val="bottom"/>
          </w:tcPr>
          <w:p>
            <w:pPr>
              <w:spacing w:after="0"/>
              <w:rPr>
                <w:sz w:val="1"/>
                <w:szCs w:val="1"/>
                <w:color w:val="auto"/>
              </w:rPr>
            </w:pPr>
          </w:p>
        </w:tc>
      </w:tr>
      <w:tr>
        <w:trPr>
          <w:trHeight w:val="166"/>
        </w:trPr>
        <w:tc>
          <w:tcPr>
            <w:tcW w:w="23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Share Issuance Costs</w:t>
            </w:r>
          </w:p>
        </w:tc>
        <w:tc>
          <w:tcPr>
            <w:tcW w:w="3180" w:type="dxa"/>
            <w:vAlign w:val="bottom"/>
          </w:tcPr>
          <w:p>
            <w:pPr>
              <w:spacing w:after="0"/>
              <w:rPr>
                <w:sz w:val="14"/>
                <w:szCs w:val="14"/>
                <w:color w:val="auto"/>
              </w:rPr>
            </w:pP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(1,182)</w:t>
            </w:r>
          </w:p>
        </w:tc>
        <w:tc>
          <w:tcPr>
            <w:tcW w:w="0" w:type="dxa"/>
            <w:vAlign w:val="bottom"/>
          </w:tcPr>
          <w:p>
            <w:pPr>
              <w:spacing w:after="0"/>
              <w:rPr>
                <w:sz w:val="1"/>
                <w:szCs w:val="1"/>
                <w:color w:val="auto"/>
              </w:rPr>
            </w:pPr>
          </w:p>
        </w:tc>
      </w:tr>
      <w:tr>
        <w:trPr>
          <w:trHeight w:val="192"/>
        </w:trPr>
        <w:tc>
          <w:tcPr>
            <w:tcW w:w="54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Repayment of other liabilities</w:t>
            </w:r>
          </w:p>
        </w:tc>
        <w:tc>
          <w:tcPr>
            <w:tcW w:w="1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(165)</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2,718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42,525</w:t>
            </w:r>
          </w:p>
        </w:tc>
      </w:tr>
      <w:tr>
        <w:trPr>
          <w:trHeight w:val="192"/>
        </w:trPr>
        <w:tc>
          <w:tcPr>
            <w:tcW w:w="3580" w:type="dxa"/>
            <w:vAlign w:val="bottom"/>
          </w:tcPr>
          <w:p>
            <w:pPr>
              <w:spacing w:after="0"/>
              <w:rPr>
                <w:sz w:val="20"/>
                <w:szCs w:val="20"/>
                <w:color w:val="auto"/>
              </w:rPr>
            </w:pPr>
            <w:r>
              <w:rPr>
                <w:rFonts w:ascii="Courier New" w:cs="Courier New" w:eastAsia="Courier New" w:hAnsi="Courier New"/>
                <w:sz w:val="14"/>
                <w:szCs w:val="14"/>
                <w:color w:val="auto"/>
              </w:rPr>
              <w:t>Effect of exchange rate movements on cash</w:t>
            </w:r>
          </w:p>
        </w:tc>
        <w:tc>
          <w:tcPr>
            <w:tcW w:w="1940" w:type="dxa"/>
            <w:vAlign w:val="bottom"/>
          </w:tcPr>
          <w:p>
            <w:pPr>
              <w:spacing w:after="0"/>
              <w:rPr>
                <w:sz w:val="16"/>
                <w:szCs w:val="16"/>
                <w:color w:val="auto"/>
              </w:rPr>
            </w:pP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311</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(1,463)</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40" w:type="dxa"/>
            <w:vAlign w:val="bottom"/>
            <w:gridSpan w:val="7"/>
          </w:tcPr>
          <w:p>
            <w:pPr>
              <w:spacing w:after="0"/>
              <w:rPr>
                <w:sz w:val="20"/>
                <w:szCs w:val="20"/>
                <w:color w:val="auto"/>
              </w:rPr>
            </w:pPr>
            <w:r>
              <w:rPr>
                <w:rFonts w:ascii="Courier New" w:cs="Courier New" w:eastAsia="Courier New" w:hAnsi="Courier New"/>
                <w:sz w:val="14"/>
                <w:szCs w:val="14"/>
                <w:color w:val="auto"/>
              </w:rPr>
              <w:t>Net increase/(decrease) in cash and cash equivalents</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25,112</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(17,980)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37,367</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11,179</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36,291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18,311</w:t>
            </w:r>
          </w:p>
        </w:tc>
      </w:tr>
      <w:tr>
        <w:trPr>
          <w:trHeight w:val="24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255"/>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980" w:type="dxa"/>
            <w:vAlign w:val="bottom"/>
          </w:tcPr>
          <w:p>
            <w:pPr>
              <w:ind w:left="140"/>
              <w:spacing w:after="0"/>
              <w:rPr>
                <w:sz w:val="20"/>
                <w:szCs w:val="20"/>
                <w:color w:val="auto"/>
              </w:rPr>
            </w:pPr>
            <w:r>
              <w:rPr>
                <w:rFonts w:ascii="Courier New" w:cs="Courier New" w:eastAsia="Courier New" w:hAnsi="Courier New"/>
                <w:sz w:val="14"/>
                <w:szCs w:val="14"/>
                <w:color w:val="auto"/>
              </w:rPr>
              <w:t>end of year</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$36,291</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$18,311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$55,678</w:t>
            </w:r>
          </w:p>
        </w:tc>
      </w:tr>
      <w:tr>
        <w:trPr>
          <w:trHeight w:val="24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 --------------- ---------------- ----------------</w:t>
            </w:r>
          </w:p>
        </w:tc>
      </w:tr>
    </w:tbl>
    <w:p>
      <w:pPr>
        <w:spacing w:after="0" w:line="255" w:lineRule="exact"/>
        <w:rPr>
          <w:sz w:val="20"/>
          <w:szCs w:val="20"/>
          <w:color w:val="auto"/>
        </w:rPr>
      </w:pPr>
    </w:p>
    <w:p>
      <w:pPr>
        <w:ind w:right="3779"/>
        <w:spacing w:after="0" w:line="376"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1087" w:right="1440" w:bottom="1440" w:gutter="0" w:footer="0" w:header="0"/>
        </w:sectPr>
      </w:pPr>
    </w:p>
    <w:bookmarkStart w:id="51" w:name="page52"/>
    <w:bookmarkEnd w:id="51"/>
    <w:p>
      <w:pPr>
        <w:jc w:val="center"/>
        <w:ind w:right="3339"/>
        <w:spacing w:after="0"/>
        <w:rPr>
          <w:sz w:val="20"/>
          <w:szCs w:val="20"/>
          <w:color w:val="auto"/>
        </w:rPr>
      </w:pPr>
      <w:r>
        <w:rPr>
          <w:rFonts w:ascii="Courier New" w:cs="Courier New" w:eastAsia="Courier New" w:hAnsi="Courier New"/>
          <w:sz w:val="14"/>
          <w:szCs w:val="14"/>
          <w:color w:val="auto"/>
        </w:rPr>
        <w:t>ICON plc</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THE CONSOLIDATED FINANCIAL STATEMENTS</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Description of business</w:t>
      </w:r>
    </w:p>
    <w:p>
      <w:pPr>
        <w:spacing w:after="0" w:line="173"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ICON plc and subsidiaries ("The Company") is a Contract Research Organization ("CRO") providing clinical research and development services on a global basis to the pharmaceutical, biotechnology and medical device industries. The Company specializes in the management, execution and analysis of complex, multinational clinical trials in most major therapeutic areas. The Company believes that it is one of a select group of CROs with the capability and expertise to conduct clinical trials on a global basis. As of May 31, 2004, the Company had approximately 2,450 employees and operations in 35 locations in 21 countries, including the United States and major markets in Europe and Rest of World and has managed clinical trials in over 50 countries. For the fiscal year ended May 31, 2004, we derived approximately 62.4%, 34.0% and 3.6% of our net revenue in the United States, Europe and Rest of World, respectively.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Significant Accounting Policies</w:t>
      </w:r>
    </w:p>
    <w:p>
      <w:pPr>
        <w:spacing w:after="0" w:line="173" w:lineRule="exact"/>
        <w:rPr>
          <w:sz w:val="20"/>
          <w:szCs w:val="20"/>
          <w:color w:val="auto"/>
        </w:rPr>
      </w:pPr>
    </w:p>
    <w:p>
      <w:pPr>
        <w:ind w:right="3779"/>
        <w:spacing w:after="0" w:line="313" w:lineRule="auto"/>
        <w:rPr>
          <w:sz w:val="20"/>
          <w:szCs w:val="20"/>
          <w:color w:val="auto"/>
        </w:rPr>
      </w:pPr>
      <w:r>
        <w:rPr>
          <w:rFonts w:ascii="Courier New" w:cs="Courier New" w:eastAsia="Courier New" w:hAnsi="Courier New"/>
          <w:sz w:val="14"/>
          <w:szCs w:val="14"/>
          <w:color w:val="auto"/>
        </w:rPr>
        <w:t>The accounting policies noted below were applied in the preparation of the accompanying financial statements of the Company and are in conformity with accounting principles generally accepted in the United States.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Basis of consolidation</w:t>
      </w:r>
    </w:p>
    <w:p>
      <w:pPr>
        <w:spacing w:after="0" w:line="173"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The consolidated financial statements include the financial statements of ICON plc and all of its subsidiaries. All significant intercompany profits, transactions and account balances have been eliminated. The results of subsidiary undertakings acquired in the year are included in the consolidated statement of operations from the date of acquisition.</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Use of estimates</w:t>
      </w:r>
    </w:p>
    <w:p>
      <w:pPr>
        <w:spacing w:after="0" w:line="173"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69" w:lineRule="exact"/>
        <w:rPr>
          <w:sz w:val="20"/>
          <w:szCs w:val="20"/>
          <w:color w:val="auto"/>
        </w:rPr>
      </w:pPr>
    </w:p>
    <w:p>
      <w:pPr>
        <w:ind w:left="780" w:hanging="772"/>
        <w:spacing w:after="0"/>
        <w:tabs>
          <w:tab w:leader="none" w:pos="7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The Company primarily earns revenues by providing a number of different services to its customers. These services include clinical trials management, biometric activities, consulting and laboratory services. Contracts range in duration from a number of months to several years.</w:t>
      </w:r>
    </w:p>
    <w:p>
      <w:pPr>
        <w:spacing w:after="0" w:line="56" w:lineRule="exact"/>
        <w:rPr>
          <w:sz w:val="20"/>
          <w:szCs w:val="20"/>
          <w:color w:val="auto"/>
        </w:rPr>
      </w:pPr>
    </w:p>
    <w:p>
      <w:pPr>
        <w:ind w:right="3419"/>
        <w:spacing w:after="0" w:line="259" w:lineRule="auto"/>
        <w:rPr>
          <w:sz w:val="20"/>
          <w:szCs w:val="20"/>
          <w:color w:val="auto"/>
        </w:rPr>
      </w:pPr>
      <w:r>
        <w:rPr>
          <w:rFonts w:ascii="Courier New" w:cs="Courier New" w:eastAsia="Courier New" w:hAnsi="Courier New"/>
          <w:sz w:val="14"/>
          <w:szCs w:val="14"/>
          <w:color w:val="auto"/>
        </w:rPr>
        <w:t>Clinical trials management revenue is earned on the basis of the relationship between time incurred and the total estimated duration of the trial. Biometrics revenue is recognized on a fee-for-service method on the basis of the number of units completed in a period as a percentage of the total number of contracted units. Consulting revenue is recognized on a fee-for-service basis as the related service is performed. Laboratory service revenue is recognized on a fee-for-service basis. The Company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Non-refundable set-up fees are allocated as additional consideration to the contractual elements based on the proportionate fair values of each of these elements. Revenues for contractual elements are recognized on the basis of the number of deliverable units completed in the period.</w:t>
      </w:r>
    </w:p>
    <w:p>
      <w:pPr>
        <w:spacing w:after="0" w:line="83"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Contracts generally contain provisions for renegotiation in the event of changes in the scope, nature, duration, volume of services or conditions of the contract. Renegotiated amounts are recognized as revenue by revision to the total contract value arising as a result of an authorized customer change order. Provisions for losses to be incurred on contracts are recognized in full in the period in which it is determined that a loss will result from performance of the contractual arrangement.</w:t>
      </w: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590" w:right="1440" w:bottom="1440" w:gutter="0" w:footer="0" w:header="0"/>
        </w:sectPr>
      </w:pPr>
    </w:p>
    <w:bookmarkStart w:id="52" w:name="page53"/>
    <w:bookmarkEnd w:id="52"/>
    <w:p>
      <w:pPr>
        <w:ind w:right="3339"/>
        <w:spacing w:after="0" w:line="263" w:lineRule="auto"/>
        <w:rPr>
          <w:sz w:val="20"/>
          <w:szCs w:val="20"/>
          <w:color w:val="auto"/>
        </w:rPr>
      </w:pPr>
      <w:r>
        <w:rPr>
          <w:rFonts w:ascii="Courier New" w:cs="Courier New" w:eastAsia="Courier New" w:hAnsi="Courier New"/>
          <w:sz w:val="14"/>
          <w:szCs w:val="14"/>
          <w:color w:val="auto"/>
        </w:rPr>
        <w:t>The difference between the amount of revenue recognized and the amount billed on a particular contract is included in the balance sheet as unbilled revenue. Normally, amounts become billable upon the achievement of certain milestones, in accordance with pre-agreed payment schedules included in the contract or on submission of appropriate billing detail. Such cash payments are not representative of revenue earned on the contract as revenues are recognized over the period in which the specified contractual obligations are fulfilled. Amounts included in unbilled revenue are expected to be collected within one year and are included within current assets. Advance billings to customers, for which revenue has not been recognized, are recognized as payments on account within current liabilities.</w:t>
      </w:r>
    </w:p>
    <w:p>
      <w:pPr>
        <w:spacing w:after="0" w:line="76"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In the event of contract termination, if the value of work performed and recognized as revenue is greater than aggregate milestone billings at the date of termination, cancellation clauses ensure that the Company is paid for all work performed to the termination date.</w:t>
      </w:r>
    </w:p>
    <w:p>
      <w:pPr>
        <w:spacing w:after="0" w:line="222" w:lineRule="exact"/>
        <w:rPr>
          <w:sz w:val="20"/>
          <w:szCs w:val="20"/>
          <w:color w:val="auto"/>
        </w:rPr>
      </w:pPr>
    </w:p>
    <w:p>
      <w:pPr>
        <w:ind w:left="440" w:hanging="432"/>
        <w:spacing w:after="0"/>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Subcontractor costs</w:t>
      </w:r>
    </w:p>
    <w:p>
      <w:pPr>
        <w:spacing w:after="0" w:line="173"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Subcontractor costs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 Payments to investigators in excess of the accrued expense are classified as prepaid expenses and accrued expense in excess of amounts paid are classified as accounts payable.</w:t>
      </w:r>
    </w:p>
    <w:p>
      <w:pPr>
        <w:spacing w:after="0" w:line="74" w:lineRule="exact"/>
        <w:rPr>
          <w:sz w:val="20"/>
          <w:szCs w:val="20"/>
          <w:color w:val="auto"/>
        </w:rPr>
      </w:pPr>
    </w:p>
    <w:p>
      <w:pPr>
        <w:ind w:left="440" w:hanging="432"/>
        <w:spacing w:after="0"/>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costs</w:t>
      </w:r>
    </w:p>
    <w:p>
      <w:pPr>
        <w:spacing w:after="0" w:line="173" w:lineRule="exact"/>
        <w:rPr>
          <w:sz w:val="20"/>
          <w:szCs w:val="20"/>
          <w:color w:val="auto"/>
        </w:rPr>
      </w:pPr>
    </w:p>
    <w:p>
      <w:pPr>
        <w:ind w:right="3939"/>
        <w:spacing w:after="0" w:line="375" w:lineRule="auto"/>
        <w:rPr>
          <w:sz w:val="20"/>
          <w:szCs w:val="20"/>
          <w:color w:val="auto"/>
        </w:rPr>
      </w:pPr>
      <w:r>
        <w:rPr>
          <w:rFonts w:ascii="Courier New" w:cs="Courier New" w:eastAsia="Courier New" w:hAnsi="Courier New"/>
          <w:sz w:val="14"/>
          <w:szCs w:val="14"/>
          <w:color w:val="auto"/>
        </w:rPr>
        <w:t>Direct costs consist of compensation and associated employee benefits for project-related employees and other direct project-related costs.</w:t>
      </w:r>
    </w:p>
    <w:p>
      <w:pPr>
        <w:spacing w:after="0" w:line="1" w:lineRule="exact"/>
        <w:rPr>
          <w:sz w:val="20"/>
          <w:szCs w:val="20"/>
          <w:color w:val="auto"/>
        </w:rPr>
      </w:pPr>
    </w:p>
    <w:p>
      <w:pPr>
        <w:ind w:left="440" w:hanging="432"/>
        <w:spacing w:after="0"/>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costs</w:t>
      </w:r>
    </w:p>
    <w:p>
      <w:pPr>
        <w:spacing w:after="0" w:line="173" w:lineRule="exact"/>
        <w:rPr>
          <w:sz w:val="20"/>
          <w:szCs w:val="20"/>
          <w:color w:val="auto"/>
        </w:rPr>
      </w:pPr>
    </w:p>
    <w:p>
      <w:pPr>
        <w:ind w:right="3599"/>
        <w:spacing w:after="0" w:line="313" w:lineRule="auto"/>
        <w:rPr>
          <w:sz w:val="20"/>
          <w:szCs w:val="20"/>
          <w:color w:val="auto"/>
        </w:rPr>
      </w:pPr>
      <w:r>
        <w:rPr>
          <w:rFonts w:ascii="Courier New" w:cs="Courier New" w:eastAsia="Courier New" w:hAnsi="Courier New"/>
          <w:sz w:val="14"/>
          <w:szCs w:val="14"/>
          <w:color w:val="auto"/>
        </w:rPr>
        <w:t>All costs associated with advertising and promotion are expensed as incurred. The advertising and promotion expense was U.S.$988,000, U.S.$1,336,000 and U.S.$1,596,000 for the years ended May 31, 2002, 2003 and 2004 respectively.</w:t>
      </w:r>
    </w:p>
    <w:p>
      <w:pPr>
        <w:spacing w:after="0" w:line="42" w:lineRule="exact"/>
        <w:rPr>
          <w:sz w:val="20"/>
          <w:szCs w:val="20"/>
          <w:color w:val="auto"/>
        </w:rPr>
      </w:pPr>
    </w:p>
    <w:p>
      <w:pPr>
        <w:ind w:left="440" w:hanging="432"/>
        <w:spacing w:after="0"/>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currencies and translation of subsidiaries</w:t>
      </w:r>
    </w:p>
    <w:p>
      <w:pPr>
        <w:spacing w:after="0" w:line="173"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and where material are separately disclosed. For the years ended May 31, 2002, 2003 and 2004 amounts charged/(credited) to income amounted to U.S.$1,412,000, U.S.$1,968,000 and (U.S.$2,445,000) respectively.</w:t>
      </w:r>
    </w:p>
    <w:p>
      <w:pPr>
        <w:spacing w:after="0" w:line="74" w:lineRule="exact"/>
        <w:rPr>
          <w:sz w:val="20"/>
          <w:szCs w:val="20"/>
          <w:color w:val="auto"/>
        </w:rPr>
      </w:pPr>
    </w:p>
    <w:p>
      <w:pPr>
        <w:ind w:right="3599"/>
        <w:spacing w:after="0" w:line="292" w:lineRule="auto"/>
        <w:rPr>
          <w:sz w:val="20"/>
          <w:szCs w:val="20"/>
          <w:color w:val="auto"/>
        </w:rPr>
      </w:pPr>
      <w:r>
        <w:rPr>
          <w:rFonts w:ascii="Courier New" w:cs="Courier New" w:eastAsia="Courier New" w:hAnsi="Courier New"/>
          <w:sz w:val="14"/>
          <w:szCs w:val="14"/>
          <w:color w:val="auto"/>
        </w:rPr>
        <w:t>The financial statements of subsidiaries with other functional currencies are translated at year end rates for the balance sheet and average rates for the income statement. Translation gains and losses arising are reported as a movement on accumulated other comprehensive income.</w:t>
      </w:r>
    </w:p>
    <w:p>
      <w:pPr>
        <w:spacing w:after="0" w:line="56"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During the year, the Company entered into foreign exchange currency contracts to manage its exposure against currency fluctuations on anticipated Euro denominated cashflows. Currency gains and losses arising in the year under these arrangements are recorded in the statement of operations.</w:t>
      </w:r>
    </w:p>
    <w:p>
      <w:pPr>
        <w:spacing w:after="0" w:line="56" w:lineRule="exact"/>
        <w:rPr>
          <w:sz w:val="20"/>
          <w:szCs w:val="20"/>
          <w:color w:val="auto"/>
        </w:rPr>
      </w:pPr>
    </w:p>
    <w:p>
      <w:pPr>
        <w:ind w:left="440" w:hanging="432"/>
        <w:spacing w:after="0"/>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about fair value of financial instruments</w:t>
      </w:r>
    </w:p>
    <w:p>
      <w:pPr>
        <w:spacing w:after="0" w:line="173" w:lineRule="exact"/>
        <w:rPr>
          <w:sz w:val="20"/>
          <w:szCs w:val="20"/>
          <w:color w:val="auto"/>
        </w:rPr>
      </w:pPr>
    </w:p>
    <w:p>
      <w:pPr>
        <w:ind w:right="3599"/>
        <w:spacing w:after="0" w:line="375" w:lineRule="auto"/>
        <w:rPr>
          <w:sz w:val="20"/>
          <w:szCs w:val="20"/>
          <w:color w:val="auto"/>
        </w:rPr>
      </w:pPr>
      <w:r>
        <w:rPr>
          <w:rFonts w:ascii="Courier New" w:cs="Courier New" w:eastAsia="Courier New" w:hAnsi="Courier New"/>
          <w:sz w:val="14"/>
          <w:szCs w:val="14"/>
          <w:color w:val="auto"/>
        </w:rPr>
        <w:t>The following methods and assumptions were used to estimate the fair value of each material class of financial instrument:</w:t>
      </w:r>
    </w:p>
    <w:p>
      <w:pPr>
        <w:spacing w:after="0" w:line="1"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Cash, cash equivalents, unbilled revenue, other receivables, short term investments, prepayments and other current assets, accounts receivable, accounts payable, investigator payments, payments received on account, accrued liabilities, accrued</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590"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bonuses, bank overdraft and taxes payable carrying amount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approximates fair value due to the short term maturities of these instruments.</w:t>
      </w:r>
    </w:p>
    <w:p>
      <w:pPr>
        <w:spacing w:after="0" w:line="147"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Long-term debt and other liabilities carrying amounts approximate fair value based on net present value of estimated future cash flows.</w:t>
      </w:r>
    </w:p>
    <w:p>
      <w:pPr>
        <w:spacing w:after="0" w:line="1" w:lineRule="exact"/>
        <w:rPr>
          <w:sz w:val="20"/>
          <w:szCs w:val="20"/>
          <w:color w:val="auto"/>
        </w:rPr>
      </w:pPr>
    </w:p>
    <w:p>
      <w:pPr>
        <w:ind w:left="440" w:hanging="432"/>
        <w:spacing w:after="0"/>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Leased Assets</w:t>
      </w:r>
    </w:p>
    <w:p>
      <w:pPr>
        <w:spacing w:after="0" w:line="173"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Costs in respect of operating leases are charged to the statement of operations on a straight line basis over the lease term.</w:t>
      </w:r>
    </w:p>
    <w:p>
      <w:pPr>
        <w:spacing w:after="0" w:line="1"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62" w:lineRule="exact"/>
        <w:rPr>
          <w:sz w:val="20"/>
          <w:szCs w:val="20"/>
          <w:color w:val="auto"/>
        </w:rPr>
      </w:pPr>
    </w:p>
    <w:p>
      <w:pPr>
        <w:ind w:left="440" w:hanging="432"/>
        <w:spacing w:after="0"/>
        <w:tabs>
          <w:tab w:leader="none" w:pos="4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Goodwill</w:t>
      </w:r>
    </w:p>
    <w:p>
      <w:pPr>
        <w:spacing w:after="0" w:line="173" w:lineRule="exact"/>
        <w:rPr>
          <w:sz w:val="20"/>
          <w:szCs w:val="20"/>
          <w:color w:val="auto"/>
        </w:rPr>
      </w:pPr>
    </w:p>
    <w:p>
      <w:pPr>
        <w:ind w:right="3419"/>
        <w:spacing w:after="0" w:line="268" w:lineRule="auto"/>
        <w:rPr>
          <w:sz w:val="20"/>
          <w:szCs w:val="20"/>
          <w:color w:val="auto"/>
        </w:rPr>
      </w:pPr>
      <w:r>
        <w:rPr>
          <w:rFonts w:ascii="Courier New" w:cs="Courier New" w:eastAsia="Courier New" w:hAnsi="Courier New"/>
          <w:sz w:val="14"/>
          <w:szCs w:val="14"/>
          <w:color w:val="auto"/>
        </w:rPr>
        <w:t>In July 2001, the Financial Accounting Standards Board (FASB) issued two new statements: SFAS No. 141, "Business Combinations", and Statement No. 142, "Goodwill and Other Intangible Assets". Those Statements changed the accounting for business combinations and goodwill in two significant ways. First, SFAS No. 141 requires that the purchase method of accounting be used for all business combinations initiated after June 30, 2001. Use of the pooling-of-interests method is prohibited. Second, SFAS No.142 changes the accounting for goodwill from an amortization method to an impairment-only approach.</w:t>
      </w:r>
    </w:p>
    <w:p>
      <w:pPr>
        <w:spacing w:after="0" w:line="74"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The Company adopted SFAS No.142 effective June 1, 2001 and ceased amortization of goodwill as of June 1, 2001. The Company does not have any intangible assets. SFAS No.142 requires a two step impairment test for goodwill. The first step is to compare the carrying amount of the reporting units' assets to the fair value of the reporting unit. If the carrying amount exceeds the fair value then a second step is required to be completed which involves the fair value of the reporting unit being allocated to each asset and liability with the excess being implied goodwill. The impairment loss is the amount by which the recorded goodwill exceeds the implied goodwill. The Company has completed its transitional and annual assessments of goodwill impairment and concluded that no indication of goodwill impairment existed at May 31, 2002, May 31, 2003 or 2004.</w:t>
      </w:r>
    </w:p>
    <w:p>
      <w:pPr>
        <w:spacing w:after="0" w:line="76" w:lineRule="exact"/>
        <w:rPr>
          <w:sz w:val="20"/>
          <w:szCs w:val="20"/>
          <w:color w:val="auto"/>
        </w:rPr>
      </w:pPr>
    </w:p>
    <w:p>
      <w:pPr>
        <w:ind w:left="440" w:hanging="432"/>
        <w:spacing w:after="0"/>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939"/>
        <w:spacing w:after="0" w:line="313" w:lineRule="auto"/>
        <w:rPr>
          <w:sz w:val="20"/>
          <w:szCs w:val="20"/>
          <w:color w:val="auto"/>
        </w:rPr>
      </w:pPr>
      <w:r>
        <w:rPr>
          <w:rFonts w:ascii="Courier New" w:cs="Courier New" w:eastAsia="Courier New" w:hAnsi="Courier New"/>
          <w:sz w:val="14"/>
          <w:szCs w:val="14"/>
          <w:color w:val="auto"/>
        </w:rPr>
        <w:t>Cash and cash equivalents include cash and highly liquid investments with initial maturities of three months or less and is stated at cost, which approximates market value.</w:t>
      </w:r>
    </w:p>
    <w:p>
      <w:pPr>
        <w:spacing w:after="0" w:line="42" w:lineRule="exact"/>
        <w:rPr>
          <w:sz w:val="20"/>
          <w:szCs w:val="20"/>
          <w:color w:val="auto"/>
        </w:rPr>
      </w:pPr>
    </w:p>
    <w:p>
      <w:pPr>
        <w:ind w:left="440" w:hanging="432"/>
        <w:spacing w:after="0"/>
        <w:tabs>
          <w:tab w:leader="none" w:pos="4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 term investments - available for sale</w:t>
      </w:r>
    </w:p>
    <w:p>
      <w:pPr>
        <w:spacing w:after="0" w:line="173"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The Company has classified short-term investments as available for sale in accordance with the terms of SFAS No.115 "Accounting for Certain Investments in Debt and Equity Securities". Realized gains and losses are determined using specific identification. The investments are reported at fair value, with unrealized gains or losses reported in a separate component of shareholders' equity. Any differences between the cost and fair value of the investments are represented by accrued interest.</w:t>
      </w:r>
    </w:p>
    <w:p>
      <w:pPr>
        <w:spacing w:after="0" w:line="72" w:lineRule="exact"/>
        <w:rPr>
          <w:sz w:val="20"/>
          <w:szCs w:val="20"/>
          <w:color w:val="auto"/>
        </w:rPr>
      </w:pPr>
    </w:p>
    <w:p>
      <w:pPr>
        <w:ind w:left="440" w:hanging="432"/>
        <w:spacing w:after="0"/>
        <w:tabs>
          <w:tab w:leader="none" w:pos="4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Inventory</w:t>
      </w:r>
    </w:p>
    <w:p>
      <w:pPr>
        <w:spacing w:after="0" w:line="173"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Inventory is valued at the lower of cost and net realizable value and after provisions for obsolescence. Cost in the case of raw materials comprises the purchase price and attributable costs, less trade discounts. Cost in the case of work in progress and finished goods, comprises fixed labor, raw materials costs and attributable overheads.</w:t>
      </w:r>
    </w:p>
    <w:p>
      <w:pPr>
        <w:spacing w:after="0" w:line="2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590"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(n) Property, plant and equipment</w:t>
      </w:r>
    </w:p>
    <w:p>
      <w:pPr>
        <w:spacing w:after="0" w:line="173"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Property, plant and equipment are stated at cost less accumulated depreciation. Depreciation of property, plant and equipment is computed using the straight line method based on the estimated useful lives of the assets as listed below:</w:t>
      </w:r>
    </w:p>
    <w:p>
      <w:pPr>
        <w:spacing w:after="0" w:line="208" w:lineRule="exact"/>
        <w:rPr>
          <w:sz w:val="20"/>
          <w:szCs w:val="20"/>
          <w:color w:val="auto"/>
        </w:rPr>
      </w:pPr>
    </w:p>
    <w:tbl>
      <w:tblPr>
        <w:tblLayout w:type="fixed"/>
        <w:tblInd w:w="780" w:type="dxa"/>
        <w:tblCellMar>
          <w:top w:w="0" w:type="dxa"/>
          <w:left w:w="0" w:type="dxa"/>
          <w:bottom w:w="0" w:type="dxa"/>
          <w:right w:w="0" w:type="dxa"/>
        </w:tblCellMar>
      </w:tblPr>
      <w:tr>
        <w:trPr>
          <w:trHeight w:val="242"/>
        </w:trPr>
        <w:tc>
          <w:tcPr>
            <w:tcW w:w="3440" w:type="dxa"/>
            <w:vAlign w:val="bottom"/>
          </w:tcPr>
          <w:p>
            <w:pPr>
              <w:spacing w:after="0"/>
              <w:rPr>
                <w:sz w:val="21"/>
                <w:szCs w:val="21"/>
                <w:color w:val="auto"/>
              </w:rPr>
            </w:pPr>
          </w:p>
        </w:tc>
        <w:tc>
          <w:tcPr>
            <w:tcW w:w="1220" w:type="dxa"/>
            <w:vAlign w:val="bottom"/>
          </w:tcPr>
          <w:p>
            <w:pPr>
              <w:ind w:left="780"/>
              <w:spacing w:after="0"/>
              <w:rPr>
                <w:sz w:val="20"/>
                <w:szCs w:val="20"/>
                <w:color w:val="auto"/>
              </w:rPr>
            </w:pPr>
            <w:r>
              <w:rPr>
                <w:rFonts w:ascii="Courier New" w:cs="Courier New" w:eastAsia="Courier New" w:hAnsi="Courier New"/>
                <w:sz w:val="14"/>
                <w:szCs w:val="14"/>
                <w:color w:val="auto"/>
                <w:w w:val="99"/>
              </w:rPr>
              <w:t>Years</w:t>
            </w:r>
          </w:p>
        </w:tc>
      </w:tr>
      <w:tr>
        <w:trPr>
          <w:trHeight w:val="255"/>
        </w:trPr>
        <w:tc>
          <w:tcPr>
            <w:tcW w:w="3440" w:type="dxa"/>
            <w:vAlign w:val="bottom"/>
          </w:tcPr>
          <w:p>
            <w:pPr>
              <w:spacing w:after="0"/>
              <w:rPr>
                <w:sz w:val="20"/>
                <w:szCs w:val="20"/>
                <w:color w:val="auto"/>
              </w:rPr>
            </w:pPr>
            <w:r>
              <w:rPr>
                <w:rFonts w:ascii="Courier New" w:cs="Courier New" w:eastAsia="Courier New" w:hAnsi="Courier New"/>
                <w:sz w:val="14"/>
                <w:szCs w:val="14"/>
                <w:color w:val="auto"/>
              </w:rPr>
              <w:t>Building</w:t>
            </w:r>
          </w:p>
        </w:tc>
        <w:tc>
          <w:tcPr>
            <w:tcW w:w="1220" w:type="dxa"/>
            <w:vAlign w:val="bottom"/>
          </w:tcPr>
          <w:p>
            <w:pPr>
              <w:ind w:left="780"/>
              <w:spacing w:after="0"/>
              <w:rPr>
                <w:sz w:val="20"/>
                <w:szCs w:val="20"/>
                <w:color w:val="auto"/>
              </w:rPr>
            </w:pPr>
            <w:r>
              <w:rPr>
                <w:rFonts w:ascii="Courier New" w:cs="Courier New" w:eastAsia="Courier New" w:hAnsi="Courier New"/>
                <w:sz w:val="14"/>
                <w:szCs w:val="14"/>
                <w:color w:val="auto"/>
              </w:rPr>
              <w:t>40</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Computer equipment and software</w:t>
            </w:r>
          </w:p>
        </w:tc>
        <w:tc>
          <w:tcPr>
            <w:tcW w:w="1220" w:type="dxa"/>
            <w:vAlign w:val="bottom"/>
          </w:tcPr>
          <w:p>
            <w:pPr>
              <w:ind w:left="780"/>
              <w:spacing w:after="0"/>
              <w:rPr>
                <w:sz w:val="20"/>
                <w:szCs w:val="20"/>
                <w:color w:val="auto"/>
              </w:rPr>
            </w:pPr>
            <w:r>
              <w:rPr>
                <w:rFonts w:ascii="Courier New" w:cs="Courier New" w:eastAsia="Courier New" w:hAnsi="Courier New"/>
                <w:sz w:val="14"/>
                <w:szCs w:val="14"/>
                <w:color w:val="auto"/>
              </w:rPr>
              <w:t>4</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Office furniture and fixtures</w:t>
            </w:r>
          </w:p>
        </w:tc>
        <w:tc>
          <w:tcPr>
            <w:tcW w:w="1220" w:type="dxa"/>
            <w:vAlign w:val="bottom"/>
          </w:tcPr>
          <w:p>
            <w:pPr>
              <w:ind w:left="780"/>
              <w:spacing w:after="0"/>
              <w:rPr>
                <w:sz w:val="20"/>
                <w:szCs w:val="20"/>
                <w:color w:val="auto"/>
              </w:rPr>
            </w:pPr>
            <w:r>
              <w:rPr>
                <w:rFonts w:ascii="Courier New" w:cs="Courier New" w:eastAsia="Courier New" w:hAnsi="Courier New"/>
                <w:sz w:val="14"/>
                <w:szCs w:val="14"/>
                <w:color w:val="auto"/>
              </w:rPr>
              <w:t>8</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Laboratory equipment</w:t>
            </w:r>
          </w:p>
        </w:tc>
        <w:tc>
          <w:tcPr>
            <w:tcW w:w="1220" w:type="dxa"/>
            <w:vAlign w:val="bottom"/>
          </w:tcPr>
          <w:p>
            <w:pPr>
              <w:ind w:left="780"/>
              <w:spacing w:after="0"/>
              <w:rPr>
                <w:sz w:val="20"/>
                <w:szCs w:val="20"/>
                <w:color w:val="auto"/>
              </w:rPr>
            </w:pPr>
            <w:r>
              <w:rPr>
                <w:rFonts w:ascii="Courier New" w:cs="Courier New" w:eastAsia="Courier New" w:hAnsi="Courier New"/>
                <w:sz w:val="14"/>
                <w:szCs w:val="14"/>
                <w:color w:val="auto"/>
              </w:rPr>
              <w:t>5</w:t>
            </w:r>
          </w:p>
        </w:tc>
      </w:tr>
      <w:tr>
        <w:trPr>
          <w:trHeight w:val="242"/>
        </w:trPr>
        <w:tc>
          <w:tcPr>
            <w:tcW w:w="3440" w:type="dxa"/>
            <w:vAlign w:val="bottom"/>
          </w:tcPr>
          <w:p>
            <w:pPr>
              <w:spacing w:after="0"/>
              <w:rPr>
                <w:sz w:val="20"/>
                <w:szCs w:val="20"/>
                <w:color w:val="auto"/>
              </w:rPr>
            </w:pPr>
            <w:r>
              <w:rPr>
                <w:rFonts w:ascii="Courier New" w:cs="Courier New" w:eastAsia="Courier New" w:hAnsi="Courier New"/>
                <w:sz w:val="14"/>
                <w:szCs w:val="14"/>
                <w:color w:val="auto"/>
              </w:rPr>
              <w:t>Motor vehicles</w:t>
            </w:r>
          </w:p>
        </w:tc>
        <w:tc>
          <w:tcPr>
            <w:tcW w:w="1220" w:type="dxa"/>
            <w:vAlign w:val="bottom"/>
          </w:tcPr>
          <w:p>
            <w:pPr>
              <w:ind w:left="780"/>
              <w:spacing w:after="0"/>
              <w:rPr>
                <w:sz w:val="20"/>
                <w:szCs w:val="20"/>
                <w:color w:val="auto"/>
              </w:rPr>
            </w:pPr>
            <w:r>
              <w:rPr>
                <w:rFonts w:ascii="Courier New" w:cs="Courier New" w:eastAsia="Courier New" w:hAnsi="Courier New"/>
                <w:sz w:val="14"/>
                <w:szCs w:val="14"/>
                <w:color w:val="auto"/>
              </w:rPr>
              <w:t>5</w:t>
            </w:r>
          </w:p>
        </w:tc>
      </w:tr>
    </w:tbl>
    <w:p>
      <w:pPr>
        <w:spacing w:after="0" w:line="90"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Leasehold improvements are amortized using the straight-line method over the estimated useful life of the asset or the lease term, whichever is shorter.</w:t>
      </w:r>
    </w:p>
    <w:p>
      <w:pPr>
        <w:spacing w:after="0" w:line="1" w:lineRule="exact"/>
        <w:rPr>
          <w:sz w:val="20"/>
          <w:szCs w:val="20"/>
          <w:color w:val="auto"/>
        </w:rPr>
      </w:pPr>
    </w:p>
    <w:p>
      <w:pPr>
        <w:ind w:left="440" w:hanging="432"/>
        <w:spacing w:after="0"/>
        <w:tabs>
          <w:tab w:leader="none" w:pos="4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The Company applies Statement of Financial Accounting Standard ("SFAS") No. 109, "Accounting for Income Taxes," which requires the asset and liability method of accounting for income taxes. Under the asset and liability method of SFAS No. 109,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recognised in income in the period that includes the enactment date.</w:t>
      </w:r>
    </w:p>
    <w:p>
      <w:pPr>
        <w:spacing w:after="0" w:line="249" w:lineRule="exact"/>
        <w:rPr>
          <w:sz w:val="20"/>
          <w:szCs w:val="20"/>
          <w:color w:val="auto"/>
        </w:rPr>
      </w:pPr>
    </w:p>
    <w:p>
      <w:pPr>
        <w:ind w:left="440" w:hanging="432"/>
        <w:spacing w:after="0"/>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grants</w:t>
      </w:r>
    </w:p>
    <w:p>
      <w:pPr>
        <w:spacing w:after="0" w:line="173" w:lineRule="exact"/>
        <w:rPr>
          <w:sz w:val="20"/>
          <w:szCs w:val="20"/>
          <w:color w:val="auto"/>
        </w:rPr>
      </w:pPr>
    </w:p>
    <w:p>
      <w:pPr>
        <w:jc w:val="both"/>
        <w:ind w:right="3339"/>
        <w:spacing w:after="0" w:line="313" w:lineRule="auto"/>
        <w:rPr>
          <w:sz w:val="20"/>
          <w:szCs w:val="20"/>
          <w:color w:val="auto"/>
        </w:rPr>
      </w:pPr>
      <w:r>
        <w:rPr>
          <w:rFonts w:ascii="Courier New" w:cs="Courier New" w:eastAsia="Courier New" w:hAnsi="Courier New"/>
          <w:sz w:val="14"/>
          <w:szCs w:val="14"/>
          <w:color w:val="auto"/>
        </w:rPr>
        <w:t>Government grants received relating to capital expenditure are shown as deferred income and credited to income on a basis consistent with the depreciation policy of the relevant assets.</w:t>
      </w:r>
    </w:p>
    <w:p>
      <w:pPr>
        <w:spacing w:after="0" w:line="42"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Grants relating to categories of operating expenditures are credited to income in the period in which the expenditure to which they relate is charged.</w:t>
      </w:r>
    </w:p>
    <w:p>
      <w:pPr>
        <w:spacing w:after="0" w:line="1"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w:t>
      </w:r>
    </w:p>
    <w:p>
      <w:pPr>
        <w:spacing w:after="0" w:line="56" w:lineRule="exact"/>
        <w:rPr>
          <w:sz w:val="20"/>
          <w:szCs w:val="20"/>
          <w:color w:val="auto"/>
        </w:rPr>
      </w:pPr>
    </w:p>
    <w:p>
      <w:pPr>
        <w:ind w:right="3599"/>
        <w:spacing w:after="0" w:line="375" w:lineRule="auto"/>
        <w:rPr>
          <w:sz w:val="20"/>
          <w:szCs w:val="20"/>
          <w:color w:val="auto"/>
        </w:rPr>
      </w:pPr>
      <w:r>
        <w:rPr>
          <w:rFonts w:ascii="Courier New" w:cs="Courier New" w:eastAsia="Courier New" w:hAnsi="Courier New"/>
          <w:sz w:val="14"/>
          <w:szCs w:val="14"/>
          <w:color w:val="auto"/>
        </w:rPr>
        <w:t>The Company has not recognized any loss contingency having assessed as remote the likelihood of these events arising.</w:t>
      </w:r>
    </w:p>
    <w:p>
      <w:pPr>
        <w:spacing w:after="0" w:line="1" w:lineRule="exact"/>
        <w:rPr>
          <w:sz w:val="20"/>
          <w:szCs w:val="20"/>
          <w:color w:val="auto"/>
        </w:rPr>
      </w:pPr>
    </w:p>
    <w:p>
      <w:pPr>
        <w:ind w:left="440" w:hanging="432"/>
        <w:spacing w:after="0"/>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costs</w:t>
      </w:r>
    </w:p>
    <w:p>
      <w:pPr>
        <w:spacing w:after="0" w:line="173" w:lineRule="exact"/>
        <w:rPr>
          <w:sz w:val="20"/>
          <w:szCs w:val="20"/>
          <w:color w:val="auto"/>
        </w:rPr>
      </w:pPr>
    </w:p>
    <w:p>
      <w:pPr>
        <w:ind w:right="3779"/>
        <w:spacing w:after="0" w:line="292" w:lineRule="auto"/>
        <w:rPr>
          <w:sz w:val="20"/>
          <w:szCs w:val="20"/>
          <w:color w:val="auto"/>
        </w:rPr>
      </w:pPr>
      <w:r>
        <w:rPr>
          <w:rFonts w:ascii="Courier New" w:cs="Courier New" w:eastAsia="Courier New" w:hAnsi="Courier New"/>
          <w:sz w:val="14"/>
          <w:szCs w:val="14"/>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56" w:lineRule="exact"/>
        <w:rPr>
          <w:sz w:val="20"/>
          <w:szCs w:val="20"/>
          <w:color w:val="auto"/>
        </w:rPr>
      </w:pPr>
    </w:p>
    <w:p>
      <w:pPr>
        <w:ind w:right="3339"/>
        <w:spacing w:after="0" w:line="275" w:lineRule="auto"/>
        <w:rPr>
          <w:sz w:val="20"/>
          <w:szCs w:val="20"/>
          <w:color w:val="auto"/>
        </w:rPr>
      </w:pPr>
      <w:r>
        <w:rPr>
          <w:rFonts w:ascii="Courier New" w:cs="Courier New" w:eastAsia="Courier New" w:hAnsi="Courier New"/>
          <w:sz w:val="14"/>
          <w:szCs w:val="14"/>
          <w:color w:val="auto"/>
        </w:rPr>
        <w:t>The Company operates, through a subsidiary, a defined benefit plan for certain of its United Kingdom employees. The Company accounts for the costs of this plan using actuarial models required by SFAS No.87, "Employers Accounting for Pensions". Disclosures are presented in accordance with the requirements of SFAS No.132(R), "Employees' Disclosures about Pensions and Other Post-retirement Benefits".</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1087" w:right="1440" w:bottom="1440" w:gutter="0" w:footer="0" w:header="0"/>
        </w:sectPr>
      </w:pPr>
    </w:p>
    <w:bookmarkStart w:id="55" w:name="page56"/>
    <w:bookmarkEnd w:id="55"/>
    <w:p>
      <w:pPr>
        <w:ind w:left="440" w:hanging="432"/>
        <w:spacing w:after="0"/>
        <w:tabs>
          <w:tab w:leader="none" w:pos="4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per ordinary share</w:t>
      </w:r>
    </w:p>
    <w:p>
      <w:pPr>
        <w:spacing w:after="0" w:line="173" w:lineRule="exact"/>
        <w:rPr>
          <w:sz w:val="20"/>
          <w:szCs w:val="20"/>
          <w:color w:val="auto"/>
        </w:rPr>
      </w:pPr>
    </w:p>
    <w:p>
      <w:pPr>
        <w:ind w:right="3360"/>
        <w:spacing w:after="0" w:line="271" w:lineRule="auto"/>
        <w:rPr>
          <w:sz w:val="20"/>
          <w:szCs w:val="20"/>
          <w:color w:val="auto"/>
        </w:rPr>
      </w:pPr>
      <w:r>
        <w:rPr>
          <w:rFonts w:ascii="Courier New" w:cs="Courier New" w:eastAsia="Courier New" w:hAnsi="Courier New"/>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72" w:lineRule="exact"/>
        <w:rPr>
          <w:sz w:val="20"/>
          <w:szCs w:val="20"/>
          <w:color w:val="auto"/>
        </w:rPr>
      </w:pPr>
    </w:p>
    <w:p>
      <w:pPr>
        <w:ind w:right="3540"/>
        <w:spacing w:after="0" w:line="313" w:lineRule="auto"/>
        <w:rPr>
          <w:sz w:val="20"/>
          <w:szCs w:val="20"/>
          <w:color w:val="auto"/>
        </w:rPr>
      </w:pPr>
      <w:r>
        <w:rPr>
          <w:rFonts w:ascii="Courier New" w:cs="Courier New" w:eastAsia="Courier New" w:hAnsi="Courier New"/>
          <w:sz w:val="14"/>
          <w:szCs w:val="14"/>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040" w:type="dxa"/>
        <w:tblCellMar>
          <w:top w:w="0" w:type="dxa"/>
          <w:left w:w="0" w:type="dxa"/>
          <w:bottom w:w="0" w:type="dxa"/>
          <w:right w:w="0" w:type="dxa"/>
        </w:tblCellMar>
      </w:tblPr>
      <w:tr>
        <w:trPr>
          <w:trHeight w:val="166"/>
        </w:trPr>
        <w:tc>
          <w:tcPr>
            <w:tcW w:w="4960" w:type="dxa"/>
            <w:vAlign w:val="bottom"/>
          </w:tcPr>
          <w:p>
            <w:pPr>
              <w:spacing w:after="0"/>
              <w:rPr>
                <w:sz w:val="14"/>
                <w:szCs w:val="14"/>
                <w:color w:val="auto"/>
              </w:rPr>
            </w:pPr>
          </w:p>
        </w:tc>
        <w:tc>
          <w:tcPr>
            <w:tcW w:w="14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2002</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Year Ended May 31,</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242"/>
        </w:trPr>
        <w:tc>
          <w:tcPr>
            <w:tcW w:w="496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960" w:type="dxa"/>
            <w:vAlign w:val="bottom"/>
          </w:tcPr>
          <w:p>
            <w:pPr>
              <w:spacing w:after="0"/>
              <w:rPr>
                <w:sz w:val="20"/>
                <w:szCs w:val="20"/>
                <w:color w:val="auto"/>
              </w:rPr>
            </w:pPr>
            <w:r>
              <w:rPr>
                <w:rFonts w:ascii="Courier New" w:cs="Courier New" w:eastAsia="Courier New" w:hAnsi="Courier New"/>
                <w:sz w:val="14"/>
                <w:szCs w:val="14"/>
                <w:color w:val="auto"/>
              </w:rPr>
              <w:t>Weighted average number of ordinary shares</w:t>
            </w:r>
          </w:p>
        </w:tc>
        <w:tc>
          <w:tcPr>
            <w:tcW w:w="1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960" w:type="dxa"/>
            <w:vAlign w:val="bottom"/>
          </w:tcPr>
          <w:p>
            <w:pPr>
              <w:ind w:left="80"/>
              <w:spacing w:after="0"/>
              <w:rPr>
                <w:sz w:val="20"/>
                <w:szCs w:val="20"/>
                <w:color w:val="auto"/>
              </w:rPr>
            </w:pPr>
            <w:r>
              <w:rPr>
                <w:rFonts w:ascii="Courier New" w:cs="Courier New" w:eastAsia="Courier New" w:hAnsi="Courier New"/>
                <w:sz w:val="14"/>
                <w:szCs w:val="14"/>
                <w:color w:val="auto"/>
              </w:rPr>
              <w:t>outstanding for basic net income per</w:t>
            </w:r>
          </w:p>
        </w:tc>
        <w:tc>
          <w:tcPr>
            <w:tcW w:w="14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11,656,153</w:t>
            </w:r>
          </w:p>
        </w:tc>
        <w:tc>
          <w:tcPr>
            <w:tcW w:w="17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11,813,788</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13,267,531</w:t>
            </w:r>
          </w:p>
        </w:tc>
        <w:tc>
          <w:tcPr>
            <w:tcW w:w="0" w:type="dxa"/>
            <w:vAlign w:val="bottom"/>
          </w:tcPr>
          <w:p>
            <w:pPr>
              <w:spacing w:after="0"/>
              <w:rPr>
                <w:sz w:val="1"/>
                <w:szCs w:val="1"/>
                <w:color w:val="auto"/>
              </w:rPr>
            </w:pPr>
          </w:p>
        </w:tc>
      </w:tr>
      <w:tr>
        <w:trPr>
          <w:trHeight w:val="166"/>
        </w:trPr>
        <w:tc>
          <w:tcPr>
            <w:tcW w:w="4960" w:type="dxa"/>
            <w:vAlign w:val="bottom"/>
          </w:tcPr>
          <w:p>
            <w:pPr>
              <w:ind w:left="80"/>
              <w:spacing w:after="0"/>
              <w:rPr>
                <w:sz w:val="20"/>
                <w:szCs w:val="20"/>
                <w:color w:val="auto"/>
              </w:rPr>
            </w:pPr>
            <w:r>
              <w:rPr>
                <w:rFonts w:ascii="Courier New" w:cs="Courier New" w:eastAsia="Courier New" w:hAnsi="Courier New"/>
                <w:sz w:val="14"/>
                <w:szCs w:val="14"/>
                <w:color w:val="auto"/>
              </w:rPr>
              <w:t>ordinary share</w:t>
            </w:r>
          </w:p>
        </w:tc>
        <w:tc>
          <w:tcPr>
            <w:tcW w:w="14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Effect of dilutive share options outstanding</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582,908</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367,306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435,632</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Effect  of  dilutive  shares to be issued as part of</w:t>
            </w:r>
          </w:p>
        </w:tc>
        <w:tc>
          <w:tcPr>
            <w:tcW w:w="14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2,759</w:t>
            </w:r>
          </w:p>
        </w:tc>
        <w:tc>
          <w:tcPr>
            <w:tcW w:w="17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20"/>
                <w:szCs w:val="20"/>
                <w:color w:val="auto"/>
              </w:rPr>
            </w:pPr>
            <w:r>
              <w:rPr>
                <w:rFonts w:ascii="Courier New" w:cs="Courier New" w:eastAsia="Courier New" w:hAnsi="Courier New"/>
                <w:sz w:val="14"/>
                <w:szCs w:val="14"/>
                <w:color w:val="auto"/>
              </w:rPr>
              <w:t>deferred consideration</w:t>
            </w:r>
          </w:p>
        </w:tc>
        <w:tc>
          <w:tcPr>
            <w:tcW w:w="142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700"/>
        <w:spacing w:after="0"/>
        <w:rPr>
          <w:sz w:val="20"/>
          <w:szCs w:val="20"/>
          <w:color w:val="auto"/>
        </w:rPr>
      </w:pPr>
      <w:r>
        <w:rPr>
          <w:rFonts w:ascii="Courier New" w:cs="Courier New" w:eastAsia="Courier New" w:hAnsi="Courier New"/>
          <w:sz w:val="14"/>
          <w:szCs w:val="14"/>
          <w:color w:val="auto"/>
        </w:rPr>
        <w:t>--------------------------------------------------------- -------------------- --------------- ----------------</w:t>
      </w:r>
    </w:p>
    <w:tbl>
      <w:tblPr>
        <w:tblLayout w:type="fixed"/>
        <w:tblInd w:w="1040" w:type="dxa"/>
        <w:tblCellMar>
          <w:top w:w="0" w:type="dxa"/>
          <w:left w:w="0" w:type="dxa"/>
          <w:bottom w:w="0" w:type="dxa"/>
          <w:right w:w="0" w:type="dxa"/>
        </w:tblCellMar>
      </w:tblPr>
      <w:tr>
        <w:trPr>
          <w:trHeight w:val="147"/>
        </w:trPr>
        <w:tc>
          <w:tcPr>
            <w:tcW w:w="4700" w:type="dxa"/>
            <w:vAlign w:val="bottom"/>
          </w:tcPr>
          <w:p>
            <w:pPr>
              <w:spacing w:after="0" w:line="147" w:lineRule="exact"/>
              <w:rPr>
                <w:sz w:val="20"/>
                <w:szCs w:val="20"/>
                <w:color w:val="auto"/>
              </w:rPr>
            </w:pPr>
            <w:r>
              <w:rPr>
                <w:rFonts w:ascii="Courier New" w:cs="Courier New" w:eastAsia="Courier New" w:hAnsi="Courier New"/>
                <w:sz w:val="14"/>
                <w:szCs w:val="14"/>
                <w:color w:val="auto"/>
              </w:rPr>
              <w:t>Weighted average number of ordinary shares for</w:t>
            </w:r>
          </w:p>
        </w:tc>
        <w:tc>
          <w:tcPr>
            <w:tcW w:w="18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12,241,820</w:t>
            </w:r>
          </w:p>
        </w:tc>
        <w:tc>
          <w:tcPr>
            <w:tcW w:w="14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12,181,094</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13,703,163</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20"/>
                <w:szCs w:val="20"/>
                <w:color w:val="auto"/>
              </w:rPr>
            </w:pPr>
            <w:r>
              <w:rPr>
                <w:rFonts w:ascii="Courier New" w:cs="Courier New" w:eastAsia="Courier New" w:hAnsi="Courier New"/>
                <w:sz w:val="14"/>
                <w:szCs w:val="14"/>
                <w:color w:val="auto"/>
              </w:rPr>
              <w:t>diluted net income per ordinary share</w:t>
            </w:r>
          </w:p>
        </w:tc>
        <w:tc>
          <w:tcPr>
            <w:tcW w:w="18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70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60"/>
          </w:cols>
          <w:pgMar w:left="220" w:top="921" w:right="1419" w:bottom="1440" w:gutter="0" w:footer="0" w:header="0"/>
        </w:sectPr>
      </w:pPr>
    </w:p>
    <w:bookmarkStart w:id="56" w:name="page57"/>
    <w:bookmarkEnd w:id="56"/>
    <w:p>
      <w:pPr>
        <w:ind w:left="440" w:hanging="432"/>
        <w:spacing w:after="0"/>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Stock-based compensation</w:t>
      </w:r>
    </w:p>
    <w:p>
      <w:pPr>
        <w:spacing w:after="0" w:line="173" w:lineRule="exact"/>
        <w:rPr>
          <w:sz w:val="20"/>
          <w:szCs w:val="20"/>
          <w:color w:val="auto"/>
        </w:rPr>
      </w:pPr>
    </w:p>
    <w:p>
      <w:pPr>
        <w:ind w:right="3520"/>
        <w:spacing w:after="0" w:line="264" w:lineRule="auto"/>
        <w:rPr>
          <w:sz w:val="20"/>
          <w:szCs w:val="20"/>
          <w:color w:val="auto"/>
        </w:rPr>
      </w:pPr>
      <w:r>
        <w:rPr>
          <w:rFonts w:ascii="Courier New" w:cs="Courier New" w:eastAsia="Courier New" w:hAnsi="Courier New"/>
          <w:sz w:val="14"/>
          <w:szCs w:val="14"/>
          <w:color w:val="auto"/>
        </w:rPr>
        <w:t>The Company accounts for its share options in accordance with the provisions of SFAS No. 123, "Accounting for Stock-Based Compensation". SFAS No. 123 allows entities to continue to apply the provisions of Accounting Principles Board ("APB") Opinion No. 25, "Accounting for Stock Issued to Employees", and provide pro forma net income and pro forma earnings per share disclosures for employee stock option grants as if the fair-value-based method defined in SFAS No. 123 had been applied. APB No. 25 permits entities to recognize as expense, over the vesting period, the fair value of all stock- based awards on the date of grant. The Company has elected to apply the provisions of APB Opinion No. 25 and provide the pro forma disclosure provisions of SFAS No. 123.</w:t>
      </w:r>
    </w:p>
    <w:p>
      <w:pPr>
        <w:spacing w:after="0" w:line="77" w:lineRule="exact"/>
        <w:rPr>
          <w:sz w:val="20"/>
          <w:szCs w:val="20"/>
          <w:color w:val="auto"/>
        </w:rPr>
      </w:pPr>
    </w:p>
    <w:p>
      <w:pPr>
        <w:jc w:val="both"/>
        <w:ind w:right="3520"/>
        <w:spacing w:after="0" w:line="313" w:lineRule="auto"/>
        <w:rPr>
          <w:sz w:val="20"/>
          <w:szCs w:val="20"/>
          <w:color w:val="auto"/>
        </w:rPr>
      </w:pPr>
      <w:r>
        <w:rPr>
          <w:rFonts w:ascii="Courier New" w:cs="Courier New" w:eastAsia="Courier New" w:hAnsi="Courier New"/>
          <w:sz w:val="14"/>
          <w:szCs w:val="14"/>
          <w:color w:val="auto"/>
        </w:rPr>
        <w:t>The following table illustrates the effect on net income and earnings per share as if the fair value method of SFAS No. 123 had been applied to all outstanding and unvested stock options in each period.</w:t>
      </w:r>
    </w:p>
    <w:p>
      <w:pPr>
        <w:spacing w:after="0" w:line="373" w:lineRule="exact"/>
        <w:rPr>
          <w:sz w:val="20"/>
          <w:szCs w:val="20"/>
          <w:color w:val="auto"/>
        </w:rPr>
      </w:pPr>
    </w:p>
    <w:tbl>
      <w:tblPr>
        <w:tblLayout w:type="fixed"/>
        <w:tblInd w:w="700" w:type="dxa"/>
        <w:tblCellMar>
          <w:top w:w="0" w:type="dxa"/>
          <w:left w:w="0" w:type="dxa"/>
          <w:bottom w:w="0" w:type="dxa"/>
          <w:right w:w="0" w:type="dxa"/>
        </w:tblCellMar>
      </w:tblPr>
      <w:tr>
        <w:trPr>
          <w:trHeight w:val="166"/>
        </w:trPr>
        <w:tc>
          <w:tcPr>
            <w:tcW w:w="2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2002</w:t>
            </w:r>
          </w:p>
        </w:tc>
        <w:tc>
          <w:tcPr>
            <w:tcW w:w="1940" w:type="dxa"/>
            <w:vAlign w:val="bottom"/>
          </w:tcPr>
          <w:p>
            <w:pPr>
              <w:ind w:left="80"/>
              <w:spacing w:after="0"/>
              <w:rPr>
                <w:sz w:val="20"/>
                <w:szCs w:val="20"/>
                <w:color w:val="auto"/>
              </w:rPr>
            </w:pPr>
            <w:r>
              <w:rPr>
                <w:rFonts w:ascii="Courier New" w:cs="Courier New" w:eastAsia="Courier New" w:hAnsi="Courier New"/>
                <w:sz w:val="14"/>
                <w:szCs w:val="14"/>
                <w:color w:val="auto"/>
              </w:rPr>
              <w:t>Year Ended May 31,</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1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2003</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Courier New" w:cs="Courier New" w:eastAsia="Courier New" w:hAnsi="Courier New"/>
                <w:sz w:val="14"/>
                <w:szCs w:val="14"/>
                <w:color w:val="auto"/>
              </w:rPr>
              <w:t>(in thousands)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(except per share data)</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220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2280" w:type="dxa"/>
            <w:vAlign w:val="bottom"/>
          </w:tcPr>
          <w:p>
            <w:pPr>
              <w:spacing w:after="0"/>
              <w:rPr>
                <w:sz w:val="24"/>
                <w:szCs w:val="24"/>
                <w:color w:val="auto"/>
              </w:rPr>
            </w:pPr>
          </w:p>
        </w:tc>
        <w:tc>
          <w:tcPr>
            <w:tcW w:w="2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$14,200</w:t>
            </w:r>
          </w:p>
        </w:tc>
        <w:tc>
          <w:tcPr>
            <w:tcW w:w="1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$18,283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$25,742</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Add: Stock-based employee</w:t>
            </w:r>
          </w:p>
        </w:tc>
        <w:tc>
          <w:tcPr>
            <w:tcW w:w="4520" w:type="dxa"/>
            <w:vAlign w:val="bottom"/>
            <w:gridSpan w:val="2"/>
          </w:tcPr>
          <w:p>
            <w:pPr>
              <w:jc w:val="right"/>
              <w:ind w:right="1828"/>
              <w:spacing w:after="0"/>
              <w:rPr>
                <w:sz w:val="20"/>
                <w:szCs w:val="20"/>
                <w:color w:val="auto"/>
              </w:rPr>
            </w:pPr>
            <w:r>
              <w:rPr>
                <w:rFonts w:ascii="Courier New" w:cs="Courier New" w:eastAsia="Courier New" w:hAnsi="Courier New"/>
                <w:sz w:val="14"/>
                <w:szCs w:val="14"/>
                <w:color w:val="auto"/>
              </w:rPr>
              <w:t>compensation expense included</w:t>
            </w:r>
          </w:p>
        </w:tc>
        <w:tc>
          <w:tcPr>
            <w:tcW w:w="1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in reported net income, net of related tax effects</w:t>
            </w:r>
          </w:p>
        </w:tc>
        <w:tc>
          <w:tcPr>
            <w:tcW w:w="22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94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22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6720" w:type="dxa"/>
            <w:vAlign w:val="bottom"/>
            <w:gridSpan w:val="3"/>
          </w:tcPr>
          <w:p>
            <w:pPr>
              <w:spacing w:after="0"/>
              <w:rPr>
                <w:sz w:val="20"/>
                <w:szCs w:val="20"/>
                <w:color w:val="auto"/>
              </w:rPr>
            </w:pPr>
            <w:r>
              <w:rPr>
                <w:rFonts w:ascii="Courier New" w:cs="Courier New" w:eastAsia="Courier New" w:hAnsi="Courier New"/>
                <w:sz w:val="14"/>
                <w:szCs w:val="14"/>
                <w:color w:val="auto"/>
              </w:rPr>
              <w:t>Deduct: Total stock-based employee  compensation expense</w:t>
            </w:r>
          </w:p>
        </w:tc>
        <w:tc>
          <w:tcPr>
            <w:tcW w:w="1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determined   under  fair</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value  based  method  for</w:t>
            </w:r>
          </w:p>
        </w:tc>
        <w:tc>
          <w:tcPr>
            <w:tcW w:w="224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all</w:t>
            </w:r>
          </w:p>
        </w:tc>
        <w:tc>
          <w:tcPr>
            <w:tcW w:w="194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(2,096)</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(2,358)</w:t>
            </w:r>
          </w:p>
        </w:tc>
        <w:tc>
          <w:tcPr>
            <w:tcW w:w="0" w:type="dxa"/>
            <w:vAlign w:val="bottom"/>
          </w:tcPr>
          <w:p>
            <w:pPr>
              <w:spacing w:after="0"/>
              <w:rPr>
                <w:sz w:val="1"/>
                <w:szCs w:val="1"/>
                <w:color w:val="auto"/>
              </w:rPr>
            </w:pPr>
          </w:p>
        </w:tc>
      </w:tr>
      <w:tr>
        <w:trPr>
          <w:trHeight w:val="192"/>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awards, net of related tax effects</w:t>
            </w:r>
          </w:p>
        </w:tc>
        <w:tc>
          <w:tcPr>
            <w:tcW w:w="2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(1,609)</w:t>
            </w:r>
          </w:p>
        </w:tc>
        <w:tc>
          <w:tcPr>
            <w:tcW w:w="19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7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31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$12,591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$16,187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$23,384</w:t>
            </w:r>
          </w:p>
        </w:tc>
      </w:tr>
    </w:tbl>
    <w:p>
      <w:pPr>
        <w:ind w:left="780"/>
        <w:spacing w:after="0"/>
        <w:rPr>
          <w:sz w:val="20"/>
          <w:szCs w:val="20"/>
          <w:color w:val="auto"/>
        </w:rPr>
      </w:pPr>
      <w:r>
        <w:rPr>
          <w:rFonts w:ascii="Courier New" w:cs="Courier New" w:eastAsia="Courier New" w:hAnsi="Courier New"/>
          <w:sz w:val="14"/>
          <w:szCs w:val="14"/>
          <w:color w:val="auto"/>
        </w:rPr>
        <w:t>--------------------------------------------------------- -------------------- --------------- ----------------</w:t>
      </w:r>
    </w:p>
    <w:tbl>
      <w:tblPr>
        <w:tblLayout w:type="fixed"/>
        <w:tblInd w:w="700" w:type="dxa"/>
        <w:tblCellMar>
          <w:top w:w="0" w:type="dxa"/>
          <w:left w:w="0" w:type="dxa"/>
          <w:bottom w:w="0" w:type="dxa"/>
          <w:right w:w="0" w:type="dxa"/>
        </w:tblCellMar>
      </w:tblPr>
      <w:tr>
        <w:trPr>
          <w:trHeight w:val="147"/>
        </w:trPr>
        <w:tc>
          <w:tcPr>
            <w:tcW w:w="1080" w:type="dxa"/>
            <w:vAlign w:val="bottom"/>
            <w:gridSpan w:val="3"/>
          </w:tcPr>
          <w:p>
            <w:pPr>
              <w:spacing w:after="0" w:line="147" w:lineRule="exact"/>
              <w:rPr>
                <w:sz w:val="20"/>
                <w:szCs w:val="20"/>
                <w:color w:val="auto"/>
              </w:rPr>
            </w:pPr>
            <w:r>
              <w:rPr>
                <w:rFonts w:ascii="Courier New" w:cs="Courier New" w:eastAsia="Courier New" w:hAnsi="Courier New"/>
                <w:sz w:val="14"/>
                <w:szCs w:val="14"/>
                <w:color w:val="auto"/>
              </w:rPr>
              <w:t>Earnings per</w:t>
            </w:r>
          </w:p>
        </w:tc>
        <w:tc>
          <w:tcPr>
            <w:tcW w:w="314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share (in $):</w:t>
            </w:r>
          </w:p>
        </w:tc>
        <w:tc>
          <w:tcPr>
            <w:tcW w:w="288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$1.22</w:t>
            </w:r>
          </w:p>
        </w:tc>
        <w:tc>
          <w:tcPr>
            <w:tcW w:w="14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$1.55</w:t>
            </w:r>
          </w:p>
        </w:tc>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$1.94</w:t>
            </w:r>
          </w:p>
        </w:tc>
        <w:tc>
          <w:tcPr>
            <w:tcW w:w="0" w:type="dxa"/>
            <w:vAlign w:val="bottom"/>
          </w:tcPr>
          <w:p>
            <w:pPr>
              <w:spacing w:after="0"/>
              <w:rPr>
                <w:sz w:val="1"/>
                <w:szCs w:val="1"/>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3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 as reported</w:t>
            </w:r>
          </w:p>
        </w:tc>
        <w:tc>
          <w:tcPr>
            <w:tcW w:w="28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3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 pro forma</w:t>
            </w:r>
          </w:p>
        </w:tc>
        <w:tc>
          <w:tcPr>
            <w:tcW w:w="2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c>
          <w:tcPr>
            <w:tcW w:w="0" w:type="dxa"/>
            <w:vAlign w:val="bottom"/>
          </w:tcPr>
          <w:p>
            <w:pPr>
              <w:spacing w:after="0"/>
              <w:rPr>
                <w:sz w:val="1"/>
                <w:szCs w:val="1"/>
                <w:color w:val="auto"/>
              </w:rPr>
            </w:pPr>
          </w:p>
        </w:tc>
      </w:tr>
      <w:tr>
        <w:trPr>
          <w:trHeight w:val="166"/>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Diluted -</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reported</w:t>
            </w:r>
          </w:p>
        </w:tc>
        <w:tc>
          <w:tcPr>
            <w:tcW w:w="2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c>
          <w:tcPr>
            <w:tcW w:w="0" w:type="dxa"/>
            <w:vAlign w:val="bottom"/>
          </w:tcPr>
          <w:p>
            <w:pPr>
              <w:spacing w:after="0"/>
              <w:rPr>
                <w:sz w:val="1"/>
                <w:szCs w:val="1"/>
                <w:color w:val="auto"/>
              </w:rPr>
            </w:pPr>
          </w:p>
        </w:tc>
      </w:tr>
      <w:tr>
        <w:trPr>
          <w:trHeight w:val="192"/>
        </w:trPr>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Diluted -</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 forma</w:t>
            </w:r>
          </w:p>
        </w:tc>
        <w:tc>
          <w:tcPr>
            <w:tcW w:w="2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c>
          <w:tcPr>
            <w:tcW w:w="0" w:type="dxa"/>
            <w:vAlign w:val="bottom"/>
          </w:tcPr>
          <w:p>
            <w:pPr>
              <w:spacing w:after="0"/>
              <w:rPr>
                <w:sz w:val="1"/>
                <w:szCs w:val="1"/>
                <w:color w:val="auto"/>
              </w:rPr>
            </w:pPr>
          </w:p>
        </w:tc>
      </w:tr>
    </w:tbl>
    <w:p>
      <w:pPr>
        <w:ind w:left="70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78" w:lineRule="exact"/>
        <w:rPr>
          <w:sz w:val="20"/>
          <w:szCs w:val="20"/>
          <w:color w:val="auto"/>
        </w:rPr>
      </w:pPr>
    </w:p>
    <w:p>
      <w:pPr>
        <w:ind w:left="440" w:hanging="432"/>
        <w:spacing w:after="0"/>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Impairment of long-lived assets</w:t>
      </w:r>
    </w:p>
    <w:p>
      <w:pPr>
        <w:spacing w:after="0" w:line="173" w:lineRule="exact"/>
        <w:rPr>
          <w:sz w:val="20"/>
          <w:szCs w:val="20"/>
          <w:color w:val="auto"/>
        </w:rPr>
      </w:pPr>
    </w:p>
    <w:p>
      <w:pPr>
        <w:ind w:right="3440"/>
        <w:spacing w:after="0" w:line="266" w:lineRule="auto"/>
        <w:rPr>
          <w:sz w:val="20"/>
          <w:szCs w:val="20"/>
          <w:color w:val="auto"/>
        </w:rPr>
      </w:pPr>
      <w:r>
        <w:rPr>
          <w:rFonts w:ascii="Courier New" w:cs="Courier New" w:eastAsia="Courier New" w:hAnsi="Courier New"/>
          <w:sz w:val="14"/>
          <w:szCs w:val="14"/>
          <w:color w:val="auto"/>
        </w:rPr>
        <w:t>Long 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selling costs.</w:t>
      </w:r>
    </w:p>
    <w:p>
      <w:pPr>
        <w:spacing w:after="0" w:line="74" w:lineRule="exact"/>
        <w:rPr>
          <w:sz w:val="20"/>
          <w:szCs w:val="20"/>
          <w:color w:val="auto"/>
        </w:rPr>
      </w:pPr>
    </w:p>
    <w:p>
      <w:pPr>
        <w:ind w:left="440" w:hanging="432"/>
        <w:spacing w:after="0"/>
        <w:tabs>
          <w:tab w:leader="none" w:pos="4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 term investments - available for sale</w:t>
      </w:r>
    </w:p>
    <w:p>
      <w:pPr>
        <w:spacing w:after="0" w:line="173" w:lineRule="exact"/>
        <w:rPr>
          <w:sz w:val="20"/>
          <w:szCs w:val="20"/>
          <w:color w:val="auto"/>
        </w:rPr>
      </w:pPr>
    </w:p>
    <w:p>
      <w:pPr>
        <w:ind w:right="3440"/>
        <w:spacing w:after="0" w:line="272" w:lineRule="auto"/>
        <w:rPr>
          <w:sz w:val="20"/>
          <w:szCs w:val="20"/>
          <w:color w:val="auto"/>
        </w:rPr>
      </w:pPr>
      <w:r>
        <w:rPr>
          <w:rFonts w:ascii="Courier New" w:cs="Courier New" w:eastAsia="Courier New" w:hAnsi="Courier New"/>
          <w:sz w:val="14"/>
          <w:szCs w:val="14"/>
          <w:color w:val="auto"/>
        </w:rPr>
        <w:t>The Company has classified its entire investment portfolio comprising floating rate and medium term minimum "A" rated corporate securities, as available for sale. The investments are reported at fair value, with unrealized gains or losses reported in a separate component of shareholder equity. In the years to May 31, 2002, 2003 and 2004 no unrealized gains or losses arose. Any differences between the cost and fair value of the investments are represented by accrued interest.</w:t>
      </w:r>
    </w:p>
    <w:p>
      <w:pPr>
        <w:spacing w:after="0" w:line="200" w:lineRule="exact"/>
        <w:rPr>
          <w:sz w:val="20"/>
          <w:szCs w:val="20"/>
          <w:color w:val="auto"/>
        </w:rPr>
      </w:pPr>
    </w:p>
    <w:p>
      <w:pPr>
        <w:spacing w:after="0" w:line="2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340"/>
          </w:cols>
          <w:pgMar w:left="220" w:top="922" w:right="1339" w:bottom="1440" w:gutter="0" w:footer="0" w:header="0"/>
        </w:sectPr>
      </w:pPr>
    </w:p>
    <w:bookmarkStart w:id="57" w:name="page58"/>
    <w:bookmarkEnd w:id="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42"/>
        </w:trPr>
        <w:tc>
          <w:tcPr>
            <w:tcW w:w="6460" w:type="dxa"/>
            <w:vAlign w:val="bottom"/>
          </w:tcPr>
          <w:p>
            <w:pPr>
              <w:spacing w:after="0"/>
              <w:rPr>
                <w:sz w:val="20"/>
                <w:szCs w:val="20"/>
                <w:color w:val="auto"/>
              </w:rPr>
            </w:pPr>
            <w:r>
              <w:rPr>
                <w:rFonts w:ascii="Courier New" w:cs="Courier New" w:eastAsia="Courier New" w:hAnsi="Courier New"/>
                <w:sz w:val="14"/>
                <w:szCs w:val="14"/>
                <w:color w:val="auto"/>
              </w:rPr>
              <w:t>4. Goodwill</w:t>
            </w: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587"/>
        </w:trPr>
        <w:tc>
          <w:tcPr>
            <w:tcW w:w="6460" w:type="dxa"/>
            <w:vAlign w:val="bottom"/>
          </w:tcPr>
          <w:p>
            <w:pPr>
              <w:spacing w:after="0"/>
              <w:rPr>
                <w:sz w:val="24"/>
                <w:szCs w:val="24"/>
                <w:color w:val="auto"/>
              </w:rPr>
            </w:pPr>
          </w:p>
        </w:tc>
        <w:tc>
          <w:tcPr>
            <w:tcW w:w="2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Year Ended May 31,</w:t>
            </w:r>
          </w:p>
        </w:tc>
      </w:tr>
      <w:tr>
        <w:trPr>
          <w:trHeight w:val="166"/>
        </w:trPr>
        <w:tc>
          <w:tcPr>
            <w:tcW w:w="64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2004</w:t>
            </w:r>
          </w:p>
        </w:tc>
      </w:tr>
      <w:tr>
        <w:trPr>
          <w:trHeight w:val="242"/>
        </w:trPr>
        <w:tc>
          <w:tcPr>
            <w:tcW w:w="6460" w:type="dxa"/>
            <w:vAlign w:val="bottom"/>
          </w:tcPr>
          <w:p>
            <w:pPr>
              <w:spacing w:after="0"/>
              <w:rPr>
                <w:sz w:val="21"/>
                <w:szCs w:val="21"/>
                <w:color w:val="auto"/>
              </w:rPr>
            </w:pPr>
          </w:p>
        </w:tc>
        <w:tc>
          <w:tcPr>
            <w:tcW w:w="2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 thousands)</w:t>
            </w:r>
          </w:p>
        </w:tc>
      </w:tr>
      <w:tr>
        <w:trPr>
          <w:trHeight w:val="255"/>
        </w:trPr>
        <w:tc>
          <w:tcPr>
            <w:tcW w:w="6460" w:type="dxa"/>
            <w:vAlign w:val="bottom"/>
          </w:tcPr>
          <w:p>
            <w:pPr>
              <w:spacing w:after="0"/>
              <w:rPr>
                <w:sz w:val="20"/>
                <w:szCs w:val="20"/>
                <w:color w:val="auto"/>
              </w:rPr>
            </w:pPr>
            <w:r>
              <w:rPr>
                <w:rFonts w:ascii="Courier New" w:cs="Courier New" w:eastAsia="Courier New" w:hAnsi="Courier New"/>
                <w:sz w:val="14"/>
                <w:szCs w:val="14"/>
                <w:color w:val="auto"/>
              </w:rPr>
              <w:t>Opening Goodwill ......................................................</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$10,093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$45,029</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Arising during the year ...............................................</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32,302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13,134</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Arising on earn-out (current and prior year acquisitions)..............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3,215</w:t>
            </w:r>
          </w:p>
        </w:tc>
      </w:tr>
      <w:tr>
        <w:trPr>
          <w:trHeight w:val="0"/>
        </w:trPr>
        <w:tc>
          <w:tcPr>
            <w:tcW w:w="6460" w:type="dxa"/>
            <w:vAlign w:val="bottom"/>
          </w:tcPr>
          <w:p>
            <w:pPr>
              <w:spacing w:after="0"/>
              <w:rPr>
                <w:sz w:val="20"/>
                <w:szCs w:val="20"/>
                <w:color w:val="auto"/>
              </w:rPr>
            </w:pPr>
            <w:r>
              <w:rPr>
                <w:rFonts w:ascii="Courier New" w:cs="Courier New" w:eastAsia="Courier New" w:hAnsi="Courier New"/>
                <w:sz w:val="14"/>
                <w:szCs w:val="14"/>
                <w:color w:val="auto"/>
              </w:rPr>
              <w:t>Foreign exchange movement..............................................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2,848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800" w:val="left"/>
          <w:tab w:leader="none" w:pos="8080" w:val="left"/>
        </w:tabs>
        <w:rPr>
          <w:sz w:val="20"/>
          <w:szCs w:val="20"/>
          <w:color w:val="auto"/>
        </w:rPr>
      </w:pPr>
      <w:r>
        <w:rPr>
          <w:rFonts w:ascii="Courier New" w:cs="Courier New" w:eastAsia="Courier New" w:hAnsi="Courier New"/>
          <w:sz w:val="14"/>
          <w:szCs w:val="14"/>
          <w:color w:val="auto"/>
        </w:rPr>
        <w:t>Closing Goodwill.......................................................</w:t>
      </w:r>
      <w:r>
        <w:rPr>
          <w:sz w:val="20"/>
          <w:szCs w:val="20"/>
          <w:color w:val="auto"/>
        </w:rPr>
        <w:tab/>
      </w:r>
      <w:r>
        <w:rPr>
          <w:rFonts w:ascii="Courier New" w:cs="Courier New" w:eastAsia="Courier New" w:hAnsi="Courier New"/>
          <w:sz w:val="14"/>
          <w:szCs w:val="14"/>
          <w:color w:val="auto"/>
        </w:rPr>
        <w:t>$45,029</w:t>
      </w:r>
      <w:r>
        <w:rPr>
          <w:sz w:val="20"/>
          <w:szCs w:val="20"/>
          <w:color w:val="auto"/>
        </w:rPr>
        <w:tab/>
      </w:r>
      <w:r>
        <w:rPr>
          <w:rFonts w:ascii="Courier New" w:cs="Courier New" w:eastAsia="Courier New" w:hAnsi="Courier New"/>
          <w:sz w:val="14"/>
          <w:szCs w:val="14"/>
          <w:color w:val="auto"/>
        </w:rPr>
        <w:t>$64,226</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distribution of goodwill by business segment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00" w:type="dxa"/>
            <w:vAlign w:val="bottom"/>
          </w:tcPr>
          <w:p>
            <w:pPr>
              <w:spacing w:after="0"/>
              <w:rPr>
                <w:sz w:val="14"/>
                <w:szCs w:val="14"/>
                <w:color w:val="auto"/>
              </w:rPr>
            </w:pPr>
          </w:p>
        </w:tc>
        <w:tc>
          <w:tcPr>
            <w:tcW w:w="2920" w:type="dxa"/>
            <w:vAlign w:val="bottom"/>
            <w:gridSpan w:val="2"/>
          </w:tcPr>
          <w:p>
            <w:pPr>
              <w:ind w:left="1680"/>
              <w:spacing w:after="0"/>
              <w:rPr>
                <w:sz w:val="20"/>
                <w:szCs w:val="20"/>
                <w:color w:val="auto"/>
              </w:rPr>
            </w:pPr>
            <w:r>
              <w:rPr>
                <w:rFonts w:ascii="Courier New" w:cs="Courier New" w:eastAsia="Courier New" w:hAnsi="Courier New"/>
                <w:sz w:val="14"/>
                <w:szCs w:val="14"/>
                <w:color w:val="auto"/>
              </w:rPr>
              <w:t>Year Ended May</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2003</w:t>
            </w:r>
          </w:p>
        </w:tc>
        <w:tc>
          <w:tcPr>
            <w:tcW w:w="6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2900" w:type="dxa"/>
            <w:vAlign w:val="bottom"/>
            <w:vMerge w:val="restart"/>
          </w:tcPr>
          <w:p>
            <w:pPr>
              <w:spacing w:after="0"/>
              <w:rPr>
                <w:sz w:val="20"/>
                <w:szCs w:val="20"/>
                <w:color w:val="auto"/>
              </w:rPr>
            </w:pPr>
            <w:r>
              <w:rPr>
                <w:rFonts w:ascii="Courier New" w:cs="Courier New" w:eastAsia="Courier New" w:hAnsi="Courier New"/>
                <w:sz w:val="14"/>
                <w:szCs w:val="14"/>
                <w:color w:val="auto"/>
              </w:rPr>
              <w:t>Central laboratory</w:t>
            </w:r>
          </w:p>
        </w:tc>
        <w:tc>
          <w:tcPr>
            <w:tcW w:w="2920" w:type="dxa"/>
            <w:vAlign w:val="bottom"/>
            <w:gridSpan w:val="2"/>
          </w:tcPr>
          <w:p>
            <w:pPr>
              <w:ind w:left="1680"/>
              <w:spacing w:after="0"/>
              <w:rPr>
                <w:sz w:val="20"/>
                <w:szCs w:val="20"/>
                <w:color w:val="auto"/>
              </w:rPr>
            </w:pPr>
            <w:r>
              <w:rPr>
                <w:rFonts w:ascii="Courier New" w:cs="Courier New" w:eastAsia="Courier New" w:hAnsi="Courier New"/>
                <w:sz w:val="14"/>
                <w:szCs w:val="14"/>
                <w:color w:val="auto"/>
              </w:rPr>
              <w:t>(in thousands)</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vMerge w:val="continue"/>
          </w:tcPr>
          <w:p>
            <w:pPr>
              <w:spacing w:after="0"/>
              <w:rPr>
                <w:sz w:val="14"/>
                <w:szCs w:val="14"/>
                <w:color w:val="auto"/>
              </w:rPr>
            </w:pP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$ 6,596</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$ 7,017</w:t>
            </w:r>
          </w:p>
        </w:tc>
        <w:tc>
          <w:tcPr>
            <w:tcW w:w="0" w:type="dxa"/>
            <w:vAlign w:val="bottom"/>
          </w:tcPr>
          <w:p>
            <w:pPr>
              <w:spacing w:after="0"/>
              <w:rPr>
                <w:sz w:val="1"/>
                <w:szCs w:val="1"/>
                <w:color w:val="auto"/>
              </w:rPr>
            </w:pPr>
          </w:p>
        </w:tc>
      </w:tr>
      <w:tr>
        <w:trPr>
          <w:trHeight w:val="0"/>
        </w:trPr>
        <w:tc>
          <w:tcPr>
            <w:tcW w:w="2900" w:type="dxa"/>
            <w:vAlign w:val="bottom"/>
          </w:tcPr>
          <w:p>
            <w:pPr>
              <w:spacing w:after="0"/>
              <w:rPr>
                <w:sz w:val="20"/>
                <w:szCs w:val="20"/>
                <w:color w:val="auto"/>
              </w:rPr>
            </w:pPr>
            <w:r>
              <w:rPr>
                <w:rFonts w:ascii="Courier New" w:cs="Courier New" w:eastAsia="Courier New" w:hAnsi="Courier New"/>
                <w:sz w:val="14"/>
                <w:szCs w:val="14"/>
                <w:color w:val="auto"/>
              </w:rPr>
              <w:t>Clinical research</w:t>
            </w: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38,433</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57,209</w:t>
            </w: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3" w:lineRule="exact"/>
        <w:rPr>
          <w:sz w:val="20"/>
          <w:szCs w:val="20"/>
          <w:color w:val="auto"/>
        </w:rPr>
      </w:pPr>
    </w:p>
    <w:p>
      <w:pPr>
        <w:spacing w:after="0"/>
        <w:tabs>
          <w:tab w:leader="none" w:pos="4200" w:val="left"/>
          <w:tab w:leader="none" w:pos="55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$45,029</w:t>
      </w:r>
      <w:r>
        <w:rPr>
          <w:sz w:val="20"/>
          <w:szCs w:val="20"/>
          <w:color w:val="auto"/>
        </w:rPr>
        <w:tab/>
      </w:r>
      <w:r>
        <w:rPr>
          <w:rFonts w:ascii="Courier New" w:cs="Courier New" w:eastAsia="Courier New" w:hAnsi="Courier New"/>
          <w:sz w:val="14"/>
          <w:szCs w:val="14"/>
          <w:color w:val="auto"/>
        </w:rPr>
        <w:t>$64,226</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p>
      <w:pPr>
        <w:ind w:left="440" w:hanging="432"/>
        <w:spacing w:after="0"/>
        <w:tabs>
          <w:tab w:leader="none" w:pos="4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YRCR Ltd.</w:t>
      </w:r>
    </w:p>
    <w:p>
      <w:pPr>
        <w:spacing w:after="0" w:line="173"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On January 27, 2000, the Company acquired YRCR Limited ("YRCR"), a U.K. based regulatory consultancy company. The Company acquired YRCR in exchange for cash of Stg(pound)500,000 (U.S.$819,000) and 51,387 ordinary shares, the fair market value of which was Stg(pound)500,000 (U.S.$819,000) on the date the contract terms were agreed, excluding costs of acquisition. The acquisition of YRCR has been accounted for as a purchase.</w:t>
      </w:r>
    </w:p>
    <w:p>
      <w:pPr>
        <w:spacing w:after="0" w:line="69"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Earn-out provisions were built into the contract, over the period to May 2003 up to a maximum additional consideration of Stg(pound)2.0 million (U.S.$2.9 million), with additional purchase consideration to be recorded as goodwill.</w:t>
      </w:r>
    </w:p>
    <w:p>
      <w:pPr>
        <w:spacing w:after="0" w:line="42"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On April 3, 2000, an additional cash payment of Stg(pound)250,000 (U.S.$393,043) was made to YRCR as part of the earn-out provision. On May 31, 2000, an additional 24,272 ordinary shares were issued to YRCR with a fair market value of Stg(pound)250,000 (U.S.$367,500).</w:t>
      </w:r>
    </w:p>
    <w:p>
      <w:pPr>
        <w:spacing w:after="0" w:line="56"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As part of the earn-out provisions, on August 31, 2001, an additional 10,772 ordinary shares were issued to YRCR with a fair market value of Stg(pound)250,000 (U.S.$365,400), and, on September 3, 2001, an additional cash payment of Stg(pound)250,000 (U.S.$365,400) was made. Of these amounts Stg(pound)400,000 (U.S.$590,800) was provided at May 31, 2001, as the earn-out target had been reached, with the balance of Stg(pound)100,000 (U.S.$140,000) accounted for during the year ended May 31, 2002.</w:t>
      </w:r>
    </w:p>
    <w:p>
      <w:pPr>
        <w:spacing w:after="0" w:line="72"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On August 30, 2002, an additional cash payment of Stg(pound)50,000 (U.S.$77,526) was made to YRCR and on October 8, 2002, an additional 3,696 ordinary shares were issued to YRCR with a fair market value of Stg(pound)50,000 (U.S.$77,440) as part of the earn-out provisions. Both these earn out payments were accrued for at May 31, 2002 and paid for during the year ended May 31, 2002.</w:t>
      </w:r>
    </w:p>
    <w:p>
      <w:pPr>
        <w:spacing w:after="0" w:line="62"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On December 30, 2003, a cash payment of Stg(pound)100,000 (U.S.$176,897) was made to the former shareholders of YRCR Limited. This represents the final payment due to the former shareholders of YRCR under the acquisition contract.</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756" w:right="1440" w:bottom="1440" w:gutter="0" w:footer="0" w:header="0"/>
        </w:sectPr>
      </w:pPr>
    </w:p>
    <w:bookmarkStart w:id="59" w:name="page60"/>
    <w:bookmarkEnd w:id="59"/>
    <w:p>
      <w:pPr>
        <w:ind w:right="3339"/>
        <w:spacing w:after="0" w:line="313" w:lineRule="auto"/>
        <w:rPr>
          <w:sz w:val="20"/>
          <w:szCs w:val="20"/>
          <w:color w:val="auto"/>
        </w:rPr>
      </w:pPr>
      <w:r>
        <w:rPr>
          <w:rFonts w:ascii="Courier New" w:cs="Courier New" w:eastAsia="Courier New" w:hAnsi="Courier New"/>
          <w:sz w:val="14"/>
          <w:szCs w:val="14"/>
          <w:color w:val="auto"/>
        </w:rPr>
        <w:t>The initial purchase price of U.S.$1,838,000 including costs of acquisition together with subsequent additional consideration of U.S.$1,823,206 for YRCR was allocated as follows: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9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255"/>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$125</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3,346</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879</w:t>
            </w:r>
          </w:p>
        </w:tc>
      </w:tr>
      <w:tr>
        <w:trPr>
          <w:trHeight w:val="0"/>
        </w:trPr>
        <w:tc>
          <w:tcPr>
            <w:tcW w:w="392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(689)</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Purchase price............................</w:t>
      </w:r>
      <w:r>
        <w:rPr>
          <w:sz w:val="20"/>
          <w:szCs w:val="20"/>
          <w:color w:val="auto"/>
        </w:rPr>
        <w:tab/>
      </w:r>
      <w:r>
        <w:rPr>
          <w:rFonts w:ascii="Courier New" w:cs="Courier New" w:eastAsia="Courier New" w:hAnsi="Courier New"/>
          <w:sz w:val="14"/>
          <w:szCs w:val="14"/>
          <w:color w:val="auto"/>
        </w:rPr>
        <w:t>$3,661</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w:t>
        <w:tab/>
        <w:t>Acquisition of Protocole</w:t>
      </w:r>
    </w:p>
    <w:p>
      <w:pPr>
        <w:spacing w:after="0" w:line="173"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On March 14, 2000, the Company acquired Protocole ("Protocole"), a Paris based veterinary CRO. The Company acquired Protocole for initial cash consideration of French Francs 4,000,000 (U.S.$586,240), excluding costs of acquisition. Earn-out provisions have been built into the acquisition contract requiring the potential payment of additional deferred consideration up to a maximum of French Francs 4,000,000 depending on the performance of Protocole over the period to May 31, 2003. None of the earn-out provisions had been reached at May 31, 2003 and there are no further payments due under this agreement. The acquisition of Protocole has been accounted for as a purchase.</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purchase price of U.S.$732,000 for Protocole was allocated as follows: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4"/>
          <w:szCs w:val="14"/>
          <w:color w:val="auto"/>
        </w:rPr>
        <w:t>Property, plant and equipment</w:t>
      </w:r>
      <w:r>
        <w:rPr>
          <w:sz w:val="20"/>
          <w:szCs w:val="20"/>
          <w:color w:val="auto"/>
        </w:rPr>
        <w:tab/>
      </w:r>
      <w:r>
        <w:rPr>
          <w:rFonts w:ascii="Courier New" w:cs="Courier New" w:eastAsia="Courier New" w:hAnsi="Courier New"/>
          <w:sz w:val="13"/>
          <w:szCs w:val="13"/>
          <w:color w:val="auto"/>
        </w:rPr>
        <w:t>$12</w:t>
      </w:r>
    </w:p>
    <w:p>
      <w:pPr>
        <w:spacing w:after="0" w:line="33"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4"/>
          <w:szCs w:val="14"/>
          <w:color w:val="auto"/>
        </w:rPr>
        <w:t>Goodwill</w:t>
      </w:r>
      <w:r>
        <w:rPr>
          <w:sz w:val="20"/>
          <w:szCs w:val="20"/>
          <w:color w:val="auto"/>
        </w:rPr>
        <w:tab/>
      </w:r>
      <w:r>
        <w:rPr>
          <w:rFonts w:ascii="Courier New" w:cs="Courier New" w:eastAsia="Courier New" w:hAnsi="Courier New"/>
          <w:sz w:val="13"/>
          <w:szCs w:val="13"/>
          <w:color w:val="auto"/>
        </w:rPr>
        <w:t>731</w:t>
      </w:r>
    </w:p>
    <w:p>
      <w:pPr>
        <w:spacing w:after="0" w:line="7"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4"/>
          <w:szCs w:val="14"/>
          <w:color w:val="auto"/>
        </w:rPr>
        <w:t>Current assets</w:t>
      </w:r>
      <w:r>
        <w:rPr>
          <w:sz w:val="20"/>
          <w:szCs w:val="20"/>
          <w:color w:val="auto"/>
        </w:rPr>
        <w:tab/>
      </w:r>
      <w:r>
        <w:rPr>
          <w:rFonts w:ascii="Courier New" w:cs="Courier New" w:eastAsia="Courier New" w:hAnsi="Courier New"/>
          <w:sz w:val="13"/>
          <w:szCs w:val="13"/>
          <w:color w:val="auto"/>
        </w:rPr>
        <w:t>114</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Current liabilities</w:t>
      </w:r>
      <w:r>
        <w:rPr>
          <w:sz w:val="20"/>
          <w:szCs w:val="20"/>
          <w:color w:val="auto"/>
        </w:rPr>
        <w:tab/>
      </w:r>
      <w:r>
        <w:rPr>
          <w:rFonts w:ascii="Courier New" w:cs="Courier New" w:eastAsia="Courier New" w:hAnsi="Courier New"/>
          <w:sz w:val="14"/>
          <w:szCs w:val="14"/>
          <w:color w:val="auto"/>
        </w:rPr>
        <w:t>(125)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Purchase price</w:t>
      </w:r>
      <w:r>
        <w:rPr>
          <w:sz w:val="20"/>
          <w:szCs w:val="20"/>
          <w:color w:val="auto"/>
        </w:rPr>
        <w:tab/>
      </w:r>
      <w:r>
        <w:rPr>
          <w:rFonts w:ascii="Courier New" w:cs="Courier New" w:eastAsia="Courier New" w:hAnsi="Courier New"/>
          <w:sz w:val="14"/>
          <w:szCs w:val="14"/>
          <w:color w:val="auto"/>
        </w:rPr>
        <w:t>$732</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ind w:left="440" w:hanging="432"/>
        <w:spacing w:after="0"/>
        <w:tabs>
          <w:tab w:leader="none" w:pos="4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UCT (U.S.) Inc.</w:t>
      </w:r>
    </w:p>
    <w:p>
      <w:pPr>
        <w:spacing w:after="0" w:line="173"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On June 8, 2000, the Company acquired UCT (U.S.) Inc. ("UCT"), subsequently renamed ICON Laboratories Inc., a central laboratory company based in New York, USA. The Company acquired UCT in exchange for cash of U.S.$1,200,000. Earn-out provisions were built into the acquisition contract requiring the potential payment of additional deferred consideration of U.S.$18 million depending on the performance of UCT over the period to May 31, 2003. The acquisition of UCT has been accounted for as a purchase. Additional consideration paid was in the form of cash and was accounted for as goodwill.</w:t>
      </w:r>
    </w:p>
    <w:p>
      <w:pPr>
        <w:spacing w:after="0" w:line="74" w:lineRule="exact"/>
        <w:rPr>
          <w:sz w:val="20"/>
          <w:szCs w:val="20"/>
          <w:color w:val="auto"/>
        </w:rPr>
      </w:pPr>
    </w:p>
    <w:p>
      <w:pPr>
        <w:ind w:right="3339"/>
        <w:spacing w:after="0" w:line="299" w:lineRule="auto"/>
        <w:rPr>
          <w:sz w:val="20"/>
          <w:szCs w:val="20"/>
          <w:color w:val="auto"/>
        </w:rPr>
      </w:pPr>
      <w:r>
        <w:rPr>
          <w:rFonts w:ascii="Courier New" w:cs="Courier New" w:eastAsia="Courier New" w:hAnsi="Courier New"/>
          <w:sz w:val="14"/>
          <w:szCs w:val="14"/>
          <w:color w:val="auto"/>
        </w:rPr>
        <w:t>On September 1, 2001, an additional cash payment of U.S.$2,250,000 was made to UCT as part of the earn-out provisions. The first earn-out target was reached as at May 31, 2001 and this consideration has been included in the purchase price below.</w:t>
      </w:r>
    </w:p>
    <w:p>
      <w:pPr>
        <w:spacing w:after="0" w:line="235"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On August 30, 2002 the Company made a cash payment of U.S.$3,000,000 to the former shareholders of UCT (U.S.) Inc., under the terms of an earn out provision entered into on the acquisition of UCT on June 8, 2000. The earn-out target was reached at May 31, 2002 and this consideration was recorded at that date in the financial statements.</w:t>
      </w:r>
    </w:p>
    <w:p>
      <w:pPr>
        <w:spacing w:after="0" w:line="62" w:lineRule="exact"/>
        <w:rPr>
          <w:sz w:val="20"/>
          <w:szCs w:val="20"/>
          <w:color w:val="auto"/>
        </w:rPr>
      </w:pPr>
    </w:p>
    <w:p>
      <w:pPr>
        <w:ind w:right="3599"/>
        <w:spacing w:after="0" w:line="292" w:lineRule="auto"/>
        <w:rPr>
          <w:sz w:val="20"/>
          <w:szCs w:val="20"/>
          <w:color w:val="auto"/>
        </w:rPr>
      </w:pPr>
      <w:r>
        <w:rPr>
          <w:rFonts w:ascii="Courier New" w:cs="Courier New" w:eastAsia="Courier New" w:hAnsi="Courier New"/>
          <w:sz w:val="14"/>
          <w:szCs w:val="14"/>
          <w:color w:val="auto"/>
        </w:rPr>
        <w:t>On October 2, 2003, a cash payment of U.S.$421,000 was made to the former shareholders of UCT (U.S.) Inc. as part of the earn-out provisions in the contract. This represents the final payment due to the former shareholders of UCT under the acquisition contract.</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590"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The purchase price of U.S.$7,424,000 including total earn-out provisions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U.S.$5,671,000 and acquisition costs of U.S.$553,000 was allocated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8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255"/>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$1,415</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7,088</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4,276</w:t>
            </w:r>
          </w:p>
        </w:tc>
      </w:tr>
      <w:tr>
        <w:trPr>
          <w:trHeight w:val="0"/>
        </w:trPr>
        <w:tc>
          <w:tcPr>
            <w:tcW w:w="388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(5,355)</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Purchase price...............................</w:t>
      </w:r>
      <w:r>
        <w:rPr>
          <w:sz w:val="20"/>
          <w:szCs w:val="20"/>
          <w:color w:val="auto"/>
        </w:rPr>
        <w:tab/>
      </w:r>
      <w:r>
        <w:rPr>
          <w:rFonts w:ascii="Courier New" w:cs="Courier New" w:eastAsia="Courier New" w:hAnsi="Courier New"/>
          <w:sz w:val="14"/>
          <w:szCs w:val="14"/>
          <w:color w:val="auto"/>
        </w:rPr>
        <w:t>$7,424</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right="3779" w:hanging="432"/>
        <w:spacing w:after="0" w:line="376" w:lineRule="auto"/>
        <w:tabs>
          <w:tab w:leader="none" w:pos="44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Barton &amp; Polansky Associates, Inc. and Managed Clinical Solutions, Inc.</w:t>
      </w:r>
    </w:p>
    <w:p>
      <w:pPr>
        <w:spacing w:after="0" w:line="166" w:lineRule="exact"/>
        <w:rPr>
          <w:sz w:val="20"/>
          <w:szCs w:val="20"/>
          <w:color w:val="auto"/>
        </w:rPr>
      </w:pPr>
    </w:p>
    <w:p>
      <w:pPr>
        <w:ind w:right="3419"/>
        <w:spacing w:after="0" w:line="264" w:lineRule="auto"/>
        <w:rPr>
          <w:sz w:val="20"/>
          <w:szCs w:val="20"/>
          <w:color w:val="auto"/>
        </w:rPr>
      </w:pPr>
      <w:r>
        <w:rPr>
          <w:rFonts w:ascii="Courier New" w:cs="Courier New" w:eastAsia="Courier New" w:hAnsi="Courier New"/>
          <w:sz w:val="14"/>
          <w:szCs w:val="14"/>
          <w:color w:val="auto"/>
        </w:rPr>
        <w:t>On October 9, 2002, the Company acquired 100% of the outstanding shares of Barton &amp; Polansky Associates, Inc. ("BPA") and its sister company Managed Clinical Solutions, Inc. ("MCS"), both based in New York, USA, for an initial cash consideration of U.S.$15.7 million, excluding costs of acquisition which amounted to U.S.$0.8 million. Earn-out and working capital provisions have been built into the acquisition contract requiring the potential payment of additional deferred consideration up to a maximum of U.S.$18 million depending on the performance of MCS over the period to May 31, 2006. Such potential additional consideration will be accounted for as goodwill. The total amount of goodwill is expected to be tax deductible.</w:t>
      </w:r>
    </w:p>
    <w:p>
      <w:pPr>
        <w:spacing w:after="0" w:line="77"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On December 20, 2002, and April 15, 2003, additional cash payments of U.S.$3.7 million and U.S.$0.3 million respectively were made to the former shareholders of BPA and MCS as part of the working capital provisions in the contract. The acquisitions of BPA and MCS have been accounted for as a purchase in accordance with SFAS No.141 "Business Combinations".</w:t>
      </w:r>
    </w:p>
    <w:p>
      <w:pPr>
        <w:spacing w:after="0" w:line="62" w:lineRule="exact"/>
        <w:rPr>
          <w:sz w:val="20"/>
          <w:szCs w:val="20"/>
          <w:color w:val="auto"/>
        </w:rPr>
      </w:pPr>
    </w:p>
    <w:p>
      <w:pPr>
        <w:ind w:right="3419"/>
        <w:spacing w:after="0" w:line="282" w:lineRule="auto"/>
        <w:rPr>
          <w:sz w:val="20"/>
          <w:szCs w:val="20"/>
          <w:color w:val="auto"/>
        </w:rPr>
      </w:pPr>
      <w:r>
        <w:rPr>
          <w:rFonts w:ascii="Courier New" w:cs="Courier New" w:eastAsia="Courier New" w:hAnsi="Courier New"/>
          <w:sz w:val="14"/>
          <w:szCs w:val="14"/>
          <w:color w:val="auto"/>
        </w:rPr>
        <w:t>On July 25, 2003, August 20, 2003, August 29, 2003 and September 11, 2003, additional cash payments totaling U.S.$110,897 were made to the former shareholders of Barton &amp; Polansky Associates, Inc. ("BPA") and Managed Clinical Solutions, Inc. ("MCS"), as part of the working capital provisions in the applicable acquisition contract.</w:t>
      </w:r>
    </w:p>
    <w:p>
      <w:pPr>
        <w:spacing w:after="0" w:line="62"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The purchase price of U.S.$16.5 million including costs of acquisition together with subsequent additional consideration of U.S.$4.1 million was allocated as follows:</w:t>
      </w:r>
    </w:p>
    <w:p>
      <w:pPr>
        <w:spacing w:after="0" w:line="42"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3040" w:type="dxa"/>
            <w:vAlign w:val="bottom"/>
            <w:vMerge w:val="restart"/>
          </w:tcPr>
          <w:p>
            <w:pPr>
              <w:spacing w:after="0"/>
              <w:rPr>
                <w:sz w:val="20"/>
                <w:szCs w:val="20"/>
                <w:color w:val="auto"/>
              </w:rPr>
            </w:pPr>
            <w:r>
              <w:rPr>
                <w:rFonts w:ascii="Courier New" w:cs="Courier New" w:eastAsia="Courier New" w:hAnsi="Courier New"/>
                <w:sz w:val="14"/>
                <w:szCs w:val="14"/>
                <w:color w:val="auto"/>
              </w:rPr>
              <w:t>Property, plant &amp; equipment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166"/>
        </w:trPr>
        <w:tc>
          <w:tcPr>
            <w:tcW w:w="3040" w:type="dxa"/>
            <w:vAlign w:val="bottom"/>
            <w:vMerge w:val="continue"/>
          </w:tcPr>
          <w:p>
            <w:pPr>
              <w:spacing w:after="0"/>
              <w:rPr>
                <w:sz w:val="14"/>
                <w:szCs w:val="1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14,550</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9,533</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20"/>
                <w:szCs w:val="20"/>
                <w:color w:val="auto"/>
              </w:rPr>
            </w:pPr>
            <w:r>
              <w:rPr>
                <w:rFonts w:ascii="Courier New" w:cs="Courier New" w:eastAsia="Courier New" w:hAnsi="Courier New"/>
                <w:sz w:val="14"/>
                <w:szCs w:val="14"/>
                <w:color w:val="auto"/>
              </w:rPr>
              <w:t>Bank overdraft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(700)</w:t>
            </w:r>
          </w:p>
        </w:tc>
        <w:tc>
          <w:tcPr>
            <w:tcW w:w="0" w:type="dxa"/>
            <w:vAlign w:val="bottom"/>
          </w:tcPr>
          <w:p>
            <w:pPr>
              <w:spacing w:after="0"/>
              <w:rPr>
                <w:sz w:val="1"/>
                <w:szCs w:val="1"/>
                <w:color w:val="auto"/>
              </w:rPr>
            </w:pPr>
          </w:p>
        </w:tc>
      </w:tr>
      <w:tr>
        <w:trPr>
          <w:trHeight w:val="192"/>
        </w:trPr>
        <w:tc>
          <w:tcPr>
            <w:tcW w:w="30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(2,795)</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Purchase Price</w:t>
            </w: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$20,590</w:t>
            </w:r>
          </w:p>
        </w:tc>
      </w:tr>
    </w:tbl>
    <w:p>
      <w:pPr>
        <w:ind w:left="62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right="3779"/>
        <w:spacing w:after="0" w:line="375" w:lineRule="auto"/>
        <w:rPr>
          <w:sz w:val="20"/>
          <w:szCs w:val="20"/>
          <w:color w:val="auto"/>
        </w:rPr>
      </w:pPr>
      <w:r>
        <w:rPr>
          <w:rFonts w:ascii="Courier New" w:cs="Courier New" w:eastAsia="Courier New" w:hAnsi="Courier New"/>
          <w:sz w:val="14"/>
          <w:szCs w:val="14"/>
          <w:color w:val="auto"/>
        </w:rPr>
        <w:t>The results of BPA and MCS have been included in the consolidated financial statements from October 1, 2002.</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756"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(e) Acquisition of Medeval Group Ltd</w:t>
      </w:r>
    </w:p>
    <w:p>
      <w:pPr>
        <w:spacing w:after="0" w:line="173"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On January 24, 2003, the Company acquired 100% of the outstanding shares of Medeval Group Limited ("Medeval"), a company based in Manchester, England, for an initial cash consideration of Stg(pound)9.5 million (U.S.$15.5 million), excluding costs of acquisition which amounted to U.S.$1.0 million. Earn-out provisions have been built into the acquisition contract requiring the potential payment of additional deferred consideration up to a maximum of Stg(pound)4.3 million (U.S.$6.9 million) depending on the performance of Medeval over the period to May 31, 2004. Such additional consideration has been accounted for as goodwill.</w:t>
      </w:r>
    </w:p>
    <w:p>
      <w:pPr>
        <w:spacing w:after="0" w:line="250"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On May 31, 2003, an amount of Stg(pound)1.4 million (U.S.$2.0 million) was accrued in relation to the Medeval acquisition, as the first earn-out target identified in the acquisition contract was reached on this date. It was provided in the applicable acquisition agreement that the form of the earn-out would consist of cash payable to one specific named selling shareholder, with the balance due to the other selling shareholders being in the form of guaranteed loan notes. These guaranteed loan notes have a repayment date of three years from the date of issue but are exercisable six months from that date. On September 30, 2003, Stg(pound)0.472 million (U.S.$0.8 million) was paid in cash to the specific named selling shareholder. On the same date, Stg(pound)0.753 million (U.S.$1.403 million) of guaranteed loan notes were issued to the remaining selling shareholders and were included in other liabilities. The guaranteed loan note holders issued redemption notices to the Company, which will require the Company to redeem all the guaranteed loan notes on June 30, 2004, in consideration for a cash payment of Stg(pound)0.753 million (U.S.$1.380 million), the total amount of which was accrued at May 31, 2004.</w:t>
      </w:r>
    </w:p>
    <w:p>
      <w:pPr>
        <w:spacing w:after="0" w:line="77"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Stg(pound)1.367 million (U.S.$2.5 million) was accrued at 31 May, 2004 in relation to the second earn-out target provided for in the contract and has been included in the purchase price below.</w:t>
      </w:r>
    </w:p>
    <w:p>
      <w:pPr>
        <w:spacing w:after="0" w:line="42"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The acquisition of Medeval has been accounted for as a purchase in accordance with SFAS No. 141, "Business Combinations". The following table summarises the fair values of the assets acquired and the liabilities assumed at the date of acquisition.</w:t>
      </w:r>
    </w:p>
    <w:p>
      <w:pPr>
        <w:spacing w:after="0" w:line="56"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3700" w:type="dxa"/>
            <w:vAlign w:val="bottom"/>
            <w:vMerge w:val="restart"/>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166"/>
        </w:trPr>
        <w:tc>
          <w:tcPr>
            <w:tcW w:w="3700" w:type="dxa"/>
            <w:vAlign w:val="bottom"/>
            <w:vMerge w:val="continue"/>
          </w:tcPr>
          <w:p>
            <w:pPr>
              <w:spacing w:after="0"/>
              <w:rPr>
                <w:sz w:val="14"/>
                <w:szCs w:val="14"/>
                <w:color w:val="auto"/>
              </w:rPr>
            </w:pP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$1,632</w:t>
            </w:r>
          </w:p>
        </w:tc>
        <w:tc>
          <w:tcPr>
            <w:tcW w:w="0" w:type="dxa"/>
            <w:vAlign w:val="bottom"/>
          </w:tcPr>
          <w:p>
            <w:pPr>
              <w:spacing w:after="0"/>
              <w:rPr>
                <w:sz w:val="1"/>
                <w:szCs w:val="1"/>
                <w:color w:val="auto"/>
              </w:rPr>
            </w:pP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22,372</w:t>
            </w:r>
          </w:p>
        </w:tc>
        <w:tc>
          <w:tcPr>
            <w:tcW w:w="0" w:type="dxa"/>
            <w:vAlign w:val="bottom"/>
          </w:tcPr>
          <w:p>
            <w:pPr>
              <w:spacing w:after="0"/>
              <w:rPr>
                <w:sz w:val="1"/>
                <w:szCs w:val="1"/>
                <w:color w:val="auto"/>
              </w:rPr>
            </w:pP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2,738</w:t>
            </w:r>
          </w:p>
        </w:tc>
        <w:tc>
          <w:tcPr>
            <w:tcW w:w="0" w:type="dxa"/>
            <w:vAlign w:val="bottom"/>
          </w:tcPr>
          <w:p>
            <w:pPr>
              <w:spacing w:after="0"/>
              <w:rPr>
                <w:sz w:val="1"/>
                <w:szCs w:val="1"/>
                <w:color w:val="auto"/>
              </w:rPr>
            </w:pP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Pension liabilities (note 6)</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(2,588)</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20"/>
                <w:szCs w:val="20"/>
                <w:color w:val="auto"/>
              </w:rPr>
            </w:pPr>
            <w:r>
              <w:rPr>
                <w:rFonts w:ascii="Courier New" w:cs="Courier New" w:eastAsia="Courier New" w:hAnsi="Courier New"/>
                <w:sz w:val="14"/>
                <w:szCs w:val="14"/>
                <w:color w:val="auto"/>
              </w:rPr>
              <w:t>Other current liabilities</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(3,113)</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Purchase Price</w:t>
            </w:r>
          </w:p>
        </w:tc>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rPr>
              <w:t>$21,041</w:t>
            </w:r>
          </w:p>
        </w:tc>
      </w:tr>
    </w:tbl>
    <w:p>
      <w:pPr>
        <w:ind w:left="62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right="4119"/>
        <w:spacing w:after="0" w:line="375" w:lineRule="auto"/>
        <w:rPr>
          <w:sz w:val="20"/>
          <w:szCs w:val="20"/>
          <w:color w:val="auto"/>
        </w:rPr>
      </w:pPr>
      <w:r>
        <w:rPr>
          <w:rFonts w:ascii="Courier New" w:cs="Courier New" w:eastAsia="Courier New" w:hAnsi="Courier New"/>
          <w:sz w:val="14"/>
          <w:szCs w:val="14"/>
          <w:color w:val="auto"/>
        </w:rPr>
        <w:t>The results of Medeval have been included in the consolidated financial statements from January 24, 2003.</w:t>
      </w:r>
    </w:p>
    <w:p>
      <w:pPr>
        <w:spacing w:after="0" w:line="1" w:lineRule="exact"/>
        <w:rPr>
          <w:sz w:val="20"/>
          <w:szCs w:val="20"/>
          <w:color w:val="auto"/>
        </w:rPr>
      </w:pPr>
    </w:p>
    <w:p>
      <w:pPr>
        <w:ind w:left="440" w:hanging="432"/>
        <w:spacing w:after="0"/>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GloboMax 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September 9, 2003, the Company acquired 100% of the outstanding shares of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Globomax LLC, based in Maryland, USA, for an initial cash consideration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U.S.$10.9 million, excluding costs of acquisition. Earn-out provisions have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built into the acquisition contract requiring the potential payment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deferred consideration up to a maximum of U.S.$4.0 million depending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performance of Globomax over the period from date of acquisition to May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2006. Such potential additional consideration will be accounted for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 The total amount of goodwill is expected to be tax deductible.</w:t>
      </w:r>
    </w:p>
    <w:p>
      <w:pPr>
        <w:spacing w:after="0" w:line="147"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The acquisition of Globomax has been accounted for as a purchase in accordance with SFAS No. 141, "Business Combinations". The following table summarises the fair values of the assets acquired and the liabilities assumed at the date of acquisition.</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756" w:right="1440" w:bottom="1440" w:gutter="0" w:footer="0" w:header="0"/>
        </w:sectPr>
      </w:pPr>
    </w:p>
    <w:bookmarkStart w:id="62" w:name="page63"/>
    <w:bookmarkEnd w:id="62"/>
    <w:p>
      <w:pPr>
        <w:ind w:left="4400"/>
        <w:spacing w:after="0"/>
        <w:rPr>
          <w:sz w:val="20"/>
          <w:szCs w:val="20"/>
          <w:color w:val="auto"/>
        </w:rPr>
      </w:pPr>
      <w:r>
        <w:rPr>
          <w:rFonts w:ascii="Courier New" w:cs="Courier New" w:eastAsia="Courier New" w:hAnsi="Courier New"/>
          <w:sz w:val="14"/>
          <w:szCs w:val="14"/>
          <w:color w:val="auto"/>
        </w:rPr>
        <w:t>At September 9,</w:t>
      </w:r>
    </w:p>
    <w:p>
      <w:pPr>
        <w:spacing w:after="0" w:line="33"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2003</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(in thousands)</w:t>
      </w:r>
    </w:p>
    <w:p>
      <w:pPr>
        <w:spacing w:after="0" w:line="7" w:lineRule="exact"/>
        <w:rPr>
          <w:sz w:val="20"/>
          <w:szCs w:val="20"/>
          <w:color w:val="auto"/>
        </w:rPr>
      </w:pPr>
    </w:p>
    <w:p>
      <w:pPr>
        <w:ind w:left="620"/>
        <w:spacing w:after="0"/>
        <w:tabs>
          <w:tab w:leader="none" w:pos="5420" w:val="left"/>
        </w:tabs>
        <w:rPr>
          <w:sz w:val="20"/>
          <w:szCs w:val="20"/>
          <w:color w:val="auto"/>
        </w:rPr>
      </w:pPr>
      <w:r>
        <w:rPr>
          <w:rFonts w:ascii="Courier New" w:cs="Courier New" w:eastAsia="Courier New" w:hAnsi="Courier New"/>
          <w:sz w:val="14"/>
          <w:szCs w:val="14"/>
          <w:color w:val="auto"/>
        </w:rPr>
        <w:t>Property, Plant and Equipment</w:t>
      </w:r>
      <w:r>
        <w:rPr>
          <w:sz w:val="20"/>
          <w:szCs w:val="20"/>
          <w:color w:val="auto"/>
        </w:rPr>
        <w:tab/>
      </w:r>
      <w:r>
        <w:rPr>
          <w:rFonts w:ascii="Courier New" w:cs="Courier New" w:eastAsia="Courier New" w:hAnsi="Courier New"/>
          <w:sz w:val="14"/>
          <w:szCs w:val="14"/>
          <w:color w:val="auto"/>
        </w:rPr>
        <w:t>352</w:t>
      </w:r>
    </w:p>
    <w:p>
      <w:pPr>
        <w:spacing w:after="0" w:line="7" w:lineRule="exact"/>
        <w:rPr>
          <w:sz w:val="20"/>
          <w:szCs w:val="20"/>
          <w:color w:val="auto"/>
        </w:rPr>
      </w:pPr>
    </w:p>
    <w:p>
      <w:pPr>
        <w:ind w:left="620"/>
        <w:spacing w:after="0"/>
        <w:tabs>
          <w:tab w:leader="none" w:pos="5160" w:val="left"/>
        </w:tabs>
        <w:rPr>
          <w:sz w:val="20"/>
          <w:szCs w:val="20"/>
          <w:color w:val="auto"/>
        </w:rPr>
      </w:pPr>
      <w:r>
        <w:rPr>
          <w:rFonts w:ascii="Courier New" w:cs="Courier New" w:eastAsia="Courier New" w:hAnsi="Courier New"/>
          <w:sz w:val="14"/>
          <w:szCs w:val="14"/>
          <w:color w:val="auto"/>
        </w:rPr>
        <w:t>Goodwill</w:t>
      </w:r>
      <w:r>
        <w:rPr>
          <w:sz w:val="20"/>
          <w:szCs w:val="20"/>
          <w:color w:val="auto"/>
        </w:rPr>
        <w:tab/>
      </w:r>
      <w:r>
        <w:rPr>
          <w:rFonts w:ascii="Courier New" w:cs="Courier New" w:eastAsia="Courier New" w:hAnsi="Courier New"/>
          <w:sz w:val="14"/>
          <w:szCs w:val="14"/>
          <w:color w:val="auto"/>
        </w:rPr>
        <w:t>13,134</w:t>
      </w:r>
    </w:p>
    <w:p>
      <w:pPr>
        <w:spacing w:after="0" w:line="7" w:lineRule="exact"/>
        <w:rPr>
          <w:sz w:val="20"/>
          <w:szCs w:val="20"/>
          <w:color w:val="auto"/>
        </w:rPr>
      </w:pPr>
    </w:p>
    <w:p>
      <w:pPr>
        <w:ind w:left="620"/>
        <w:spacing w:after="0"/>
        <w:tabs>
          <w:tab w:leader="none" w:pos="5420" w:val="left"/>
        </w:tabs>
        <w:rPr>
          <w:sz w:val="20"/>
          <w:szCs w:val="20"/>
          <w:color w:val="auto"/>
        </w:rPr>
      </w:pPr>
      <w:r>
        <w:rPr>
          <w:rFonts w:ascii="Courier New" w:cs="Courier New" w:eastAsia="Courier New" w:hAnsi="Courier New"/>
          <w:sz w:val="14"/>
          <w:szCs w:val="14"/>
          <w:color w:val="auto"/>
        </w:rPr>
        <w:t>Cash</w:t>
      </w:r>
      <w:r>
        <w:rPr>
          <w:sz w:val="20"/>
          <w:szCs w:val="20"/>
          <w:color w:val="auto"/>
        </w:rPr>
        <w:tab/>
      </w:r>
      <w:r>
        <w:rPr>
          <w:rFonts w:ascii="Courier New" w:cs="Courier New" w:eastAsia="Courier New" w:hAnsi="Courier New"/>
          <w:sz w:val="14"/>
          <w:szCs w:val="14"/>
          <w:color w:val="auto"/>
        </w:rPr>
        <w:t>891</w:t>
      </w:r>
    </w:p>
    <w:p>
      <w:pPr>
        <w:spacing w:after="0" w:line="7" w:lineRule="exact"/>
        <w:rPr>
          <w:sz w:val="20"/>
          <w:szCs w:val="20"/>
          <w:color w:val="auto"/>
        </w:rPr>
      </w:pPr>
    </w:p>
    <w:p>
      <w:pPr>
        <w:ind w:left="620"/>
        <w:spacing w:after="0"/>
        <w:tabs>
          <w:tab w:leader="none" w:pos="5240" w:val="left"/>
        </w:tabs>
        <w:rPr>
          <w:sz w:val="20"/>
          <w:szCs w:val="20"/>
          <w:color w:val="auto"/>
        </w:rPr>
      </w:pPr>
      <w:r>
        <w:rPr>
          <w:rFonts w:ascii="Courier New" w:cs="Courier New" w:eastAsia="Courier New" w:hAnsi="Courier New"/>
          <w:sz w:val="14"/>
          <w:szCs w:val="14"/>
          <w:color w:val="auto"/>
        </w:rPr>
        <w:t>Other Current Assets</w:t>
      </w:r>
      <w:r>
        <w:rPr>
          <w:sz w:val="20"/>
          <w:szCs w:val="20"/>
          <w:color w:val="auto"/>
        </w:rPr>
        <w:tab/>
      </w:r>
      <w:r>
        <w:rPr>
          <w:rFonts w:ascii="Courier New" w:cs="Courier New" w:eastAsia="Courier New" w:hAnsi="Courier New"/>
          <w:sz w:val="14"/>
          <w:szCs w:val="14"/>
          <w:color w:val="auto"/>
        </w:rPr>
        <w:t>2,487</w:t>
      </w:r>
    </w:p>
    <w:p>
      <w:pPr>
        <w:spacing w:after="0" w:line="7" w:lineRule="exact"/>
        <w:rPr>
          <w:sz w:val="20"/>
          <w:szCs w:val="20"/>
          <w:color w:val="auto"/>
        </w:rPr>
      </w:pPr>
    </w:p>
    <w:p>
      <w:pPr>
        <w:ind w:left="620"/>
        <w:spacing w:after="0"/>
        <w:tabs>
          <w:tab w:leader="none" w:pos="5080" w:val="left"/>
        </w:tabs>
        <w:rPr>
          <w:sz w:val="20"/>
          <w:szCs w:val="20"/>
          <w:color w:val="auto"/>
        </w:rPr>
      </w:pPr>
      <w:r>
        <w:rPr>
          <w:rFonts w:ascii="Courier New" w:cs="Courier New" w:eastAsia="Courier New" w:hAnsi="Courier New"/>
          <w:sz w:val="14"/>
          <w:szCs w:val="14"/>
          <w:color w:val="auto"/>
        </w:rPr>
        <w:t>Current liabilities</w:t>
      </w:r>
      <w:r>
        <w:rPr>
          <w:sz w:val="20"/>
          <w:szCs w:val="20"/>
          <w:color w:val="auto"/>
        </w:rPr>
        <w:tab/>
      </w:r>
      <w:r>
        <w:rPr>
          <w:rFonts w:ascii="Courier New" w:cs="Courier New" w:eastAsia="Courier New" w:hAnsi="Courier New"/>
          <w:sz w:val="14"/>
          <w:szCs w:val="14"/>
          <w:color w:val="auto"/>
        </w:rPr>
        <w:t>(5,539)</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tabs>
          <w:tab w:leader="none" w:pos="5080" w:val="left"/>
        </w:tabs>
        <w:rPr>
          <w:sz w:val="20"/>
          <w:szCs w:val="20"/>
          <w:color w:val="auto"/>
        </w:rPr>
      </w:pPr>
      <w:r>
        <w:rPr>
          <w:rFonts w:ascii="Courier New" w:cs="Courier New" w:eastAsia="Courier New" w:hAnsi="Courier New"/>
          <w:sz w:val="14"/>
          <w:szCs w:val="14"/>
          <w:color w:val="auto"/>
        </w:rPr>
        <w:t>Purchase Price</w:t>
      </w:r>
      <w:r>
        <w:rPr>
          <w:sz w:val="20"/>
          <w:szCs w:val="20"/>
          <w:color w:val="auto"/>
        </w:rPr>
        <w:tab/>
      </w:r>
      <w:r>
        <w:rPr>
          <w:rFonts w:ascii="Courier New" w:cs="Courier New" w:eastAsia="Courier New" w:hAnsi="Courier New"/>
          <w:sz w:val="14"/>
          <w:szCs w:val="14"/>
          <w:color w:val="auto"/>
        </w:rPr>
        <w:t>$11,325</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right="4019"/>
        <w:spacing w:after="0" w:line="375" w:lineRule="auto"/>
        <w:rPr>
          <w:sz w:val="20"/>
          <w:szCs w:val="20"/>
          <w:color w:val="auto"/>
        </w:rPr>
      </w:pPr>
      <w:r>
        <w:rPr>
          <w:rFonts w:ascii="Courier New" w:cs="Courier New" w:eastAsia="Courier New" w:hAnsi="Courier New"/>
          <w:sz w:val="14"/>
          <w:szCs w:val="14"/>
          <w:color w:val="auto"/>
        </w:rPr>
        <w:t>The results of Globomax have been included in the consolidated financial statements from September 9, 2003.</w:t>
      </w:r>
    </w:p>
    <w:p>
      <w:pPr>
        <w:spacing w:after="0" w:line="1"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The proforma effect of the BPA, MCS, Medeval and Globomax acquisitions if completed on June 1, 2002 would have resulted in net revenue, net income and earnings per share for the fiscal years ended May 31, 2003 and 2004 as follows:</w:t>
      </w:r>
    </w:p>
    <w:p>
      <w:pPr>
        <w:spacing w:after="0" w:line="42"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2660" w:type="dxa"/>
            <w:vAlign w:val="bottom"/>
          </w:tcPr>
          <w:p>
            <w:pPr>
              <w:spacing w:after="0"/>
              <w:rPr>
                <w:sz w:val="14"/>
                <w:szCs w:val="14"/>
                <w:color w:val="auto"/>
              </w:rPr>
            </w:pPr>
          </w:p>
        </w:tc>
        <w:tc>
          <w:tcPr>
            <w:tcW w:w="36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Year Ended May 31,</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660" w:type="dxa"/>
            <w:vAlign w:val="bottom"/>
            <w:vMerge w:val="restart"/>
          </w:tcPr>
          <w:p>
            <w:pPr>
              <w:spacing w:after="0"/>
              <w:rPr>
                <w:sz w:val="20"/>
                <w:szCs w:val="20"/>
                <w:color w:val="auto"/>
              </w:rPr>
            </w:pPr>
            <w:r>
              <w:rPr>
                <w:rFonts w:ascii="Courier New" w:cs="Courier New" w:eastAsia="Courier New" w:hAnsi="Courier New"/>
                <w:sz w:val="14"/>
                <w:szCs w:val="14"/>
                <w:color w:val="auto"/>
              </w:rPr>
              <w:t>Net Revenue</w:t>
            </w:r>
          </w:p>
        </w:tc>
        <w:tc>
          <w:tcPr>
            <w:tcW w:w="3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c>
          <w:tcPr>
            <w:tcW w:w="0" w:type="dxa"/>
            <w:vAlign w:val="bottom"/>
          </w:tcPr>
          <w:p>
            <w:pPr>
              <w:spacing w:after="0"/>
              <w:rPr>
                <w:sz w:val="1"/>
                <w:szCs w:val="1"/>
                <w:color w:val="auto"/>
              </w:rPr>
            </w:pPr>
          </w:p>
        </w:tc>
      </w:tr>
      <w:tr>
        <w:trPr>
          <w:trHeight w:val="166"/>
        </w:trPr>
        <w:tc>
          <w:tcPr>
            <w:tcW w:w="2660" w:type="dxa"/>
            <w:vAlign w:val="bottom"/>
            <w:vMerge w:val="continue"/>
          </w:tcPr>
          <w:p>
            <w:pPr>
              <w:spacing w:after="0"/>
              <w:rPr>
                <w:sz w:val="14"/>
                <w:szCs w:val="14"/>
                <w:color w:val="auto"/>
              </w:rPr>
            </w:pP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$254,694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$299,948</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$20,276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$25,918</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$1.72</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w:t>
            </w:r>
          </w:p>
        </w:tc>
        <w:tc>
          <w:tcPr>
            <w:tcW w:w="0" w:type="dxa"/>
            <w:vAlign w:val="bottom"/>
          </w:tcPr>
          <w:p>
            <w:pPr>
              <w:spacing w:after="0"/>
              <w:rPr>
                <w:sz w:val="1"/>
                <w:szCs w:val="1"/>
                <w:color w:val="auto"/>
              </w:rPr>
            </w:pPr>
          </w:p>
        </w:tc>
      </w:tr>
      <w:tr>
        <w:trPr>
          <w:trHeight w:val="242"/>
        </w:trPr>
        <w:tc>
          <w:tcPr>
            <w:tcW w:w="26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419"/>
        <w:spacing w:after="0" w:line="275" w:lineRule="auto"/>
        <w:rPr>
          <w:sz w:val="20"/>
          <w:szCs w:val="20"/>
          <w:color w:val="auto"/>
        </w:rPr>
      </w:pPr>
      <w:r>
        <w:rPr>
          <w:rFonts w:ascii="Courier New" w:cs="Courier New" w:eastAsia="Courier New" w:hAnsi="Courier New"/>
          <w:sz w:val="14"/>
          <w:szCs w:val="14"/>
          <w:color w:val="auto"/>
        </w:rPr>
        <w:t>In August 2002, prior to the date of acquisition, a U.S.$900,000 distribution was made by BPA and MCS, to the former shareholders of BPA and MCS, which was recorded as other expenses. In July 2002, distributions were paid to the former shareholders of Medeval by Medeval of Stg(pound)109,700 (U.S.$168,134) respectively which were also recorded as other expenses. These payments are included in the proforma results above.</w:t>
      </w: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590"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42"/>
        </w:trPr>
        <w:tc>
          <w:tcPr>
            <w:tcW w:w="4540" w:type="dxa"/>
            <w:vAlign w:val="bottom"/>
          </w:tcPr>
          <w:p>
            <w:pPr>
              <w:spacing w:after="0"/>
              <w:rPr>
                <w:sz w:val="20"/>
                <w:szCs w:val="20"/>
                <w:color w:val="auto"/>
              </w:rPr>
            </w:pPr>
            <w:r>
              <w:rPr>
                <w:rFonts w:ascii="Courier New" w:cs="Courier New" w:eastAsia="Courier New" w:hAnsi="Courier New"/>
                <w:sz w:val="14"/>
                <w:szCs w:val="14"/>
                <w:color w:val="auto"/>
              </w:rPr>
              <w:t>5. Property, Plant and Equipment</w:t>
            </w: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540" w:type="dxa"/>
            <w:vAlign w:val="bottom"/>
          </w:tcPr>
          <w:p>
            <w:pPr>
              <w:spacing w:after="0"/>
              <w:rPr>
                <w:sz w:val="22"/>
                <w:szCs w:val="22"/>
                <w:color w:val="auto"/>
              </w:rPr>
            </w:pPr>
          </w:p>
        </w:tc>
        <w:tc>
          <w:tcPr>
            <w:tcW w:w="9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2003</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May 31,</w:t>
            </w:r>
          </w:p>
        </w:tc>
        <w:tc>
          <w:tcPr>
            <w:tcW w:w="0" w:type="dxa"/>
            <w:vAlign w:val="bottom"/>
          </w:tcPr>
          <w:p>
            <w:pPr>
              <w:spacing w:after="0"/>
              <w:rPr>
                <w:sz w:val="1"/>
                <w:szCs w:val="1"/>
                <w:color w:val="auto"/>
              </w:rPr>
            </w:pPr>
          </w:p>
        </w:tc>
      </w:tr>
      <w:tr>
        <w:trPr>
          <w:trHeight w:val="166"/>
        </w:trPr>
        <w:tc>
          <w:tcPr>
            <w:tcW w:w="45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242"/>
        </w:trPr>
        <w:tc>
          <w:tcPr>
            <w:tcW w:w="45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thousands)</w:t>
            </w:r>
          </w:p>
        </w:tc>
        <w:tc>
          <w:tcPr>
            <w:tcW w:w="0" w:type="dxa"/>
            <w:vAlign w:val="bottom"/>
          </w:tcPr>
          <w:p>
            <w:pPr>
              <w:spacing w:after="0"/>
              <w:rPr>
                <w:sz w:val="1"/>
                <w:szCs w:val="1"/>
                <w:color w:val="auto"/>
              </w:rPr>
            </w:pPr>
          </w:p>
        </w:tc>
      </w:tr>
      <w:tr>
        <w:trPr>
          <w:trHeight w:val="255"/>
        </w:trPr>
        <w:tc>
          <w:tcPr>
            <w:tcW w:w="4540" w:type="dxa"/>
            <w:vAlign w:val="bottom"/>
          </w:tcPr>
          <w:p>
            <w:pPr>
              <w:spacing w:after="0"/>
              <w:rPr>
                <w:sz w:val="20"/>
                <w:szCs w:val="20"/>
                <w:color w:val="auto"/>
              </w:rPr>
            </w:pPr>
            <w:r>
              <w:rPr>
                <w:rFonts w:ascii="Courier New" w:cs="Courier New" w:eastAsia="Courier New" w:hAnsi="Courier New"/>
                <w:sz w:val="14"/>
                <w:szCs w:val="14"/>
                <w:color w:val="auto"/>
              </w:rPr>
              <w:t>Cost</w:t>
            </w:r>
          </w:p>
        </w:tc>
        <w:tc>
          <w:tcPr>
            <w:tcW w:w="9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$717</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$748</w:t>
            </w:r>
          </w:p>
        </w:tc>
        <w:tc>
          <w:tcPr>
            <w:tcW w:w="0" w:type="dxa"/>
            <w:vAlign w:val="bottom"/>
          </w:tcPr>
          <w:p>
            <w:pPr>
              <w:spacing w:after="0"/>
              <w:rPr>
                <w:sz w:val="1"/>
                <w:szCs w:val="1"/>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9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7,874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9,502</w:t>
            </w:r>
          </w:p>
        </w:tc>
        <w:tc>
          <w:tcPr>
            <w:tcW w:w="0" w:type="dxa"/>
            <w:vAlign w:val="bottom"/>
          </w:tcPr>
          <w:p>
            <w:pPr>
              <w:spacing w:after="0"/>
              <w:rPr>
                <w:sz w:val="1"/>
                <w:szCs w:val="1"/>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Computer equipment and software.................</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33,558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42,469</w:t>
            </w:r>
          </w:p>
        </w:tc>
        <w:tc>
          <w:tcPr>
            <w:tcW w:w="0" w:type="dxa"/>
            <w:vAlign w:val="bottom"/>
          </w:tcPr>
          <w:p>
            <w:pPr>
              <w:spacing w:after="0"/>
              <w:rPr>
                <w:sz w:val="1"/>
                <w:szCs w:val="1"/>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Office furniture and fixtures...................</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13,418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17,071</w:t>
            </w:r>
          </w:p>
        </w:tc>
        <w:tc>
          <w:tcPr>
            <w:tcW w:w="0" w:type="dxa"/>
            <w:vAlign w:val="bottom"/>
          </w:tcPr>
          <w:p>
            <w:pPr>
              <w:spacing w:after="0"/>
              <w:rPr>
                <w:sz w:val="1"/>
                <w:szCs w:val="1"/>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Laboratory equipment............................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3,685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5,009</w:t>
            </w:r>
          </w:p>
        </w:tc>
        <w:tc>
          <w:tcPr>
            <w:tcW w:w="0" w:type="dxa"/>
            <w:vAlign w:val="bottom"/>
          </w:tcPr>
          <w:p>
            <w:pPr>
              <w:spacing w:after="0"/>
              <w:rPr>
                <w:sz w:val="1"/>
                <w:szCs w:val="1"/>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Motor vehicles...................................</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6,921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6,116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0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66,211</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80,952</w:t>
            </w:r>
          </w:p>
        </w:tc>
        <w:tc>
          <w:tcPr>
            <w:tcW w:w="0" w:type="dxa"/>
            <w:vAlign w:val="bottom"/>
          </w:tcPr>
          <w:p>
            <w:pPr>
              <w:spacing w:after="0"/>
              <w:rPr>
                <w:sz w:val="1"/>
                <w:szCs w:val="1"/>
                <w:color w:val="auto"/>
              </w:rPr>
            </w:pPr>
          </w:p>
        </w:tc>
      </w:tr>
      <w:tr>
        <w:trPr>
          <w:trHeight w:val="166"/>
        </w:trPr>
        <w:tc>
          <w:tcPr>
            <w:tcW w:w="4400" w:type="dxa"/>
            <w:vAlign w:val="bottom"/>
            <w:gridSpan w:val="2"/>
            <w:vMerge w:val="continue"/>
          </w:tcPr>
          <w:p>
            <w:pPr>
              <w:ind w:left="2500"/>
              <w:spacing w:after="0" w:line="146" w:lineRule="exact"/>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(26,708)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(38,016)</w:t>
            </w:r>
          </w:p>
        </w:tc>
        <w:tc>
          <w:tcPr>
            <w:tcW w:w="0" w:type="dxa"/>
            <w:vAlign w:val="bottom"/>
          </w:tcPr>
          <w:p>
            <w:pPr>
              <w:spacing w:after="0"/>
              <w:rPr>
                <w:sz w:val="1"/>
                <w:szCs w:val="1"/>
                <w:color w:val="auto"/>
              </w:rPr>
            </w:pPr>
          </w:p>
        </w:tc>
      </w:tr>
      <w:tr>
        <w:trPr>
          <w:trHeight w:val="24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$39,503</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$42,936</w:t>
            </w:r>
          </w:p>
        </w:tc>
        <w:tc>
          <w:tcPr>
            <w:tcW w:w="0" w:type="dxa"/>
            <w:vAlign w:val="bottom"/>
          </w:tcPr>
          <w:p>
            <w:pPr>
              <w:spacing w:after="0"/>
              <w:rPr>
                <w:sz w:val="1"/>
                <w:szCs w:val="1"/>
                <w:color w:val="auto"/>
              </w:rPr>
            </w:pPr>
          </w:p>
        </w:tc>
      </w:tr>
      <w:tr>
        <w:trPr>
          <w:trHeight w:val="24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Total cost above at May 31, 2004 includes U.S.$1,580,127 (2003: U.S.$524,632) which relates to assets held under capital finance leases. Related accumulated depreciation amounted to U.S.$252,039 (2003: U.S.$36,272).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00" w:type="dxa"/>
            <w:vAlign w:val="bottom"/>
          </w:tcPr>
          <w:p>
            <w:pPr>
              <w:spacing w:after="0"/>
              <w:rPr>
                <w:sz w:val="20"/>
                <w:szCs w:val="20"/>
                <w:color w:val="auto"/>
              </w:rPr>
            </w:pPr>
            <w:r>
              <w:rPr>
                <w:rFonts w:ascii="Courier New" w:cs="Courier New" w:eastAsia="Courier New" w:hAnsi="Courier New"/>
                <w:sz w:val="14"/>
                <w:szCs w:val="14"/>
                <w:color w:val="auto"/>
              </w:rPr>
              <w:t>6. Other Liabilities</w:t>
            </w: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Pr>
          <w:p>
            <w:pPr>
              <w:spacing w:after="0"/>
              <w:rPr>
                <w:sz w:val="22"/>
                <w:szCs w:val="22"/>
                <w:color w:val="auto"/>
              </w:rPr>
            </w:pPr>
          </w:p>
        </w:tc>
        <w:tc>
          <w:tcPr>
            <w:tcW w:w="7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2003</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May 31,</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1"/>
                <w:szCs w:val="21"/>
                <w:color w:val="auto"/>
              </w:rPr>
            </w:pP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255"/>
        </w:trPr>
        <w:tc>
          <w:tcPr>
            <w:tcW w:w="4700" w:type="dxa"/>
            <w:vAlign w:val="bottom"/>
          </w:tcPr>
          <w:p>
            <w:pPr>
              <w:spacing w:after="0"/>
              <w:rPr>
                <w:sz w:val="20"/>
                <w:szCs w:val="20"/>
                <w:color w:val="auto"/>
              </w:rPr>
            </w:pPr>
            <w:r>
              <w:rPr>
                <w:rFonts w:ascii="Courier New" w:cs="Courier New" w:eastAsia="Courier New" w:hAnsi="Courier New"/>
                <w:sz w:val="14"/>
                <w:szCs w:val="14"/>
                <w:color w:val="auto"/>
              </w:rPr>
              <w:t>Accrued liabilities...................................</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$13,562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18,483</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Accrued bonuses.......................................</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8,542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8,828</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Accrued social welfare costs..........................</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1,899</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Contingent purchase consideration payable.............</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2,506</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Short term government grants..........................</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Accrued pension liability (note 8) ...................</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2,927</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20"/>
                <w:szCs w:val="20"/>
                <w:color w:val="auto"/>
              </w:rPr>
            </w:pPr>
            <w:r>
              <w:rPr>
                <w:rFonts w:ascii="Courier New" w:cs="Courier New" w:eastAsia="Courier New" w:hAnsi="Courier New"/>
                <w:sz w:val="14"/>
                <w:szCs w:val="14"/>
                <w:color w:val="auto"/>
              </w:rPr>
              <w:t>Short term finance leases (note 14)...................</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29"/>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5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$28,289</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$35,091</w:t>
            </w:r>
          </w:p>
        </w:tc>
        <w:tc>
          <w:tcPr>
            <w:tcW w:w="0" w:type="dxa"/>
            <w:vAlign w:val="bottom"/>
          </w:tcPr>
          <w:p>
            <w:pPr>
              <w:spacing w:after="0"/>
              <w:rPr>
                <w:sz w:val="1"/>
                <w:szCs w:val="1"/>
                <w:color w:val="auto"/>
              </w:rPr>
            </w:pPr>
          </w:p>
        </w:tc>
      </w:tr>
      <w:tr>
        <w:trPr>
          <w:trHeight w:val="242"/>
        </w:trPr>
        <w:tc>
          <w:tcPr>
            <w:tcW w:w="140" w:type="dxa"/>
            <w:vAlign w:val="bottom"/>
            <w:vMerge w:val="continue"/>
          </w:tcPr>
          <w:p>
            <w:pPr>
              <w:spacing w:after="0"/>
              <w:rPr>
                <w:sz w:val="21"/>
                <w:szCs w:val="21"/>
                <w:color w:val="auto"/>
              </w:rPr>
            </w:pPr>
          </w:p>
        </w:tc>
        <w:tc>
          <w:tcPr>
            <w:tcW w:w="6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440" w:hanging="432"/>
        <w:spacing w:after="0"/>
        <w:tabs>
          <w:tab w:leader="none" w:pos="4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 Loans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short-term bank loan facilities as follows:</w:t>
      </w:r>
    </w:p>
    <w:p>
      <w:pPr>
        <w:spacing w:after="0" w:line="173" w:lineRule="exact"/>
        <w:rPr>
          <w:sz w:val="20"/>
          <w:szCs w:val="20"/>
          <w:color w:val="auto"/>
        </w:rPr>
      </w:pPr>
    </w:p>
    <w:p>
      <w:pPr>
        <w:ind w:right="3419"/>
        <w:spacing w:after="0" w:line="261" w:lineRule="auto"/>
        <w:rPr>
          <w:sz w:val="20"/>
          <w:szCs w:val="20"/>
          <w:color w:val="auto"/>
        </w:rPr>
      </w:pPr>
      <w:r>
        <w:rPr>
          <w:rFonts w:ascii="Courier New" w:cs="Courier New" w:eastAsia="Courier New" w:hAnsi="Courier New"/>
          <w:sz w:val="14"/>
          <w:szCs w:val="14"/>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The obligations of the borrowers under the Facilities are secured by certain composite guarantees and indemnities and pledges in favour of each of the banks. This facility bears interest at an annual rate equal to the Banks Prime Rate plus three quarters of one percent. As at May 31, 2004, the full amount of these facilities were available to be drawn down. ICON Clinical Research, Inc. (a subsidiary of ICON plc) is entitled to make borrowings under a revolving credit facility of $15 million. As at May 31, 2004, the full amount of this facility was available to be drawn down.</w:t>
      </w:r>
    </w:p>
    <w:p>
      <w:pPr>
        <w:spacing w:after="0" w:line="200" w:lineRule="exact"/>
        <w:rPr>
          <w:sz w:val="20"/>
          <w:szCs w:val="20"/>
          <w:color w:val="auto"/>
        </w:rPr>
      </w:pPr>
    </w:p>
    <w:p>
      <w:pPr>
        <w:spacing w:after="0" w:line="21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756" w:right="1440" w:bottom="1440" w:gutter="0" w:footer="0" w:header="0"/>
        </w:sectPr>
      </w:pPr>
    </w:p>
    <w:bookmarkStart w:id="64" w:name="page65"/>
    <w:bookmarkEnd w:id="64"/>
    <w:p>
      <w:pPr>
        <w:ind w:right="3519"/>
        <w:spacing w:after="0" w:line="292" w:lineRule="auto"/>
        <w:rPr>
          <w:sz w:val="20"/>
          <w:szCs w:val="20"/>
          <w:color w:val="auto"/>
        </w:rPr>
      </w:pPr>
      <w:r>
        <w:rPr>
          <w:rFonts w:ascii="Courier New" w:cs="Courier New" w:eastAsia="Courier New" w:hAnsi="Courier New"/>
          <w:sz w:val="14"/>
          <w:szCs w:val="14"/>
          <w:color w:val="auto"/>
        </w:rPr>
        <w:t>The Company entered into an overdraft agreement with Allied Irish Banks, plc ("AIB") whereby the company guarantees any overdraft of the subsidiary ICON Clinical Research GmbH up to an amount (euro)120,000 (U.S.$146,604). As of May 31, 2004, the full facility was available to be drawn down.</w:t>
      </w:r>
    </w:p>
    <w:p>
      <w:pPr>
        <w:spacing w:after="0" w:line="56" w:lineRule="exact"/>
        <w:rPr>
          <w:sz w:val="20"/>
          <w:szCs w:val="20"/>
          <w:color w:val="auto"/>
        </w:rPr>
      </w:pPr>
    </w:p>
    <w:p>
      <w:pPr>
        <w:ind w:right="3339"/>
        <w:spacing w:after="0" w:line="299" w:lineRule="auto"/>
        <w:rPr>
          <w:sz w:val="20"/>
          <w:szCs w:val="20"/>
          <w:color w:val="auto"/>
        </w:rPr>
      </w:pPr>
      <w:r>
        <w:rPr>
          <w:rFonts w:ascii="Courier New" w:cs="Courier New" w:eastAsia="Courier New" w:hAnsi="Courier New"/>
          <w:sz w:val="14"/>
          <w:szCs w:val="14"/>
          <w:color w:val="auto"/>
        </w:rPr>
        <w:t>The Company also entered into an overdraft agreement with AIB, whereby the company guaranteed any overdraft of the subsidiary ICON Clinical Research Israel Ltd. up to an amount of U.S.$250,000. This facility was terminated on April 20, 2004.</w:t>
      </w:r>
    </w:p>
    <w:p>
      <w:pPr>
        <w:spacing w:after="0" w:line="235" w:lineRule="exact"/>
        <w:rPr>
          <w:sz w:val="20"/>
          <w:szCs w:val="20"/>
          <w:color w:val="auto"/>
        </w:rPr>
      </w:pPr>
    </w:p>
    <w:p>
      <w:pPr>
        <w:ind w:right="3519"/>
        <w:spacing w:after="0" w:line="282" w:lineRule="auto"/>
        <w:rPr>
          <w:sz w:val="20"/>
          <w:szCs w:val="20"/>
          <w:color w:val="auto"/>
        </w:rPr>
      </w:pPr>
      <w:r>
        <w:rPr>
          <w:rFonts w:ascii="Courier New" w:cs="Courier New" w:eastAsia="Courier New" w:hAnsi="Courier New"/>
          <w:sz w:val="14"/>
          <w:szCs w:val="14"/>
          <w:color w:val="auto"/>
        </w:rPr>
        <w:t>On November 17, 1998, the Company entered into an overdraft facility (the "AIB facility") for (euro)2,539,000 ($3,101,896) with AIB. This facility bore an annual interest rate equal to AIB Bank's Prime Rate plus one-quarter of one percent. The full sum of the unpaid principal and interest was repayable on demand. This facility was terminated on July 3, 2003.</w:t>
      </w:r>
    </w:p>
    <w:p>
      <w:pPr>
        <w:spacing w:after="0" w:line="62" w:lineRule="exact"/>
        <w:rPr>
          <w:sz w:val="20"/>
          <w:szCs w:val="20"/>
          <w:color w:val="auto"/>
        </w:rPr>
      </w:pPr>
    </w:p>
    <w:p>
      <w:pPr>
        <w:ind w:right="3419"/>
        <w:spacing w:after="0" w:line="284" w:lineRule="auto"/>
        <w:rPr>
          <w:sz w:val="20"/>
          <w:szCs w:val="20"/>
          <w:color w:val="auto"/>
        </w:rPr>
      </w:pPr>
      <w:r>
        <w:rPr>
          <w:rFonts w:ascii="Courier New" w:cs="Courier New" w:eastAsia="Courier New" w:hAnsi="Courier New"/>
          <w:sz w:val="14"/>
          <w:szCs w:val="14"/>
          <w:color w:val="auto"/>
        </w:rPr>
        <w:t>On July 29, 2002, the Company entered into an additional AIB facility for Stg(pound)50,000 ($91,664) This facility bore interest at an annual rate equal to AIB Bank's Prime Rate plus two percent. The full sum of the unpaid principal and interest was repayable on demand. This facility was terminated on July 3, 2003.</w:t>
      </w:r>
    </w:p>
    <w:p>
      <w:pPr>
        <w:spacing w:after="0" w:line="243"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Our U.S. subsidiary, ICON Clinical Research, Inc. (the "Borrower"), had a $12 million secured line of credit (the "PNC Facility") with PNC Bank N.A. ("P.N.C."). The PNC Facility bore interest at an annual rate equal to PNC's Prime Rate less three-quarters of one percent. The full sum of the unpaid principal and interest was payable on demand. The PNC Facility was secured by a first priority security interest in certain assets of the Borrower. This facility was terminated on July 3, 2003.</w:t>
      </w:r>
    </w:p>
    <w:p>
      <w:pPr>
        <w:spacing w:after="0" w:line="200" w:lineRule="exact"/>
        <w:rPr>
          <w:sz w:val="20"/>
          <w:szCs w:val="20"/>
          <w:color w:val="auto"/>
        </w:rPr>
      </w:pPr>
    </w:p>
    <w:p>
      <w:pPr>
        <w:spacing w:after="0" w:line="203" w:lineRule="exact"/>
        <w:rPr>
          <w:sz w:val="20"/>
          <w:szCs w:val="20"/>
          <w:color w:val="auto"/>
        </w:rPr>
      </w:pPr>
    </w:p>
    <w:p>
      <w:pPr>
        <w:ind w:left="440" w:hanging="432"/>
        <w:spacing w:after="0"/>
        <w:tabs>
          <w:tab w:leader="none" w:pos="4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3"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Certain Company employees are eligible to participate in a defined contribution plan (the "Plan"). Participants in the Plan may elect to defer a portion of their pre-tax earnings into a pension plan, which is run by an independent party. The Company matches each participant's contributions up to 6% of the participant's annual compensation. Contributions to this plan are recorded, as expense in the Consolidated Statement of Operations. Contributions for the years ended May 31, 2002, 2003 and 2004 were U.S.$1,265,000, and U.S.$1,649,793, and U.S.$2,297,928 respectively.</w:t>
      </w:r>
    </w:p>
    <w:p>
      <w:pPr>
        <w:spacing w:after="0" w:line="74" w:lineRule="exact"/>
        <w:rPr>
          <w:sz w:val="20"/>
          <w:szCs w:val="20"/>
          <w:color w:val="auto"/>
        </w:rPr>
      </w:pPr>
    </w:p>
    <w:p>
      <w:pPr>
        <w:ind w:right="3339"/>
        <w:spacing w:after="0" w:line="264" w:lineRule="auto"/>
        <w:rPr>
          <w:sz w:val="20"/>
          <w:szCs w:val="20"/>
          <w:color w:val="auto"/>
        </w:rPr>
      </w:pPr>
      <w:r>
        <w:rPr>
          <w:rFonts w:ascii="Courier New" w:cs="Courier New" w:eastAsia="Courier New" w:hAnsi="Courier New"/>
          <w:sz w:val="14"/>
          <w:szCs w:val="14"/>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May 31, 2002, 2003 and 2004 were U.S.$ 1,320,000, U.S.$ 1,811,156, and U.S.$2,389,757 respectively.</w:t>
      </w:r>
    </w:p>
    <w:p>
      <w:pPr>
        <w:spacing w:after="0" w:line="77"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One of the Company's subsidiaries which was acquired during the 2003 fiscal year, Medeval Group Limited, operates a defined benefit pension plan in the United Kingdom for its employees. The plan is managed externally and the related pension costs and liabilities are assessed in accordance with the advice of a professionally qualified actuary. Plan assets at May 31, 2003 and 2004 consist of units held in independently administered funds. The pension costs of this plan are presented in the following tables in accordance with the requirements of SFAS No.132(R), "Employees' Disclosures about Pensions and Other Post-retirement Benefits".</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590"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May 31, 2003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May 31, 2004</w:t>
            </w:r>
          </w:p>
        </w:tc>
      </w:tr>
      <w:tr>
        <w:trPr>
          <w:trHeight w:val="242"/>
        </w:trPr>
        <w:tc>
          <w:tcPr>
            <w:tcW w:w="5440" w:type="dxa"/>
            <w:vAlign w:val="bottom"/>
          </w:tcPr>
          <w:p>
            <w:pPr>
              <w:spacing w:after="0"/>
              <w:rPr>
                <w:sz w:val="21"/>
                <w:szCs w:val="21"/>
                <w:color w:val="auto"/>
              </w:rPr>
            </w:pPr>
          </w:p>
        </w:tc>
        <w:tc>
          <w:tcPr>
            <w:tcW w:w="31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(in thousands)</w:t>
            </w:r>
          </w:p>
        </w:tc>
      </w:tr>
      <w:tr>
        <w:trPr>
          <w:trHeight w:val="255"/>
        </w:trPr>
        <w:tc>
          <w:tcPr>
            <w:tcW w:w="5440" w:type="dxa"/>
            <w:vAlign w:val="bottom"/>
          </w:tcPr>
          <w:p>
            <w:pPr>
              <w:spacing w:after="0"/>
              <w:rPr>
                <w:sz w:val="20"/>
                <w:szCs w:val="20"/>
                <w:color w:val="auto"/>
              </w:rPr>
            </w:pPr>
            <w:r>
              <w:rPr>
                <w:rFonts w:ascii="Courier New" w:cs="Courier New" w:eastAsia="Courier New" w:hAnsi="Courier New"/>
                <w:sz w:val="14"/>
                <w:szCs w:val="14"/>
                <w:color w:val="auto"/>
              </w:rPr>
              <w:t>Benefit obligation at acquisition date/ beginning of year</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$6,759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$7,207</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714</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388</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Plan participants' contributions</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Actuarial loss</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(385)</w:t>
            </w:r>
          </w:p>
        </w:tc>
      </w:tr>
      <w:tr>
        <w:trPr>
          <w:trHeight w:val="242"/>
        </w:trPr>
        <w:tc>
          <w:tcPr>
            <w:tcW w:w="5440" w:type="dxa"/>
            <w:vAlign w:val="bottom"/>
          </w:tcPr>
          <w:p>
            <w:pPr>
              <w:spacing w:after="0"/>
              <w:rPr>
                <w:sz w:val="20"/>
                <w:szCs w:val="20"/>
                <w:color w:val="auto"/>
              </w:rPr>
            </w:pPr>
            <w:r>
              <w:rPr>
                <w:rFonts w:ascii="Courier New" w:cs="Courier New" w:eastAsia="Courier New" w:hAnsi="Courier New"/>
                <w:sz w:val="14"/>
                <w:szCs w:val="14"/>
                <w:color w:val="auto"/>
              </w:rPr>
              <w:t>Foreign currency exchange rate changes</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927</w:t>
            </w: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Benefit obligation at end of year</w:t>
            </w:r>
          </w:p>
        </w:tc>
        <w:tc>
          <w:tcPr>
            <w:tcW w:w="2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$7,207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$9,056</w:t>
            </w:r>
          </w:p>
        </w:tc>
      </w:tr>
    </w:tbl>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4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May 31, 2003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May 31, 2004</w:t>
            </w:r>
          </w:p>
        </w:tc>
        <w:tc>
          <w:tcPr>
            <w:tcW w:w="0" w:type="dxa"/>
            <w:vAlign w:val="bottom"/>
          </w:tcPr>
          <w:p>
            <w:pPr>
              <w:spacing w:after="0"/>
              <w:rPr>
                <w:sz w:val="1"/>
                <w:szCs w:val="1"/>
                <w:color w:val="auto"/>
              </w:rPr>
            </w:pPr>
          </w:p>
        </w:tc>
      </w:tr>
      <w:tr>
        <w:trPr>
          <w:trHeight w:val="242"/>
        </w:trPr>
        <w:tc>
          <w:tcPr>
            <w:tcW w:w="3540" w:type="dxa"/>
            <w:vAlign w:val="bottom"/>
          </w:tcPr>
          <w:p>
            <w:pPr>
              <w:spacing w:after="0"/>
              <w:rPr>
                <w:sz w:val="21"/>
                <w:szCs w:val="21"/>
                <w:color w:val="auto"/>
              </w:rPr>
            </w:pPr>
          </w:p>
        </w:tc>
        <w:tc>
          <w:tcPr>
            <w:tcW w:w="400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4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acquisition</w:t>
            </w:r>
          </w:p>
        </w:tc>
        <w:tc>
          <w:tcPr>
            <w:tcW w:w="400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date/  beginning</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$4,378</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of year</w:t>
            </w:r>
          </w:p>
        </w:tc>
        <w:tc>
          <w:tcPr>
            <w:tcW w:w="4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$4,171</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4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291</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Employer contributions</w:t>
            </w:r>
          </w:p>
        </w:tc>
        <w:tc>
          <w:tcPr>
            <w:tcW w:w="4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657</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Plan participants' contributions</w:t>
            </w:r>
          </w:p>
        </w:tc>
        <w:tc>
          <w:tcPr>
            <w:tcW w:w="4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4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0" w:type="dxa"/>
            <w:vAlign w:val="bottom"/>
          </w:tcPr>
          <w:p>
            <w:pPr>
              <w:spacing w:after="0"/>
              <w:rPr>
                <w:sz w:val="1"/>
                <w:szCs w:val="1"/>
                <w:color w:val="auto"/>
              </w:rPr>
            </w:pPr>
          </w:p>
        </w:tc>
      </w:tr>
      <w:tr>
        <w:trPr>
          <w:trHeight w:val="242"/>
        </w:trPr>
        <w:tc>
          <w:tcPr>
            <w:tcW w:w="3540" w:type="dxa"/>
            <w:vAlign w:val="bottom"/>
          </w:tcPr>
          <w:p>
            <w:pPr>
              <w:spacing w:after="0"/>
              <w:rPr>
                <w:sz w:val="20"/>
                <w:szCs w:val="20"/>
                <w:color w:val="auto"/>
              </w:rPr>
            </w:pPr>
            <w:r>
              <w:rPr>
                <w:rFonts w:ascii="Courier New" w:cs="Courier New" w:eastAsia="Courier New" w:hAnsi="Courier New"/>
                <w:sz w:val="14"/>
                <w:szCs w:val="14"/>
                <w:color w:val="auto"/>
              </w:rPr>
              <w:t>Foreign currency exchange rate changes</w:t>
            </w:r>
          </w:p>
        </w:tc>
        <w:tc>
          <w:tcPr>
            <w:tcW w:w="4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598</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end of year</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$4,378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$6,129</w:t>
            </w:r>
          </w:p>
        </w:tc>
      </w:tr>
    </w:tbl>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3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May 31, 2003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May 31, 2004</w:t>
            </w:r>
          </w:p>
        </w:tc>
      </w:tr>
      <w:tr>
        <w:trPr>
          <w:trHeight w:val="242"/>
        </w:trPr>
        <w:tc>
          <w:tcPr>
            <w:tcW w:w="4180" w:type="dxa"/>
            <w:vAlign w:val="bottom"/>
          </w:tcPr>
          <w:p>
            <w:pPr>
              <w:spacing w:after="0"/>
              <w:rPr>
                <w:sz w:val="21"/>
                <w:szCs w:val="21"/>
                <w:color w:val="auto"/>
              </w:rPr>
            </w:pPr>
          </w:p>
        </w:tc>
        <w:tc>
          <w:tcPr>
            <w:tcW w:w="44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(in thousands)</w:t>
            </w:r>
          </w:p>
        </w:tc>
      </w:tr>
      <w:tr>
        <w:trPr>
          <w:trHeight w:val="255"/>
        </w:trPr>
        <w:tc>
          <w:tcPr>
            <w:tcW w:w="418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3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$(2,829)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$(2,927)</w:t>
            </w:r>
          </w:p>
        </w:tc>
      </w:tr>
      <w:tr>
        <w:trPr>
          <w:trHeight w:val="242"/>
        </w:trPr>
        <w:tc>
          <w:tcPr>
            <w:tcW w:w="4180" w:type="dxa"/>
            <w:vAlign w:val="bottom"/>
          </w:tcPr>
          <w:p>
            <w:pPr>
              <w:spacing w:after="0"/>
              <w:rPr>
                <w:sz w:val="20"/>
                <w:szCs w:val="20"/>
                <w:color w:val="auto"/>
              </w:rPr>
            </w:pPr>
            <w:r>
              <w:rPr>
                <w:rFonts w:ascii="Courier New" w:cs="Courier New" w:eastAsia="Courier New" w:hAnsi="Courier New"/>
                <w:sz w:val="14"/>
                <w:szCs w:val="14"/>
                <w:color w:val="auto"/>
              </w:rPr>
              <w:t>Unrecognized net gain/(loss)</w:t>
            </w:r>
          </w:p>
        </w:tc>
        <w:tc>
          <w:tcPr>
            <w:tcW w:w="3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Pension liability</w:t>
            </w:r>
          </w:p>
        </w:tc>
        <w:tc>
          <w:tcPr>
            <w:tcW w:w="3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$(2,632)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$(3,037)</w:t>
            </w:r>
          </w:p>
        </w:tc>
      </w:tr>
    </w:tbl>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The  net  periodic  pension  cost  was  comprised  of  the</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May 31, 2003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May</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31, 2004</w:t>
            </w:r>
          </w:p>
        </w:tc>
      </w:tr>
      <w:tr>
        <w:trPr>
          <w:trHeight w:val="242"/>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following:</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820" w:type="dxa"/>
            <w:vAlign w:val="bottom"/>
          </w:tcPr>
          <w:p>
            <w:pPr>
              <w:spacing w:after="0"/>
              <w:rPr>
                <w:sz w:val="21"/>
                <w:szCs w:val="21"/>
                <w:color w:val="auto"/>
              </w:rPr>
            </w:pPr>
          </w:p>
        </w:tc>
      </w:tr>
      <w:tr>
        <w:trPr>
          <w:trHeight w:val="255"/>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Service cost</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w:t>
            </w:r>
          </w:p>
        </w:tc>
        <w:tc>
          <w:tcPr>
            <w:tcW w:w="56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w:t>
            </w:r>
          </w:p>
        </w:tc>
        <w:tc>
          <w:tcPr>
            <w:tcW w:w="5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w:t>
            </w:r>
          </w:p>
        </w:tc>
      </w:tr>
      <w:tr>
        <w:trPr>
          <w:trHeight w:val="242"/>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return on plan assets</w:t>
            </w:r>
          </w:p>
        </w:tc>
        <w:tc>
          <w:tcPr>
            <w:tcW w:w="18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(99)</w:t>
            </w:r>
          </w:p>
        </w:tc>
        <w:tc>
          <w:tcPr>
            <w:tcW w:w="5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(329)</w:t>
            </w: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periodic pension costs</w:t>
            </w:r>
          </w:p>
        </w:tc>
        <w:tc>
          <w:tcPr>
            <w:tcW w:w="32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$214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$773</w:t>
            </w:r>
          </w:p>
        </w:tc>
      </w:tr>
    </w:tbl>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78"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The weighted average assumptions used in the calculation of the pension cost were a discount rate of 5.1% (date of acquisition: 5.25%), an expected return on plan assets of 6.5% (date of acquisition: 6.50%) and a 3.75% (date of acquisition: 3.75%) rate of compensation increase.</w:t>
      </w:r>
    </w:p>
    <w:p>
      <w:pPr>
        <w:spacing w:after="0" w:line="56"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The assets of the scheme are invested in a unitised with profits policy. The expected long-term rate of return on assets of 6.5% was calculated as the value of the unitised with profits fund after application of a market value reduction factor. The underlying asset split of the fund is shown below.</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1253"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42"/>
        </w:trPr>
        <w:tc>
          <w:tcPr>
            <w:tcW w:w="2240" w:type="dxa"/>
            <w:vAlign w:val="bottom"/>
          </w:tcPr>
          <w:p>
            <w:pPr>
              <w:spacing w:after="0"/>
              <w:rPr>
                <w:sz w:val="20"/>
                <w:szCs w:val="20"/>
                <w:color w:val="auto"/>
              </w:rPr>
            </w:pPr>
            <w:r>
              <w:rPr>
                <w:rFonts w:ascii="Courier New" w:cs="Courier New" w:eastAsia="Courier New" w:hAnsi="Courier New"/>
                <w:sz w:val="14"/>
                <w:szCs w:val="14"/>
                <w:color w:val="auto"/>
              </w:rPr>
              <w:t>Asset Category</w:t>
            </w:r>
          </w:p>
        </w:tc>
        <w:tc>
          <w:tcPr>
            <w:tcW w:w="2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May 31, 2003</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May 31, 2004</w:t>
            </w: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25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31%</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29%</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Bonds</w:t>
            </w:r>
          </w:p>
        </w:tc>
        <w:tc>
          <w:tcPr>
            <w:tcW w:w="25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48%</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Property</w:t>
            </w:r>
          </w:p>
        </w:tc>
        <w:tc>
          <w:tcPr>
            <w:tcW w:w="25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17%</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18%</w:t>
            </w:r>
          </w:p>
        </w:tc>
      </w:tr>
      <w:tr>
        <w:trPr>
          <w:trHeight w:val="242"/>
        </w:trPr>
        <w:tc>
          <w:tcPr>
            <w:tcW w:w="2240" w:type="dxa"/>
            <w:vAlign w:val="bottom"/>
          </w:tcPr>
          <w:p>
            <w:pPr>
              <w:spacing w:after="0"/>
              <w:rPr>
                <w:sz w:val="20"/>
                <w:szCs w:val="20"/>
                <w:color w:val="auto"/>
              </w:rPr>
            </w:pPr>
            <w:r>
              <w:rPr>
                <w:rFonts w:ascii="Courier New" w:cs="Courier New" w:eastAsia="Courier New" w:hAnsi="Courier New"/>
                <w:sz w:val="14"/>
                <w:szCs w:val="14"/>
                <w:color w:val="auto"/>
              </w:rPr>
              <w:t>Cash/ other</w:t>
            </w:r>
          </w:p>
        </w:tc>
        <w:tc>
          <w:tcPr>
            <w:tcW w:w="254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4%</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w:t>
            </w: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 w:lineRule="exact"/>
        <w:rPr>
          <w:sz w:val="20"/>
          <w:szCs w:val="20"/>
          <w:color w:val="auto"/>
        </w:rPr>
      </w:pPr>
    </w:p>
    <w:p>
      <w:pPr>
        <w:ind w:left="3620"/>
        <w:spacing w:after="0"/>
        <w:tabs>
          <w:tab w:leader="none" w:pos="5240" w:val="left"/>
        </w:tabs>
        <w:rPr>
          <w:sz w:val="20"/>
          <w:szCs w:val="20"/>
          <w:color w:val="auto"/>
        </w:rPr>
      </w:pPr>
      <w:r>
        <w:rPr>
          <w:rFonts w:ascii="Courier New" w:cs="Courier New" w:eastAsia="Courier New" w:hAnsi="Courier New"/>
          <w:sz w:val="14"/>
          <w:szCs w:val="14"/>
          <w:color w:val="auto"/>
        </w:rPr>
        <w:t>100.0%</w:t>
      </w:r>
      <w:r>
        <w:rPr>
          <w:sz w:val="20"/>
          <w:szCs w:val="20"/>
          <w:color w:val="auto"/>
        </w:rPr>
        <w:tab/>
      </w:r>
      <w:r>
        <w:rPr>
          <w:rFonts w:ascii="Courier New" w:cs="Courier New" w:eastAsia="Courier New" w:hAnsi="Courier New"/>
          <w:sz w:val="14"/>
          <w:szCs w:val="14"/>
          <w:color w:val="auto"/>
        </w:rPr>
        <w:t>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 average assumptions to determine benefit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00" w:type="dxa"/>
            <w:vAlign w:val="bottom"/>
            <w:vMerge w:val="restart"/>
          </w:tcPr>
          <w:p>
            <w:pPr>
              <w:spacing w:after="0"/>
              <w:rPr>
                <w:sz w:val="20"/>
                <w:szCs w:val="20"/>
                <w:color w:val="auto"/>
              </w:rPr>
            </w:pPr>
            <w:r>
              <w:rPr>
                <w:rFonts w:ascii="Courier New" w:cs="Courier New" w:eastAsia="Courier New" w:hAnsi="Courier New"/>
                <w:sz w:val="14"/>
                <w:szCs w:val="14"/>
                <w:color w:val="auto"/>
              </w:rPr>
              <w:t>Discount rate</w:t>
            </w:r>
          </w:p>
        </w:tc>
        <w:tc>
          <w:tcPr>
            <w:tcW w:w="2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May 31, 2003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May 31, 2004</w:t>
            </w:r>
          </w:p>
        </w:tc>
        <w:tc>
          <w:tcPr>
            <w:tcW w:w="0" w:type="dxa"/>
            <w:vAlign w:val="bottom"/>
          </w:tcPr>
          <w:p>
            <w:pPr>
              <w:spacing w:after="0"/>
              <w:rPr>
                <w:sz w:val="1"/>
                <w:szCs w:val="1"/>
                <w:color w:val="auto"/>
              </w:rPr>
            </w:pPr>
          </w:p>
        </w:tc>
      </w:tr>
      <w:tr>
        <w:trPr>
          <w:trHeight w:val="166"/>
        </w:trPr>
        <w:tc>
          <w:tcPr>
            <w:tcW w:w="3100" w:type="dxa"/>
            <w:vAlign w:val="bottom"/>
            <w:vMerge w:val="continue"/>
          </w:tcPr>
          <w:p>
            <w:pPr>
              <w:spacing w:after="0"/>
              <w:rPr>
                <w:sz w:val="14"/>
                <w:szCs w:val="14"/>
                <w:color w:val="auto"/>
              </w:rPr>
            </w:pPr>
          </w:p>
        </w:tc>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5.25%</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w:t>
            </w:r>
          </w:p>
        </w:tc>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3.75%</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The accumulated benefit obligation for all defined pension plans was $9.1 million at May 31, 2004 (2003: $7.2 million). With effect from July 1, 2003, the scheme was closed to new entrants. The company expects to contribute $0.75 million to its pension fund in fiscal 2005.</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1087" w:right="1440" w:bottom="1440" w:gutter="0" w:footer="0" w:header="0"/>
        </w:sectPr>
      </w:pPr>
    </w:p>
    <w:bookmarkStart w:id="67" w:name="page68"/>
    <w:bookmarkEnd w:id="67"/>
    <w:p>
      <w:pPr>
        <w:ind w:left="440" w:hanging="432"/>
        <w:spacing w:after="0"/>
        <w:tabs>
          <w:tab w:leader="none" w:pos="4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Options</w:t>
      </w:r>
    </w:p>
    <w:p>
      <w:pPr>
        <w:spacing w:after="0" w:line="173" w:lineRule="exact"/>
        <w:rPr>
          <w:sz w:val="20"/>
          <w:szCs w:val="20"/>
          <w:color w:val="auto"/>
        </w:rPr>
      </w:pPr>
    </w:p>
    <w:p>
      <w:pPr>
        <w:ind w:right="3780"/>
        <w:spacing w:after="0" w:line="264" w:lineRule="auto"/>
        <w:rPr>
          <w:sz w:val="20"/>
          <w:szCs w:val="20"/>
          <w:color w:val="auto"/>
        </w:rPr>
      </w:pPr>
      <w:r>
        <w:rPr>
          <w:rFonts w:ascii="Courier New" w:cs="Courier New" w:eastAsia="Courier New" w:hAnsi="Courier New"/>
          <w:sz w:val="14"/>
          <w:szCs w:val="14"/>
          <w:color w:val="auto"/>
        </w:rPr>
        <w:t>On January 17, 2003, the Company adopted the Share Option Plan 2003 (the "2003 Plan") pursuant to which the Compensation Committee of the Board may grant options to officers and other employees of the Company or its subsidiaries for the purchase of ordinary shares. Each option will be either an incentive stock option, or ISO, as described in Section 422 of the Code or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77" w:lineRule="exact"/>
        <w:rPr>
          <w:sz w:val="20"/>
          <w:szCs w:val="20"/>
          <w:color w:val="auto"/>
        </w:rPr>
      </w:pPr>
    </w:p>
    <w:p>
      <w:pPr>
        <w:ind w:right="3960"/>
        <w:spacing w:after="0" w:line="271" w:lineRule="auto"/>
        <w:rPr>
          <w:sz w:val="20"/>
          <w:szCs w:val="20"/>
          <w:color w:val="auto"/>
        </w:rPr>
      </w:pPr>
      <w:r>
        <w:rPr>
          <w:rFonts w:ascii="Courier New" w:cs="Courier New" w:eastAsia="Courier New" w:hAnsi="Courier New"/>
          <w:sz w:val="14"/>
          <w:szCs w:val="14"/>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options can be granted after January 17, 2013.</w:t>
      </w:r>
    </w:p>
    <w:p>
      <w:pPr>
        <w:spacing w:after="0" w:line="173" w:lineRule="exact"/>
        <w:rPr>
          <w:sz w:val="20"/>
          <w:szCs w:val="20"/>
          <w:color w:val="auto"/>
        </w:rPr>
      </w:pPr>
    </w:p>
    <w:p>
      <w:pPr>
        <w:ind w:right="3960"/>
        <w:spacing w:after="0" w:line="376" w:lineRule="auto"/>
        <w:rPr>
          <w:sz w:val="20"/>
          <w:szCs w:val="20"/>
          <w:color w:val="auto"/>
        </w:rPr>
      </w:pPr>
      <w:r>
        <w:rPr>
          <w:rFonts w:ascii="Courier New" w:cs="Courier New" w:eastAsia="Courier New" w:hAnsi="Courier New"/>
          <w:sz w:val="14"/>
          <w:szCs w:val="14"/>
          <w:color w:val="auto"/>
        </w:rPr>
        <w:t>The following table summarizes the transactions for the Company's share option plans for the three year period ended May 31, 2004:</w:t>
      </w:r>
    </w:p>
    <w:p>
      <w:pPr>
        <w:spacing w:after="0" w:line="200" w:lineRule="exact"/>
        <w:rPr>
          <w:sz w:val="20"/>
          <w:szCs w:val="20"/>
          <w:color w:val="auto"/>
        </w:rPr>
      </w:pPr>
    </w:p>
    <w:p>
      <w:pPr>
        <w:spacing w:after="0" w:line="297"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2960" w:type="dxa"/>
            <w:vAlign w:val="bottom"/>
          </w:tcPr>
          <w:p>
            <w:pPr>
              <w:spacing w:after="0"/>
              <w:rPr>
                <w:sz w:val="14"/>
                <w:szCs w:val="14"/>
                <w:color w:val="auto"/>
              </w:rPr>
            </w:pPr>
          </w:p>
        </w:tc>
        <w:tc>
          <w:tcPr>
            <w:tcW w:w="2120" w:type="dxa"/>
            <w:vAlign w:val="bottom"/>
          </w:tcPr>
          <w:p>
            <w:pPr>
              <w:ind w:left="1000"/>
              <w:spacing w:after="0"/>
              <w:rPr>
                <w:sz w:val="20"/>
                <w:szCs w:val="20"/>
                <w:color w:val="auto"/>
              </w:rPr>
            </w:pPr>
            <w:r>
              <w:rPr>
                <w:rFonts w:ascii="Courier New" w:cs="Courier New" w:eastAsia="Courier New" w:hAnsi="Courier New"/>
                <w:sz w:val="14"/>
                <w:szCs w:val="14"/>
                <w:color w:val="auto"/>
              </w:rPr>
              <w:t>Options</w:t>
            </w:r>
          </w:p>
        </w:tc>
        <w:tc>
          <w:tcPr>
            <w:tcW w:w="2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Weighted</w:t>
            </w:r>
          </w:p>
        </w:tc>
        <w:tc>
          <w:tcPr>
            <w:tcW w:w="0" w:type="dxa"/>
            <w:vAlign w:val="bottom"/>
          </w:tcPr>
          <w:p>
            <w:pPr>
              <w:spacing w:after="0"/>
              <w:rPr>
                <w:sz w:val="1"/>
                <w:szCs w:val="1"/>
                <w:color w:val="auto"/>
              </w:rPr>
            </w:pPr>
          </w:p>
        </w:tc>
      </w:tr>
      <w:tr>
        <w:trPr>
          <w:trHeight w:val="166"/>
        </w:trPr>
        <w:tc>
          <w:tcPr>
            <w:tcW w:w="2960" w:type="dxa"/>
            <w:vAlign w:val="bottom"/>
          </w:tcPr>
          <w:p>
            <w:pPr>
              <w:spacing w:after="0"/>
              <w:rPr>
                <w:sz w:val="14"/>
                <w:szCs w:val="14"/>
                <w:color w:val="auto"/>
              </w:rPr>
            </w:pPr>
          </w:p>
        </w:tc>
        <w:tc>
          <w:tcPr>
            <w:tcW w:w="2120" w:type="dxa"/>
            <w:vAlign w:val="bottom"/>
          </w:tcPr>
          <w:p>
            <w:pPr>
              <w:ind w:left="1000"/>
              <w:spacing w:after="0"/>
              <w:rPr>
                <w:sz w:val="20"/>
                <w:szCs w:val="20"/>
                <w:color w:val="auto"/>
              </w:rPr>
            </w:pPr>
            <w:r>
              <w:rPr>
                <w:rFonts w:ascii="Courier New" w:cs="Courier New" w:eastAsia="Courier New" w:hAnsi="Courier New"/>
                <w:sz w:val="14"/>
                <w:szCs w:val="14"/>
                <w:color w:val="auto"/>
              </w:rPr>
              <w:t>Granted</w:t>
            </w:r>
          </w:p>
        </w:tc>
        <w:tc>
          <w:tcPr>
            <w:tcW w:w="218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Options Granted</w:t>
            </w:r>
          </w:p>
        </w:tc>
        <w:tc>
          <w:tcPr>
            <w:tcW w:w="14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60" w:type="dxa"/>
            <w:vAlign w:val="bottom"/>
          </w:tcPr>
          <w:p>
            <w:pPr>
              <w:spacing w:after="0"/>
              <w:rPr>
                <w:sz w:val="14"/>
                <w:szCs w:val="14"/>
                <w:color w:val="auto"/>
              </w:rPr>
            </w:pPr>
          </w:p>
        </w:tc>
        <w:tc>
          <w:tcPr>
            <w:tcW w:w="2120" w:type="dxa"/>
            <w:vAlign w:val="bottom"/>
          </w:tcPr>
          <w:p>
            <w:pPr>
              <w:ind w:left="1000"/>
              <w:spacing w:after="0"/>
              <w:rPr>
                <w:sz w:val="20"/>
                <w:szCs w:val="20"/>
                <w:color w:val="auto"/>
              </w:rPr>
            </w:pPr>
            <w:r>
              <w:rPr>
                <w:rFonts w:ascii="Courier New" w:cs="Courier New" w:eastAsia="Courier New" w:hAnsi="Courier New"/>
                <w:sz w:val="14"/>
                <w:szCs w:val="14"/>
                <w:color w:val="auto"/>
              </w:rPr>
              <w:t>Prior to</w:t>
            </w:r>
          </w:p>
        </w:tc>
        <w:tc>
          <w:tcPr>
            <w:tcW w:w="21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0" w:type="dxa"/>
            <w:vAlign w:val="bottom"/>
          </w:tcPr>
          <w:p>
            <w:pPr>
              <w:spacing w:after="0"/>
              <w:rPr>
                <w:sz w:val="1"/>
                <w:szCs w:val="1"/>
                <w:color w:val="auto"/>
              </w:rPr>
            </w:pPr>
          </w:p>
        </w:tc>
      </w:tr>
      <w:tr>
        <w:trPr>
          <w:trHeight w:val="242"/>
        </w:trPr>
        <w:tc>
          <w:tcPr>
            <w:tcW w:w="2960" w:type="dxa"/>
            <w:vAlign w:val="bottom"/>
          </w:tcPr>
          <w:p>
            <w:pPr>
              <w:spacing w:after="0"/>
              <w:rPr>
                <w:sz w:val="21"/>
                <w:szCs w:val="21"/>
                <w:color w:val="auto"/>
              </w:rPr>
            </w:pP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Jan 15, 1998</w:t>
            </w:r>
          </w:p>
        </w:tc>
        <w:tc>
          <w:tcPr>
            <w:tcW w:w="2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Under Plans</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c>
          <w:tcPr>
            <w:tcW w:w="0" w:type="dxa"/>
            <w:vAlign w:val="bottom"/>
          </w:tcPr>
          <w:p>
            <w:pPr>
              <w:spacing w:after="0"/>
              <w:rPr>
                <w:sz w:val="1"/>
                <w:szCs w:val="1"/>
                <w:color w:val="auto"/>
              </w:rPr>
            </w:pPr>
          </w:p>
        </w:tc>
      </w:tr>
      <w:tr>
        <w:trPr>
          <w:trHeight w:val="421"/>
        </w:trPr>
        <w:tc>
          <w:tcPr>
            <w:tcW w:w="2960" w:type="dxa"/>
            <w:vAlign w:val="bottom"/>
          </w:tcPr>
          <w:p>
            <w:pPr>
              <w:spacing w:after="0"/>
              <w:rPr>
                <w:sz w:val="20"/>
                <w:szCs w:val="20"/>
                <w:color w:val="auto"/>
              </w:rPr>
            </w:pPr>
            <w:r>
              <w:rPr>
                <w:rFonts w:ascii="Courier New" w:cs="Courier New" w:eastAsia="Courier New" w:hAnsi="Courier New"/>
                <w:sz w:val="14"/>
                <w:szCs w:val="14"/>
                <w:color w:val="auto"/>
              </w:rPr>
              <w:t>Outstanding at May 31, 2001</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502,660</w:t>
            </w:r>
          </w:p>
        </w:tc>
        <w:tc>
          <w:tcPr>
            <w:tcW w:w="2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740,760</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1,243,420</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$11.45</w:t>
            </w:r>
          </w:p>
        </w:tc>
        <w:tc>
          <w:tcPr>
            <w:tcW w:w="0" w:type="dxa"/>
            <w:vAlign w:val="bottom"/>
          </w:tcPr>
          <w:p>
            <w:pPr>
              <w:spacing w:after="0"/>
              <w:rPr>
                <w:sz w:val="1"/>
                <w:szCs w:val="1"/>
                <w:color w:val="auto"/>
              </w:rPr>
            </w:pP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223,540</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223,540</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$28.57</w:t>
            </w:r>
          </w:p>
        </w:tc>
        <w:tc>
          <w:tcPr>
            <w:tcW w:w="0" w:type="dxa"/>
            <w:vAlign w:val="bottom"/>
          </w:tcPr>
          <w:p>
            <w:pPr>
              <w:spacing w:after="0"/>
              <w:rPr>
                <w:sz w:val="1"/>
                <w:szCs w:val="1"/>
                <w:color w:val="auto"/>
              </w:rPr>
            </w:pP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(210,630)</w:t>
            </w:r>
          </w:p>
        </w:tc>
        <w:tc>
          <w:tcPr>
            <w:tcW w:w="2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(147,470)</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(358,100)</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$7.47</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(89,240)</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(89,240)</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4"/>
          <w:szCs w:val="14"/>
          <w:color w:val="auto"/>
        </w:rPr>
        <w:t>----------------------------------- ------------------- ------------------------- ------------------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Outstanding at May 31, 2002</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292,030</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727,590</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1,019,620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$15.85</w:t>
            </w:r>
          </w:p>
        </w:tc>
      </w:tr>
    </w:tbl>
    <w:p>
      <w:pPr>
        <w:ind w:left="620"/>
        <w:spacing w:after="0"/>
        <w:rPr>
          <w:sz w:val="20"/>
          <w:szCs w:val="20"/>
          <w:color w:val="auto"/>
        </w:rPr>
      </w:pPr>
      <w:r>
        <w:rPr>
          <w:rFonts w:ascii="Courier New" w:cs="Courier New" w:eastAsia="Courier New" w:hAnsi="Courier New"/>
          <w:sz w:val="14"/>
          <w:szCs w:val="14"/>
          <w:color w:val="auto"/>
        </w:rPr>
        <w:t>----------------------------------- ------------------- ------------------------- ------------------ ----------------</w:t>
      </w:r>
    </w:p>
    <w:tbl>
      <w:tblPr>
        <w:tblLayout w:type="fixed"/>
        <w:tblInd w:w="620" w:type="dxa"/>
        <w:tblCellMar>
          <w:top w:w="0" w:type="dxa"/>
          <w:left w:w="0" w:type="dxa"/>
          <w:bottom w:w="0" w:type="dxa"/>
          <w:right w:w="0" w:type="dxa"/>
        </w:tblCellMar>
      </w:tblPr>
      <w:tr>
        <w:trPr>
          <w:trHeight w:val="147"/>
        </w:trPr>
        <w:tc>
          <w:tcPr>
            <w:tcW w:w="2660" w:type="dxa"/>
            <w:vAlign w:val="bottom"/>
          </w:tcPr>
          <w:p>
            <w:pPr>
              <w:spacing w:after="0" w:line="147" w:lineRule="exact"/>
              <w:rPr>
                <w:sz w:val="20"/>
                <w:szCs w:val="20"/>
                <w:color w:val="auto"/>
              </w:rPr>
            </w:pPr>
            <w:r>
              <w:rPr>
                <w:rFonts w:ascii="Courier New" w:cs="Courier New" w:eastAsia="Courier New" w:hAnsi="Courier New"/>
                <w:sz w:val="14"/>
                <w:szCs w:val="14"/>
                <w:color w:val="auto"/>
              </w:rPr>
              <w:t>Granted</w:t>
            </w:r>
          </w:p>
        </w:tc>
        <w:tc>
          <w:tcPr>
            <w:tcW w:w="2760" w:type="dxa"/>
            <w:vAlign w:val="bottom"/>
          </w:tcPr>
          <w:p>
            <w:pPr>
              <w:jc w:val="right"/>
              <w:ind w:right="708"/>
              <w:spacing w:after="0" w:line="147" w:lineRule="exact"/>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408"/>
              <w:spacing w:after="0" w:line="147" w:lineRule="exact"/>
              <w:rPr>
                <w:sz w:val="20"/>
                <w:szCs w:val="20"/>
                <w:color w:val="auto"/>
              </w:rPr>
            </w:pPr>
            <w:r>
              <w:rPr>
                <w:rFonts w:ascii="Courier New" w:cs="Courier New" w:eastAsia="Courier New" w:hAnsi="Courier New"/>
                <w:sz w:val="14"/>
                <w:szCs w:val="14"/>
                <w:color w:val="auto"/>
              </w:rPr>
              <w:t>283,445</w:t>
            </w:r>
          </w:p>
        </w:tc>
        <w:tc>
          <w:tcPr>
            <w:tcW w:w="1640" w:type="dxa"/>
            <w:vAlign w:val="bottom"/>
          </w:tcPr>
          <w:p>
            <w:pPr>
              <w:jc w:val="right"/>
              <w:ind w:right="408"/>
              <w:spacing w:after="0" w:line="147" w:lineRule="exact"/>
              <w:rPr>
                <w:sz w:val="20"/>
                <w:szCs w:val="20"/>
                <w:color w:val="auto"/>
              </w:rPr>
            </w:pPr>
            <w:r>
              <w:rPr>
                <w:rFonts w:ascii="Courier New" w:cs="Courier New" w:eastAsia="Courier New" w:hAnsi="Courier New"/>
                <w:sz w:val="14"/>
                <w:szCs w:val="14"/>
                <w:color w:val="auto"/>
              </w:rPr>
              <w:t>283,445</w:t>
            </w:r>
          </w:p>
        </w:tc>
        <w:tc>
          <w:tcPr>
            <w:tcW w:w="9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$27.96</w:t>
            </w:r>
          </w:p>
        </w:tc>
      </w:tr>
      <w:tr>
        <w:trPr>
          <w:trHeight w:val="166"/>
        </w:trPr>
        <w:tc>
          <w:tcPr>
            <w:tcW w:w="26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(39,360)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(39,360)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$18.51</w:t>
            </w:r>
          </w:p>
        </w:tc>
      </w:tr>
      <w:tr>
        <w:trPr>
          <w:trHeight w:val="192"/>
        </w:trPr>
        <w:tc>
          <w:tcPr>
            <w:tcW w:w="266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2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(78,060)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(78,060)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$22.22</w:t>
            </w:r>
          </w:p>
        </w:tc>
      </w:tr>
    </w:tbl>
    <w:p>
      <w:pPr>
        <w:ind w:left="620"/>
        <w:spacing w:after="0"/>
        <w:rPr>
          <w:sz w:val="20"/>
          <w:szCs w:val="20"/>
          <w:color w:val="auto"/>
        </w:rPr>
      </w:pPr>
      <w:r>
        <w:rPr>
          <w:rFonts w:ascii="Courier New" w:cs="Courier New" w:eastAsia="Courier New" w:hAnsi="Courier New"/>
          <w:sz w:val="14"/>
          <w:szCs w:val="14"/>
          <w:color w:val="auto"/>
        </w:rPr>
        <w:t>----------------------------------- ------------------- ------------------------- ------------------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Outstanding at May 31, 2003</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292,030</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893,615</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1,185,645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$18.24</w:t>
            </w:r>
          </w:p>
        </w:tc>
      </w:tr>
    </w:tbl>
    <w:p>
      <w:pPr>
        <w:ind w:left="620"/>
        <w:spacing w:after="0"/>
        <w:rPr>
          <w:sz w:val="20"/>
          <w:szCs w:val="20"/>
          <w:color w:val="auto"/>
        </w:rPr>
      </w:pPr>
      <w:r>
        <w:rPr>
          <w:rFonts w:ascii="Courier New" w:cs="Courier New" w:eastAsia="Courier New" w:hAnsi="Courier New"/>
          <w:sz w:val="14"/>
          <w:szCs w:val="14"/>
          <w:color w:val="auto"/>
        </w:rPr>
        <w:t>----------------------------------- ------------------- ------------------------- ------------------ ----------------</w:t>
      </w:r>
    </w:p>
    <w:tbl>
      <w:tblPr>
        <w:tblLayout w:type="fixed"/>
        <w:tblInd w:w="620" w:type="dxa"/>
        <w:tblCellMar>
          <w:top w:w="0" w:type="dxa"/>
          <w:left w:w="0" w:type="dxa"/>
          <w:bottom w:w="0" w:type="dxa"/>
          <w:right w:w="0" w:type="dxa"/>
        </w:tblCellMar>
      </w:tblPr>
      <w:tr>
        <w:trPr>
          <w:trHeight w:val="147"/>
        </w:trPr>
        <w:tc>
          <w:tcPr>
            <w:tcW w:w="2320" w:type="dxa"/>
            <w:vAlign w:val="bottom"/>
          </w:tcPr>
          <w:p>
            <w:pPr>
              <w:spacing w:after="0" w:line="147" w:lineRule="exact"/>
              <w:rPr>
                <w:sz w:val="20"/>
                <w:szCs w:val="20"/>
                <w:color w:val="auto"/>
              </w:rPr>
            </w:pPr>
            <w:r>
              <w:rPr>
                <w:rFonts w:ascii="Courier New" w:cs="Courier New" w:eastAsia="Courier New" w:hAnsi="Courier New"/>
                <w:sz w:val="14"/>
                <w:szCs w:val="14"/>
                <w:color w:val="auto"/>
              </w:rPr>
              <w:t>Granted</w:t>
            </w:r>
          </w:p>
        </w:tc>
        <w:tc>
          <w:tcPr>
            <w:tcW w:w="3060" w:type="dxa"/>
            <w:vAlign w:val="bottom"/>
          </w:tcPr>
          <w:p>
            <w:pPr>
              <w:jc w:val="right"/>
              <w:ind w:right="668"/>
              <w:spacing w:after="0" w:line="147" w:lineRule="exact"/>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368"/>
              <w:spacing w:after="0" w:line="147" w:lineRule="exact"/>
              <w:rPr>
                <w:sz w:val="20"/>
                <w:szCs w:val="20"/>
                <w:color w:val="auto"/>
              </w:rPr>
            </w:pPr>
            <w:r>
              <w:rPr>
                <w:rFonts w:ascii="Courier New" w:cs="Courier New" w:eastAsia="Courier New" w:hAnsi="Courier New"/>
                <w:sz w:val="14"/>
                <w:szCs w:val="14"/>
                <w:color w:val="auto"/>
              </w:rPr>
              <w:t>372,926</w:t>
            </w:r>
          </w:p>
        </w:tc>
        <w:tc>
          <w:tcPr>
            <w:tcW w:w="1680" w:type="dxa"/>
            <w:vAlign w:val="bottom"/>
          </w:tcPr>
          <w:p>
            <w:pPr>
              <w:jc w:val="right"/>
              <w:ind w:right="408"/>
              <w:spacing w:after="0" w:line="147" w:lineRule="exact"/>
              <w:rPr>
                <w:sz w:val="20"/>
                <w:szCs w:val="20"/>
                <w:color w:val="auto"/>
              </w:rPr>
            </w:pPr>
            <w:r>
              <w:rPr>
                <w:rFonts w:ascii="Courier New" w:cs="Courier New" w:eastAsia="Courier New" w:hAnsi="Courier New"/>
                <w:sz w:val="14"/>
                <w:szCs w:val="14"/>
                <w:color w:val="auto"/>
              </w:rPr>
              <w:t>372,926</w:t>
            </w:r>
          </w:p>
        </w:tc>
        <w:tc>
          <w:tcPr>
            <w:tcW w:w="9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$35.53</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3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(244,960)</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(251,959)</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(496,919)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$10.78</w:t>
            </w:r>
          </w:p>
        </w:tc>
      </w:tr>
      <w:tr>
        <w:trPr>
          <w:trHeight w:val="192"/>
        </w:trPr>
        <w:tc>
          <w:tcPr>
            <w:tcW w:w="232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3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(68,080)</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(68,080)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$26.51</w:t>
            </w:r>
          </w:p>
        </w:tc>
      </w:tr>
    </w:tbl>
    <w:p>
      <w:pPr>
        <w:ind w:left="620"/>
        <w:spacing w:after="0"/>
        <w:rPr>
          <w:sz w:val="20"/>
          <w:szCs w:val="20"/>
          <w:color w:val="auto"/>
        </w:rPr>
      </w:pPr>
      <w:r>
        <w:rPr>
          <w:rFonts w:ascii="Courier New" w:cs="Courier New" w:eastAsia="Courier New" w:hAnsi="Courier New"/>
          <w:sz w:val="14"/>
          <w:szCs w:val="14"/>
          <w:color w:val="auto"/>
        </w:rPr>
        <w:t>----------------------------------- ------------------- ------------------------- ------------------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3220" w:type="dxa"/>
            <w:vAlign w:val="bottom"/>
          </w:tcPr>
          <w:p>
            <w:pPr>
              <w:spacing w:after="0"/>
              <w:rPr>
                <w:sz w:val="20"/>
                <w:szCs w:val="20"/>
                <w:color w:val="auto"/>
              </w:rPr>
            </w:pPr>
            <w:r>
              <w:rPr>
                <w:rFonts w:ascii="Courier New" w:cs="Courier New" w:eastAsia="Courier New" w:hAnsi="Courier New"/>
                <w:sz w:val="14"/>
                <w:szCs w:val="14"/>
                <w:color w:val="auto"/>
              </w:rPr>
              <w:t>Outstanding at May 31, 2004</w:t>
            </w:r>
          </w:p>
        </w:tc>
        <w:tc>
          <w:tcPr>
            <w:tcW w:w="2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47,070</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946,502</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993,572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$27.90</w:t>
            </w:r>
          </w:p>
        </w:tc>
      </w:tr>
    </w:tbl>
    <w:p>
      <w:pPr>
        <w:ind w:left="620"/>
        <w:spacing w:after="0"/>
        <w:rPr>
          <w:sz w:val="20"/>
          <w:szCs w:val="20"/>
          <w:color w:val="auto"/>
        </w:rPr>
      </w:pPr>
      <w:r>
        <w:rPr>
          <w:rFonts w:ascii="Courier New" w:cs="Courier New" w:eastAsia="Courier New" w:hAnsi="Courier New"/>
          <w:sz w:val="14"/>
          <w:szCs w:val="14"/>
          <w:color w:val="auto"/>
        </w:rPr>
        <w:t>----------------------------------- ------------------- ------------------------- ------------------ ----------------</w:t>
      </w:r>
    </w:p>
    <w:p>
      <w:pPr>
        <w:spacing w:after="0" w:line="312" w:lineRule="exact"/>
        <w:rPr>
          <w:sz w:val="20"/>
          <w:szCs w:val="20"/>
          <w:color w:val="auto"/>
        </w:rPr>
      </w:pPr>
    </w:p>
    <w:p>
      <w:pPr>
        <w:ind w:right="3960"/>
        <w:spacing w:after="0" w:line="313" w:lineRule="auto"/>
        <w:rPr>
          <w:sz w:val="20"/>
          <w:szCs w:val="20"/>
          <w:color w:val="auto"/>
        </w:rPr>
      </w:pPr>
      <w:r>
        <w:rPr>
          <w:rFonts w:ascii="Courier New" w:cs="Courier New" w:eastAsia="Courier New" w:hAnsi="Courier New"/>
          <w:sz w:val="14"/>
          <w:szCs w:val="14"/>
          <w:color w:val="auto"/>
        </w:rPr>
        <w:t>None of the share option grants summarized in the above table resulted in compensation expense as the option exercise price was equal to or greater than the estimated fair value of ordinary shares on the date of the grant.</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680"/>
          </w:cols>
          <w:pgMar w:left="220" w:top="756" w:right="999" w:bottom="1440" w:gutter="0" w:footer="0" w:header="0"/>
        </w:sectPr>
      </w:pPr>
    </w:p>
    <w:bookmarkStart w:id="68" w:name="page69"/>
    <w:bookmarkEnd w:id="68"/>
    <w:p>
      <w:pPr>
        <w:ind w:right="4900"/>
        <w:spacing w:after="0" w:line="376" w:lineRule="auto"/>
        <w:rPr>
          <w:sz w:val="20"/>
          <w:szCs w:val="20"/>
          <w:color w:val="auto"/>
        </w:rPr>
      </w:pPr>
      <w:r>
        <w:rPr>
          <w:rFonts w:ascii="Courier New" w:cs="Courier New" w:eastAsia="Courier New" w:hAnsi="Courier New"/>
          <w:sz w:val="14"/>
          <w:szCs w:val="14"/>
          <w:color w:val="auto"/>
        </w:rPr>
        <w:t>The following table summarizes information concerning outstanding and exercisable share options as of May 31, 2004:</w:t>
      </w:r>
    </w:p>
    <w:p>
      <w:pPr>
        <w:spacing w:after="0" w:line="200" w:lineRule="exact"/>
        <w:rPr>
          <w:sz w:val="20"/>
          <w:szCs w:val="20"/>
          <w:color w:val="auto"/>
        </w:rPr>
      </w:pPr>
    </w:p>
    <w:p>
      <w:pPr>
        <w:spacing w:after="0" w:line="297" w:lineRule="exact"/>
        <w:rPr>
          <w:sz w:val="20"/>
          <w:szCs w:val="20"/>
          <w:color w:val="auto"/>
        </w:rPr>
      </w:pPr>
    </w:p>
    <w:tbl>
      <w:tblPr>
        <w:tblLayout w:type="fixed"/>
        <w:tblInd w:w="1040" w:type="dxa"/>
        <w:tblCellMar>
          <w:top w:w="0" w:type="dxa"/>
          <w:left w:w="0" w:type="dxa"/>
          <w:bottom w:w="0" w:type="dxa"/>
          <w:right w:w="0" w:type="dxa"/>
        </w:tblCellMar>
      </w:tblPr>
      <w:tr>
        <w:trPr>
          <w:trHeight w:val="242"/>
        </w:trPr>
        <w:tc>
          <w:tcPr>
            <w:tcW w:w="780" w:type="dxa"/>
            <w:vAlign w:val="bottom"/>
          </w:tcPr>
          <w:p>
            <w:pPr>
              <w:spacing w:after="0"/>
              <w:rPr>
                <w:sz w:val="21"/>
                <w:szCs w:val="21"/>
                <w:color w:val="auto"/>
              </w:rPr>
            </w:pP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Options Outstanding</w:t>
            </w:r>
          </w:p>
        </w:tc>
        <w:tc>
          <w:tcPr>
            <w:tcW w:w="19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Options Exercisable</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Weighted</w:t>
            </w:r>
          </w:p>
        </w:tc>
        <w:tc>
          <w:tcPr>
            <w:tcW w:w="15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Weighted</w:t>
            </w:r>
          </w:p>
        </w:tc>
        <w:tc>
          <w:tcPr>
            <w:tcW w:w="20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Range</w:t>
            </w:r>
          </w:p>
        </w:tc>
        <w:tc>
          <w:tcPr>
            <w:tcW w:w="1980" w:type="dxa"/>
            <w:vAlign w:val="bottom"/>
          </w:tcPr>
          <w:p>
            <w:pPr>
              <w:spacing w:after="0"/>
              <w:rPr>
                <w:sz w:val="14"/>
                <w:szCs w:val="14"/>
                <w:color w:val="auto"/>
              </w:rPr>
            </w:pP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Weighted</w:t>
            </w:r>
          </w:p>
        </w:tc>
        <w:tc>
          <w:tcPr>
            <w:tcW w:w="1540" w:type="dxa"/>
            <w:vAlign w:val="bottom"/>
            <w:vMerge w:val="continue"/>
          </w:tcPr>
          <w:p>
            <w:pPr>
              <w:spacing w:after="0"/>
              <w:rPr>
                <w:sz w:val="14"/>
                <w:szCs w:val="14"/>
                <w:color w:val="auto"/>
              </w:rPr>
            </w:pPr>
          </w:p>
        </w:tc>
        <w:tc>
          <w:tcPr>
            <w:tcW w:w="2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80" w:type="dxa"/>
            <w:vAlign w:val="bottom"/>
            <w:vMerge w:val="continue"/>
          </w:tcPr>
          <w:p>
            <w:pPr>
              <w:spacing w:after="0"/>
              <w:rPr>
                <w:sz w:val="14"/>
                <w:szCs w:val="14"/>
                <w:color w:val="auto"/>
              </w:rPr>
            </w:pPr>
          </w:p>
        </w:tc>
        <w:tc>
          <w:tcPr>
            <w:tcW w:w="19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Average</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w:t>
            </w:r>
          </w:p>
        </w:tc>
        <w:tc>
          <w:tcPr>
            <w:tcW w:w="2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Number of</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w:t>
            </w:r>
          </w:p>
        </w:tc>
        <w:tc>
          <w:tcPr>
            <w:tcW w:w="1980" w:type="dxa"/>
            <w:vAlign w:val="bottom"/>
            <w:vMerge w:val="continue"/>
          </w:tcPr>
          <w:p>
            <w:pPr>
              <w:spacing w:after="0"/>
              <w:rPr>
                <w:sz w:val="14"/>
                <w:szCs w:val="14"/>
                <w:color w:val="auto"/>
              </w:rPr>
            </w:pP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Remaining</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w:t>
            </w:r>
          </w:p>
        </w:tc>
        <w:tc>
          <w:tcPr>
            <w:tcW w:w="2020" w:type="dxa"/>
            <w:vAlign w:val="bottom"/>
            <w:vMerge w:val="continue"/>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Exercise Price</w:t>
            </w:r>
          </w:p>
        </w:tc>
        <w:tc>
          <w:tcPr>
            <w:tcW w:w="0" w:type="dxa"/>
            <w:vAlign w:val="bottom"/>
          </w:tcPr>
          <w:p>
            <w:pPr>
              <w:spacing w:after="0"/>
              <w:rPr>
                <w:sz w:val="1"/>
                <w:szCs w:val="1"/>
                <w:color w:val="auto"/>
              </w:rPr>
            </w:pPr>
          </w:p>
        </w:tc>
      </w:tr>
      <w:tr>
        <w:trPr>
          <w:trHeight w:val="242"/>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Contractual Life</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Exerciee Price</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$0.07</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47,070</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$0.07</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47,070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$0.07</w:t>
            </w:r>
          </w:p>
        </w:tc>
        <w:tc>
          <w:tcPr>
            <w:tcW w:w="0" w:type="dxa"/>
            <w:vAlign w:val="bottom"/>
          </w:tcPr>
          <w:p>
            <w:pPr>
              <w:spacing w:after="0"/>
              <w:rPr>
                <w:sz w:val="1"/>
                <w:szCs w:val="1"/>
                <w:color w:val="auto"/>
              </w:rPr>
            </w:pP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$15.63</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7,000</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$15.63</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$15.63</w:t>
            </w:r>
          </w:p>
        </w:tc>
        <w:tc>
          <w:tcPr>
            <w:tcW w:w="0" w:type="dxa"/>
            <w:vAlign w:val="bottom"/>
          </w:tcPr>
          <w:p>
            <w:pPr>
              <w:spacing w:after="0"/>
              <w:rPr>
                <w:sz w:val="1"/>
                <w:szCs w:val="1"/>
                <w:color w:val="auto"/>
              </w:rPr>
            </w:pP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$17.00</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1,600</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$17.00</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$17.00</w:t>
            </w:r>
          </w:p>
        </w:tc>
        <w:tc>
          <w:tcPr>
            <w:tcW w:w="0" w:type="dxa"/>
            <w:vAlign w:val="bottom"/>
          </w:tcPr>
          <w:p>
            <w:pPr>
              <w:spacing w:after="0"/>
              <w:rPr>
                <w:sz w:val="1"/>
                <w:szCs w:val="1"/>
                <w:color w:val="auto"/>
              </w:rPr>
            </w:pP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$18.00</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109,240</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$18.00</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87,110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$18.00</w:t>
            </w:r>
          </w:p>
        </w:tc>
        <w:tc>
          <w:tcPr>
            <w:tcW w:w="0" w:type="dxa"/>
            <w:vAlign w:val="bottom"/>
          </w:tcPr>
          <w:p>
            <w:pPr>
              <w:spacing w:after="0"/>
              <w:rPr>
                <w:sz w:val="1"/>
                <w:szCs w:val="1"/>
                <w:color w:val="auto"/>
              </w:rPr>
            </w:pP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$21.25</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70,460</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$21.25</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26,220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$21.25</w:t>
            </w:r>
          </w:p>
        </w:tc>
        <w:tc>
          <w:tcPr>
            <w:tcW w:w="0" w:type="dxa"/>
            <w:vAlign w:val="bottom"/>
          </w:tcPr>
          <w:p>
            <w:pPr>
              <w:spacing w:after="0"/>
              <w:rPr>
                <w:sz w:val="1"/>
                <w:szCs w:val="1"/>
                <w:color w:val="auto"/>
              </w:rPr>
            </w:pP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$23.80</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$23.80</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$23.80</w:t>
            </w:r>
          </w:p>
        </w:tc>
        <w:tc>
          <w:tcPr>
            <w:tcW w:w="0" w:type="dxa"/>
            <w:vAlign w:val="bottom"/>
          </w:tcPr>
          <w:p>
            <w:pPr>
              <w:spacing w:after="0"/>
              <w:rPr>
                <w:sz w:val="1"/>
                <w:szCs w:val="1"/>
                <w:color w:val="auto"/>
              </w:rPr>
            </w:pP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$26.50</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$26.50</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$26.50</w:t>
            </w:r>
          </w:p>
        </w:tc>
        <w:tc>
          <w:tcPr>
            <w:tcW w:w="0" w:type="dxa"/>
            <w:vAlign w:val="bottom"/>
          </w:tcPr>
          <w:p>
            <w:pPr>
              <w:spacing w:after="0"/>
              <w:rPr>
                <w:sz w:val="1"/>
                <w:szCs w:val="1"/>
                <w:color w:val="auto"/>
              </w:rPr>
            </w:pP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$27.39</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$27.39</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$27.39</w:t>
            </w:r>
          </w:p>
        </w:tc>
        <w:tc>
          <w:tcPr>
            <w:tcW w:w="0" w:type="dxa"/>
            <w:vAlign w:val="bottom"/>
          </w:tcPr>
          <w:p>
            <w:pPr>
              <w:spacing w:after="0"/>
              <w:rPr>
                <w:sz w:val="1"/>
                <w:szCs w:val="1"/>
                <w:color w:val="auto"/>
              </w:rPr>
            </w:pP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$29.00</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136,760</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$29.00</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44,060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$29.00</w:t>
            </w:r>
          </w:p>
        </w:tc>
        <w:tc>
          <w:tcPr>
            <w:tcW w:w="0" w:type="dxa"/>
            <w:vAlign w:val="bottom"/>
          </w:tcPr>
          <w:p>
            <w:pPr>
              <w:spacing w:after="0"/>
              <w:rPr>
                <w:sz w:val="1"/>
                <w:szCs w:val="1"/>
                <w:color w:val="auto"/>
              </w:rPr>
            </w:pP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$28.00</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238,666</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$28.00</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40,070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$28.00</w:t>
            </w:r>
          </w:p>
        </w:tc>
        <w:tc>
          <w:tcPr>
            <w:tcW w:w="0" w:type="dxa"/>
            <w:vAlign w:val="bottom"/>
          </w:tcPr>
          <w:p>
            <w:pPr>
              <w:spacing w:after="0"/>
              <w:rPr>
                <w:sz w:val="1"/>
                <w:szCs w:val="1"/>
                <w:color w:val="auto"/>
              </w:rPr>
            </w:pP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$42.71</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1,798</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$42.71</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1,798</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$42.71</w:t>
            </w:r>
          </w:p>
        </w:tc>
        <w:tc>
          <w:tcPr>
            <w:tcW w:w="0" w:type="dxa"/>
            <w:vAlign w:val="bottom"/>
          </w:tcPr>
          <w:p>
            <w:pPr>
              <w:spacing w:after="0"/>
              <w:rPr>
                <w:sz w:val="1"/>
                <w:szCs w:val="1"/>
                <w:color w:val="auto"/>
              </w:rPr>
            </w:pPr>
          </w:p>
        </w:tc>
      </w:tr>
      <w:tr>
        <w:trPr>
          <w:trHeight w:val="242"/>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$35.50</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360,978</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$35.50</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$35.50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p>
      <w:pPr>
        <w:ind w:left="620"/>
        <w:spacing w:after="0"/>
        <w:tabs>
          <w:tab w:leader="none" w:pos="2920" w:val="left"/>
          <w:tab w:leader="none" w:pos="5080" w:val="left"/>
          <w:tab w:leader="none" w:pos="6620" w:val="left"/>
          <w:tab w:leader="none" w:pos="8340" w:val="left"/>
          <w:tab w:leader="none" w:pos="10240" w:val="left"/>
        </w:tabs>
        <w:rPr>
          <w:sz w:val="20"/>
          <w:szCs w:val="20"/>
          <w:color w:val="auto"/>
        </w:rPr>
      </w:pPr>
      <w:r>
        <w:rPr>
          <w:rFonts w:ascii="Courier New" w:cs="Courier New" w:eastAsia="Courier New" w:hAnsi="Courier New"/>
          <w:sz w:val="14"/>
          <w:szCs w:val="14"/>
          <w:color w:val="auto"/>
        </w:rPr>
        <w:t>$0.07 - 42.71</w:t>
      </w:r>
      <w:r>
        <w:rPr>
          <w:sz w:val="20"/>
          <w:szCs w:val="20"/>
          <w:color w:val="auto"/>
        </w:rPr>
        <w:tab/>
      </w:r>
      <w:r>
        <w:rPr>
          <w:rFonts w:ascii="Courier New" w:cs="Courier New" w:eastAsia="Courier New" w:hAnsi="Courier New"/>
          <w:sz w:val="14"/>
          <w:szCs w:val="14"/>
          <w:color w:val="auto"/>
        </w:rPr>
        <w:t>993,572</w:t>
      </w:r>
      <w:r>
        <w:rPr>
          <w:sz w:val="20"/>
          <w:szCs w:val="20"/>
          <w:color w:val="auto"/>
        </w:rPr>
        <w:tab/>
      </w: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$27.83</w:t>
      </w:r>
      <w:r>
        <w:rPr>
          <w:sz w:val="20"/>
          <w:szCs w:val="20"/>
          <w:color w:val="auto"/>
        </w:rPr>
        <w:tab/>
      </w:r>
      <w:r>
        <w:rPr>
          <w:rFonts w:ascii="Courier New" w:cs="Courier New" w:eastAsia="Courier New" w:hAnsi="Courier New"/>
          <w:sz w:val="14"/>
          <w:szCs w:val="14"/>
          <w:color w:val="auto"/>
        </w:rPr>
        <w:t>269,628</w:t>
      </w:r>
      <w:r>
        <w:rPr>
          <w:sz w:val="20"/>
          <w:szCs w:val="20"/>
          <w:color w:val="auto"/>
        </w:rPr>
        <w:tab/>
      </w:r>
      <w:r>
        <w:rPr>
          <w:rFonts w:ascii="Courier New" w:cs="Courier New" w:eastAsia="Courier New" w:hAnsi="Courier New"/>
          <w:sz w:val="14"/>
          <w:szCs w:val="14"/>
          <w:color w:val="auto"/>
        </w:rPr>
        <w:t>$19.63</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 -------------------- -------------------- --------------------</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Substantially all of the options granted at exercise prices from $15.63 to</w:t>
      </w:r>
    </w:p>
    <w:p>
      <w:pPr>
        <w:spacing w:after="0" w:line="33" w:lineRule="exact"/>
        <w:rPr>
          <w:sz w:val="20"/>
          <w:szCs w:val="20"/>
          <w:color w:val="auto"/>
        </w:rPr>
      </w:pPr>
    </w:p>
    <w:p>
      <w:pPr>
        <w:ind w:right="4220"/>
        <w:spacing w:after="0" w:line="336" w:lineRule="auto"/>
        <w:rPr>
          <w:sz w:val="20"/>
          <w:szCs w:val="20"/>
          <w:color w:val="auto"/>
        </w:rPr>
      </w:pPr>
      <w:r>
        <w:rPr>
          <w:rFonts w:ascii="Courier New" w:cs="Courier New" w:eastAsia="Courier New" w:hAnsi="Courier New"/>
          <w:sz w:val="14"/>
          <w:szCs w:val="14"/>
          <w:color w:val="auto"/>
        </w:rPr>
        <w:t>$42.71 vest over a five year period from the date of grant. All other options have fully vested as of May 31, 2004.</w:t>
      </w:r>
    </w:p>
    <w:p>
      <w:pPr>
        <w:spacing w:after="0" w:line="27" w:lineRule="exact"/>
        <w:rPr>
          <w:sz w:val="20"/>
          <w:szCs w:val="20"/>
          <w:color w:val="auto"/>
        </w:rPr>
      </w:pPr>
    </w:p>
    <w:p>
      <w:pPr>
        <w:ind w:right="4140"/>
        <w:spacing w:after="0" w:line="292" w:lineRule="auto"/>
        <w:rPr>
          <w:sz w:val="20"/>
          <w:szCs w:val="20"/>
          <w:color w:val="auto"/>
        </w:rPr>
      </w:pPr>
      <w:r>
        <w:rPr>
          <w:rFonts w:ascii="Courier New" w:cs="Courier New" w:eastAsia="Courier New" w:hAnsi="Courier New"/>
          <w:sz w:val="14"/>
          <w:szCs w:val="14"/>
          <w:color w:val="auto"/>
        </w:rPr>
        <w:t>The weighted average fair value of stock options granted during fiscal 2002, calculated using the Black-Scholes option pricing model, was $16.07 using the following assumptions; expected dividend yield - 0%, risk free interest rate - 5.57%, expected volatility - 50% and expected life - 8 years.</w:t>
      </w:r>
    </w:p>
    <w:p>
      <w:pPr>
        <w:spacing w:after="0" w:line="56" w:lineRule="exact"/>
        <w:rPr>
          <w:sz w:val="20"/>
          <w:szCs w:val="20"/>
          <w:color w:val="auto"/>
        </w:rPr>
      </w:pPr>
    </w:p>
    <w:p>
      <w:pPr>
        <w:ind w:right="4140"/>
        <w:spacing w:after="0" w:line="292" w:lineRule="auto"/>
        <w:rPr>
          <w:sz w:val="20"/>
          <w:szCs w:val="20"/>
          <w:color w:val="auto"/>
        </w:rPr>
      </w:pPr>
      <w:r>
        <w:rPr>
          <w:rFonts w:ascii="Courier New" w:cs="Courier New" w:eastAsia="Courier New" w:hAnsi="Courier New"/>
          <w:sz w:val="14"/>
          <w:szCs w:val="14"/>
          <w:color w:val="auto"/>
        </w:rPr>
        <w:t>The weighted average fair value of stock options granted during fiscal 2003, calculated using the Black-Scholes option pricing model, was $15.84 using the following assumptions; expected dividend yield - 0%, risk free interest rate - 3.39%, expected volatility - 50% and expected life - 8 years.</w:t>
      </w:r>
    </w:p>
    <w:p>
      <w:pPr>
        <w:spacing w:after="0" w:line="56" w:lineRule="exact"/>
        <w:rPr>
          <w:sz w:val="20"/>
          <w:szCs w:val="20"/>
          <w:color w:val="auto"/>
        </w:rPr>
      </w:pPr>
    </w:p>
    <w:p>
      <w:pPr>
        <w:ind w:right="4140"/>
        <w:spacing w:after="0" w:line="292" w:lineRule="auto"/>
        <w:rPr>
          <w:sz w:val="20"/>
          <w:szCs w:val="20"/>
          <w:color w:val="auto"/>
        </w:rPr>
      </w:pPr>
      <w:r>
        <w:rPr>
          <w:rFonts w:ascii="Courier New" w:cs="Courier New" w:eastAsia="Courier New" w:hAnsi="Courier New"/>
          <w:sz w:val="14"/>
          <w:szCs w:val="14"/>
          <w:color w:val="auto"/>
        </w:rPr>
        <w:t>The weighted average fair value of stock options granted during fiscal 2004, calculated using the Black-Scholes option pricing model, was $24.58 using the following assumptions; expected dividend yield - 0%, risk free interest rate - 4.87%, expected volatility - 50% and expected life - 8 years.</w:t>
      </w:r>
    </w:p>
    <w:p>
      <w:pPr>
        <w:spacing w:after="0" w:line="56" w:lineRule="exact"/>
        <w:rPr>
          <w:sz w:val="20"/>
          <w:szCs w:val="20"/>
          <w:color w:val="auto"/>
        </w:rPr>
      </w:pPr>
    </w:p>
    <w:p>
      <w:pPr>
        <w:ind w:right="4140"/>
        <w:spacing w:after="0" w:line="292" w:lineRule="auto"/>
        <w:rPr>
          <w:sz w:val="20"/>
          <w:szCs w:val="20"/>
          <w:color w:val="auto"/>
        </w:rPr>
      </w:pPr>
      <w:r>
        <w:rPr>
          <w:rFonts w:ascii="Courier New" w:cs="Courier New" w:eastAsia="Courier New" w:hAnsi="Courier New"/>
          <w:sz w:val="14"/>
          <w:szCs w:val="14"/>
          <w:color w:val="auto"/>
        </w:rPr>
        <w:t>Had the Company determined compensation expense based on the fair value at the grant date for these options under SFAS No.123, "Accounting for Stock-Based Compensation", the Company's net income for fiscal 2002, 2003 and 2004 would have been reduced to the pro-forma amounts indicated below.</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2002</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242"/>
        </w:trPr>
        <w:tc>
          <w:tcPr>
            <w:tcW w:w="29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(in thousands, except per share data)</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as reported</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$14,200</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$18,283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25,742</w:t>
            </w:r>
          </w:p>
        </w:tc>
        <w:tc>
          <w:tcPr>
            <w:tcW w:w="0" w:type="dxa"/>
            <w:vAlign w:val="bottom"/>
          </w:tcPr>
          <w:p>
            <w:pPr>
              <w:spacing w:after="0"/>
              <w:rPr>
                <w:sz w:val="1"/>
                <w:szCs w:val="1"/>
                <w:color w:val="auto"/>
              </w:rPr>
            </w:pPr>
          </w:p>
        </w:tc>
      </w:tr>
      <w:tr>
        <w:trPr>
          <w:trHeight w:val="242"/>
        </w:trPr>
        <w:tc>
          <w:tcPr>
            <w:tcW w:w="2940" w:type="dxa"/>
            <w:vAlign w:val="bottom"/>
          </w:tcPr>
          <w:p>
            <w:pPr>
              <w:spacing w:after="0"/>
              <w:rPr>
                <w:sz w:val="21"/>
                <w:szCs w:val="21"/>
                <w:color w:val="auto"/>
              </w:rPr>
            </w:pP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pro-forma</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12,591</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16,187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23,384</w:t>
            </w: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Income per ordinary share</w:t>
            </w:r>
          </w:p>
        </w:tc>
        <w:tc>
          <w:tcPr>
            <w:tcW w:w="22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as reported</w:t>
            </w:r>
          </w:p>
        </w:tc>
        <w:tc>
          <w:tcPr>
            <w:tcW w:w="1720" w:type="dxa"/>
            <w:vAlign w:val="bottom"/>
            <w:vMerge w:val="restart"/>
          </w:tcPr>
          <w:p>
            <w:pPr>
              <w:jc w:val="right"/>
              <w:ind w:right="748"/>
              <w:spacing w:after="0"/>
              <w:rPr>
                <w:sz w:val="20"/>
                <w:szCs w:val="20"/>
                <w:color w:val="auto"/>
              </w:rPr>
            </w:pPr>
            <w:r>
              <w:rPr>
                <w:rFonts w:ascii="Courier New" w:cs="Courier New" w:eastAsia="Courier New" w:hAnsi="Courier New"/>
                <w:sz w:val="14"/>
                <w:szCs w:val="14"/>
                <w:color w:val="auto"/>
              </w:rPr>
              <w:t>$1.22</w:t>
            </w:r>
          </w:p>
        </w:tc>
        <w:tc>
          <w:tcPr>
            <w:tcW w:w="2060" w:type="dxa"/>
            <w:vAlign w:val="bottom"/>
            <w:vMerge w:val="restart"/>
          </w:tcPr>
          <w:p>
            <w:pPr>
              <w:jc w:val="right"/>
              <w:ind w:right="568"/>
              <w:spacing w:after="0"/>
              <w:rPr>
                <w:sz w:val="20"/>
                <w:szCs w:val="20"/>
                <w:color w:val="auto"/>
              </w:rPr>
            </w:pPr>
            <w:r>
              <w:rPr>
                <w:rFonts w:ascii="Courier New" w:cs="Courier New" w:eastAsia="Courier New" w:hAnsi="Courier New"/>
                <w:sz w:val="14"/>
                <w:szCs w:val="14"/>
                <w:color w:val="auto"/>
              </w:rPr>
              <w:t>$1.55</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$1.94</w:t>
            </w:r>
          </w:p>
        </w:tc>
        <w:tc>
          <w:tcPr>
            <w:tcW w:w="0" w:type="dxa"/>
            <w:vAlign w:val="bottom"/>
          </w:tcPr>
          <w:p>
            <w:pPr>
              <w:spacing w:after="0"/>
              <w:rPr>
                <w:sz w:val="1"/>
                <w:szCs w:val="1"/>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2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940" w:type="dxa"/>
            <w:vAlign w:val="bottom"/>
          </w:tcPr>
          <w:p>
            <w:pPr>
              <w:spacing w:after="0"/>
              <w:rPr>
                <w:sz w:val="21"/>
                <w:szCs w:val="21"/>
                <w:color w:val="auto"/>
              </w:rPr>
            </w:pP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pro-forma</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1.08</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as reported</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1.16</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c>
          <w:tcPr>
            <w:tcW w:w="0" w:type="dxa"/>
            <w:vAlign w:val="bottom"/>
          </w:tcPr>
          <w:p>
            <w:pPr>
              <w:spacing w:after="0"/>
              <w:rPr>
                <w:sz w:val="1"/>
                <w:szCs w:val="1"/>
                <w:color w:val="auto"/>
              </w:rPr>
            </w:pPr>
          </w:p>
        </w:tc>
      </w:tr>
      <w:tr>
        <w:trPr>
          <w:trHeight w:val="242"/>
        </w:trPr>
        <w:tc>
          <w:tcPr>
            <w:tcW w:w="2940" w:type="dxa"/>
            <w:vAlign w:val="bottom"/>
          </w:tcPr>
          <w:p>
            <w:pPr>
              <w:spacing w:after="0"/>
              <w:rPr>
                <w:sz w:val="21"/>
                <w:szCs w:val="21"/>
                <w:color w:val="auto"/>
              </w:rPr>
            </w:pP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pro-forma</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1.03</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c>
          <w:tcPr>
            <w:tcW w:w="0" w:type="dxa"/>
            <w:vAlign w:val="bottom"/>
          </w:tcPr>
          <w:p>
            <w:pPr>
              <w:spacing w:after="0"/>
              <w:rPr>
                <w:sz w:val="1"/>
                <w:szCs w:val="1"/>
                <w:color w:val="auto"/>
              </w:rPr>
            </w:pPr>
          </w:p>
        </w:tc>
      </w:tr>
      <w:tr>
        <w:trPr>
          <w:trHeight w:val="828"/>
        </w:trPr>
        <w:tc>
          <w:tcPr>
            <w:tcW w:w="2940" w:type="dxa"/>
            <w:vAlign w:val="bottom"/>
          </w:tcPr>
          <w:p>
            <w:pPr>
              <w:spacing w:after="0"/>
              <w:rPr>
                <w:sz w:val="24"/>
                <w:szCs w:val="2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66</w:t>
            </w:r>
          </w:p>
        </w:tc>
        <w:tc>
          <w:tcPr>
            <w:tcW w:w="1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20" w:top="756" w:right="81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320" w:type="dxa"/>
            <w:vAlign w:val="bottom"/>
          </w:tcPr>
          <w:p>
            <w:pPr>
              <w:spacing w:after="0"/>
              <w:rPr>
                <w:sz w:val="20"/>
                <w:szCs w:val="20"/>
                <w:color w:val="auto"/>
              </w:rPr>
            </w:pPr>
            <w:r>
              <w:rPr>
                <w:rFonts w:ascii="Courier New" w:cs="Courier New" w:eastAsia="Courier New" w:hAnsi="Courier New"/>
                <w:sz w:val="14"/>
                <w:szCs w:val="14"/>
                <w:color w:val="auto"/>
              </w:rPr>
              <w:t>10. Government Grants</w:t>
            </w:r>
          </w:p>
        </w:tc>
        <w:tc>
          <w:tcPr>
            <w:tcW w:w="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320" w:type="dxa"/>
            <w:vAlign w:val="bottom"/>
          </w:tcPr>
          <w:p>
            <w:pPr>
              <w:spacing w:after="0"/>
              <w:rPr>
                <w:sz w:val="22"/>
                <w:szCs w:val="22"/>
                <w:color w:val="auto"/>
              </w:rPr>
            </w:pPr>
          </w:p>
        </w:tc>
        <w:tc>
          <w:tcPr>
            <w:tcW w:w="98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2003</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May 31,</w:t>
            </w:r>
          </w:p>
        </w:tc>
        <w:tc>
          <w:tcPr>
            <w:tcW w:w="0" w:type="dxa"/>
            <w:vAlign w:val="bottom"/>
          </w:tcPr>
          <w:p>
            <w:pPr>
              <w:spacing w:after="0"/>
              <w:rPr>
                <w:sz w:val="1"/>
                <w:szCs w:val="1"/>
                <w:color w:val="auto"/>
              </w:rPr>
            </w:pPr>
          </w:p>
        </w:tc>
      </w:tr>
      <w:tr>
        <w:trPr>
          <w:trHeight w:val="166"/>
        </w:trPr>
        <w:tc>
          <w:tcPr>
            <w:tcW w:w="43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432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Received and receivable</w:t>
            </w:r>
          </w:p>
        </w:tc>
        <w:tc>
          <w:tcPr>
            <w:tcW w:w="258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166"/>
        </w:trPr>
        <w:tc>
          <w:tcPr>
            <w:tcW w:w="4320" w:type="dxa"/>
            <w:vAlign w:val="bottom"/>
            <w:vMerge w:val="continue"/>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$2,225</w:t>
            </w:r>
          </w:p>
        </w:tc>
        <w:tc>
          <w:tcPr>
            <w:tcW w:w="0" w:type="dxa"/>
            <w:vAlign w:val="bottom"/>
          </w:tcPr>
          <w:p>
            <w:pPr>
              <w:spacing w:after="0"/>
              <w:rPr>
                <w:sz w:val="1"/>
                <w:szCs w:val="1"/>
                <w:color w:val="auto"/>
              </w:rPr>
            </w:pPr>
          </w:p>
        </w:tc>
      </w:tr>
      <w:tr>
        <w:trPr>
          <w:trHeight w:val="166"/>
        </w:trPr>
        <w:tc>
          <w:tcPr>
            <w:tcW w:w="4320" w:type="dxa"/>
            <w:vAlign w:val="bottom"/>
          </w:tcPr>
          <w:p>
            <w:pPr>
              <w:ind w:left="700"/>
              <w:spacing w:after="0"/>
              <w:rPr>
                <w:sz w:val="20"/>
                <w:szCs w:val="20"/>
                <w:color w:val="auto"/>
              </w:rPr>
            </w:pPr>
            <w:r>
              <w:rPr>
                <w:rFonts w:ascii="Courier New" w:cs="Courier New" w:eastAsia="Courier New" w:hAnsi="Courier New"/>
                <w:sz w:val="14"/>
                <w:szCs w:val="14"/>
                <w:color w:val="auto"/>
              </w:rPr>
              <w:t>Less accumulated amortization</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(849)</w:t>
            </w:r>
          </w:p>
        </w:tc>
        <w:tc>
          <w:tcPr>
            <w:tcW w:w="0" w:type="dxa"/>
            <w:vAlign w:val="bottom"/>
          </w:tcPr>
          <w:p>
            <w:pPr>
              <w:spacing w:after="0"/>
              <w:rPr>
                <w:sz w:val="1"/>
                <w:szCs w:val="1"/>
                <w:color w:val="auto"/>
              </w:rPr>
            </w:pPr>
          </w:p>
        </w:tc>
      </w:tr>
      <w:tr>
        <w:trPr>
          <w:trHeight w:val="166"/>
        </w:trPr>
        <w:tc>
          <w:tcPr>
            <w:tcW w:w="4320" w:type="dxa"/>
            <w:vAlign w:val="bottom"/>
          </w:tcPr>
          <w:p>
            <w:pPr>
              <w:ind w:left="700"/>
              <w:spacing w:after="0"/>
              <w:rPr>
                <w:sz w:val="20"/>
                <w:szCs w:val="20"/>
                <w:color w:val="auto"/>
              </w:rPr>
            </w:pPr>
            <w:r>
              <w:rPr>
                <w:rFonts w:ascii="Courier New" w:cs="Courier New" w:eastAsia="Courier New" w:hAnsi="Courier New"/>
                <w:sz w:val="14"/>
                <w:szCs w:val="14"/>
                <w:color w:val="auto"/>
              </w:rPr>
              <w:t>Foreign exchange translation adjustment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174</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w:t>
            </w:r>
          </w:p>
        </w:tc>
        <w:tc>
          <w:tcPr>
            <w:tcW w:w="0" w:type="dxa"/>
            <w:vAlign w:val="bottom"/>
          </w:tcPr>
          <w:p>
            <w:pPr>
              <w:spacing w:after="0"/>
              <w:rPr>
                <w:sz w:val="1"/>
                <w:szCs w:val="1"/>
                <w:color w:val="auto"/>
              </w:rPr>
            </w:pPr>
          </w:p>
        </w:tc>
      </w:tr>
      <w:tr>
        <w:trPr>
          <w:trHeight w:val="166"/>
        </w:trPr>
        <w:tc>
          <w:tcPr>
            <w:tcW w:w="690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6"/>
        </w:trPr>
        <w:tc>
          <w:tcPr>
            <w:tcW w:w="432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Less current portion</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1,174</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1,606</w:t>
            </w:r>
          </w:p>
        </w:tc>
        <w:tc>
          <w:tcPr>
            <w:tcW w:w="0" w:type="dxa"/>
            <w:vAlign w:val="bottom"/>
          </w:tcPr>
          <w:p>
            <w:pPr>
              <w:spacing w:after="0"/>
              <w:rPr>
                <w:sz w:val="1"/>
                <w:szCs w:val="1"/>
                <w:color w:val="auto"/>
              </w:rPr>
            </w:pPr>
          </w:p>
        </w:tc>
      </w:tr>
      <w:tr>
        <w:trPr>
          <w:trHeight w:val="166"/>
        </w:trPr>
        <w:tc>
          <w:tcPr>
            <w:tcW w:w="4320" w:type="dxa"/>
            <w:vAlign w:val="bottom"/>
            <w:vMerge w:val="continue"/>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w:t>
            </w:r>
          </w:p>
        </w:tc>
        <w:tc>
          <w:tcPr>
            <w:tcW w:w="0" w:type="dxa"/>
            <w:vAlign w:val="bottom"/>
          </w:tcPr>
          <w:p>
            <w:pPr>
              <w:spacing w:after="0"/>
              <w:rPr>
                <w:sz w:val="1"/>
                <w:szCs w:val="1"/>
                <w:color w:val="auto"/>
              </w:rPr>
            </w:pPr>
          </w:p>
        </w:tc>
      </w:tr>
      <w:tr>
        <w:trPr>
          <w:trHeight w:val="166"/>
        </w:trPr>
        <w:tc>
          <w:tcPr>
            <w:tcW w:w="690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$1,140</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$1,411</w:t>
            </w:r>
          </w:p>
        </w:tc>
        <w:tc>
          <w:tcPr>
            <w:tcW w:w="0" w:type="dxa"/>
            <w:vAlign w:val="bottom"/>
          </w:tcPr>
          <w:p>
            <w:pPr>
              <w:spacing w:after="0"/>
              <w:rPr>
                <w:sz w:val="1"/>
                <w:szCs w:val="1"/>
                <w:color w:val="auto"/>
              </w:rPr>
            </w:pPr>
          </w:p>
        </w:tc>
      </w:tr>
    </w:tbl>
    <w:p>
      <w:pPr>
        <w:ind w:left="700"/>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grants amortized to the profit and loss account amounted to</w:t>
      </w:r>
    </w:p>
    <w:p>
      <w:pPr>
        <w:spacing w:after="0" w:line="33" w:lineRule="exact"/>
        <w:rPr>
          <w:sz w:val="20"/>
          <w:szCs w:val="20"/>
          <w:color w:val="auto"/>
        </w:rPr>
      </w:pPr>
    </w:p>
    <w:p>
      <w:pPr>
        <w:jc w:val="both"/>
        <w:ind w:right="3339"/>
        <w:spacing w:after="0" w:line="336" w:lineRule="auto"/>
        <w:rPr>
          <w:sz w:val="20"/>
          <w:szCs w:val="20"/>
          <w:color w:val="auto"/>
        </w:rPr>
      </w:pPr>
      <w:r>
        <w:rPr>
          <w:rFonts w:ascii="Courier New" w:cs="Courier New" w:eastAsia="Courier New" w:hAnsi="Courier New"/>
          <w:sz w:val="14"/>
          <w:szCs w:val="14"/>
          <w:color w:val="auto"/>
        </w:rPr>
        <w:t>U.S.$46,000, U.S.$36,000 and U.S.$569,000 for the years ended May 31, 2002, 2003 and 2004, respectively.</w:t>
      </w:r>
    </w:p>
    <w:p>
      <w:pPr>
        <w:spacing w:after="0" w:line="27" w:lineRule="exact"/>
        <w:rPr>
          <w:sz w:val="20"/>
          <w:szCs w:val="20"/>
          <w:color w:val="auto"/>
        </w:rPr>
      </w:pPr>
    </w:p>
    <w:p>
      <w:pPr>
        <w:ind w:right="4019"/>
        <w:spacing w:after="0" w:line="376" w:lineRule="auto"/>
        <w:rPr>
          <w:sz w:val="20"/>
          <w:szCs w:val="20"/>
          <w:color w:val="auto"/>
        </w:rPr>
      </w:pPr>
      <w:r>
        <w:rPr>
          <w:rFonts w:ascii="Courier New" w:cs="Courier New" w:eastAsia="Courier New" w:hAnsi="Courier New"/>
          <w:sz w:val="14"/>
          <w:szCs w:val="14"/>
          <w:color w:val="auto"/>
        </w:rPr>
        <w:t>As of May 31, 2004 the Company had U.S.$1,351,000 in restricted retained earnings, pursuant to the terms of the grant agreements.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Share Capital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w:t>
      </w:r>
    </w:p>
    <w:p>
      <w:pPr>
        <w:spacing w:after="0" w:line="33"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ADSs and ordinary shares not otherwise represented by ADRs. Holders of ordinary shares have no conversion or redemption rights. On a show of hands, every holder of an ordinary share present in person at a general meeting of shareholders, and every proxy, shall have one vote, for each ordinary share held with no individual having more than one vote.</w:t>
      </w:r>
    </w:p>
    <w:p>
      <w:pPr>
        <w:spacing w:after="0" w:line="78"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On November 22, 2000, the ordinary share capital of the Company was redenominated from IR5p per share to (euro)0.06 per share. The renominalization generated a capital conversion reserve fund of (euro)39,499 (U.S.$47,277) which was recorded within additional paid in capital.</w:t>
      </w:r>
    </w:p>
    <w:p>
      <w:pPr>
        <w:spacing w:after="0" w:line="56"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On January 28, 2000, the Company merged with Pacific Research Associates Inc. ("PRAI") in a transaction accounted for as a pooling-of-interests transaction. The Company issued 838,828 ordinary shares of (euro)0.06 each to PRAI shareholders for this transaction. These shares have been treated as outstanding for all periods presented.</w:t>
      </w:r>
    </w:p>
    <w:p>
      <w:pPr>
        <w:spacing w:after="0" w:line="62"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On January 27, 2000, the Company acquired YRCR for cash and shares. The Company issued 51,387 ordinary shares of (euro)0.06 each to YRCR shareholders for this transaction. At May 31, 2000, pursuant to an earn-out clause contained in the purchase agreement with YRCR, a further 24,272 ordinary shares of (euro)0.06 each were issued to the YRCR shareholders and on August 31, 2001, a further 10,772 ordinary shares of (euro)0.06 were issued. On October 8, 2002, a further 3,696 ordinary shares of (euro)0.06 were issued (see note 4).</w:t>
      </w:r>
    </w:p>
    <w:p>
      <w:pPr>
        <w:spacing w:after="0" w:line="72"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During the year to May 31, 2002, a further 358,100 options were exercised by employees at an average exercise price of U.S.$7.47 per share.</w:t>
      </w:r>
    </w:p>
    <w:p>
      <w:pPr>
        <w:spacing w:after="0" w:line="1" w:lineRule="exact"/>
        <w:rPr>
          <w:sz w:val="20"/>
          <w:szCs w:val="20"/>
          <w:color w:val="auto"/>
        </w:rPr>
      </w:pPr>
    </w:p>
    <w:p>
      <w:pPr>
        <w:ind w:right="3779"/>
        <w:spacing w:after="0" w:line="313" w:lineRule="auto"/>
        <w:rPr>
          <w:sz w:val="20"/>
          <w:szCs w:val="20"/>
          <w:color w:val="auto"/>
        </w:rPr>
      </w:pPr>
      <w:r>
        <w:rPr>
          <w:rFonts w:ascii="Courier New" w:cs="Courier New" w:eastAsia="Courier New" w:hAnsi="Courier New"/>
          <w:sz w:val="14"/>
          <w:szCs w:val="14"/>
          <w:color w:val="auto"/>
        </w:rPr>
        <w:t>During the year to May 31, 2003, a further 39,360 options were exercised by employees at an average exercise price of U.S.$18.51 per share for total proceeds of U.S.$728,554.</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590" w:right="1440" w:bottom="1440" w:gutter="0" w:footer="0" w:header="0"/>
        </w:sectPr>
      </w:pPr>
    </w:p>
    <w:bookmarkStart w:id="70" w:name="page71"/>
    <w:bookmarkEnd w:id="70"/>
    <w:p>
      <w:pPr>
        <w:ind w:right="3679"/>
        <w:spacing w:after="0" w:line="313" w:lineRule="auto"/>
        <w:rPr>
          <w:sz w:val="20"/>
          <w:szCs w:val="20"/>
          <w:color w:val="auto"/>
        </w:rPr>
      </w:pPr>
      <w:r>
        <w:rPr>
          <w:rFonts w:ascii="Courier New" w:cs="Courier New" w:eastAsia="Courier New" w:hAnsi="Courier New"/>
          <w:sz w:val="14"/>
          <w:szCs w:val="14"/>
          <w:color w:val="auto"/>
        </w:rPr>
        <w:t>During the year to May 31, 2004, a further 496,919 options were exercised by employees at an average exercise price of U.S.$10.78 per share for total proceeds of U.S.$5,357,787.</w:t>
      </w:r>
    </w:p>
    <w:p>
      <w:pPr>
        <w:spacing w:after="0" w:line="42" w:lineRule="exact"/>
        <w:rPr>
          <w:sz w:val="20"/>
          <w:szCs w:val="20"/>
          <w:color w:val="auto"/>
        </w:rPr>
      </w:pPr>
    </w:p>
    <w:p>
      <w:pPr>
        <w:ind w:right="3679"/>
        <w:spacing w:after="0" w:line="292" w:lineRule="auto"/>
        <w:rPr>
          <w:sz w:val="20"/>
          <w:szCs w:val="20"/>
          <w:color w:val="auto"/>
        </w:rPr>
      </w:pPr>
      <w:r>
        <w:rPr>
          <w:rFonts w:ascii="Courier New" w:cs="Courier New" w:eastAsia="Courier New" w:hAnsi="Courier New"/>
          <w:sz w:val="14"/>
          <w:szCs w:val="14"/>
          <w:color w:val="auto"/>
        </w:rPr>
        <w:t>On August 8, 2003 the Company issued 1,500,000 ordinary shares in a public offering at $30.47 (net of underwriting discount) per share. The proceeds of this offering were U.S.$44.3 million (after deducting U.S.$1.4 million in costs).</w:t>
      </w: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756"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12. Income Taxes</w:t>
      </w:r>
    </w:p>
    <w:p>
      <w:pPr>
        <w:spacing w:after="0" w:line="173" w:lineRule="exact"/>
        <w:rPr>
          <w:sz w:val="20"/>
          <w:szCs w:val="20"/>
          <w:color w:val="auto"/>
        </w:rPr>
      </w:pPr>
    </w:p>
    <w:p>
      <w:pPr>
        <w:jc w:val="both"/>
        <w:ind w:right="3859"/>
        <w:spacing w:after="0" w:line="313" w:lineRule="auto"/>
        <w:rPr>
          <w:sz w:val="20"/>
          <w:szCs w:val="20"/>
          <w:color w:val="auto"/>
        </w:rPr>
      </w:pPr>
      <w:r>
        <w:rPr>
          <w:rFonts w:ascii="Courier New" w:cs="Courier New" w:eastAsia="Courier New" w:hAnsi="Courier New"/>
          <w:sz w:val="14"/>
          <w:szCs w:val="14"/>
          <w:color w:val="auto"/>
        </w:rPr>
        <w:t>The U.S. based and Irish-based subsidiaries file tax returns in the United States and Ireland, respectively. The other foreign subsidiaries are taxed separately under the laws of their respective countries.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income before provision for income tax expense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40" w:type="dxa"/>
            <w:vAlign w:val="bottom"/>
          </w:tcPr>
          <w:p>
            <w:pPr>
              <w:spacing w:after="0"/>
              <w:rPr>
                <w:sz w:val="14"/>
                <w:szCs w:val="14"/>
                <w:color w:val="auto"/>
              </w:rPr>
            </w:pPr>
          </w:p>
        </w:tc>
        <w:tc>
          <w:tcPr>
            <w:tcW w:w="25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Year Ended May 31,</w:t>
            </w:r>
          </w:p>
        </w:tc>
        <w:tc>
          <w:tcPr>
            <w:tcW w:w="10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414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1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 thousands)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Ireland</w:t>
            </w:r>
          </w:p>
        </w:tc>
        <w:tc>
          <w:tcPr>
            <w:tcW w:w="2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$7,702</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$6,556</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$12,674</w:t>
            </w:r>
          </w:p>
        </w:tc>
        <w:tc>
          <w:tcPr>
            <w:tcW w:w="0" w:type="dxa"/>
            <w:vAlign w:val="bottom"/>
          </w:tcPr>
          <w:p>
            <w:pPr>
              <w:spacing w:after="0"/>
              <w:rPr>
                <w:sz w:val="1"/>
                <w:szCs w:val="1"/>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Other</w:t>
            </w:r>
          </w:p>
        </w:tc>
        <w:tc>
          <w:tcPr>
            <w:tcW w:w="2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11,627</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18,727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21,997</w:t>
            </w:r>
          </w:p>
        </w:tc>
        <w:tc>
          <w:tcPr>
            <w:tcW w:w="0" w:type="dxa"/>
            <w:vAlign w:val="bottom"/>
          </w:tcPr>
          <w:p>
            <w:pPr>
              <w:spacing w:after="0"/>
              <w:rPr>
                <w:sz w:val="1"/>
                <w:szCs w:val="1"/>
                <w:color w:val="auto"/>
              </w:rPr>
            </w:pPr>
          </w:p>
        </w:tc>
      </w:tr>
      <w:tr>
        <w:trPr>
          <w:trHeight w:val="242"/>
        </w:trPr>
        <w:tc>
          <w:tcPr>
            <w:tcW w:w="992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 ------------- ----------------- ------------------</w:t>
            </w:r>
          </w:p>
        </w:tc>
        <w:tc>
          <w:tcPr>
            <w:tcW w:w="0" w:type="dxa"/>
            <w:vAlign w:val="bottom"/>
          </w:tcPr>
          <w:p>
            <w:pPr>
              <w:spacing w:after="0"/>
              <w:rPr>
                <w:sz w:val="1"/>
                <w:szCs w:val="1"/>
                <w:color w:val="auto"/>
              </w:rPr>
            </w:pPr>
          </w:p>
        </w:tc>
      </w:tr>
      <w:tr>
        <w:trPr>
          <w:trHeight w:val="255"/>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Income before provision for income taxes</w:t>
            </w:r>
          </w:p>
        </w:tc>
        <w:tc>
          <w:tcPr>
            <w:tcW w:w="2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$19,329</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$25,283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$34,671</w:t>
            </w:r>
          </w:p>
        </w:tc>
        <w:tc>
          <w:tcPr>
            <w:tcW w:w="0" w:type="dxa"/>
            <w:vAlign w:val="bottom"/>
          </w:tcPr>
          <w:p>
            <w:pPr>
              <w:spacing w:after="0"/>
              <w:rPr>
                <w:sz w:val="1"/>
                <w:szCs w:val="1"/>
                <w:color w:val="auto"/>
              </w:rPr>
            </w:pPr>
          </w:p>
        </w:tc>
      </w:tr>
      <w:tr>
        <w:trPr>
          <w:trHeight w:val="242"/>
        </w:trPr>
        <w:tc>
          <w:tcPr>
            <w:tcW w:w="992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 ------------- ----------------- ------------------</w:t>
            </w:r>
          </w:p>
        </w:tc>
        <w:tc>
          <w:tcPr>
            <w:tcW w:w="0" w:type="dxa"/>
            <w:vAlign w:val="bottom"/>
          </w:tcPr>
          <w:p>
            <w:pPr>
              <w:spacing w:after="0"/>
              <w:rPr>
                <w:sz w:val="1"/>
                <w:szCs w:val="1"/>
                <w:color w:val="auto"/>
              </w:rPr>
            </w:pPr>
          </w:p>
        </w:tc>
      </w:tr>
      <w:tr>
        <w:trPr>
          <w:trHeight w:val="497"/>
        </w:trPr>
        <w:tc>
          <w:tcPr>
            <w:tcW w:w="6720" w:type="dxa"/>
            <w:vAlign w:val="bottom"/>
            <w:gridSpan w:val="2"/>
          </w:tcPr>
          <w:p>
            <w:pPr>
              <w:spacing w:after="0"/>
              <w:rPr>
                <w:sz w:val="20"/>
                <w:szCs w:val="20"/>
                <w:color w:val="auto"/>
              </w:rPr>
            </w:pPr>
            <w:r>
              <w:rPr>
                <w:rFonts w:ascii="Courier New" w:cs="Courier New" w:eastAsia="Courier New" w:hAnsi="Courier New"/>
                <w:sz w:val="14"/>
                <w:szCs w:val="14"/>
                <w:color w:val="auto"/>
              </w:rPr>
              <w:t>The components of total income tax expense are as follows:</w:t>
            </w:r>
          </w:p>
        </w:tc>
        <w:tc>
          <w:tcPr>
            <w:tcW w:w="2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4140" w:type="dxa"/>
            <w:vAlign w:val="bottom"/>
          </w:tcPr>
          <w:p>
            <w:pPr>
              <w:spacing w:after="0"/>
              <w:rPr>
                <w:sz w:val="24"/>
                <w:szCs w:val="24"/>
                <w:color w:val="auto"/>
              </w:rPr>
            </w:pPr>
          </w:p>
        </w:tc>
        <w:tc>
          <w:tcPr>
            <w:tcW w:w="25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Year Ended May 31,</w:t>
            </w:r>
          </w:p>
        </w:tc>
        <w:tc>
          <w:tcPr>
            <w:tcW w:w="10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414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1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 thousands)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Provision for income taxes</w:t>
            </w:r>
          </w:p>
        </w:tc>
        <w:tc>
          <w:tcPr>
            <w:tcW w:w="25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Current:</w:t>
            </w:r>
          </w:p>
        </w:tc>
        <w:tc>
          <w:tcPr>
            <w:tcW w:w="25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$1,164</w:t>
            </w:r>
          </w:p>
        </w:tc>
        <w:tc>
          <w:tcPr>
            <w:tcW w:w="216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$1,158</w:t>
            </w:r>
          </w:p>
        </w:tc>
        <w:tc>
          <w:tcPr>
            <w:tcW w:w="10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$1,365</w:t>
            </w:r>
          </w:p>
        </w:tc>
        <w:tc>
          <w:tcPr>
            <w:tcW w:w="0" w:type="dxa"/>
            <w:vAlign w:val="bottom"/>
          </w:tcPr>
          <w:p>
            <w:pPr>
              <w:spacing w:after="0"/>
              <w:rPr>
                <w:sz w:val="1"/>
                <w:szCs w:val="1"/>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Ireland</w:t>
            </w:r>
          </w:p>
        </w:tc>
        <w:tc>
          <w:tcPr>
            <w:tcW w:w="258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United States</w:t>
            </w:r>
          </w:p>
        </w:tc>
        <w:tc>
          <w:tcPr>
            <w:tcW w:w="2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3,684</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4,334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3,339</w:t>
            </w:r>
          </w:p>
        </w:tc>
        <w:tc>
          <w:tcPr>
            <w:tcW w:w="0" w:type="dxa"/>
            <w:vAlign w:val="bottom"/>
          </w:tcPr>
          <w:p>
            <w:pPr>
              <w:spacing w:after="0"/>
              <w:rPr>
                <w:sz w:val="1"/>
                <w:szCs w:val="1"/>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Other</w:t>
            </w:r>
          </w:p>
        </w:tc>
        <w:tc>
          <w:tcPr>
            <w:tcW w:w="2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1,132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3,209</w:t>
            </w:r>
          </w:p>
        </w:tc>
        <w:tc>
          <w:tcPr>
            <w:tcW w:w="0" w:type="dxa"/>
            <w:vAlign w:val="bottom"/>
          </w:tcPr>
          <w:p>
            <w:pPr>
              <w:spacing w:after="0"/>
              <w:rPr>
                <w:sz w:val="1"/>
                <w:szCs w:val="1"/>
                <w:color w:val="auto"/>
              </w:rPr>
            </w:pPr>
          </w:p>
        </w:tc>
      </w:tr>
      <w:tr>
        <w:trPr>
          <w:trHeight w:val="166"/>
        </w:trPr>
        <w:tc>
          <w:tcPr>
            <w:tcW w:w="992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 ------------- ----------------- ------------------</w:t>
            </w:r>
          </w:p>
        </w:tc>
        <w:tc>
          <w:tcPr>
            <w:tcW w:w="0" w:type="dxa"/>
            <w:vAlign w:val="bottom"/>
          </w:tcPr>
          <w:p>
            <w:pPr>
              <w:spacing w:after="0"/>
              <w:rPr>
                <w:sz w:val="1"/>
                <w:szCs w:val="1"/>
                <w:color w:val="auto"/>
              </w:rPr>
            </w:pPr>
          </w:p>
        </w:tc>
      </w:tr>
      <w:tr>
        <w:trPr>
          <w:trHeight w:val="242"/>
        </w:trPr>
        <w:tc>
          <w:tcPr>
            <w:tcW w:w="4140" w:type="dxa"/>
            <w:vAlign w:val="bottom"/>
            <w:vMerge w:val="restart"/>
          </w:tcPr>
          <w:p>
            <w:pPr>
              <w:ind w:left="620"/>
              <w:spacing w:after="0"/>
              <w:rPr>
                <w:sz w:val="20"/>
                <w:szCs w:val="20"/>
                <w:color w:val="auto"/>
              </w:rPr>
            </w:pPr>
            <w:r>
              <w:rPr>
                <w:rFonts w:ascii="Courier New" w:cs="Courier New" w:eastAsia="Courier New" w:hAnsi="Courier New"/>
                <w:sz w:val="14"/>
                <w:szCs w:val="14"/>
                <w:color w:val="auto"/>
              </w:rPr>
              <w:t>Deferred expenses/(benefit):</w:t>
            </w:r>
          </w:p>
        </w:tc>
        <w:tc>
          <w:tcPr>
            <w:tcW w:w="2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5,110</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6,624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7,913</w:t>
            </w:r>
          </w:p>
        </w:tc>
        <w:tc>
          <w:tcPr>
            <w:tcW w:w="0" w:type="dxa"/>
            <w:vAlign w:val="bottom"/>
          </w:tcPr>
          <w:p>
            <w:pPr>
              <w:spacing w:after="0"/>
              <w:rPr>
                <w:sz w:val="1"/>
                <w:szCs w:val="1"/>
                <w:color w:val="auto"/>
              </w:rPr>
            </w:pPr>
          </w:p>
        </w:tc>
      </w:tr>
      <w:tr>
        <w:trPr>
          <w:trHeight w:val="90"/>
        </w:trPr>
        <w:tc>
          <w:tcPr>
            <w:tcW w:w="4140" w:type="dxa"/>
            <w:vAlign w:val="bottom"/>
            <w:vMerge w:val="continue"/>
          </w:tcPr>
          <w:p>
            <w:pPr>
              <w:spacing w:after="0"/>
              <w:rPr>
                <w:sz w:val="7"/>
                <w:szCs w:val="7"/>
                <w:color w:val="auto"/>
              </w:rPr>
            </w:pPr>
          </w:p>
        </w:tc>
        <w:tc>
          <w:tcPr>
            <w:tcW w:w="25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6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31</w:t>
            </w:r>
          </w:p>
        </w:tc>
        <w:tc>
          <w:tcPr>
            <w:tcW w:w="10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Ireland</w:t>
            </w:r>
          </w:p>
        </w:tc>
        <w:tc>
          <w:tcPr>
            <w:tcW w:w="258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United States</w:t>
            </w:r>
          </w:p>
        </w:tc>
        <w:tc>
          <w:tcPr>
            <w:tcW w:w="2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345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1,016</w:t>
            </w:r>
          </w:p>
        </w:tc>
        <w:tc>
          <w:tcPr>
            <w:tcW w:w="0" w:type="dxa"/>
            <w:vAlign w:val="bottom"/>
          </w:tcPr>
          <w:p>
            <w:pPr>
              <w:spacing w:after="0"/>
              <w:rPr>
                <w:sz w:val="1"/>
                <w:szCs w:val="1"/>
                <w:color w:val="auto"/>
              </w:rPr>
            </w:pPr>
          </w:p>
        </w:tc>
      </w:tr>
      <w:tr>
        <w:trPr>
          <w:trHeight w:val="242"/>
        </w:trPr>
        <w:tc>
          <w:tcPr>
            <w:tcW w:w="992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 ------------- ----------------- ------------------</w:t>
            </w:r>
          </w:p>
        </w:tc>
        <w:tc>
          <w:tcPr>
            <w:tcW w:w="0" w:type="dxa"/>
            <w:vAlign w:val="bottom"/>
          </w:tcPr>
          <w:p>
            <w:pPr>
              <w:spacing w:after="0"/>
              <w:rPr>
                <w:sz w:val="1"/>
                <w:szCs w:val="1"/>
                <w:color w:val="auto"/>
              </w:rPr>
            </w:pPr>
          </w:p>
        </w:tc>
      </w:tr>
      <w:tr>
        <w:trPr>
          <w:trHeight w:val="331"/>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Provision for income taxes</w:t>
            </w:r>
          </w:p>
        </w:tc>
        <w:tc>
          <w:tcPr>
            <w:tcW w:w="2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5,129</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7,000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8,929</w:t>
            </w:r>
          </w:p>
        </w:tc>
        <w:tc>
          <w:tcPr>
            <w:tcW w:w="0" w:type="dxa"/>
            <w:vAlign w:val="bottom"/>
          </w:tcPr>
          <w:p>
            <w:pPr>
              <w:spacing w:after="0"/>
              <w:rPr>
                <w:sz w:val="1"/>
                <w:szCs w:val="1"/>
                <w:color w:val="auto"/>
              </w:rPr>
            </w:pPr>
          </w:p>
        </w:tc>
      </w:tr>
      <w:tr>
        <w:trPr>
          <w:trHeight w:val="255"/>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Shareholders'  equity for  compensation</w:t>
            </w:r>
          </w:p>
        </w:tc>
        <w:tc>
          <w:tcPr>
            <w:tcW w:w="25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expense for tax</w:t>
            </w:r>
          </w:p>
        </w:tc>
        <w:tc>
          <w:tcPr>
            <w:tcW w:w="2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purposes in excess of amounts  recognized</w:t>
            </w:r>
          </w:p>
        </w:tc>
        <w:tc>
          <w:tcPr>
            <w:tcW w:w="25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for financial</w:t>
            </w:r>
          </w:p>
        </w:tc>
        <w:tc>
          <w:tcPr>
            <w:tcW w:w="216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(48)</w:t>
            </w:r>
          </w:p>
        </w:tc>
        <w:tc>
          <w:tcPr>
            <w:tcW w:w="10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(2,276)</w:t>
            </w:r>
          </w:p>
        </w:tc>
        <w:tc>
          <w:tcPr>
            <w:tcW w:w="0" w:type="dxa"/>
            <w:vAlign w:val="bottom"/>
          </w:tcPr>
          <w:p>
            <w:pPr>
              <w:spacing w:after="0"/>
              <w:rPr>
                <w:sz w:val="1"/>
                <w:szCs w:val="1"/>
                <w:color w:val="auto"/>
              </w:rPr>
            </w:pPr>
          </w:p>
        </w:tc>
      </w:tr>
      <w:tr>
        <w:trPr>
          <w:trHeight w:val="166"/>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reporting purposes</w:t>
            </w:r>
          </w:p>
        </w:tc>
        <w:tc>
          <w:tcPr>
            <w:tcW w:w="2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(792)</w:t>
            </w:r>
          </w:p>
        </w:tc>
        <w:tc>
          <w:tcPr>
            <w:tcW w:w="21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9920" w:type="dxa"/>
            <w:vAlign w:val="bottom"/>
            <w:gridSpan w:val="4"/>
          </w:tcPr>
          <w:p>
            <w:pPr>
              <w:ind w:left="620"/>
              <w:spacing w:after="0"/>
              <w:rPr>
                <w:sz w:val="20"/>
                <w:szCs w:val="20"/>
                <w:color w:val="auto"/>
              </w:rPr>
            </w:pPr>
            <w:r>
              <w:rPr>
                <w:rFonts w:ascii="Courier New" w:cs="Courier New" w:eastAsia="Courier New" w:hAnsi="Courier New"/>
                <w:sz w:val="14"/>
                <w:szCs w:val="14"/>
                <w:color w:val="auto"/>
              </w:rPr>
              <w:t>--------------------------------------------------------- ------------- ----------------- ------------------</w:t>
            </w:r>
          </w:p>
        </w:tc>
        <w:tc>
          <w:tcPr>
            <w:tcW w:w="0" w:type="dxa"/>
            <w:vAlign w:val="bottom"/>
          </w:tcPr>
          <w:p>
            <w:pPr>
              <w:spacing w:after="0"/>
              <w:rPr>
                <w:sz w:val="1"/>
                <w:szCs w:val="1"/>
                <w:color w:val="auto"/>
              </w:rPr>
            </w:pPr>
          </w:p>
        </w:tc>
      </w:tr>
      <w:tr>
        <w:trPr>
          <w:trHeight w:val="281"/>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Total</w:t>
            </w:r>
          </w:p>
        </w:tc>
        <w:tc>
          <w:tcPr>
            <w:tcW w:w="2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$4,337</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$6,952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$6,653</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756" w:right="1440" w:bottom="1440" w:gutter="0" w:footer="0" w:header="0"/>
        </w:sectPr>
      </w:pPr>
    </w:p>
    <w:bookmarkStart w:id="72" w:name="page73"/>
    <w:bookmarkEnd w:id="72"/>
    <w:p>
      <w:pPr>
        <w:spacing w:after="0" w:line="180" w:lineRule="auto"/>
        <w:framePr w:w="420" w:h="120" w:wrap="auto" w:vAnchor="page" w:hAnchor="page" w:x="6480" w:y="2770"/>
        <w:rPr>
          <w:rFonts w:ascii="Courier New" w:cs="Courier New" w:eastAsia="Courier New" w:hAnsi="Courier New"/>
          <w:sz w:val="14"/>
          <w:szCs w:val="14"/>
          <w:color w:val="auto"/>
        </w:rPr>
      </w:pPr>
      <w:r>
        <w:rPr>
          <w:rFonts w:ascii="Courier New" w:cs="Courier New" w:eastAsia="Courier New" w:hAnsi="Courier New"/>
          <w:sz w:val="14"/>
          <w:szCs w:val="14"/>
          <w:color w:val="auto"/>
        </w:rPr>
        <w:t>2002</w:t>
      </w:r>
    </w:p>
    <w:p>
      <w:pPr>
        <w:spacing w:after="0" w:line="180" w:lineRule="auto"/>
        <w:framePr w:w="420" w:h="120" w:wrap="auto" w:vAnchor="page" w:hAnchor="page" w:x="9660" w:y="2770"/>
        <w:rPr>
          <w:rFonts w:ascii="Courier New" w:cs="Courier New" w:eastAsia="Courier New" w:hAnsi="Courier New"/>
          <w:sz w:val="14"/>
          <w:szCs w:val="14"/>
          <w:color w:val="auto"/>
        </w:rPr>
      </w:pPr>
      <w:r>
        <w:rPr>
          <w:rFonts w:ascii="Courier New" w:cs="Courier New" w:eastAsia="Courier New" w:hAnsi="Courier New"/>
          <w:sz w:val="14"/>
          <w:szCs w:val="14"/>
          <w:color w:val="auto"/>
        </w:rPr>
        <w:t>2004</w:t>
      </w:r>
    </w:p>
    <w:p>
      <w:pPr>
        <w:spacing w:after="0" w:line="215" w:lineRule="auto"/>
        <w:framePr w:w="1620" w:h="285" w:wrap="auto" w:vAnchor="page" w:hAnchor="page" w:x="7000" w:y="2604"/>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May 31, 2003</w:t>
      </w:r>
    </w:p>
    <w:p>
      <w:pPr>
        <w:spacing w:after="0" w:line="180" w:lineRule="auto"/>
        <w:framePr w:w="1300" w:h="120" w:wrap="auto" w:vAnchor="page" w:hAnchor="page" w:x="7500" w:y="2936"/>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215" w:lineRule="auto"/>
        <w:framePr w:w="6640" w:h="285" w:wrap="auto" w:vAnchor="page" w:hAnchor="page" w:x="180" w:y="782"/>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1,2001, Ireland's statutory income tax rate decreased from 24% to 20%, on January 1, 2002 from 20% to 16% and on January 1, 2003, from 16% to</w:t>
      </w:r>
    </w:p>
    <w:p>
      <w:pPr>
        <w:spacing w:after="0" w:line="233" w:lineRule="auto"/>
        <w:framePr w:w="6900" w:h="617" w:wrap="auto" w:vAnchor="page" w:hAnchor="page" w:x="180" w:y="1114"/>
        <w:rPr>
          <w:rFonts w:ascii="Courier New" w:cs="Courier New" w:eastAsia="Courier New" w:hAnsi="Courier New"/>
          <w:sz w:val="14"/>
          <w:szCs w:val="14"/>
          <w:color w:val="auto"/>
        </w:rPr>
      </w:pPr>
      <w:r>
        <w:rPr>
          <w:rFonts w:ascii="Courier New" w:cs="Courier New" w:eastAsia="Courier New" w:hAnsi="Courier New"/>
          <w:sz w:val="14"/>
          <w:szCs w:val="14"/>
          <w:color w:val="auto"/>
        </w:rPr>
        <w:t>12.5%. Certain activities carried out by the Irish company, principally data processing services, are taxed at a reduced rate of 10%. The Company's consolidated effective tax rate differed from the blended statutory rate as set forth below;</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67" w:lineRule="exact"/>
        <w:rPr>
          <w:rFonts w:ascii="Courier New" w:cs="Courier New" w:eastAsia="Courier New" w:hAnsi="Courier New"/>
          <w:sz w:val="14"/>
          <w:szCs w:val="14"/>
          <w:color w:val="auto"/>
        </w:rPr>
      </w:pPr>
    </w:p>
    <w:tbl>
      <w:tblPr>
        <w:tblLayout w:type="fixed"/>
        <w:tblInd w:w="620" w:type="dxa"/>
        <w:tblCellMar>
          <w:top w:w="0" w:type="dxa"/>
          <w:left w:w="0" w:type="dxa"/>
          <w:bottom w:w="0" w:type="dxa"/>
          <w:right w:w="0" w:type="dxa"/>
        </w:tblCellMar>
      </w:tblPr>
      <w:tr>
        <w:trPr>
          <w:trHeight w:val="166"/>
        </w:trPr>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Taxes at</w:t>
            </w:r>
          </w:p>
        </w:tc>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Irish</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statutory</w:t>
            </w:r>
          </w:p>
        </w:tc>
        <w:tc>
          <w:tcPr>
            <w:tcW w:w="15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rate of  12.50%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(14.54%  in</w:t>
            </w:r>
          </w:p>
        </w:tc>
        <w:tc>
          <w:tcPr>
            <w:tcW w:w="13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$3,543</w:t>
            </w:r>
          </w:p>
        </w:tc>
        <w:tc>
          <w:tcPr>
            <w:tcW w:w="16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$3,676</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$4,334</w:t>
            </w:r>
          </w:p>
        </w:tc>
        <w:tc>
          <w:tcPr>
            <w:tcW w:w="0" w:type="dxa"/>
            <w:vAlign w:val="bottom"/>
          </w:tcPr>
          <w:p>
            <w:pPr>
              <w:spacing w:after="0"/>
              <w:rPr>
                <w:sz w:val="1"/>
                <w:szCs w:val="1"/>
                <w:color w:val="auto"/>
              </w:rPr>
            </w:pPr>
          </w:p>
        </w:tc>
      </w:tr>
      <w:tr>
        <w:trPr>
          <w:trHeight w:val="166"/>
        </w:trPr>
        <w:tc>
          <w:tcPr>
            <w:tcW w:w="2240" w:type="dxa"/>
            <w:vAlign w:val="bottom"/>
            <w:gridSpan w:val="3"/>
          </w:tcPr>
          <w:p>
            <w:pPr>
              <w:spacing w:after="0"/>
              <w:rPr>
                <w:sz w:val="20"/>
                <w:szCs w:val="20"/>
                <w:color w:val="auto"/>
              </w:rPr>
            </w:pPr>
            <w:r>
              <w:rPr>
                <w:rFonts w:ascii="Courier New" w:cs="Courier New" w:eastAsia="Courier New" w:hAnsi="Courier New"/>
                <w:sz w:val="14"/>
                <w:szCs w:val="14"/>
                <w:color w:val="auto"/>
              </w:rPr>
              <w:t>2003; 18.33% in 2002)</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8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4480" w:type="dxa"/>
            <w:vAlign w:val="bottom"/>
            <w:gridSpan w:val="5"/>
          </w:tcPr>
          <w:p>
            <w:pPr>
              <w:jc w:val="right"/>
              <w:ind w:right="268"/>
              <w:spacing w:after="0"/>
              <w:rPr>
                <w:sz w:val="20"/>
                <w:szCs w:val="20"/>
                <w:color w:val="auto"/>
              </w:rPr>
            </w:pPr>
            <w:r>
              <w:rPr>
                <w:rFonts w:ascii="Courier New" w:cs="Courier New" w:eastAsia="Courier New" w:hAnsi="Courier New"/>
                <w:sz w:val="14"/>
                <w:szCs w:val="14"/>
                <w:color w:val="auto"/>
              </w:rPr>
              <w:t>and other income taxed at higher/(reduced) rates</w:t>
            </w:r>
          </w:p>
        </w:tc>
        <w:tc>
          <w:tcPr>
            <w:tcW w:w="13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589</w:t>
            </w:r>
          </w:p>
        </w:tc>
        <w:tc>
          <w:tcPr>
            <w:tcW w:w="16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1,874</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3,333</w:t>
            </w:r>
          </w:p>
        </w:tc>
        <w:tc>
          <w:tcPr>
            <w:tcW w:w="0" w:type="dxa"/>
            <w:vAlign w:val="bottom"/>
          </w:tcPr>
          <w:p>
            <w:pPr>
              <w:spacing w:after="0"/>
              <w:rPr>
                <w:sz w:val="1"/>
                <w:szCs w:val="1"/>
                <w:color w:val="auto"/>
              </w:rPr>
            </w:pPr>
          </w:p>
        </w:tc>
      </w:tr>
      <w:tr>
        <w:trPr>
          <w:trHeight w:val="166"/>
        </w:trPr>
        <w:tc>
          <w:tcPr>
            <w:tcW w:w="680" w:type="dxa"/>
            <w:vAlign w:val="bottom"/>
            <w:vMerge w:val="restart"/>
          </w:tcPr>
          <w:p>
            <w:pPr>
              <w:spacing w:after="0"/>
              <w:rPr>
                <w:sz w:val="20"/>
                <w:szCs w:val="20"/>
                <w:color w:val="auto"/>
              </w:rPr>
            </w:pPr>
            <w:r>
              <w:rPr>
                <w:rFonts w:ascii="Courier New" w:cs="Courier New" w:eastAsia="Courier New" w:hAnsi="Courier New"/>
                <w:sz w:val="14"/>
                <w:szCs w:val="14"/>
                <w:color w:val="auto"/>
              </w:rPr>
              <w:t>United</w:t>
            </w:r>
          </w:p>
        </w:tc>
        <w:tc>
          <w:tcPr>
            <w:tcW w:w="640" w:type="dxa"/>
            <w:vAlign w:val="bottom"/>
            <w:vMerge w:val="restart"/>
          </w:tcPr>
          <w:p>
            <w:pPr>
              <w:spacing w:after="0"/>
              <w:rPr>
                <w:sz w:val="20"/>
                <w:szCs w:val="20"/>
                <w:color w:val="auto"/>
              </w:rPr>
            </w:pPr>
            <w:r>
              <w:rPr>
                <w:rFonts w:ascii="Courier New" w:cs="Courier New" w:eastAsia="Courier New" w:hAnsi="Courier New"/>
                <w:sz w:val="14"/>
                <w:szCs w:val="14"/>
                <w:color w:val="auto"/>
              </w:rPr>
              <w:t>States</w:t>
            </w:r>
          </w:p>
        </w:tc>
        <w:tc>
          <w:tcPr>
            <w:tcW w:w="2160" w:type="dxa"/>
            <w:vAlign w:val="bottom"/>
            <w:gridSpan w:val="2"/>
            <w:vMerge w:val="restart"/>
          </w:tcPr>
          <w:p>
            <w:pPr>
              <w:ind w:left="40"/>
              <w:spacing w:after="0"/>
              <w:rPr>
                <w:sz w:val="20"/>
                <w:szCs w:val="20"/>
                <w:color w:val="auto"/>
              </w:rPr>
            </w:pPr>
            <w:r>
              <w:rPr>
                <w:rFonts w:ascii="Courier New" w:cs="Courier New" w:eastAsia="Courier New" w:hAnsi="Courier New"/>
                <w:sz w:val="14"/>
                <w:szCs w:val="14"/>
                <w:color w:val="auto"/>
              </w:rPr>
              <w:t>state tax net of United</w:t>
            </w:r>
          </w:p>
        </w:tc>
        <w:tc>
          <w:tcPr>
            <w:tcW w:w="1680" w:type="dxa"/>
            <w:vAlign w:val="bottom"/>
            <w:gridSpan w:val="2"/>
            <w:vMerge w:val="restart"/>
          </w:tcPr>
          <w:p>
            <w:pPr>
              <w:jc w:val="right"/>
              <w:ind w:right="268"/>
              <w:spacing w:after="0"/>
              <w:rPr>
                <w:sz w:val="20"/>
                <w:szCs w:val="20"/>
                <w:color w:val="auto"/>
              </w:rPr>
            </w:pPr>
            <w:r>
              <w:rPr>
                <w:rFonts w:ascii="Courier New" w:cs="Courier New" w:eastAsia="Courier New" w:hAnsi="Courier New"/>
                <w:sz w:val="14"/>
                <w:szCs w:val="14"/>
                <w:color w:val="auto"/>
              </w:rPr>
              <w:t>States  Federal</w:t>
            </w:r>
          </w:p>
        </w:tc>
        <w:tc>
          <w:tcPr>
            <w:tcW w:w="13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160" w:type="dxa"/>
            <w:vAlign w:val="bottom"/>
            <w:gridSpan w:val="2"/>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3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468</w:t>
            </w:r>
          </w:p>
        </w:tc>
        <w:tc>
          <w:tcPr>
            <w:tcW w:w="16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556</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403</w:t>
            </w:r>
          </w:p>
        </w:tc>
        <w:tc>
          <w:tcPr>
            <w:tcW w:w="0" w:type="dxa"/>
            <w:vAlign w:val="bottom"/>
          </w:tcPr>
          <w:p>
            <w:pPr>
              <w:spacing w:after="0"/>
              <w:rPr>
                <w:sz w:val="1"/>
                <w:szCs w:val="1"/>
                <w:color w:val="auto"/>
              </w:rPr>
            </w:pPr>
          </w:p>
        </w:tc>
      </w:tr>
      <w:tr>
        <w:trPr>
          <w:trHeight w:val="166"/>
        </w:trPr>
        <w:tc>
          <w:tcPr>
            <w:tcW w:w="680" w:type="dxa"/>
            <w:vAlign w:val="bottom"/>
          </w:tcPr>
          <w:p>
            <w:pPr>
              <w:spacing w:after="0"/>
              <w:rPr>
                <w:sz w:val="20"/>
                <w:szCs w:val="20"/>
                <w:color w:val="auto"/>
              </w:rPr>
            </w:pPr>
            <w:r>
              <w:rPr>
                <w:rFonts w:ascii="Courier New" w:cs="Courier New" w:eastAsia="Courier New" w:hAnsi="Courier New"/>
                <w:sz w:val="14"/>
                <w:szCs w:val="14"/>
                <w:color w:val="auto"/>
              </w:rPr>
              <w:t>benefit</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80" w:type="dxa"/>
            <w:vAlign w:val="bottom"/>
            <w:gridSpan w:val="4"/>
          </w:tcPr>
          <w:p>
            <w:pPr>
              <w:spacing w:after="0"/>
              <w:rPr>
                <w:sz w:val="20"/>
                <w:szCs w:val="20"/>
                <w:color w:val="auto"/>
              </w:rPr>
            </w:pPr>
            <w:r>
              <w:rPr>
                <w:rFonts w:ascii="Courier New" w:cs="Courier New" w:eastAsia="Courier New" w:hAnsi="Courier New"/>
                <w:sz w:val="14"/>
                <w:szCs w:val="14"/>
                <w:color w:val="auto"/>
              </w:rPr>
              <w:t>Movement in valuation allowance</w:t>
            </w: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(127)</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1,445</w:t>
            </w:r>
          </w:p>
        </w:tc>
        <w:tc>
          <w:tcPr>
            <w:tcW w:w="0" w:type="dxa"/>
            <w:vAlign w:val="bottom"/>
          </w:tcPr>
          <w:p>
            <w:pPr>
              <w:spacing w:after="0"/>
              <w:rPr>
                <w:sz w:val="1"/>
                <w:szCs w:val="1"/>
                <w:color w:val="auto"/>
              </w:rPr>
            </w:pPr>
          </w:p>
        </w:tc>
      </w:tr>
      <w:tr>
        <w:trPr>
          <w:trHeight w:val="166"/>
        </w:trPr>
        <w:tc>
          <w:tcPr>
            <w:tcW w:w="5160" w:type="dxa"/>
            <w:vAlign w:val="bottom"/>
            <w:gridSpan w:val="6"/>
          </w:tcPr>
          <w:p>
            <w:pPr>
              <w:spacing w:after="0"/>
              <w:rPr>
                <w:sz w:val="20"/>
                <w:szCs w:val="20"/>
                <w:color w:val="auto"/>
              </w:rPr>
            </w:pPr>
            <w:r>
              <w:rPr>
                <w:rFonts w:ascii="Courier New" w:cs="Courier New" w:eastAsia="Courier New" w:hAnsi="Courier New"/>
                <w:sz w:val="14"/>
                <w:szCs w:val="14"/>
                <w:color w:val="auto"/>
              </w:rPr>
              <w:t>Current year under-provision in respect of foreign taxes</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(547)</w:t>
            </w:r>
          </w:p>
        </w:tc>
        <w:tc>
          <w:tcPr>
            <w:tcW w:w="0" w:type="dxa"/>
            <w:vAlign w:val="bottom"/>
          </w:tcPr>
          <w:p>
            <w:pPr>
              <w:spacing w:after="0"/>
              <w:rPr>
                <w:sz w:val="1"/>
                <w:szCs w:val="1"/>
                <w:color w:val="auto"/>
              </w:rPr>
            </w:pPr>
          </w:p>
        </w:tc>
      </w:tr>
      <w:tr>
        <w:trPr>
          <w:trHeight w:val="166"/>
        </w:trPr>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Reversal</w:t>
            </w:r>
          </w:p>
        </w:tc>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 prior  year</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over-provision</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in</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respect of</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(444)</w:t>
            </w:r>
          </w:p>
        </w:tc>
        <w:tc>
          <w:tcPr>
            <w:tcW w:w="0" w:type="dxa"/>
            <w:vAlign w:val="bottom"/>
          </w:tcPr>
          <w:p>
            <w:pPr>
              <w:spacing w:after="0"/>
              <w:rPr>
                <w:sz w:val="1"/>
                <w:szCs w:val="1"/>
                <w:color w:val="auto"/>
              </w:rPr>
            </w:pPr>
          </w:p>
        </w:tc>
      </w:tr>
      <w:tr>
        <w:trPr>
          <w:trHeight w:val="166"/>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foreign taxes</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161</w:t>
            </w:r>
          </w:p>
        </w:tc>
        <w:tc>
          <w:tcPr>
            <w:tcW w:w="16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531</w:t>
            </w:r>
          </w:p>
        </w:tc>
        <w:tc>
          <w:tcPr>
            <w:tcW w:w="0" w:type="dxa"/>
            <w:vAlign w:val="bottom"/>
          </w:tcPr>
          <w:p>
            <w:pPr>
              <w:spacing w:after="0"/>
              <w:rPr>
                <w:sz w:val="1"/>
                <w:szCs w:val="1"/>
                <w:color w:val="auto"/>
              </w:rPr>
            </w:pPr>
          </w:p>
        </w:tc>
      </w:tr>
      <w:tr>
        <w:trPr>
          <w:trHeight w:val="166"/>
        </w:trPr>
        <w:tc>
          <w:tcPr>
            <w:tcW w:w="2240" w:type="dxa"/>
            <w:vAlign w:val="bottom"/>
            <w:gridSpan w:val="3"/>
          </w:tcPr>
          <w:p>
            <w:pPr>
              <w:spacing w:after="0"/>
              <w:rPr>
                <w:sz w:val="20"/>
                <w:szCs w:val="20"/>
                <w:color w:val="auto"/>
              </w:rPr>
            </w:pPr>
            <w:r>
              <w:rPr>
                <w:rFonts w:ascii="Courier New" w:cs="Courier New" w:eastAsia="Courier New" w:hAnsi="Courier New"/>
                <w:sz w:val="14"/>
                <w:szCs w:val="14"/>
                <w:color w:val="auto"/>
              </w:rPr>
              <w:t>Non deductible expenses</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495</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4"/>
          <w:szCs w:val="14"/>
          <w:color w:val="auto"/>
        </w:rPr>
        <w:t>--------------------------------------------------------- ------------- ----------------- ------------------</w:t>
      </w:r>
    </w:p>
    <w:p>
      <w:pPr>
        <w:spacing w:after="0" w:line="147" w:lineRule="exact"/>
        <w:rPr>
          <w:rFonts w:ascii="Courier New" w:cs="Courier New" w:eastAsia="Courier New" w:hAnsi="Courier New"/>
          <w:sz w:val="14"/>
          <w:szCs w:val="14"/>
          <w:color w:val="auto"/>
        </w:rPr>
      </w:pPr>
    </w:p>
    <w:tbl>
      <w:tblPr>
        <w:tblLayout w:type="fixed"/>
        <w:tblInd w:w="620" w:type="dxa"/>
        <w:tblCellMar>
          <w:top w:w="0" w:type="dxa"/>
          <w:left w:w="0" w:type="dxa"/>
          <w:bottom w:w="0" w:type="dxa"/>
          <w:right w:w="0" w:type="dxa"/>
        </w:tblCellMar>
      </w:tblPr>
      <w:tr>
        <w:trPr>
          <w:trHeight w:val="192"/>
        </w:trPr>
        <w:tc>
          <w:tcPr>
            <w:tcW w:w="4120" w:type="dxa"/>
            <w:vAlign w:val="bottom"/>
          </w:tcPr>
          <w:p>
            <w:pPr>
              <w:spacing w:after="0"/>
              <w:rPr>
                <w:sz w:val="20"/>
                <w:szCs w:val="20"/>
                <w:color w:val="auto"/>
              </w:rPr>
            </w:pPr>
            <w:r>
              <w:rPr>
                <w:rFonts w:ascii="Courier New" w:cs="Courier New" w:eastAsia="Courier New" w:hAnsi="Courier New"/>
                <w:sz w:val="14"/>
                <w:szCs w:val="14"/>
                <w:color w:val="auto"/>
              </w:rPr>
              <w:t>Total provision for income taxes</w:t>
            </w:r>
          </w:p>
        </w:tc>
        <w:tc>
          <w:tcPr>
            <w:tcW w:w="2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$5,129</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$8,929</w:t>
            </w:r>
          </w:p>
        </w:tc>
      </w:tr>
    </w:tbl>
    <w:p>
      <w:pPr>
        <w:ind w:left="620"/>
        <w:spacing w:after="0"/>
        <w:rPr>
          <w:sz w:val="20"/>
          <w:szCs w:val="20"/>
          <w:color w:val="auto"/>
        </w:rPr>
      </w:pPr>
      <w:r>
        <w:rPr>
          <w:rFonts w:ascii="Courier New" w:cs="Courier New" w:eastAsia="Courier New" w:hAnsi="Courier New"/>
          <w:sz w:val="14"/>
          <w:szCs w:val="14"/>
          <w:color w:val="auto"/>
        </w:rPr>
        <w:t>--------------------------------------------------------- ------------- ----------------- ------------------</w:t>
      </w:r>
    </w:p>
    <w:p>
      <w:pPr>
        <w:spacing w:after="0" w:line="312" w:lineRule="exact"/>
        <w:rPr>
          <w:rFonts w:ascii="Courier New" w:cs="Courier New" w:eastAsia="Courier New" w:hAnsi="Courier New"/>
          <w:sz w:val="14"/>
          <w:szCs w:val="14"/>
          <w:color w:val="auto"/>
        </w:rPr>
      </w:pPr>
    </w:p>
    <w:p>
      <w:pPr>
        <w:ind w:right="3419"/>
        <w:spacing w:after="0" w:line="376" w:lineRule="auto"/>
        <w:rPr>
          <w:sz w:val="20"/>
          <w:szCs w:val="20"/>
          <w:color w:val="auto"/>
        </w:rPr>
      </w:pPr>
      <w:r>
        <w:rPr>
          <w:rFonts w:ascii="Courier New" w:cs="Courier New" w:eastAsia="Courier New" w:hAnsi="Courier New"/>
          <w:sz w:val="14"/>
          <w:szCs w:val="14"/>
          <w:color w:val="auto"/>
        </w:rPr>
        <w:t>The tax effects of temporary differences that give rise to significant portions of deferred tax assets and deferred tax liabilities are presented below:</w:t>
      </w:r>
    </w:p>
    <w:p>
      <w:pPr>
        <w:spacing w:after="0" w:line="331" w:lineRule="exact"/>
        <w:rPr>
          <w:rFonts w:ascii="Courier New" w:cs="Courier New" w:eastAsia="Courier New" w:hAnsi="Courier New"/>
          <w:sz w:val="14"/>
          <w:szCs w:val="14"/>
          <w:color w:val="auto"/>
        </w:rPr>
      </w:pPr>
    </w:p>
    <w:tbl>
      <w:tblPr>
        <w:tblLayout w:type="fixed"/>
        <w:tblInd w:w="620" w:type="dxa"/>
        <w:tblCellMar>
          <w:top w:w="0" w:type="dxa"/>
          <w:left w:w="0" w:type="dxa"/>
          <w:bottom w:w="0" w:type="dxa"/>
          <w:right w:w="0" w:type="dxa"/>
        </w:tblCellMar>
      </w:tblPr>
      <w:tr>
        <w:trPr>
          <w:trHeight w:val="166"/>
        </w:trPr>
        <w:tc>
          <w:tcPr>
            <w:tcW w:w="4220" w:type="dxa"/>
            <w:vAlign w:val="bottom"/>
          </w:tcPr>
          <w:p>
            <w:pPr>
              <w:spacing w:after="0"/>
              <w:rPr>
                <w:sz w:val="14"/>
                <w:szCs w:val="14"/>
                <w:color w:val="auto"/>
              </w:rPr>
            </w:pPr>
          </w:p>
        </w:tc>
        <w:tc>
          <w:tcPr>
            <w:tcW w:w="29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Year Ended May 31,</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242"/>
        </w:trPr>
        <w:tc>
          <w:tcPr>
            <w:tcW w:w="4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255"/>
        </w:trPr>
        <w:tc>
          <w:tcPr>
            <w:tcW w:w="422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$764</w:t>
            </w:r>
          </w:p>
        </w:tc>
        <w:tc>
          <w:tcPr>
            <w:tcW w:w="18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$2,180</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12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Goodwill and related assets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828</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1,023</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172</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1,764</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3,203</w:t>
            </w:r>
          </w:p>
        </w:tc>
        <w:tc>
          <w:tcPr>
            <w:tcW w:w="0" w:type="dxa"/>
            <w:vAlign w:val="bottom"/>
          </w:tcPr>
          <w:p>
            <w:pPr>
              <w:spacing w:after="0"/>
              <w:rPr>
                <w:sz w:val="1"/>
                <w:szCs w:val="1"/>
                <w:color w:val="auto"/>
              </w:rPr>
            </w:pP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operating loss carryforwards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2,292</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3,880</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Accrued expenses and payments on account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946</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1,565</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Deferred compensation expense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474</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w:t>
            </w:r>
          </w:p>
        </w:tc>
        <w:tc>
          <w:tcPr>
            <w:tcW w:w="0" w:type="dxa"/>
            <w:vAlign w:val="bottom"/>
          </w:tcPr>
          <w:p>
            <w:pPr>
              <w:spacing w:after="0"/>
              <w:rPr>
                <w:sz w:val="1"/>
                <w:szCs w:val="1"/>
                <w:color w:val="auto"/>
              </w:rPr>
            </w:pPr>
          </w:p>
        </w:tc>
      </w:tr>
      <w:tr>
        <w:trPr>
          <w:trHeight w:val="242"/>
        </w:trPr>
        <w:tc>
          <w:tcPr>
            <w:tcW w:w="4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55"/>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3,712</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5,611</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Valuation allowance for deferred tax assets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(1,916)</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(3,361)</w:t>
            </w:r>
          </w:p>
        </w:tc>
        <w:tc>
          <w:tcPr>
            <w:tcW w:w="0" w:type="dxa"/>
            <w:vAlign w:val="bottom"/>
          </w:tcPr>
          <w:p>
            <w:pPr>
              <w:spacing w:after="0"/>
              <w:rPr>
                <w:sz w:val="1"/>
                <w:szCs w:val="1"/>
                <w:color w:val="auto"/>
              </w:rPr>
            </w:pPr>
          </w:p>
        </w:tc>
      </w:tr>
      <w:tr>
        <w:trPr>
          <w:trHeight w:val="242"/>
        </w:trPr>
        <w:tc>
          <w:tcPr>
            <w:tcW w:w="4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55"/>
        </w:trPr>
        <w:tc>
          <w:tcPr>
            <w:tcW w:w="4220" w:type="dxa"/>
            <w:vAlign w:val="bottom"/>
          </w:tcPr>
          <w:p>
            <w:pPr>
              <w:spacing w:after="0"/>
              <w:rPr>
                <w:sz w:val="20"/>
                <w:szCs w:val="20"/>
                <w:color w:val="auto"/>
              </w:rPr>
            </w:pPr>
            <w:r>
              <w:rPr>
                <w:rFonts w:ascii="Courier New" w:cs="Courier New" w:eastAsia="Courier New" w:hAnsi="Courier New"/>
                <w:sz w:val="14"/>
                <w:szCs w:val="14"/>
                <w:color w:val="auto"/>
              </w:rPr>
              <w:t>Deferred tax assets recognized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$1,796</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$2,250</w:t>
            </w:r>
          </w:p>
        </w:tc>
        <w:tc>
          <w:tcPr>
            <w:tcW w:w="0" w:type="dxa"/>
            <w:vAlign w:val="bottom"/>
          </w:tcPr>
          <w:p>
            <w:pPr>
              <w:spacing w:after="0"/>
              <w:rPr>
                <w:sz w:val="1"/>
                <w:szCs w:val="1"/>
                <w:color w:val="auto"/>
              </w:rPr>
            </w:pPr>
          </w:p>
        </w:tc>
      </w:tr>
      <w:tr>
        <w:trPr>
          <w:trHeight w:val="242"/>
        </w:trPr>
        <w:tc>
          <w:tcPr>
            <w:tcW w:w="4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55"/>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deferred tax asset / (liability)</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$(953)</w:t>
            </w:r>
          </w:p>
        </w:tc>
        <w:tc>
          <w:tcPr>
            <w:tcW w:w="0" w:type="dxa"/>
            <w:vAlign w:val="bottom"/>
          </w:tcPr>
          <w:p>
            <w:pPr>
              <w:spacing w:after="0"/>
              <w:rPr>
                <w:sz w:val="1"/>
                <w:szCs w:val="1"/>
                <w:color w:val="auto"/>
              </w:rPr>
            </w:pPr>
          </w:p>
        </w:tc>
      </w:tr>
      <w:tr>
        <w:trPr>
          <w:trHeight w:val="242"/>
        </w:trPr>
        <w:tc>
          <w:tcPr>
            <w:tcW w:w="4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663"/>
        </w:trPr>
        <w:tc>
          <w:tcPr>
            <w:tcW w:w="4220" w:type="dxa"/>
            <w:vAlign w:val="bottom"/>
          </w:tcPr>
          <w:p>
            <w:pPr>
              <w:ind w:left="2740"/>
              <w:spacing w:after="0"/>
              <w:rPr>
                <w:sz w:val="20"/>
                <w:szCs w:val="20"/>
                <w:color w:val="auto"/>
              </w:rPr>
            </w:pPr>
            <w:r>
              <w:rPr>
                <w:rFonts w:ascii="Courier New" w:cs="Courier New" w:eastAsia="Courier New" w:hAnsi="Courier New"/>
                <w:sz w:val="14"/>
                <w:szCs w:val="14"/>
                <w:color w:val="auto"/>
              </w:rPr>
              <w:t>70</w:t>
            </w:r>
          </w:p>
        </w:tc>
        <w:tc>
          <w:tcPr>
            <w:tcW w:w="1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440" w:right="1440" w:bottom="1440" w:gutter="0" w:footer="0" w:header="0"/>
        </w:sectPr>
      </w:pPr>
    </w:p>
    <w:bookmarkStart w:id="73" w:name="page74"/>
    <w:bookmarkEnd w:id="73"/>
    <w:p>
      <w:pPr>
        <w:ind w:right="3419"/>
        <w:spacing w:after="0" w:line="282" w:lineRule="auto"/>
        <w:rPr>
          <w:sz w:val="20"/>
          <w:szCs w:val="20"/>
          <w:color w:val="auto"/>
        </w:rPr>
      </w:pPr>
      <w:r>
        <w:rPr>
          <w:rFonts w:ascii="Courier New" w:cs="Courier New" w:eastAsia="Courier New" w:hAnsi="Courier New"/>
          <w:sz w:val="14"/>
          <w:szCs w:val="14"/>
          <w:color w:val="auto"/>
        </w:rPr>
        <w:t>U.S.$566,000 of the deferred tax asset of U.S.$2,250,000 above is non-current. This amount has been offset against the deferred tax liabilities of U.S.$3,203,000 above (all of which are non-current) resulting in a net non-current deferred tax liability of U.S.$2,637,000 and a net current deferred tax asset of U.S.$1,684,000.</w:t>
      </w:r>
    </w:p>
    <w:p>
      <w:pPr>
        <w:spacing w:after="0" w:line="62"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At May 31, 2004, European subsidiaries had operating loss carryforwards for income tax purposes that may be carried forward indefinitely, available to offset against future taxable income, if any, of approximately U.S.$5.0 million</w:t>
      </w:r>
    </w:p>
    <w:p>
      <w:pPr>
        <w:spacing w:after="0" w:line="42" w:lineRule="exact"/>
        <w:rPr>
          <w:sz w:val="20"/>
          <w:szCs w:val="20"/>
          <w:color w:val="auto"/>
        </w:rPr>
      </w:pPr>
    </w:p>
    <w:p>
      <w:pPr>
        <w:ind w:right="3519"/>
        <w:spacing w:after="0" w:line="292" w:lineRule="auto"/>
        <w:rPr>
          <w:sz w:val="20"/>
          <w:szCs w:val="20"/>
          <w:color w:val="auto"/>
        </w:rPr>
      </w:pPr>
      <w:r>
        <w:rPr>
          <w:rFonts w:ascii="Courier New" w:cs="Courier New" w:eastAsia="Courier New" w:hAnsi="Courier New"/>
          <w:sz w:val="14"/>
          <w:szCs w:val="14"/>
          <w:color w:val="auto"/>
        </w:rPr>
        <w:t>At May 31, 2004, a U.S. subsidiary had a net operating loss carryforwards for U.S. Federal and State income tax purposes, available to offset against future taxable income if any of approximately U.S.$5.8 million for U.S. Federal and U.S.$7.2 million for State income tax, which expire between 2009 and 2024.</w:t>
      </w:r>
    </w:p>
    <w:p>
      <w:pPr>
        <w:spacing w:after="0" w:line="56" w:lineRule="exact"/>
        <w:rPr>
          <w:sz w:val="20"/>
          <w:szCs w:val="20"/>
          <w:color w:val="auto"/>
        </w:rPr>
      </w:pPr>
    </w:p>
    <w:p>
      <w:pPr>
        <w:ind w:right="3339"/>
        <w:spacing w:after="0" w:line="268" w:lineRule="auto"/>
        <w:rPr>
          <w:sz w:val="20"/>
          <w:szCs w:val="20"/>
          <w:color w:val="auto"/>
        </w:rPr>
      </w:pPr>
      <w:r>
        <w:rPr>
          <w:rFonts w:ascii="Courier New" w:cs="Courier New" w:eastAsia="Courier New" w:hAnsi="Courier New"/>
          <w:sz w:val="14"/>
          <w:szCs w:val="14"/>
          <w:color w:val="auto"/>
        </w:rPr>
        <w:t>Of the U.S.$5.8 million U.S. Federal and U.S.$7.2 million State net operating losses, approximately U.S.$4.0 million and U.S.$5.7 million respectively will be available for offset against future taxable income, if any, of future accounting periods. The subsidiary's ability to use the remaining net operating loss carryforward of U.S.$1.8 million for Federal and U.S.$1.5 million for State taxes is limited to U.S.$113,000 per year due to the subsidiary experiencing a change of ownership in 2000, as defined by Section 382 of the Internal Revenue Code of 1986, as amended.</w:t>
      </w:r>
    </w:p>
    <w:p>
      <w:pPr>
        <w:spacing w:after="0" w:line="74" w:lineRule="exact"/>
        <w:rPr>
          <w:sz w:val="20"/>
          <w:szCs w:val="20"/>
          <w:color w:val="auto"/>
        </w:rPr>
      </w:pPr>
    </w:p>
    <w:p>
      <w:pPr>
        <w:ind w:right="3339"/>
        <w:spacing w:after="0" w:line="254" w:lineRule="auto"/>
        <w:rPr>
          <w:sz w:val="20"/>
          <w:szCs w:val="20"/>
          <w:color w:val="auto"/>
        </w:rPr>
      </w:pPr>
      <w:r>
        <w:rPr>
          <w:rFonts w:ascii="Courier New" w:cs="Courier New" w:eastAsia="Courier New" w:hAnsi="Courier New"/>
          <w:sz w:val="14"/>
          <w:szCs w:val="14"/>
          <w:color w:val="auto"/>
        </w:rPr>
        <w:t>A valuation allowance is provided when it is more likely than not that some portion or all of the deferred tax assets will not be realized. The Company has provided a valuation allowance for the years ended May 31, 2004 and 2003 of U.S.$3,361,000 and U.S.$1,916,000 respectively. This valuation allowance is based on management's belief that it is more likely than not that the European and US entities' losses and other deferred tax assets will not be utilized given their history of operating losses. The valuation allowance was U.S.$1.8 million as of June 1, 2001 and decreased by U.S.$184,000 for year ended May 31, 2002 and increased by U.S.$298,000 and U.S.$1.4 million for the years ended 31 May 2003 and 2004 respectively.</w:t>
      </w:r>
    </w:p>
    <w:p>
      <w:pPr>
        <w:spacing w:after="0" w:line="4" w:lineRule="exact"/>
        <w:rPr>
          <w:sz w:val="20"/>
          <w:szCs w:val="20"/>
          <w:color w:val="auto"/>
        </w:rPr>
      </w:pPr>
    </w:p>
    <w:p>
      <w:pPr>
        <w:ind w:right="3679"/>
        <w:spacing w:after="0" w:line="293" w:lineRule="auto"/>
        <w:rPr>
          <w:sz w:val="20"/>
          <w:szCs w:val="20"/>
          <w:color w:val="auto"/>
        </w:rPr>
      </w:pPr>
      <w:r>
        <w:rPr>
          <w:rFonts w:ascii="Courier New" w:cs="Courier New" w:eastAsia="Courier New" w:hAnsi="Courier New"/>
          <w:sz w:val="14"/>
          <w:szCs w:val="14"/>
          <w:color w:val="auto"/>
        </w:rPr>
        <w:t>Subsequent recognized tax benefits relating to the valuation allowance for deferred tax assets in the amount of U.S.$800,000 as of May 31, 2004 will be allocated to goodwill and other non-current intangible assets.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Significant Concentrations</w:t>
      </w:r>
    </w:p>
    <w:p>
      <w:pPr>
        <w:spacing w:after="0" w:line="173"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The Company does business with most major international pharmaceutical companies (see note 15). The Company provided $355,000 during the year ended May 31, 2004 for doubtful debts.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Commitments and Contingencies</w:t>
      </w:r>
    </w:p>
    <w:p>
      <w:pPr>
        <w:spacing w:after="0" w:line="173" w:lineRule="exact"/>
        <w:rPr>
          <w:sz w:val="20"/>
          <w:szCs w:val="20"/>
          <w:color w:val="auto"/>
        </w:rPr>
      </w:pPr>
    </w:p>
    <w:p>
      <w:pPr>
        <w:jc w:val="both"/>
        <w:ind w:right="3419"/>
        <w:spacing w:after="0" w:line="313" w:lineRule="auto"/>
        <w:rPr>
          <w:sz w:val="20"/>
          <w:szCs w:val="20"/>
          <w:color w:val="auto"/>
        </w:rPr>
      </w:pPr>
      <w:r>
        <w:rPr>
          <w:rFonts w:ascii="Courier New" w:cs="Courier New" w:eastAsia="Courier New" w:hAnsi="Courier New"/>
          <w:sz w:val="14"/>
          <w:szCs w:val="14"/>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42"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The Company has several non-cancelable operating leases, primarily for facilities, that expire over the next 10 years. These leases generally contain renewal options and require the Company to pay all executory costs such as maintenance and insurance. The Company paid U.S.$10,963,000, U.S.$15,743,000 and U.S.$22,179,000 in rental expense for the fiscal years ended May 31, 2002, 2003 and 2004, respectively. Future minimum rental commitments for operating leases with non-cancelable terms in excess of one year are as follows:</w:t>
      </w:r>
    </w:p>
    <w:p>
      <w:pPr>
        <w:spacing w:after="0" w:line="72" w:lineRule="exact"/>
        <w:rPr>
          <w:sz w:val="20"/>
          <w:szCs w:val="20"/>
          <w:color w:val="auto"/>
        </w:rPr>
      </w:pPr>
    </w:p>
    <w:tbl>
      <w:tblPr>
        <w:tblLayout w:type="fixed"/>
        <w:tblInd w:w="1740" w:type="dxa"/>
        <w:tblCellMar>
          <w:top w:w="0" w:type="dxa"/>
          <w:left w:w="0" w:type="dxa"/>
          <w:bottom w:w="0" w:type="dxa"/>
          <w:right w:w="0" w:type="dxa"/>
        </w:tblCellMar>
      </w:tblPr>
      <w:tr>
        <w:trPr>
          <w:trHeight w:val="166"/>
        </w:trPr>
        <w:tc>
          <w:tcPr>
            <w:tcW w:w="2060" w:type="dxa"/>
            <w:vAlign w:val="bottom"/>
          </w:tcPr>
          <w:p>
            <w:pPr>
              <w:spacing w:after="0"/>
              <w:rPr>
                <w:sz w:val="14"/>
                <w:szCs w:val="14"/>
                <w:color w:val="auto"/>
              </w:rPr>
            </w:pP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Minimum rental payments</w:t>
            </w:r>
          </w:p>
        </w:tc>
        <w:tc>
          <w:tcPr>
            <w:tcW w:w="0" w:type="dxa"/>
            <w:vAlign w:val="bottom"/>
          </w:tcPr>
          <w:p>
            <w:pPr>
              <w:spacing w:after="0"/>
              <w:rPr>
                <w:sz w:val="1"/>
                <w:szCs w:val="1"/>
                <w:color w:val="auto"/>
              </w:rPr>
            </w:pPr>
          </w:p>
        </w:tc>
      </w:tr>
      <w:tr>
        <w:trPr>
          <w:trHeight w:val="166"/>
        </w:trPr>
        <w:tc>
          <w:tcPr>
            <w:tcW w:w="2060" w:type="dxa"/>
            <w:vAlign w:val="bottom"/>
            <w:vMerge w:val="restart"/>
          </w:tcPr>
          <w:p>
            <w:pPr>
              <w:jc w:val="center"/>
              <w:ind w:right="1148"/>
              <w:spacing w:after="0"/>
              <w:rPr>
                <w:sz w:val="20"/>
                <w:szCs w:val="20"/>
                <w:color w:val="auto"/>
              </w:rPr>
            </w:pPr>
            <w:r>
              <w:rPr>
                <w:rFonts w:ascii="Courier New" w:cs="Courier New" w:eastAsia="Courier New" w:hAnsi="Courier New"/>
                <w:sz w:val="14"/>
                <w:szCs w:val="14"/>
                <w:color w:val="auto"/>
              </w:rPr>
              <w:t>2005</w:t>
            </w:r>
          </w:p>
        </w:tc>
        <w:tc>
          <w:tcPr>
            <w:tcW w:w="31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166"/>
        </w:trPr>
        <w:tc>
          <w:tcPr>
            <w:tcW w:w="2060" w:type="dxa"/>
            <w:vAlign w:val="bottom"/>
            <w:vMerge w:val="continue"/>
          </w:tcPr>
          <w:p>
            <w:pPr>
              <w:spacing w:after="0"/>
              <w:rPr>
                <w:sz w:val="14"/>
                <w:szCs w:val="14"/>
                <w:color w:val="auto"/>
              </w:rPr>
            </w:pPr>
          </w:p>
        </w:tc>
        <w:tc>
          <w:tcPr>
            <w:tcW w:w="31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$21,845</w:t>
            </w:r>
          </w:p>
        </w:tc>
        <w:tc>
          <w:tcPr>
            <w:tcW w:w="0" w:type="dxa"/>
            <w:vAlign w:val="bottom"/>
          </w:tcPr>
          <w:p>
            <w:pPr>
              <w:spacing w:after="0"/>
              <w:rPr>
                <w:sz w:val="1"/>
                <w:szCs w:val="1"/>
                <w:color w:val="auto"/>
              </w:rPr>
            </w:pPr>
          </w:p>
        </w:tc>
      </w:tr>
      <w:tr>
        <w:trPr>
          <w:trHeight w:val="166"/>
        </w:trPr>
        <w:tc>
          <w:tcPr>
            <w:tcW w:w="206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2006</w:t>
            </w:r>
          </w:p>
        </w:tc>
        <w:tc>
          <w:tcPr>
            <w:tcW w:w="31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19,049</w:t>
            </w:r>
          </w:p>
        </w:tc>
        <w:tc>
          <w:tcPr>
            <w:tcW w:w="0" w:type="dxa"/>
            <w:vAlign w:val="bottom"/>
          </w:tcPr>
          <w:p>
            <w:pPr>
              <w:spacing w:after="0"/>
              <w:rPr>
                <w:sz w:val="1"/>
                <w:szCs w:val="1"/>
                <w:color w:val="auto"/>
              </w:rPr>
            </w:pPr>
          </w:p>
        </w:tc>
      </w:tr>
      <w:tr>
        <w:trPr>
          <w:trHeight w:val="166"/>
        </w:trPr>
        <w:tc>
          <w:tcPr>
            <w:tcW w:w="206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2007</w:t>
            </w:r>
          </w:p>
        </w:tc>
        <w:tc>
          <w:tcPr>
            <w:tcW w:w="31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14,698</w:t>
            </w:r>
          </w:p>
        </w:tc>
        <w:tc>
          <w:tcPr>
            <w:tcW w:w="0" w:type="dxa"/>
            <w:vAlign w:val="bottom"/>
          </w:tcPr>
          <w:p>
            <w:pPr>
              <w:spacing w:after="0"/>
              <w:rPr>
                <w:sz w:val="1"/>
                <w:szCs w:val="1"/>
                <w:color w:val="auto"/>
              </w:rPr>
            </w:pPr>
          </w:p>
        </w:tc>
      </w:tr>
      <w:tr>
        <w:trPr>
          <w:trHeight w:val="166"/>
        </w:trPr>
        <w:tc>
          <w:tcPr>
            <w:tcW w:w="206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2008</w:t>
            </w:r>
          </w:p>
        </w:tc>
        <w:tc>
          <w:tcPr>
            <w:tcW w:w="31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13,364</w:t>
            </w:r>
          </w:p>
        </w:tc>
        <w:tc>
          <w:tcPr>
            <w:tcW w:w="0" w:type="dxa"/>
            <w:vAlign w:val="bottom"/>
          </w:tcPr>
          <w:p>
            <w:pPr>
              <w:spacing w:after="0"/>
              <w:rPr>
                <w:sz w:val="1"/>
                <w:szCs w:val="1"/>
                <w:color w:val="auto"/>
              </w:rPr>
            </w:pPr>
          </w:p>
        </w:tc>
      </w:tr>
      <w:tr>
        <w:trPr>
          <w:trHeight w:val="166"/>
        </w:trPr>
        <w:tc>
          <w:tcPr>
            <w:tcW w:w="2060" w:type="dxa"/>
            <w:vAlign w:val="bottom"/>
          </w:tcPr>
          <w:p>
            <w:pPr>
              <w:jc w:val="center"/>
              <w:ind w:right="1148"/>
              <w:spacing w:after="0"/>
              <w:rPr>
                <w:sz w:val="20"/>
                <w:szCs w:val="20"/>
                <w:color w:val="auto"/>
              </w:rPr>
            </w:pPr>
            <w:r>
              <w:rPr>
                <w:rFonts w:ascii="Courier New" w:cs="Courier New" w:eastAsia="Courier New" w:hAnsi="Courier New"/>
                <w:sz w:val="14"/>
                <w:szCs w:val="14"/>
                <w:color w:val="auto"/>
              </w:rPr>
              <w:t>2009</w:t>
            </w:r>
          </w:p>
        </w:tc>
        <w:tc>
          <w:tcPr>
            <w:tcW w:w="31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12,949</w:t>
            </w:r>
          </w:p>
        </w:tc>
        <w:tc>
          <w:tcPr>
            <w:tcW w:w="0" w:type="dxa"/>
            <w:vAlign w:val="bottom"/>
          </w:tcPr>
          <w:p>
            <w:pPr>
              <w:spacing w:after="0"/>
              <w:rPr>
                <w:sz w:val="1"/>
                <w:szCs w:val="1"/>
                <w:color w:val="auto"/>
              </w:rPr>
            </w:pPr>
          </w:p>
        </w:tc>
      </w:tr>
      <w:tr>
        <w:trPr>
          <w:trHeight w:val="166"/>
        </w:trPr>
        <w:tc>
          <w:tcPr>
            <w:tcW w:w="2060" w:type="dxa"/>
            <w:vAlign w:val="bottom"/>
          </w:tcPr>
          <w:p>
            <w:pPr>
              <w:jc w:val="center"/>
              <w:ind w:right="1128"/>
              <w:spacing w:after="0"/>
              <w:rPr>
                <w:sz w:val="20"/>
                <w:szCs w:val="20"/>
                <w:color w:val="auto"/>
              </w:rPr>
            </w:pPr>
            <w:r>
              <w:rPr>
                <w:rFonts w:ascii="Courier New" w:cs="Courier New" w:eastAsia="Courier New" w:hAnsi="Courier New"/>
                <w:sz w:val="14"/>
                <w:szCs w:val="14"/>
                <w:color w:val="auto"/>
              </w:rPr>
              <w:t>Thereafter</w:t>
            </w:r>
          </w:p>
        </w:tc>
        <w:tc>
          <w:tcPr>
            <w:tcW w:w="31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$65,998</w:t>
            </w:r>
          </w:p>
        </w:tc>
        <w:tc>
          <w:tcPr>
            <w:tcW w:w="0" w:type="dxa"/>
            <w:vAlign w:val="bottom"/>
          </w:tcPr>
          <w:p>
            <w:pPr>
              <w:spacing w:after="0"/>
              <w:rPr>
                <w:sz w:val="1"/>
                <w:szCs w:val="1"/>
                <w:color w:val="auto"/>
              </w:rPr>
            </w:pPr>
          </w:p>
        </w:tc>
      </w:tr>
      <w:tr>
        <w:trPr>
          <w:trHeight w:val="242"/>
        </w:trPr>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7"/>
        </w:trPr>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74" w:name="page75"/>
    <w:bookmarkEnd w:id="74"/>
    <w:p>
      <w:pPr>
        <w:ind w:right="3859"/>
        <w:spacing w:after="0" w:line="313" w:lineRule="auto"/>
        <w:rPr>
          <w:sz w:val="20"/>
          <w:szCs w:val="20"/>
          <w:color w:val="auto"/>
        </w:rPr>
      </w:pPr>
      <w:r>
        <w:rPr>
          <w:rFonts w:ascii="Courier New" w:cs="Courier New" w:eastAsia="Courier New" w:hAnsi="Courier New"/>
          <w:sz w:val="14"/>
          <w:szCs w:val="14"/>
          <w:color w:val="auto"/>
        </w:rPr>
        <w:t>The Company has a number of finance leases, primarily over furniture and equipment, that expire over the next four years. Future commitments are as follows:</w:t>
      </w:r>
    </w:p>
    <w:p>
      <w:pPr>
        <w:spacing w:after="0" w:line="42" w:lineRule="exact"/>
        <w:rPr>
          <w:sz w:val="20"/>
          <w:szCs w:val="20"/>
          <w:color w:val="auto"/>
        </w:rPr>
      </w:pPr>
    </w:p>
    <w:tbl>
      <w:tblPr>
        <w:tblLayout w:type="fixed"/>
        <w:tblInd w:w="1640" w:type="dxa"/>
        <w:tblCellMar>
          <w:top w:w="0" w:type="dxa"/>
          <w:left w:w="0" w:type="dxa"/>
          <w:bottom w:w="0" w:type="dxa"/>
          <w:right w:w="0" w:type="dxa"/>
        </w:tblCellMar>
      </w:tblPr>
      <w:tr>
        <w:trPr>
          <w:trHeight w:val="166"/>
        </w:trPr>
        <w:tc>
          <w:tcPr>
            <w:tcW w:w="24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Lease payments</w:t>
            </w:r>
          </w:p>
        </w:tc>
      </w:tr>
      <w:tr>
        <w:trPr>
          <w:trHeight w:val="242"/>
        </w:trPr>
        <w:tc>
          <w:tcPr>
            <w:tcW w:w="2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255"/>
        </w:trPr>
        <w:tc>
          <w:tcPr>
            <w:tcW w:w="24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r>
      <w:tr>
        <w:trPr>
          <w:trHeight w:val="242"/>
        </w:trPr>
        <w:tc>
          <w:tcPr>
            <w:tcW w:w="2420" w:type="dxa"/>
            <w:vAlign w:val="bottom"/>
          </w:tcPr>
          <w:p>
            <w:pPr>
              <w:spacing w:after="0"/>
              <w:rPr>
                <w:sz w:val="20"/>
                <w:szCs w:val="20"/>
                <w:color w:val="auto"/>
              </w:rPr>
            </w:pPr>
            <w:r>
              <w:rPr>
                <w:rFonts w:ascii="Courier New" w:cs="Courier New" w:eastAsia="Courier New" w:hAnsi="Courier New"/>
                <w:sz w:val="14"/>
                <w:szCs w:val="14"/>
                <w:color w:val="auto"/>
              </w:rPr>
              <w:t>Less future finance charges</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(94)</w:t>
            </w:r>
          </w:p>
        </w:tc>
      </w:tr>
    </w:tbl>
    <w:p>
      <w:pPr>
        <w:spacing w:after="0" w:line="255"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The Company made a number of acquisitions in recent years with earn-out provisions built into the purchase contracts, which may require cash payments of U.S.$2,506,000 to be made during fiscal 2005.</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590" w:right="1440" w:bottom="1440" w:gutter="0" w:footer="0" w:header="0"/>
        </w:sectPr>
      </w:pPr>
    </w:p>
    <w:bookmarkStart w:id="75" w:name="page76"/>
    <w:bookmarkEnd w:id="75"/>
    <w:p>
      <w:pPr>
        <w:ind w:left="440" w:hanging="432"/>
        <w:spacing w:after="0"/>
        <w:tabs>
          <w:tab w:leader="none" w:pos="4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Segment Information</w:t>
      </w:r>
    </w:p>
    <w:p>
      <w:pPr>
        <w:spacing w:after="0" w:line="173"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4"/>
          <w:szCs w:val="14"/>
          <w:color w:val="auto"/>
        </w:rPr>
        <w:t>The Company operates predominantly in the contract clinical research industry providing a broad range of clinical research and integrated product development services on a global basis for the pharmaceutical and biotechnology industries. On June 8, 2000, the Company acquired for cash UCT (U.S.), Inc. ("UCT"), subsequently renamed ICON Laboratories Inc., a central laboratory company based in New York, USA. This, together with laboratory services based in Dublin, form the central laboratory information disclosed below.</w:t>
      </w:r>
    </w:p>
    <w:p>
      <w:pPr>
        <w:spacing w:after="0" w:line="72" w:lineRule="exact"/>
        <w:rPr>
          <w:sz w:val="20"/>
          <w:szCs w:val="20"/>
          <w:color w:val="auto"/>
        </w:rPr>
      </w:pPr>
    </w:p>
    <w:p>
      <w:pPr>
        <w:ind w:right="3679"/>
        <w:spacing w:after="0" w:line="282" w:lineRule="auto"/>
        <w:rPr>
          <w:sz w:val="20"/>
          <w:szCs w:val="20"/>
          <w:color w:val="auto"/>
        </w:rPr>
      </w:pPr>
      <w:r>
        <w:rPr>
          <w:rFonts w:ascii="Courier New" w:cs="Courier New" w:eastAsia="Courier New" w:hAnsi="Courier New"/>
          <w:sz w:val="14"/>
          <w:szCs w:val="14"/>
          <w:color w:val="auto"/>
        </w:rPr>
        <w:t>The Company's areas of operation outside of Ireland principally include the United Kingdom, United States, Germany, Australia, Argentina, France, Japan, Israel, Singapore, Canada, Sweden, The Netherlands, Latvia, South Africa and India. Segment information for the fiscal years ended May 31, 2002, 2003 and 2004 is as follows:</w:t>
      </w:r>
    </w:p>
    <w:p>
      <w:pPr>
        <w:spacing w:after="0" w:line="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 The distribution of net revenue by geographical area was as follows:</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1720" w:type="dxa"/>
            <w:vAlign w:val="bottom"/>
          </w:tcPr>
          <w:p>
            <w:pPr>
              <w:spacing w:after="0"/>
              <w:rPr>
                <w:sz w:val="14"/>
                <w:szCs w:val="14"/>
                <w:color w:val="auto"/>
              </w:rPr>
            </w:pPr>
          </w:p>
        </w:tc>
        <w:tc>
          <w:tcPr>
            <w:tcW w:w="12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Year Ended May 31,</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17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2003</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20" w:type="dxa"/>
            <w:vAlign w:val="bottom"/>
            <w:vMerge w:val="restart"/>
          </w:tcPr>
          <w:p>
            <w:pPr>
              <w:spacing w:after="0"/>
              <w:rPr>
                <w:sz w:val="20"/>
                <w:szCs w:val="20"/>
                <w:color w:val="auto"/>
              </w:rPr>
            </w:pPr>
            <w:r>
              <w:rPr>
                <w:rFonts w:ascii="Courier New" w:cs="Courier New" w:eastAsia="Courier New" w:hAnsi="Courier New"/>
                <w:sz w:val="14"/>
                <w:szCs w:val="14"/>
                <w:color w:val="auto"/>
              </w:rPr>
              <w:t>Ireland*</w:t>
            </w:r>
          </w:p>
        </w:tc>
        <w:tc>
          <w:tcPr>
            <w:tcW w:w="12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$20,406</w:t>
            </w:r>
          </w:p>
        </w:tc>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 thousands)</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$35,109</w:t>
            </w:r>
          </w:p>
        </w:tc>
        <w:tc>
          <w:tcPr>
            <w:tcW w:w="0" w:type="dxa"/>
            <w:vAlign w:val="bottom"/>
          </w:tcPr>
          <w:p>
            <w:pPr>
              <w:spacing w:after="0"/>
              <w:rPr>
                <w:sz w:val="1"/>
                <w:szCs w:val="1"/>
                <w:color w:val="auto"/>
              </w:rPr>
            </w:pPr>
          </w:p>
        </w:tc>
      </w:tr>
      <w:tr>
        <w:trPr>
          <w:trHeight w:val="166"/>
        </w:trPr>
        <w:tc>
          <w:tcPr>
            <w:tcW w:w="17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$26,293</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Rest of Europe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24,605</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34,727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65,930</w:t>
            </w:r>
          </w:p>
        </w:tc>
        <w:tc>
          <w:tcPr>
            <w:tcW w:w="0" w:type="dxa"/>
            <w:vAlign w:val="bottom"/>
          </w:tcPr>
          <w:p>
            <w:pPr>
              <w:spacing w:after="0"/>
              <w:rPr>
                <w:sz w:val="1"/>
                <w:szCs w:val="1"/>
                <w:color w:val="auto"/>
              </w:rPr>
            </w:pP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U.S.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107,520</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158,707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185,301</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4,024</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5,998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10,583</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12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$156,555</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$225,725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$296,923</w:t>
            </w:r>
          </w:p>
        </w:tc>
      </w:tr>
    </w:tbl>
    <w:p>
      <w:pPr>
        <w:ind w:left="620"/>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p>
      <w:pPr>
        <w:ind w:left="860" w:hanging="421"/>
        <w:spacing w:after="0"/>
        <w:tabs>
          <w:tab w:leader="none" w:pos="8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sales shown for Ireland are export sales.</w:t>
      </w:r>
    </w:p>
    <w:p>
      <w:pPr>
        <w:spacing w:after="0" w:line="338" w:lineRule="exact"/>
        <w:rPr>
          <w:sz w:val="20"/>
          <w:szCs w:val="20"/>
          <w:color w:val="auto"/>
        </w:rPr>
      </w:pPr>
    </w:p>
    <w:p>
      <w:pPr>
        <w:ind w:left="860" w:hanging="421"/>
        <w:spacing w:after="0"/>
        <w:tabs>
          <w:tab w:leader="none" w:pos="8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net revenue by business segment was as follows:</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2060" w:type="dxa"/>
            <w:vAlign w:val="bottom"/>
          </w:tcPr>
          <w:p>
            <w:pPr>
              <w:spacing w:after="0"/>
              <w:rPr>
                <w:sz w:val="14"/>
                <w:szCs w:val="14"/>
                <w:color w:val="auto"/>
              </w:rPr>
            </w:pPr>
          </w:p>
        </w:tc>
        <w:tc>
          <w:tcPr>
            <w:tcW w:w="12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 Ended May 31,</w:t>
            </w:r>
          </w:p>
        </w:tc>
        <w:tc>
          <w:tcPr>
            <w:tcW w:w="8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2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60" w:type="dxa"/>
            <w:vAlign w:val="bottom"/>
            <w:vMerge w:val="restart"/>
          </w:tcPr>
          <w:p>
            <w:pPr>
              <w:spacing w:after="0"/>
              <w:rPr>
                <w:sz w:val="20"/>
                <w:szCs w:val="20"/>
                <w:color w:val="auto"/>
              </w:rPr>
            </w:pPr>
            <w:r>
              <w:rPr>
                <w:rFonts w:ascii="Courier New" w:cs="Courier New" w:eastAsia="Courier New" w:hAnsi="Courier New"/>
                <w:sz w:val="14"/>
                <w:szCs w:val="14"/>
                <w:color w:val="auto"/>
              </w:rPr>
              <w:t>Central laboratory</w:t>
            </w:r>
          </w:p>
        </w:tc>
        <w:tc>
          <w:tcPr>
            <w:tcW w:w="12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$25,887</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thousands)</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$26,905</w:t>
            </w:r>
          </w:p>
        </w:tc>
        <w:tc>
          <w:tcPr>
            <w:tcW w:w="0" w:type="dxa"/>
            <w:vAlign w:val="bottom"/>
          </w:tcPr>
          <w:p>
            <w:pPr>
              <w:spacing w:after="0"/>
              <w:rPr>
                <w:sz w:val="1"/>
                <w:szCs w:val="1"/>
                <w:color w:val="auto"/>
              </w:rPr>
            </w:pPr>
          </w:p>
        </w:tc>
      </w:tr>
      <w:tr>
        <w:trPr>
          <w:trHeight w:val="166"/>
        </w:trPr>
        <w:tc>
          <w:tcPr>
            <w:tcW w:w="20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$26,168</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60" w:type="dxa"/>
            <w:vAlign w:val="bottom"/>
          </w:tcPr>
          <w:p>
            <w:pPr>
              <w:spacing w:after="0"/>
              <w:rPr>
                <w:sz w:val="20"/>
                <w:szCs w:val="20"/>
                <w:color w:val="auto"/>
              </w:rPr>
            </w:pPr>
            <w:r>
              <w:rPr>
                <w:rFonts w:ascii="Courier New" w:cs="Courier New" w:eastAsia="Courier New" w:hAnsi="Courier New"/>
                <w:sz w:val="14"/>
                <w:szCs w:val="14"/>
                <w:color w:val="auto"/>
              </w:rPr>
              <w:t>Clinical research</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130,668</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199,557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270,018</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1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1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$156,555</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$225,725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$296,923</w:t>
            </w:r>
          </w:p>
        </w:tc>
      </w:tr>
    </w:tbl>
    <w:p>
      <w:pPr>
        <w:ind w:left="620"/>
        <w:spacing w:after="0"/>
        <w:rPr>
          <w:sz w:val="20"/>
          <w:szCs w:val="20"/>
          <w:color w:val="auto"/>
        </w:rPr>
      </w:pPr>
      <w:r>
        <w:rPr>
          <w:rFonts w:ascii="Courier New" w:cs="Courier New" w:eastAsia="Courier New" w:hAnsi="Courier New"/>
          <w:sz w:val="14"/>
          <w:szCs w:val="14"/>
          <w:color w:val="auto"/>
        </w:rPr>
        <w:t>------------------------ ------------- ----------------- ----------------</w:t>
      </w:r>
    </w:p>
    <w:p>
      <w:pPr>
        <w:spacing w:after="0" w:line="312" w:lineRule="exact"/>
        <w:rPr>
          <w:sz w:val="20"/>
          <w:szCs w:val="20"/>
          <w:color w:val="auto"/>
        </w:rPr>
      </w:pPr>
    </w:p>
    <w:p>
      <w:pPr>
        <w:ind w:left="860" w:right="3339" w:hanging="421"/>
        <w:spacing w:after="0" w:line="375" w:lineRule="auto"/>
        <w:tabs>
          <w:tab w:leader="none" w:pos="8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income from operations by geographical area was as follows:</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1840" w:type="dxa"/>
            <w:vAlign w:val="bottom"/>
          </w:tcPr>
          <w:p>
            <w:pPr>
              <w:spacing w:after="0"/>
              <w:rPr>
                <w:sz w:val="14"/>
                <w:szCs w:val="14"/>
                <w:color w:val="auto"/>
              </w:rPr>
            </w:pP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Year Ended May 31,</w:t>
            </w:r>
          </w:p>
        </w:tc>
        <w:tc>
          <w:tcPr>
            <w:tcW w:w="8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18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2003</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40" w:type="dxa"/>
            <w:vAlign w:val="bottom"/>
            <w:vMerge w:val="restart"/>
          </w:tcPr>
          <w:p>
            <w:pPr>
              <w:spacing w:after="0"/>
              <w:rPr>
                <w:sz w:val="20"/>
                <w:szCs w:val="20"/>
                <w:color w:val="auto"/>
              </w:rPr>
            </w:pPr>
            <w:r>
              <w:rPr>
                <w:rFonts w:ascii="Courier New" w:cs="Courier New" w:eastAsia="Courier New" w:hAnsi="Courier New"/>
                <w:sz w:val="14"/>
                <w:szCs w:val="14"/>
                <w:color w:val="auto"/>
              </w:rPr>
              <w:t>Ireland</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$7,706</w:t>
            </w:r>
          </w:p>
        </w:tc>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 thousands)</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$9,363</w:t>
            </w:r>
          </w:p>
        </w:tc>
        <w:tc>
          <w:tcPr>
            <w:tcW w:w="0" w:type="dxa"/>
            <w:vAlign w:val="bottom"/>
          </w:tcPr>
          <w:p>
            <w:pPr>
              <w:spacing w:after="0"/>
              <w:rPr>
                <w:sz w:val="1"/>
                <w:szCs w:val="1"/>
                <w:color w:val="auto"/>
              </w:rPr>
            </w:pPr>
          </w:p>
        </w:tc>
      </w:tr>
      <w:tr>
        <w:trPr>
          <w:trHeight w:val="166"/>
        </w:trPr>
        <w:tc>
          <w:tcPr>
            <w:tcW w:w="18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$6,532</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Rest of Europe</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(3,397)</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1,192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10,209</w:t>
            </w:r>
          </w:p>
        </w:tc>
        <w:tc>
          <w:tcPr>
            <w:tcW w:w="0" w:type="dxa"/>
            <w:vAlign w:val="bottom"/>
          </w:tcPr>
          <w:p>
            <w:pPr>
              <w:spacing w:after="0"/>
              <w:rPr>
                <w:sz w:val="1"/>
                <w:szCs w:val="1"/>
                <w:color w:val="auto"/>
              </w:rPr>
            </w:pP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U.S.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13,398</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17,091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13,023</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506</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1,788</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1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1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$18,213</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$24,929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$34,383</w:t>
            </w:r>
          </w:p>
        </w:tc>
      </w:tr>
    </w:tbl>
    <w:p>
      <w:pPr>
        <w:ind w:left="62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756" w:right="1440" w:bottom="1440" w:gutter="0" w:footer="0" w:header="0"/>
        </w:sectPr>
      </w:pPr>
    </w:p>
    <w:bookmarkStart w:id="76" w:name="page77"/>
    <w:bookmarkEnd w:id="76"/>
    <w:p>
      <w:pPr>
        <w:ind w:left="421" w:right="3419" w:hanging="421"/>
        <w:spacing w:after="0" w:line="375" w:lineRule="auto"/>
        <w:tabs>
          <w:tab w:leader="none" w:pos="42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income from operations by business segment was as follows:</w:t>
      </w:r>
    </w:p>
    <w:p>
      <w:pPr>
        <w:spacing w:after="0" w:line="1" w:lineRule="exact"/>
        <w:rPr>
          <w:sz w:val="20"/>
          <w:szCs w:val="20"/>
          <w:color w:val="auto"/>
        </w:rPr>
      </w:pPr>
    </w:p>
    <w:tbl>
      <w:tblPr>
        <w:tblLayout w:type="fixed"/>
        <w:tblInd w:w="181" w:type="dxa"/>
        <w:tblCellMar>
          <w:top w:w="0" w:type="dxa"/>
          <w:left w:w="0" w:type="dxa"/>
          <w:bottom w:w="0" w:type="dxa"/>
          <w:right w:w="0" w:type="dxa"/>
        </w:tblCellMar>
      </w:tblPr>
      <w:tr>
        <w:trPr>
          <w:trHeight w:val="166"/>
        </w:trPr>
        <w:tc>
          <w:tcPr>
            <w:tcW w:w="2060" w:type="dxa"/>
            <w:vAlign w:val="bottom"/>
          </w:tcPr>
          <w:p>
            <w:pPr>
              <w:spacing w:after="0"/>
              <w:rPr>
                <w:sz w:val="14"/>
                <w:szCs w:val="14"/>
                <w:color w:val="auto"/>
              </w:rPr>
            </w:pPr>
          </w:p>
        </w:tc>
        <w:tc>
          <w:tcPr>
            <w:tcW w:w="11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21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Year Ended May 31,</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20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1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60" w:type="dxa"/>
            <w:vAlign w:val="bottom"/>
            <w:vMerge w:val="restart"/>
          </w:tcPr>
          <w:p>
            <w:pPr>
              <w:spacing w:after="0"/>
              <w:rPr>
                <w:sz w:val="20"/>
                <w:szCs w:val="20"/>
                <w:color w:val="auto"/>
              </w:rPr>
            </w:pPr>
            <w:r>
              <w:rPr>
                <w:rFonts w:ascii="Courier New" w:cs="Courier New" w:eastAsia="Courier New" w:hAnsi="Courier New"/>
                <w:sz w:val="14"/>
                <w:szCs w:val="14"/>
                <w:color w:val="auto"/>
              </w:rPr>
              <w:t>Central laboratory</w:t>
            </w:r>
          </w:p>
        </w:tc>
        <w:tc>
          <w:tcPr>
            <w:tcW w:w="11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$3,660</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 thousands)</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($3,274)</w:t>
            </w:r>
          </w:p>
        </w:tc>
        <w:tc>
          <w:tcPr>
            <w:tcW w:w="0" w:type="dxa"/>
            <w:vAlign w:val="bottom"/>
          </w:tcPr>
          <w:p>
            <w:pPr>
              <w:spacing w:after="0"/>
              <w:rPr>
                <w:sz w:val="1"/>
                <w:szCs w:val="1"/>
                <w:color w:val="auto"/>
              </w:rPr>
            </w:pPr>
          </w:p>
        </w:tc>
      </w:tr>
      <w:tr>
        <w:trPr>
          <w:trHeight w:val="166"/>
        </w:trPr>
        <w:tc>
          <w:tcPr>
            <w:tcW w:w="20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1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$115</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60" w:type="dxa"/>
            <w:vAlign w:val="bottom"/>
          </w:tcPr>
          <w:p>
            <w:pPr>
              <w:spacing w:after="0"/>
              <w:rPr>
                <w:sz w:val="20"/>
                <w:szCs w:val="20"/>
                <w:color w:val="auto"/>
              </w:rPr>
            </w:pPr>
            <w:r>
              <w:rPr>
                <w:rFonts w:ascii="Courier New" w:cs="Courier New" w:eastAsia="Courier New" w:hAnsi="Courier New"/>
                <w:sz w:val="14"/>
                <w:szCs w:val="14"/>
                <w:color w:val="auto"/>
              </w:rPr>
              <w:t>Clinical research</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14,553</w:t>
            </w:r>
          </w:p>
        </w:tc>
        <w:tc>
          <w:tcPr>
            <w:tcW w:w="21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24,814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37,657</w:t>
            </w:r>
          </w:p>
        </w:tc>
        <w:tc>
          <w:tcPr>
            <w:tcW w:w="0" w:type="dxa"/>
            <w:vAlign w:val="bottom"/>
          </w:tcPr>
          <w:p>
            <w:pPr>
              <w:spacing w:after="0"/>
              <w:rPr>
                <w:sz w:val="1"/>
                <w:szCs w:val="1"/>
                <w:color w:val="auto"/>
              </w:rPr>
            </w:pPr>
          </w:p>
        </w:tc>
      </w:tr>
    </w:tbl>
    <w:p>
      <w:pPr>
        <w:ind w:left="181"/>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tbl>
      <w:tblPr>
        <w:tblLayout w:type="fixed"/>
        <w:tblInd w:w="181" w:type="dxa"/>
        <w:tblCellMar>
          <w:top w:w="0" w:type="dxa"/>
          <w:left w:w="0" w:type="dxa"/>
          <w:bottom w:w="0" w:type="dxa"/>
          <w:right w:w="0" w:type="dxa"/>
        </w:tblCellMar>
      </w:tblPr>
      <w:tr>
        <w:trPr>
          <w:trHeight w:val="192"/>
        </w:trPr>
        <w:tc>
          <w:tcPr>
            <w:tcW w:w="1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1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$18,213</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$24,929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$34,383</w:t>
            </w:r>
          </w:p>
        </w:tc>
      </w:tr>
    </w:tbl>
    <w:p>
      <w:pPr>
        <w:ind w:left="181"/>
        <w:spacing w:after="0"/>
        <w:rPr>
          <w:sz w:val="20"/>
          <w:szCs w:val="20"/>
          <w:color w:val="auto"/>
        </w:rPr>
      </w:pPr>
      <w:r>
        <w:rPr>
          <w:rFonts w:ascii="Courier New" w:cs="Courier New" w:eastAsia="Courier New" w:hAnsi="Courier New"/>
          <w:sz w:val="14"/>
          <w:szCs w:val="14"/>
          <w:color w:val="auto"/>
        </w:rPr>
        <w:t>----------------------- ------------- ----------------- -----------------</w:t>
      </w:r>
    </w:p>
    <w:p>
      <w:pPr>
        <w:spacing w:after="0" w:line="312" w:lineRule="exact"/>
        <w:rPr>
          <w:sz w:val="20"/>
          <w:szCs w:val="20"/>
          <w:color w:val="auto"/>
        </w:rPr>
      </w:pPr>
    </w:p>
    <w:p>
      <w:pPr>
        <w:ind w:left="421" w:right="4379" w:hanging="421"/>
        <w:spacing w:after="0" w:line="375" w:lineRule="auto"/>
        <w:tabs>
          <w:tab w:leader="none" w:pos="42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property, plant and equipment, net, by geographical area was as follows:</w:t>
      </w:r>
    </w:p>
    <w:p>
      <w:pPr>
        <w:spacing w:after="0" w:line="1" w:lineRule="exact"/>
        <w:rPr>
          <w:sz w:val="20"/>
          <w:szCs w:val="20"/>
          <w:color w:val="auto"/>
        </w:rPr>
      </w:pPr>
    </w:p>
    <w:tbl>
      <w:tblPr>
        <w:tblLayout w:type="fixed"/>
        <w:tblInd w:w="181" w:type="dxa"/>
        <w:tblCellMar>
          <w:top w:w="0" w:type="dxa"/>
          <w:left w:w="0" w:type="dxa"/>
          <w:bottom w:w="0" w:type="dxa"/>
          <w:right w:w="0" w:type="dxa"/>
        </w:tblCellMar>
      </w:tblPr>
      <w:tr>
        <w:trPr>
          <w:trHeight w:val="166"/>
        </w:trPr>
        <w:tc>
          <w:tcPr>
            <w:tcW w:w="1980" w:type="dxa"/>
            <w:vAlign w:val="bottom"/>
          </w:tcPr>
          <w:p>
            <w:pPr>
              <w:spacing w:after="0"/>
              <w:rPr>
                <w:sz w:val="14"/>
                <w:szCs w:val="14"/>
                <w:color w:val="auto"/>
              </w:rPr>
            </w:pPr>
          </w:p>
        </w:tc>
        <w:tc>
          <w:tcPr>
            <w:tcW w:w="30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Year Ended May 31,</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1980" w:type="dxa"/>
            <w:vAlign w:val="bottom"/>
            <w:vMerge w:val="restart"/>
          </w:tcPr>
          <w:p>
            <w:pPr>
              <w:spacing w:after="0"/>
              <w:rPr>
                <w:sz w:val="20"/>
                <w:szCs w:val="20"/>
                <w:color w:val="auto"/>
              </w:rPr>
            </w:pPr>
            <w:r>
              <w:rPr>
                <w:rFonts w:ascii="Courier New" w:cs="Courier New" w:eastAsia="Courier New" w:hAnsi="Courier New"/>
                <w:sz w:val="14"/>
                <w:szCs w:val="14"/>
                <w:color w:val="auto"/>
              </w:rPr>
              <w:t>Ireland</w:t>
            </w:r>
          </w:p>
        </w:tc>
        <w:tc>
          <w:tcPr>
            <w:tcW w:w="300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166"/>
        </w:trPr>
        <w:tc>
          <w:tcPr>
            <w:tcW w:w="1980" w:type="dxa"/>
            <w:vAlign w:val="bottom"/>
            <w:vMerge w:val="continue"/>
          </w:tcPr>
          <w:p>
            <w:pPr>
              <w:spacing w:after="0"/>
              <w:rPr>
                <w:sz w:val="14"/>
                <w:szCs w:val="14"/>
                <w:color w:val="auto"/>
              </w:rPr>
            </w:pP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$17,003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$18,799</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Rest of Europe</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6,316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7,202</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U.S.</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15,066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15,935</w:t>
            </w:r>
          </w:p>
        </w:tc>
        <w:tc>
          <w:tcPr>
            <w:tcW w:w="0" w:type="dxa"/>
            <w:vAlign w:val="bottom"/>
          </w:tcPr>
          <w:p>
            <w:pPr>
              <w:spacing w:after="0"/>
              <w:rPr>
                <w:sz w:val="1"/>
                <w:szCs w:val="1"/>
                <w:color w:val="auto"/>
              </w:rPr>
            </w:pPr>
          </w:p>
        </w:tc>
      </w:tr>
      <w:tr>
        <w:trPr>
          <w:trHeight w:val="192"/>
        </w:trPr>
        <w:tc>
          <w:tcPr>
            <w:tcW w:w="19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1,118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bl>
    <w:p>
      <w:pPr>
        <w:ind w:left="181"/>
        <w:spacing w:after="0"/>
        <w:rPr>
          <w:sz w:val="20"/>
          <w:szCs w:val="20"/>
          <w:color w:val="auto"/>
        </w:rPr>
      </w:pPr>
      <w:r>
        <w:rPr>
          <w:rFonts w:ascii="Courier New" w:cs="Courier New" w:eastAsia="Courier New" w:hAnsi="Courier New"/>
          <w:sz w:val="14"/>
          <w:szCs w:val="14"/>
          <w:color w:val="auto"/>
        </w:rPr>
        <w:t>-------------------- ------------------- ------------------</w:t>
      </w:r>
    </w:p>
    <w:p>
      <w:pPr>
        <w:spacing w:after="0" w:line="147" w:lineRule="exact"/>
        <w:rPr>
          <w:sz w:val="20"/>
          <w:szCs w:val="20"/>
          <w:color w:val="auto"/>
        </w:rPr>
      </w:pPr>
    </w:p>
    <w:tbl>
      <w:tblPr>
        <w:tblLayout w:type="fixed"/>
        <w:tblInd w:w="181" w:type="dxa"/>
        <w:tblCellMar>
          <w:top w:w="0" w:type="dxa"/>
          <w:left w:w="0" w:type="dxa"/>
          <w:bottom w:w="0" w:type="dxa"/>
          <w:right w:w="0" w:type="dxa"/>
        </w:tblCellMar>
      </w:tblPr>
      <w:tr>
        <w:trPr>
          <w:trHeight w:val="192"/>
        </w:trPr>
        <w:tc>
          <w:tcPr>
            <w:tcW w:w="15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$39,503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$42,936</w:t>
            </w:r>
          </w:p>
        </w:tc>
      </w:tr>
    </w:tbl>
    <w:p>
      <w:pPr>
        <w:ind w:left="181"/>
        <w:spacing w:after="0"/>
        <w:rPr>
          <w:sz w:val="20"/>
          <w:szCs w:val="20"/>
          <w:color w:val="auto"/>
        </w:rPr>
      </w:pPr>
      <w:r>
        <w:rPr>
          <w:rFonts w:ascii="Courier New" w:cs="Courier New" w:eastAsia="Courier New" w:hAnsi="Courier New"/>
          <w:sz w:val="14"/>
          <w:szCs w:val="14"/>
          <w:color w:val="auto"/>
        </w:rPr>
        <w:t>-------------------- ------------------- ------------------</w:t>
      </w:r>
    </w:p>
    <w:p>
      <w:pPr>
        <w:spacing w:after="0" w:line="312" w:lineRule="exact"/>
        <w:rPr>
          <w:sz w:val="20"/>
          <w:szCs w:val="20"/>
          <w:color w:val="auto"/>
        </w:rPr>
      </w:pPr>
    </w:p>
    <w:p>
      <w:pPr>
        <w:ind w:left="421" w:right="3599" w:hanging="421"/>
        <w:spacing w:after="0" w:line="375" w:lineRule="auto"/>
        <w:tabs>
          <w:tab w:leader="none" w:pos="42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property, plant and equipment, net, by business segment was as follows:</w:t>
      </w:r>
    </w:p>
    <w:p>
      <w:pPr>
        <w:spacing w:after="0" w:line="1" w:lineRule="exact"/>
        <w:rPr>
          <w:sz w:val="20"/>
          <w:szCs w:val="20"/>
          <w:color w:val="auto"/>
        </w:rPr>
      </w:pPr>
    </w:p>
    <w:tbl>
      <w:tblPr>
        <w:tblLayout w:type="fixed"/>
        <w:tblInd w:w="181" w:type="dxa"/>
        <w:tblCellMar>
          <w:top w:w="0" w:type="dxa"/>
          <w:left w:w="0" w:type="dxa"/>
          <w:bottom w:w="0" w:type="dxa"/>
          <w:right w:w="0" w:type="dxa"/>
        </w:tblCellMar>
      </w:tblPr>
      <w:tr>
        <w:trPr>
          <w:trHeight w:val="166"/>
        </w:trPr>
        <w:tc>
          <w:tcPr>
            <w:tcW w:w="232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2003</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Year Ended May 31,</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2320" w:type="dxa"/>
            <w:vAlign w:val="bottom"/>
            <w:vMerge w:val="restart"/>
          </w:tcPr>
          <w:p>
            <w:pPr>
              <w:spacing w:after="0"/>
              <w:rPr>
                <w:sz w:val="20"/>
                <w:szCs w:val="20"/>
                <w:color w:val="auto"/>
              </w:rPr>
            </w:pPr>
            <w:r>
              <w:rPr>
                <w:rFonts w:ascii="Courier New" w:cs="Courier New" w:eastAsia="Courier New" w:hAnsi="Courier New"/>
                <w:sz w:val="14"/>
                <w:szCs w:val="14"/>
                <w:color w:val="auto"/>
              </w:rPr>
              <w:t>Central laboratory</w:t>
            </w:r>
          </w:p>
        </w:tc>
        <w:tc>
          <w:tcPr>
            <w:tcW w:w="32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166"/>
        </w:trPr>
        <w:tc>
          <w:tcPr>
            <w:tcW w:w="2320" w:type="dxa"/>
            <w:vAlign w:val="bottom"/>
            <w:vMerge w:val="continue"/>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$3,560</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$3,989</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Clinical research</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35,943</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38,947</w:t>
            </w:r>
          </w:p>
        </w:tc>
        <w:tc>
          <w:tcPr>
            <w:tcW w:w="0" w:type="dxa"/>
            <w:vAlign w:val="bottom"/>
          </w:tcPr>
          <w:p>
            <w:pPr>
              <w:spacing w:after="0"/>
              <w:rPr>
                <w:sz w:val="1"/>
                <w:szCs w:val="1"/>
                <w:color w:val="auto"/>
              </w:rPr>
            </w:pPr>
          </w:p>
        </w:tc>
      </w:tr>
      <w:tr>
        <w:trPr>
          <w:trHeight w:val="242"/>
        </w:trPr>
        <w:tc>
          <w:tcPr>
            <w:tcW w:w="23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55"/>
        </w:trPr>
        <w:tc>
          <w:tcPr>
            <w:tcW w:w="23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$39,503</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$42,936</w:t>
            </w:r>
          </w:p>
        </w:tc>
        <w:tc>
          <w:tcPr>
            <w:tcW w:w="0" w:type="dxa"/>
            <w:vAlign w:val="bottom"/>
          </w:tcPr>
          <w:p>
            <w:pPr>
              <w:spacing w:after="0"/>
              <w:rPr>
                <w:sz w:val="1"/>
                <w:szCs w:val="1"/>
                <w:color w:val="auto"/>
              </w:rPr>
            </w:pPr>
          </w:p>
        </w:tc>
      </w:tr>
      <w:tr>
        <w:trPr>
          <w:trHeight w:val="242"/>
        </w:trPr>
        <w:tc>
          <w:tcPr>
            <w:tcW w:w="23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421" w:hanging="421"/>
        <w:spacing w:after="0"/>
        <w:tabs>
          <w:tab w:leader="none" w:pos="42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depreciation by geographical area was as follows:</w:t>
      </w:r>
    </w:p>
    <w:p>
      <w:pPr>
        <w:spacing w:after="0" w:line="173" w:lineRule="exact"/>
        <w:rPr>
          <w:sz w:val="20"/>
          <w:szCs w:val="20"/>
          <w:color w:val="auto"/>
        </w:rPr>
      </w:pPr>
    </w:p>
    <w:tbl>
      <w:tblPr>
        <w:tblLayout w:type="fixed"/>
        <w:tblInd w:w="181" w:type="dxa"/>
        <w:tblCellMar>
          <w:top w:w="0" w:type="dxa"/>
          <w:left w:w="0" w:type="dxa"/>
          <w:bottom w:w="0" w:type="dxa"/>
          <w:right w:w="0" w:type="dxa"/>
        </w:tblCellMar>
      </w:tblPr>
      <w:tr>
        <w:trPr>
          <w:trHeight w:val="166"/>
        </w:trPr>
        <w:tc>
          <w:tcPr>
            <w:tcW w:w="1540" w:type="dxa"/>
            <w:vAlign w:val="bottom"/>
          </w:tcPr>
          <w:p>
            <w:pPr>
              <w:spacing w:after="0"/>
              <w:rPr>
                <w:sz w:val="14"/>
                <w:szCs w:val="14"/>
                <w:color w:val="auto"/>
              </w:rPr>
            </w:pPr>
          </w:p>
        </w:tc>
        <w:tc>
          <w:tcPr>
            <w:tcW w:w="11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2002</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 Ended May 31,</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15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2003</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40" w:type="dxa"/>
            <w:vAlign w:val="bottom"/>
            <w:vMerge w:val="restart"/>
          </w:tcPr>
          <w:p>
            <w:pPr>
              <w:spacing w:after="0"/>
              <w:rPr>
                <w:sz w:val="20"/>
                <w:szCs w:val="20"/>
                <w:color w:val="auto"/>
              </w:rPr>
            </w:pPr>
            <w:r>
              <w:rPr>
                <w:rFonts w:ascii="Courier New" w:cs="Courier New" w:eastAsia="Courier New" w:hAnsi="Courier New"/>
                <w:sz w:val="14"/>
                <w:szCs w:val="14"/>
                <w:color w:val="auto"/>
              </w:rPr>
              <w:t>Ireland</w:t>
            </w:r>
          </w:p>
        </w:tc>
        <w:tc>
          <w:tcPr>
            <w:tcW w:w="11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$1,302</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$3,710</w:t>
            </w:r>
          </w:p>
        </w:tc>
        <w:tc>
          <w:tcPr>
            <w:tcW w:w="0" w:type="dxa"/>
            <w:vAlign w:val="bottom"/>
          </w:tcPr>
          <w:p>
            <w:pPr>
              <w:spacing w:after="0"/>
              <w:rPr>
                <w:sz w:val="1"/>
                <w:szCs w:val="1"/>
                <w:color w:val="auto"/>
              </w:rPr>
            </w:pPr>
          </w:p>
        </w:tc>
      </w:tr>
      <w:tr>
        <w:trPr>
          <w:trHeight w:val="166"/>
        </w:trPr>
        <w:tc>
          <w:tcPr>
            <w:tcW w:w="15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$2,330</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40" w:type="dxa"/>
            <w:vAlign w:val="bottom"/>
          </w:tcPr>
          <w:p>
            <w:pPr>
              <w:spacing w:after="0"/>
              <w:rPr>
                <w:sz w:val="20"/>
                <w:szCs w:val="20"/>
                <w:color w:val="auto"/>
              </w:rPr>
            </w:pPr>
            <w:r>
              <w:rPr>
                <w:rFonts w:ascii="Courier New" w:cs="Courier New" w:eastAsia="Courier New" w:hAnsi="Courier New"/>
                <w:sz w:val="14"/>
                <w:szCs w:val="14"/>
                <w:color w:val="auto"/>
              </w:rPr>
              <w:t>Rest of Europe</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975</w:t>
            </w: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1,138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1,842</w:t>
            </w:r>
          </w:p>
        </w:tc>
        <w:tc>
          <w:tcPr>
            <w:tcW w:w="0" w:type="dxa"/>
            <w:vAlign w:val="bottom"/>
          </w:tcPr>
          <w:p>
            <w:pPr>
              <w:spacing w:after="0"/>
              <w:rPr>
                <w:sz w:val="1"/>
                <w:szCs w:val="1"/>
                <w:color w:val="auto"/>
              </w:rPr>
            </w:pPr>
          </w:p>
        </w:tc>
      </w:tr>
      <w:tr>
        <w:trPr>
          <w:trHeight w:val="166"/>
        </w:trPr>
        <w:tc>
          <w:tcPr>
            <w:tcW w:w="1540" w:type="dxa"/>
            <w:vAlign w:val="bottom"/>
          </w:tcPr>
          <w:p>
            <w:pPr>
              <w:spacing w:after="0"/>
              <w:rPr>
                <w:sz w:val="20"/>
                <w:szCs w:val="20"/>
                <w:color w:val="auto"/>
              </w:rPr>
            </w:pPr>
            <w:r>
              <w:rPr>
                <w:rFonts w:ascii="Courier New" w:cs="Courier New" w:eastAsia="Courier New" w:hAnsi="Courier New"/>
                <w:sz w:val="14"/>
                <w:szCs w:val="14"/>
                <w:color w:val="auto"/>
              </w:rPr>
              <w:t>U.S.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3,513</w:t>
            </w: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3,535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5,271</w:t>
            </w:r>
          </w:p>
        </w:tc>
        <w:tc>
          <w:tcPr>
            <w:tcW w:w="0" w:type="dxa"/>
            <w:vAlign w:val="bottom"/>
          </w:tcPr>
          <w:p>
            <w:pPr>
              <w:spacing w:after="0"/>
              <w:rPr>
                <w:sz w:val="1"/>
                <w:szCs w:val="1"/>
                <w:color w:val="auto"/>
              </w:rPr>
            </w:pPr>
          </w:p>
        </w:tc>
      </w:tr>
      <w:tr>
        <w:trPr>
          <w:trHeight w:val="192"/>
        </w:trPr>
        <w:tc>
          <w:tcPr>
            <w:tcW w:w="15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w:t>
            </w: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348</w:t>
            </w:r>
          </w:p>
        </w:tc>
        <w:tc>
          <w:tcPr>
            <w:tcW w:w="0" w:type="dxa"/>
            <w:vAlign w:val="bottom"/>
          </w:tcPr>
          <w:p>
            <w:pPr>
              <w:spacing w:after="0"/>
              <w:rPr>
                <w:sz w:val="1"/>
                <w:szCs w:val="1"/>
                <w:color w:val="auto"/>
              </w:rPr>
            </w:pPr>
          </w:p>
        </w:tc>
      </w:tr>
    </w:tbl>
    <w:p>
      <w:pPr>
        <w:ind w:left="181"/>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tbl>
      <w:tblPr>
        <w:tblLayout w:type="fixed"/>
        <w:tblInd w:w="181" w:type="dxa"/>
        <w:tblCellMar>
          <w:top w:w="0" w:type="dxa"/>
          <w:left w:w="0" w:type="dxa"/>
          <w:bottom w:w="0" w:type="dxa"/>
          <w:right w:w="0" w:type="dxa"/>
        </w:tblCellMar>
      </w:tblPr>
      <w:tr>
        <w:trPr>
          <w:trHeight w:val="192"/>
        </w:trPr>
        <w:tc>
          <w:tcPr>
            <w:tcW w:w="11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$6,020</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$11,171</w:t>
            </w:r>
          </w:p>
        </w:tc>
      </w:tr>
    </w:tbl>
    <w:p>
      <w:pPr>
        <w:ind w:left="181"/>
        <w:spacing w:after="0"/>
        <w:rPr>
          <w:sz w:val="20"/>
          <w:szCs w:val="20"/>
          <w:color w:val="auto"/>
        </w:rPr>
      </w:pPr>
      <w:r>
        <w:rPr>
          <w:rFonts w:ascii="Courier New" w:cs="Courier New" w:eastAsia="Courier New" w:hAnsi="Courier New"/>
          <w:sz w:val="14"/>
          <w:szCs w:val="14"/>
          <w:color w:val="auto"/>
        </w:rPr>
        <w:t>------------------ ---------- ----------------- ------------------</w:t>
      </w:r>
    </w:p>
    <w:p>
      <w:pPr>
        <w:spacing w:after="0" w:line="312"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9800"/>
          </w:cols>
          <w:pgMar w:left="659" w:top="756" w:right="1440" w:bottom="1440" w:gutter="0" w:footer="0" w:header="0"/>
        </w:sectPr>
      </w:pPr>
    </w:p>
    <w:bookmarkStart w:id="77" w:name="page78"/>
    <w:bookmarkEnd w:id="77"/>
    <w:p>
      <w:pPr>
        <w:ind w:left="421" w:hanging="421"/>
        <w:spacing w:after="0"/>
        <w:tabs>
          <w:tab w:leader="none" w:pos="421"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depreciation by business segment was as follows:</w:t>
      </w:r>
    </w:p>
    <w:p>
      <w:pPr>
        <w:spacing w:after="0" w:line="173" w:lineRule="exact"/>
        <w:rPr>
          <w:sz w:val="20"/>
          <w:szCs w:val="20"/>
          <w:color w:val="auto"/>
        </w:rPr>
      </w:pPr>
    </w:p>
    <w:tbl>
      <w:tblPr>
        <w:tblLayout w:type="fixed"/>
        <w:tblInd w:w="181"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13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Year Ended May 31,</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21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1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2003</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00" w:type="dxa"/>
            <w:vAlign w:val="bottom"/>
            <w:vMerge w:val="restart"/>
          </w:tcPr>
          <w:p>
            <w:pPr>
              <w:spacing w:after="0"/>
              <w:rPr>
                <w:sz w:val="20"/>
                <w:szCs w:val="20"/>
                <w:color w:val="auto"/>
              </w:rPr>
            </w:pPr>
            <w:r>
              <w:rPr>
                <w:rFonts w:ascii="Courier New" w:cs="Courier New" w:eastAsia="Courier New" w:hAnsi="Courier New"/>
                <w:sz w:val="14"/>
                <w:szCs w:val="14"/>
                <w:color w:val="auto"/>
              </w:rPr>
              <w:t>Central laboratory</w:t>
            </w:r>
          </w:p>
        </w:tc>
        <w:tc>
          <w:tcPr>
            <w:tcW w:w="13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$591</w:t>
            </w:r>
          </w:p>
        </w:tc>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(in thousands)</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$1,014</w:t>
            </w:r>
          </w:p>
        </w:tc>
        <w:tc>
          <w:tcPr>
            <w:tcW w:w="0" w:type="dxa"/>
            <w:vAlign w:val="bottom"/>
          </w:tcPr>
          <w:p>
            <w:pPr>
              <w:spacing w:after="0"/>
              <w:rPr>
                <w:sz w:val="1"/>
                <w:szCs w:val="1"/>
                <w:color w:val="auto"/>
              </w:rPr>
            </w:pPr>
          </w:p>
        </w:tc>
      </w:tr>
      <w:tr>
        <w:trPr>
          <w:trHeight w:val="166"/>
        </w:trPr>
        <w:tc>
          <w:tcPr>
            <w:tcW w:w="21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1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$732</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20"/>
                <w:szCs w:val="20"/>
                <w:color w:val="auto"/>
              </w:rPr>
            </w:pPr>
            <w:r>
              <w:rPr>
                <w:rFonts w:ascii="Courier New" w:cs="Courier New" w:eastAsia="Courier New" w:hAnsi="Courier New"/>
                <w:sz w:val="14"/>
                <w:szCs w:val="14"/>
                <w:color w:val="auto"/>
              </w:rPr>
              <w:t>Clinical research</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5,429</w:t>
            </w:r>
          </w:p>
        </w:tc>
        <w:tc>
          <w:tcPr>
            <w:tcW w:w="21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6,573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10,157</w:t>
            </w:r>
          </w:p>
        </w:tc>
        <w:tc>
          <w:tcPr>
            <w:tcW w:w="0" w:type="dxa"/>
            <w:vAlign w:val="bottom"/>
          </w:tcPr>
          <w:p>
            <w:pPr>
              <w:spacing w:after="0"/>
              <w:rPr>
                <w:sz w:val="1"/>
                <w:szCs w:val="1"/>
                <w:color w:val="auto"/>
              </w:rPr>
            </w:pPr>
          </w:p>
        </w:tc>
      </w:tr>
    </w:tbl>
    <w:p>
      <w:pPr>
        <w:ind w:left="181"/>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tbl>
      <w:tblPr>
        <w:tblLayout w:type="fixed"/>
        <w:tblInd w:w="181" w:type="dxa"/>
        <w:tblCellMar>
          <w:top w:w="0" w:type="dxa"/>
          <w:left w:w="0" w:type="dxa"/>
          <w:bottom w:w="0" w:type="dxa"/>
          <w:right w:w="0" w:type="dxa"/>
        </w:tblCellMar>
      </w:tblPr>
      <w:tr>
        <w:trPr>
          <w:trHeight w:val="192"/>
        </w:trPr>
        <w:tc>
          <w:tcPr>
            <w:tcW w:w="15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1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$6,020</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$11,171</w:t>
            </w:r>
          </w:p>
        </w:tc>
      </w:tr>
    </w:tbl>
    <w:p>
      <w:pPr>
        <w:ind w:left="181"/>
        <w:spacing w:after="0"/>
        <w:rPr>
          <w:sz w:val="20"/>
          <w:szCs w:val="20"/>
          <w:color w:val="auto"/>
        </w:rPr>
      </w:pPr>
      <w:r>
        <w:rPr>
          <w:rFonts w:ascii="Courier New" w:cs="Courier New" w:eastAsia="Courier New" w:hAnsi="Courier New"/>
          <w:sz w:val="14"/>
          <w:szCs w:val="14"/>
          <w:color w:val="auto"/>
        </w:rPr>
        <w:t>----------------------- ------------- ----------------- -----------------</w:t>
      </w:r>
    </w:p>
    <w:p>
      <w:pPr>
        <w:spacing w:after="0" w:line="312" w:lineRule="exact"/>
        <w:rPr>
          <w:sz w:val="20"/>
          <w:szCs w:val="20"/>
          <w:color w:val="auto"/>
        </w:rPr>
      </w:pPr>
    </w:p>
    <w:p>
      <w:pPr>
        <w:ind w:left="421" w:hanging="421"/>
        <w:spacing w:after="0"/>
        <w:tabs>
          <w:tab w:leader="none" w:pos="421"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total assets by geographical area was as follows:</w:t>
      </w:r>
    </w:p>
    <w:p>
      <w:pPr>
        <w:spacing w:after="0" w:line="173" w:lineRule="exact"/>
        <w:rPr>
          <w:sz w:val="20"/>
          <w:szCs w:val="20"/>
          <w:color w:val="auto"/>
        </w:rPr>
      </w:pPr>
    </w:p>
    <w:tbl>
      <w:tblPr>
        <w:tblLayout w:type="fixed"/>
        <w:tblInd w:w="181" w:type="dxa"/>
        <w:tblCellMar>
          <w:top w:w="0" w:type="dxa"/>
          <w:left w:w="0" w:type="dxa"/>
          <w:bottom w:w="0" w:type="dxa"/>
          <w:right w:w="0" w:type="dxa"/>
        </w:tblCellMar>
      </w:tblPr>
      <w:tr>
        <w:trPr>
          <w:trHeight w:val="166"/>
        </w:trPr>
        <w:tc>
          <w:tcPr>
            <w:tcW w:w="2240" w:type="dxa"/>
            <w:vAlign w:val="bottom"/>
          </w:tcPr>
          <w:p>
            <w:pPr>
              <w:spacing w:after="0"/>
              <w:rPr>
                <w:sz w:val="14"/>
                <w:szCs w:val="14"/>
                <w:color w:val="auto"/>
              </w:rPr>
            </w:pPr>
          </w:p>
        </w:tc>
        <w:tc>
          <w:tcPr>
            <w:tcW w:w="3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Year Ended May 31,</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2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Ireland</w:t>
            </w:r>
          </w:p>
        </w:tc>
        <w:tc>
          <w:tcPr>
            <w:tcW w:w="3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2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$59,838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$76,165</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Rest of Europe</w:t>
            </w:r>
          </w:p>
        </w:tc>
        <w:tc>
          <w:tcPr>
            <w:tcW w:w="2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60,982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115,056</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U.S.</w:t>
            </w:r>
          </w:p>
        </w:tc>
        <w:tc>
          <w:tcPr>
            <w:tcW w:w="2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110,602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141,104</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3,592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2,998</w:t>
            </w:r>
          </w:p>
        </w:tc>
        <w:tc>
          <w:tcPr>
            <w:tcW w:w="0" w:type="dxa"/>
            <w:vAlign w:val="bottom"/>
          </w:tcPr>
          <w:p>
            <w:pPr>
              <w:spacing w:after="0"/>
              <w:rPr>
                <w:sz w:val="1"/>
                <w:szCs w:val="1"/>
                <w:color w:val="auto"/>
              </w:rPr>
            </w:pPr>
          </w:p>
        </w:tc>
      </w:tr>
    </w:tbl>
    <w:p>
      <w:pPr>
        <w:ind w:left="181"/>
        <w:spacing w:after="0"/>
        <w:rPr>
          <w:sz w:val="20"/>
          <w:szCs w:val="20"/>
          <w:color w:val="auto"/>
        </w:rPr>
      </w:pPr>
      <w:r>
        <w:rPr>
          <w:rFonts w:ascii="Courier New" w:cs="Courier New" w:eastAsia="Courier New" w:hAnsi="Courier New"/>
          <w:sz w:val="14"/>
          <w:szCs w:val="14"/>
          <w:color w:val="auto"/>
        </w:rPr>
        <w:t>---------------------------- ----------------- ----------------</w:t>
      </w:r>
    </w:p>
    <w:p>
      <w:pPr>
        <w:spacing w:after="0" w:line="147" w:lineRule="exact"/>
        <w:rPr>
          <w:sz w:val="20"/>
          <w:szCs w:val="20"/>
          <w:color w:val="auto"/>
        </w:rPr>
      </w:pPr>
    </w:p>
    <w:tbl>
      <w:tblPr>
        <w:tblLayout w:type="fixed"/>
        <w:tblInd w:w="181" w:type="dxa"/>
        <w:tblCellMar>
          <w:top w:w="0" w:type="dxa"/>
          <w:left w:w="0" w:type="dxa"/>
          <w:bottom w:w="0" w:type="dxa"/>
          <w:right w:w="0" w:type="dxa"/>
        </w:tblCellMar>
      </w:tblPr>
      <w:tr>
        <w:trPr>
          <w:trHeight w:val="192"/>
        </w:trPr>
        <w:tc>
          <w:tcPr>
            <w:tcW w:w="18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$235,014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$335,323</w:t>
            </w:r>
          </w:p>
        </w:tc>
      </w:tr>
    </w:tbl>
    <w:p>
      <w:pPr>
        <w:ind w:left="181"/>
        <w:spacing w:after="0"/>
        <w:rPr>
          <w:sz w:val="20"/>
          <w:szCs w:val="20"/>
          <w:color w:val="auto"/>
        </w:rPr>
      </w:pPr>
      <w:r>
        <w:rPr>
          <w:rFonts w:ascii="Courier New" w:cs="Courier New" w:eastAsia="Courier New" w:hAnsi="Courier New"/>
          <w:sz w:val="14"/>
          <w:szCs w:val="14"/>
          <w:color w:val="auto"/>
        </w:rPr>
        <w:t>---------------------------- ----------------- ----------------</w:t>
      </w:r>
    </w:p>
    <w:p>
      <w:pPr>
        <w:spacing w:after="0" w:line="312" w:lineRule="exact"/>
        <w:rPr>
          <w:sz w:val="20"/>
          <w:szCs w:val="20"/>
          <w:color w:val="auto"/>
        </w:rPr>
      </w:pPr>
    </w:p>
    <w:p>
      <w:pPr>
        <w:ind w:left="421" w:hanging="421"/>
        <w:spacing w:after="0"/>
        <w:tabs>
          <w:tab w:leader="none" w:pos="421"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total assets by business segment was as follows:</w:t>
      </w:r>
    </w:p>
    <w:p>
      <w:pPr>
        <w:spacing w:after="0" w:line="173" w:lineRule="exact"/>
        <w:rPr>
          <w:sz w:val="20"/>
          <w:szCs w:val="20"/>
          <w:color w:val="auto"/>
        </w:rPr>
      </w:pPr>
    </w:p>
    <w:tbl>
      <w:tblPr>
        <w:tblLayout w:type="fixed"/>
        <w:tblInd w:w="181" w:type="dxa"/>
        <w:tblCellMar>
          <w:top w:w="0" w:type="dxa"/>
          <w:left w:w="0" w:type="dxa"/>
          <w:bottom w:w="0" w:type="dxa"/>
          <w:right w:w="0" w:type="dxa"/>
        </w:tblCellMar>
      </w:tblPr>
      <w:tr>
        <w:trPr>
          <w:trHeight w:val="166"/>
        </w:trPr>
        <w:tc>
          <w:tcPr>
            <w:tcW w:w="2240" w:type="dxa"/>
            <w:vAlign w:val="bottom"/>
          </w:tcPr>
          <w:p>
            <w:pPr>
              <w:spacing w:after="0"/>
              <w:rPr>
                <w:sz w:val="14"/>
                <w:szCs w:val="14"/>
                <w:color w:val="auto"/>
              </w:rPr>
            </w:pPr>
          </w:p>
        </w:tc>
        <w:tc>
          <w:tcPr>
            <w:tcW w:w="2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Year Ended May 31,</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Central laboratory</w:t>
            </w:r>
          </w:p>
        </w:tc>
        <w:tc>
          <w:tcPr>
            <w:tcW w:w="27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$19,175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$20,343</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20"/>
                <w:szCs w:val="20"/>
                <w:color w:val="auto"/>
              </w:rPr>
            </w:pPr>
            <w:r>
              <w:rPr>
                <w:rFonts w:ascii="Courier New" w:cs="Courier New" w:eastAsia="Courier New" w:hAnsi="Courier New"/>
                <w:sz w:val="14"/>
                <w:szCs w:val="14"/>
                <w:color w:val="auto"/>
              </w:rPr>
              <w:t>Clinical research</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215,839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314,980</w:t>
            </w:r>
          </w:p>
        </w:tc>
        <w:tc>
          <w:tcPr>
            <w:tcW w:w="0" w:type="dxa"/>
            <w:vAlign w:val="bottom"/>
          </w:tcPr>
          <w:p>
            <w:pPr>
              <w:spacing w:after="0"/>
              <w:rPr>
                <w:sz w:val="1"/>
                <w:szCs w:val="1"/>
                <w:color w:val="auto"/>
              </w:rPr>
            </w:pPr>
          </w:p>
        </w:tc>
      </w:tr>
    </w:tbl>
    <w:p>
      <w:pPr>
        <w:ind w:left="181"/>
        <w:spacing w:after="0"/>
        <w:rPr>
          <w:sz w:val="20"/>
          <w:szCs w:val="20"/>
          <w:color w:val="auto"/>
        </w:rPr>
      </w:pPr>
      <w:r>
        <w:rPr>
          <w:rFonts w:ascii="Courier New" w:cs="Courier New" w:eastAsia="Courier New" w:hAnsi="Courier New"/>
          <w:sz w:val="14"/>
          <w:szCs w:val="14"/>
          <w:color w:val="auto"/>
        </w:rPr>
        <w:t>------------------------ ----------------- ----------------</w:t>
      </w:r>
    </w:p>
    <w:p>
      <w:pPr>
        <w:spacing w:after="0" w:line="147" w:lineRule="exact"/>
        <w:rPr>
          <w:sz w:val="20"/>
          <w:szCs w:val="20"/>
          <w:color w:val="auto"/>
        </w:rPr>
      </w:pPr>
    </w:p>
    <w:tbl>
      <w:tblPr>
        <w:tblLayout w:type="fixed"/>
        <w:tblInd w:w="181" w:type="dxa"/>
        <w:tblCellMar>
          <w:top w:w="0" w:type="dxa"/>
          <w:left w:w="0" w:type="dxa"/>
          <w:bottom w:w="0" w:type="dxa"/>
          <w:right w:w="0" w:type="dxa"/>
        </w:tblCellMar>
      </w:tblPr>
      <w:tr>
        <w:trPr>
          <w:trHeight w:val="192"/>
        </w:trPr>
        <w:tc>
          <w:tcPr>
            <w:tcW w:w="16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$235,014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$335,323</w:t>
            </w:r>
          </w:p>
        </w:tc>
      </w:tr>
    </w:tbl>
    <w:p>
      <w:pPr>
        <w:ind w:left="181"/>
        <w:spacing w:after="0"/>
        <w:rPr>
          <w:sz w:val="20"/>
          <w:szCs w:val="20"/>
          <w:color w:val="auto"/>
        </w:rPr>
      </w:pPr>
      <w:r>
        <w:rPr>
          <w:rFonts w:ascii="Courier New" w:cs="Courier New" w:eastAsia="Courier New" w:hAnsi="Courier New"/>
          <w:sz w:val="14"/>
          <w:szCs w:val="14"/>
          <w:color w:val="auto"/>
        </w:rPr>
        <w:t>------------------------ ----------------- ----------------</w:t>
      </w:r>
    </w:p>
    <w:p>
      <w:pPr>
        <w:spacing w:after="0" w:line="312" w:lineRule="exact"/>
        <w:rPr>
          <w:sz w:val="20"/>
          <w:szCs w:val="20"/>
          <w:color w:val="auto"/>
        </w:rPr>
      </w:pPr>
    </w:p>
    <w:p>
      <w:pPr>
        <w:ind w:left="421" w:right="3519" w:hanging="421"/>
        <w:spacing w:after="0" w:line="375" w:lineRule="auto"/>
        <w:tabs>
          <w:tab w:leader="none" w:pos="42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capital expenditures by geographical area was as follows:</w:t>
      </w:r>
    </w:p>
    <w:p>
      <w:pPr>
        <w:spacing w:after="0" w:line="1" w:lineRule="exact"/>
        <w:rPr>
          <w:sz w:val="20"/>
          <w:szCs w:val="20"/>
          <w:color w:val="auto"/>
        </w:rPr>
      </w:pPr>
    </w:p>
    <w:tbl>
      <w:tblPr>
        <w:tblLayout w:type="fixed"/>
        <w:tblInd w:w="181" w:type="dxa"/>
        <w:tblCellMar>
          <w:top w:w="0" w:type="dxa"/>
          <w:left w:w="0" w:type="dxa"/>
          <w:bottom w:w="0" w:type="dxa"/>
          <w:right w:w="0" w:type="dxa"/>
        </w:tblCellMar>
      </w:tblPr>
      <w:tr>
        <w:trPr>
          <w:trHeight w:val="166"/>
        </w:trPr>
        <w:tc>
          <w:tcPr>
            <w:tcW w:w="1680" w:type="dxa"/>
            <w:vAlign w:val="bottom"/>
          </w:tcPr>
          <w:p>
            <w:pPr>
              <w:spacing w:after="0"/>
              <w:rPr>
                <w:sz w:val="14"/>
                <w:szCs w:val="14"/>
                <w:color w:val="auto"/>
              </w:rPr>
            </w:pPr>
          </w:p>
        </w:tc>
        <w:tc>
          <w:tcPr>
            <w:tcW w:w="13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Year Ended May 31,</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16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2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2003</w:t>
            </w: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80" w:type="dxa"/>
            <w:vAlign w:val="bottom"/>
            <w:vMerge w:val="restart"/>
          </w:tcPr>
          <w:p>
            <w:pPr>
              <w:spacing w:after="0"/>
              <w:rPr>
                <w:sz w:val="20"/>
                <w:szCs w:val="20"/>
                <w:color w:val="auto"/>
              </w:rPr>
            </w:pPr>
            <w:r>
              <w:rPr>
                <w:rFonts w:ascii="Courier New" w:cs="Courier New" w:eastAsia="Courier New" w:hAnsi="Courier New"/>
                <w:sz w:val="14"/>
                <w:szCs w:val="14"/>
                <w:color w:val="auto"/>
              </w:rPr>
              <w:t>Ireland</w:t>
            </w:r>
          </w:p>
        </w:tc>
        <w:tc>
          <w:tcPr>
            <w:tcW w:w="13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$3,158</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(in thousands)</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$4,812</w:t>
            </w:r>
          </w:p>
        </w:tc>
        <w:tc>
          <w:tcPr>
            <w:tcW w:w="0" w:type="dxa"/>
            <w:vAlign w:val="bottom"/>
          </w:tcPr>
          <w:p>
            <w:pPr>
              <w:spacing w:after="0"/>
              <w:rPr>
                <w:sz w:val="1"/>
                <w:szCs w:val="1"/>
                <w:color w:val="auto"/>
              </w:rPr>
            </w:pPr>
          </w:p>
        </w:tc>
      </w:tr>
      <w:tr>
        <w:trPr>
          <w:trHeight w:val="166"/>
        </w:trPr>
        <w:tc>
          <w:tcPr>
            <w:tcW w:w="16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2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$6,375</w:t>
            </w: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Rest of Europe</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2,563</w:t>
            </w:r>
          </w:p>
        </w:tc>
        <w:tc>
          <w:tcPr>
            <w:tcW w:w="22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1,686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2,167</w:t>
            </w:r>
          </w:p>
        </w:tc>
        <w:tc>
          <w:tcPr>
            <w:tcW w:w="0" w:type="dxa"/>
            <w:vAlign w:val="bottom"/>
          </w:tcPr>
          <w:p>
            <w:pPr>
              <w:spacing w:after="0"/>
              <w:rPr>
                <w:sz w:val="1"/>
                <w:szCs w:val="1"/>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U.S.</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4,938</w:t>
            </w:r>
          </w:p>
        </w:tc>
        <w:tc>
          <w:tcPr>
            <w:tcW w:w="22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7,274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5,826</w:t>
            </w:r>
          </w:p>
        </w:tc>
        <w:tc>
          <w:tcPr>
            <w:tcW w:w="0" w:type="dxa"/>
            <w:vAlign w:val="bottom"/>
          </w:tcPr>
          <w:p>
            <w:pPr>
              <w:spacing w:after="0"/>
              <w:rPr>
                <w:sz w:val="1"/>
                <w:szCs w:val="1"/>
                <w:color w:val="auto"/>
              </w:rPr>
            </w:pPr>
          </w:p>
        </w:tc>
      </w:tr>
      <w:tr>
        <w:trPr>
          <w:trHeight w:val="192"/>
        </w:trPr>
        <w:tc>
          <w:tcPr>
            <w:tcW w:w="16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w:t>
            </w:r>
          </w:p>
        </w:tc>
        <w:tc>
          <w:tcPr>
            <w:tcW w:w="22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658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c>
          <w:tcPr>
            <w:tcW w:w="0" w:type="dxa"/>
            <w:vAlign w:val="bottom"/>
          </w:tcPr>
          <w:p>
            <w:pPr>
              <w:spacing w:after="0"/>
              <w:rPr>
                <w:sz w:val="1"/>
                <w:szCs w:val="1"/>
                <w:color w:val="auto"/>
              </w:rPr>
            </w:pPr>
          </w:p>
        </w:tc>
      </w:tr>
    </w:tbl>
    <w:p>
      <w:pPr>
        <w:ind w:left="181"/>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tbl>
      <w:tblPr>
        <w:tblLayout w:type="fixed"/>
        <w:tblInd w:w="181" w:type="dxa"/>
        <w:tblCellMar>
          <w:top w:w="0" w:type="dxa"/>
          <w:left w:w="0" w:type="dxa"/>
          <w:bottom w:w="0" w:type="dxa"/>
          <w:right w:w="0" w:type="dxa"/>
        </w:tblCellMar>
      </w:tblPr>
      <w:tr>
        <w:trPr>
          <w:trHeight w:val="192"/>
        </w:trPr>
        <w:tc>
          <w:tcPr>
            <w:tcW w:w="1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$10,950</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$15,993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$12,965</w:t>
            </w:r>
          </w:p>
        </w:tc>
      </w:tr>
    </w:tbl>
    <w:p>
      <w:pPr>
        <w:ind w:left="181"/>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9800"/>
          </w:cols>
          <w:pgMar w:left="659" w:top="756" w:right="1440" w:bottom="1440" w:gutter="0" w:footer="0" w:header="0"/>
        </w:sectPr>
      </w:pPr>
    </w:p>
    <w:bookmarkStart w:id="78" w:name="page79"/>
    <w:bookmarkEnd w:id="78"/>
    <w:p>
      <w:pPr>
        <w:ind w:left="860" w:right="3599" w:hanging="421"/>
        <w:spacing w:after="0" w:line="375" w:lineRule="auto"/>
        <w:tabs>
          <w:tab w:leader="none" w:pos="8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capital expenditures by business segment was as follows:</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214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2002</w:t>
            </w:r>
          </w:p>
        </w:tc>
        <w:tc>
          <w:tcPr>
            <w:tcW w:w="20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Year Ended May 31,</w:t>
            </w:r>
          </w:p>
        </w:tc>
        <w:tc>
          <w:tcPr>
            <w:tcW w:w="720" w:type="dxa"/>
            <w:vAlign w:val="bottom"/>
            <w:vMerge w:val="restart"/>
          </w:tcPr>
          <w:p>
            <w:pPr>
              <w:jc w:val="center"/>
              <w:ind w:left="14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2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40" w:type="dxa"/>
            <w:vAlign w:val="bottom"/>
            <w:vMerge w:val="restart"/>
          </w:tcPr>
          <w:p>
            <w:pPr>
              <w:spacing w:after="0"/>
              <w:rPr>
                <w:sz w:val="20"/>
                <w:szCs w:val="20"/>
                <w:color w:val="auto"/>
              </w:rPr>
            </w:pPr>
            <w:r>
              <w:rPr>
                <w:rFonts w:ascii="Courier New" w:cs="Courier New" w:eastAsia="Courier New" w:hAnsi="Courier New"/>
                <w:sz w:val="14"/>
                <w:szCs w:val="14"/>
                <w:color w:val="auto"/>
              </w:rPr>
              <w:t>Central laboratory</w:t>
            </w:r>
          </w:p>
        </w:tc>
        <w:tc>
          <w:tcPr>
            <w:tcW w:w="12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$1,965</w:t>
            </w: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 thousands)</w:t>
            </w:r>
          </w:p>
        </w:tc>
        <w:tc>
          <w:tcPr>
            <w:tcW w:w="720" w:type="dxa"/>
            <w:vAlign w:val="bottom"/>
            <w:vMerge w:val="restart"/>
          </w:tcPr>
          <w:p>
            <w:pPr>
              <w:jc w:val="center"/>
              <w:ind w:left="148"/>
              <w:spacing w:after="0"/>
              <w:rPr>
                <w:sz w:val="20"/>
                <w:szCs w:val="20"/>
                <w:color w:val="auto"/>
              </w:rPr>
            </w:pPr>
            <w:r>
              <w:rPr>
                <w:rFonts w:ascii="Courier New" w:cs="Courier New" w:eastAsia="Courier New" w:hAnsi="Courier New"/>
                <w:sz w:val="14"/>
                <w:szCs w:val="14"/>
                <w:color w:val="auto"/>
                <w:w w:val="99"/>
              </w:rPr>
              <w:t>$1,552</w:t>
            </w:r>
          </w:p>
        </w:tc>
        <w:tc>
          <w:tcPr>
            <w:tcW w:w="0" w:type="dxa"/>
            <w:vAlign w:val="bottom"/>
          </w:tcPr>
          <w:p>
            <w:pPr>
              <w:spacing w:after="0"/>
              <w:rPr>
                <w:sz w:val="1"/>
                <w:szCs w:val="1"/>
                <w:color w:val="auto"/>
              </w:rPr>
            </w:pPr>
          </w:p>
        </w:tc>
      </w:tr>
      <w:tr>
        <w:trPr>
          <w:trHeight w:val="166"/>
        </w:trPr>
        <w:tc>
          <w:tcPr>
            <w:tcW w:w="21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$1,520</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40" w:type="dxa"/>
            <w:vAlign w:val="bottom"/>
          </w:tcPr>
          <w:p>
            <w:pPr>
              <w:spacing w:after="0"/>
              <w:rPr>
                <w:sz w:val="20"/>
                <w:szCs w:val="20"/>
                <w:color w:val="auto"/>
              </w:rPr>
            </w:pPr>
            <w:r>
              <w:rPr>
                <w:rFonts w:ascii="Courier New" w:cs="Courier New" w:eastAsia="Courier New" w:hAnsi="Courier New"/>
                <w:sz w:val="14"/>
                <w:szCs w:val="14"/>
                <w:color w:val="auto"/>
              </w:rPr>
              <w:t>Clinical research</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8,985</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14,473</w:t>
            </w:r>
          </w:p>
        </w:tc>
        <w:tc>
          <w:tcPr>
            <w:tcW w:w="720" w:type="dxa"/>
            <w:vAlign w:val="bottom"/>
          </w:tcPr>
          <w:p>
            <w:pPr>
              <w:jc w:val="center"/>
              <w:ind w:left="148"/>
              <w:spacing w:after="0"/>
              <w:rPr>
                <w:sz w:val="20"/>
                <w:szCs w:val="20"/>
                <w:color w:val="auto"/>
              </w:rPr>
            </w:pPr>
            <w:r>
              <w:rPr>
                <w:rFonts w:ascii="Courier New" w:cs="Courier New" w:eastAsia="Courier New" w:hAnsi="Courier New"/>
                <w:sz w:val="14"/>
                <w:szCs w:val="14"/>
                <w:color w:val="auto"/>
                <w:w w:val="99"/>
              </w:rPr>
              <w:t>11,413</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4"/>
          <w:szCs w:val="14"/>
          <w:color w:val="auto"/>
        </w:rPr>
        <w:t>----------------------- ---------------- ----------------- --------------</w:t>
      </w:r>
    </w:p>
    <w:p>
      <w:pPr>
        <w:spacing w:after="0" w:line="147"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15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$10,950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$15,993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$12,965</w:t>
            </w:r>
          </w:p>
        </w:tc>
      </w:tr>
    </w:tbl>
    <w:p>
      <w:pPr>
        <w:ind w:left="620"/>
        <w:spacing w:after="0"/>
        <w:rPr>
          <w:sz w:val="20"/>
          <w:szCs w:val="20"/>
          <w:color w:val="auto"/>
        </w:rPr>
      </w:pPr>
      <w:r>
        <w:rPr>
          <w:rFonts w:ascii="Courier New" w:cs="Courier New" w:eastAsia="Courier New" w:hAnsi="Courier New"/>
          <w:sz w:val="14"/>
          <w:szCs w:val="14"/>
          <w:color w:val="auto"/>
        </w:rPr>
        <w:t>----------------------- ---------------- ----------------- --------------</w:t>
      </w:r>
    </w:p>
    <w:p>
      <w:pPr>
        <w:spacing w:after="0" w:line="312" w:lineRule="exact"/>
        <w:rPr>
          <w:sz w:val="20"/>
          <w:szCs w:val="20"/>
          <w:color w:val="auto"/>
        </w:rPr>
      </w:pPr>
    </w:p>
    <w:p>
      <w:pPr>
        <w:ind w:left="860" w:right="3599" w:hanging="421"/>
        <w:spacing w:after="0" w:line="313" w:lineRule="auto"/>
        <w:tabs>
          <w:tab w:leader="none" w:pos="8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the clients which represented 10% or more of the Company's net revenue in each of the periods set out below.</w:t>
      </w:r>
    </w:p>
    <w:p>
      <w:pPr>
        <w:spacing w:after="0" w:line="42"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1360" w:type="dxa"/>
            <w:vAlign w:val="bottom"/>
          </w:tcPr>
          <w:p>
            <w:pPr>
              <w:spacing w:after="0"/>
              <w:rPr>
                <w:sz w:val="14"/>
                <w:szCs w:val="14"/>
                <w:color w:val="auto"/>
              </w:rPr>
            </w:pPr>
          </w:p>
        </w:tc>
        <w:tc>
          <w:tcPr>
            <w:tcW w:w="19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2002</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Year Ended May 31,</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1360" w:type="dxa"/>
            <w:vAlign w:val="bottom"/>
            <w:vMerge w:val="restart"/>
          </w:tcPr>
          <w:p>
            <w:pPr>
              <w:spacing w:after="0"/>
              <w:rPr>
                <w:sz w:val="20"/>
                <w:szCs w:val="20"/>
                <w:color w:val="auto"/>
              </w:rPr>
            </w:pPr>
            <w:r>
              <w:rPr>
                <w:rFonts w:ascii="Courier New" w:cs="Courier New" w:eastAsia="Courier New" w:hAnsi="Courier New"/>
                <w:sz w:val="14"/>
                <w:szCs w:val="14"/>
                <w:color w:val="auto"/>
              </w:rPr>
              <w:t>Client A</w:t>
            </w:r>
          </w:p>
        </w:tc>
        <w:tc>
          <w:tcPr>
            <w:tcW w:w="1900" w:type="dxa"/>
            <w:vAlign w:val="bottom"/>
            <w:vMerge w:val="continue"/>
          </w:tcPr>
          <w:p>
            <w:pPr>
              <w:spacing w:after="0"/>
              <w:rPr>
                <w:sz w:val="14"/>
                <w:szCs w:val="14"/>
                <w:color w:val="auto"/>
              </w:rPr>
            </w:pP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2003</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60" w:type="dxa"/>
            <w:vAlign w:val="bottom"/>
            <w:vMerge w:val="continue"/>
          </w:tcPr>
          <w:p>
            <w:pPr>
              <w:spacing w:after="0"/>
              <w:rPr>
                <w:sz w:val="14"/>
                <w:szCs w:val="14"/>
                <w:color w:val="auto"/>
              </w:rPr>
            </w:pPr>
          </w:p>
        </w:tc>
        <w:tc>
          <w:tcPr>
            <w:tcW w:w="1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360" w:type="dxa"/>
            <w:vAlign w:val="bottom"/>
          </w:tcPr>
          <w:p>
            <w:pPr>
              <w:spacing w:after="0"/>
              <w:rPr>
                <w:sz w:val="20"/>
                <w:szCs w:val="20"/>
                <w:color w:val="auto"/>
              </w:rPr>
            </w:pPr>
            <w:r>
              <w:rPr>
                <w:rFonts w:ascii="Courier New" w:cs="Courier New" w:eastAsia="Courier New" w:hAnsi="Courier New"/>
                <w:sz w:val="14"/>
                <w:szCs w:val="14"/>
                <w:color w:val="auto"/>
              </w:rPr>
              <w:t>Client B</w:t>
            </w:r>
          </w:p>
        </w:tc>
        <w:tc>
          <w:tcPr>
            <w:tcW w:w="1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0" w:type="dxa"/>
            <w:vAlign w:val="bottom"/>
          </w:tcPr>
          <w:p>
            <w:pPr>
              <w:spacing w:after="0"/>
              <w:rPr>
                <w:sz w:val="1"/>
                <w:szCs w:val="1"/>
                <w:color w:val="auto"/>
              </w:rPr>
            </w:pPr>
          </w:p>
        </w:tc>
      </w:tr>
      <w:tr>
        <w:trPr>
          <w:trHeight w:val="166"/>
        </w:trPr>
        <w:tc>
          <w:tcPr>
            <w:tcW w:w="1360" w:type="dxa"/>
            <w:vAlign w:val="bottom"/>
          </w:tcPr>
          <w:p>
            <w:pPr>
              <w:spacing w:after="0"/>
              <w:rPr>
                <w:sz w:val="20"/>
                <w:szCs w:val="20"/>
                <w:color w:val="auto"/>
              </w:rPr>
            </w:pPr>
            <w:r>
              <w:rPr>
                <w:rFonts w:ascii="Courier New" w:cs="Courier New" w:eastAsia="Courier New" w:hAnsi="Courier New"/>
                <w:sz w:val="14"/>
                <w:szCs w:val="14"/>
                <w:color w:val="auto"/>
              </w:rPr>
              <w:t>Client C</w:t>
            </w:r>
          </w:p>
        </w:tc>
        <w:tc>
          <w:tcPr>
            <w:tcW w:w="1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Courier New" w:cs="Courier New" w:eastAsia="Courier New" w:hAnsi="Courier New"/>
                <w:sz w:val="14"/>
                <w:szCs w:val="14"/>
                <w:color w:val="auto"/>
              </w:rPr>
              <w:t>Client D</w:t>
            </w:r>
          </w:p>
        </w:tc>
        <w:tc>
          <w:tcPr>
            <w:tcW w:w="1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41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Net Revenue did not exceed 10%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440" w:hanging="432"/>
        <w:spacing w:after="0"/>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Disclosure of Cash Flow Information</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2660" w:type="dxa"/>
            <w:vAlign w:val="bottom"/>
          </w:tcPr>
          <w:p>
            <w:pPr>
              <w:spacing w:after="0"/>
              <w:rPr>
                <w:sz w:val="14"/>
                <w:szCs w:val="14"/>
                <w:color w:val="auto"/>
              </w:rPr>
            </w:pPr>
          </w:p>
        </w:tc>
        <w:tc>
          <w:tcPr>
            <w:tcW w:w="10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2002</w:t>
            </w: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Year Ended May 31,</w:t>
            </w:r>
          </w:p>
        </w:tc>
        <w:tc>
          <w:tcPr>
            <w:tcW w:w="740" w:type="dxa"/>
            <w:vAlign w:val="bottom"/>
            <w:vMerge w:val="restart"/>
          </w:tcPr>
          <w:p>
            <w:pPr>
              <w:jc w:val="center"/>
              <w:ind w:right="4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2003</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60" w:type="dxa"/>
            <w:vAlign w:val="bottom"/>
          </w:tcPr>
          <w:p>
            <w:pPr>
              <w:spacing w:after="0"/>
              <w:rPr>
                <w:sz w:val="20"/>
                <w:szCs w:val="20"/>
                <w:color w:val="auto"/>
              </w:rPr>
            </w:pPr>
            <w:r>
              <w:rPr>
                <w:rFonts w:ascii="Courier New" w:cs="Courier New" w:eastAsia="Courier New" w:hAnsi="Courier New"/>
                <w:sz w:val="14"/>
                <w:szCs w:val="14"/>
                <w:color w:val="auto"/>
              </w:rPr>
              <w:t>Cash paid for interest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$462</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$279</w:t>
            </w:r>
          </w:p>
        </w:tc>
        <w:tc>
          <w:tcPr>
            <w:tcW w:w="7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$202</w:t>
            </w:r>
          </w:p>
        </w:tc>
        <w:tc>
          <w:tcPr>
            <w:tcW w:w="0" w:type="dxa"/>
            <w:vAlign w:val="bottom"/>
          </w:tcPr>
          <w:p>
            <w:pPr>
              <w:spacing w:after="0"/>
              <w:rPr>
                <w:sz w:val="1"/>
                <w:szCs w:val="1"/>
                <w:color w:val="auto"/>
              </w:rPr>
            </w:pPr>
          </w:p>
        </w:tc>
      </w:tr>
      <w:tr>
        <w:trPr>
          <w:trHeight w:val="242"/>
        </w:trPr>
        <w:tc>
          <w:tcPr>
            <w:tcW w:w="6280" w:type="dxa"/>
            <w:vAlign w:val="bottom"/>
            <w:gridSpan w:val="4"/>
          </w:tcPr>
          <w:p>
            <w:pPr>
              <w:spacing w:after="0"/>
              <w:rPr>
                <w:sz w:val="20"/>
                <w:szCs w:val="20"/>
                <w:color w:val="auto"/>
              </w:rPr>
            </w:pPr>
            <w:r>
              <w:rPr>
                <w:rFonts w:ascii="Courier New" w:cs="Courier New" w:eastAsia="Courier New" w:hAnsi="Courier New"/>
                <w:sz w:val="14"/>
                <w:szCs w:val="14"/>
                <w:color w:val="auto"/>
              </w:rPr>
              <w:t>------------------------------------------- ----------------- -----------</w:t>
            </w:r>
          </w:p>
        </w:tc>
        <w:tc>
          <w:tcPr>
            <w:tcW w:w="0" w:type="dxa"/>
            <w:vAlign w:val="bottom"/>
          </w:tcPr>
          <w:p>
            <w:pPr>
              <w:spacing w:after="0"/>
              <w:rPr>
                <w:sz w:val="1"/>
                <w:szCs w:val="1"/>
                <w:color w:val="auto"/>
              </w:rPr>
            </w:pPr>
          </w:p>
        </w:tc>
      </w:tr>
      <w:tr>
        <w:trPr>
          <w:trHeight w:val="255"/>
        </w:trPr>
        <w:tc>
          <w:tcPr>
            <w:tcW w:w="2660" w:type="dxa"/>
            <w:vAlign w:val="bottom"/>
          </w:tcPr>
          <w:p>
            <w:pPr>
              <w:spacing w:after="0"/>
              <w:rPr>
                <w:sz w:val="20"/>
                <w:szCs w:val="20"/>
                <w:color w:val="auto"/>
              </w:rPr>
            </w:pPr>
            <w:r>
              <w:rPr>
                <w:rFonts w:ascii="Courier New" w:cs="Courier New" w:eastAsia="Courier New" w:hAnsi="Courier New"/>
                <w:sz w:val="14"/>
                <w:szCs w:val="14"/>
                <w:color w:val="auto"/>
              </w:rPr>
              <w:t>Cash paid for income taxes</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$2,514</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$7,186</w:t>
            </w:r>
          </w:p>
        </w:tc>
        <w:tc>
          <w:tcPr>
            <w:tcW w:w="7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$5,731</w:t>
            </w:r>
          </w:p>
        </w:tc>
        <w:tc>
          <w:tcPr>
            <w:tcW w:w="0" w:type="dxa"/>
            <w:vAlign w:val="bottom"/>
          </w:tcPr>
          <w:p>
            <w:pPr>
              <w:spacing w:after="0"/>
              <w:rPr>
                <w:sz w:val="1"/>
                <w:szCs w:val="1"/>
                <w:color w:val="auto"/>
              </w:rPr>
            </w:pPr>
          </w:p>
        </w:tc>
      </w:tr>
      <w:tr>
        <w:trPr>
          <w:trHeight w:val="242"/>
        </w:trPr>
        <w:tc>
          <w:tcPr>
            <w:tcW w:w="6280" w:type="dxa"/>
            <w:vAlign w:val="bottom"/>
            <w:gridSpan w:val="4"/>
          </w:tcPr>
          <w:p>
            <w:pPr>
              <w:spacing w:after="0"/>
              <w:rPr>
                <w:sz w:val="20"/>
                <w:szCs w:val="20"/>
                <w:color w:val="auto"/>
              </w:rPr>
            </w:pPr>
            <w:r>
              <w:rPr>
                <w:rFonts w:ascii="Courier New" w:cs="Courier New" w:eastAsia="Courier New" w:hAnsi="Courier New"/>
                <w:sz w:val="14"/>
                <w:szCs w:val="14"/>
                <w:color w:val="auto"/>
              </w:rPr>
              <w:t>------------------------------------------- -----------------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17.</w:t>
        <w:tab/>
        <w:t>New Accounting Pronouncements</w:t>
      </w:r>
    </w:p>
    <w:p>
      <w:pPr>
        <w:spacing w:after="0" w:line="173" w:lineRule="exact"/>
        <w:rPr>
          <w:sz w:val="20"/>
          <w:szCs w:val="20"/>
          <w:color w:val="auto"/>
        </w:rPr>
      </w:pPr>
    </w:p>
    <w:p>
      <w:pPr>
        <w:ind w:right="3339"/>
        <w:spacing w:after="0" w:line="258" w:lineRule="auto"/>
        <w:rPr>
          <w:sz w:val="20"/>
          <w:szCs w:val="20"/>
          <w:color w:val="auto"/>
        </w:rPr>
      </w:pPr>
      <w:r>
        <w:rPr>
          <w:rFonts w:ascii="Courier New" w:cs="Courier New" w:eastAsia="Courier New" w:hAnsi="Courier New"/>
          <w:sz w:val="14"/>
          <w:szCs w:val="14"/>
          <w:color w:val="auto"/>
        </w:rPr>
        <w:t>In December 2003, the FASB issued Interpretation No. 46, revised--Consolidation of Variable Interest Entities, an Interpretation of ARB No. 51 ("FIN 46R"). FIN 46R addresses the consolidation of variable interest entities ("VIEs"), which include entities that have one or more of the following characteristics: (1) The equity investment at risk is not sufficient to permit the entity to finance its activities without additional subordinated financial support; (2) The equity investors lack essential characteristics of a controlling financial interest (as defined by FIN 46R); and (3) The equity investors have voting rights that are not proportionate to their economic interests, and the activities of the entity involve or are conducted on behalf of an investor with a disproportionally small voting interest. In addition, FIN 46R provides for certain scope exceptions to its application. Adoption of this Interpretation is required in financial statements that have interests in VIEs or potential VIEs, commonly referred to as special-purpose entities, for periods ending after 15 December 2003. Application for all other types of entities is required in financial statements for periods ending after 15 March 2004. The adoption of FIN 46R has not had a material impact on the Company's Consolidated Financial Statements.</w:t>
      </w:r>
    </w:p>
    <w:p>
      <w:pPr>
        <w:spacing w:after="0" w:line="83" w:lineRule="exact"/>
        <w:rPr>
          <w:sz w:val="20"/>
          <w:szCs w:val="20"/>
          <w:color w:val="auto"/>
        </w:rPr>
      </w:pPr>
    </w:p>
    <w:p>
      <w:pPr>
        <w:ind w:right="3519"/>
        <w:spacing w:after="0" w:line="271" w:lineRule="auto"/>
        <w:rPr>
          <w:sz w:val="20"/>
          <w:szCs w:val="20"/>
          <w:color w:val="auto"/>
        </w:rPr>
      </w:pPr>
      <w:r>
        <w:rPr>
          <w:rFonts w:ascii="Courier New" w:cs="Courier New" w:eastAsia="Courier New" w:hAnsi="Courier New"/>
          <w:sz w:val="14"/>
          <w:szCs w:val="14"/>
          <w:color w:val="auto"/>
        </w:rPr>
        <w:t>On April 30, 2003, the FASB issued FASB Statement No. 149, Amendment of Statement 133 on Derivative Instruments and Hedging Activities, which amends FASB Statement No. 133, Accounting for Derivative Instruments and Hedging Activities, to address (1) decisions reached by the Derivatives Implementation Group, (2) developments in other Board projects that address financial instruments, and (3) implementation issues related to the definition of a derivative. Statement 149 has</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756" w:right="1440" w:bottom="1440" w:gutter="0" w:footer="0" w:header="0"/>
        </w:sectPr>
      </w:pPr>
    </w:p>
    <w:bookmarkStart w:id="79" w:name="page80"/>
    <w:bookmarkEnd w:id="79"/>
    <w:p>
      <w:pPr>
        <w:ind w:right="3339"/>
        <w:spacing w:after="0" w:line="292" w:lineRule="auto"/>
        <w:rPr>
          <w:sz w:val="20"/>
          <w:szCs w:val="20"/>
          <w:color w:val="auto"/>
        </w:rPr>
      </w:pPr>
      <w:r>
        <w:rPr>
          <w:rFonts w:ascii="Courier New" w:cs="Courier New" w:eastAsia="Courier New" w:hAnsi="Courier New"/>
          <w:sz w:val="14"/>
          <w:szCs w:val="14"/>
          <w:color w:val="auto"/>
        </w:rPr>
        <w:t>multiple effective date provisions depending on the nature of the amendment to Statement 133. Under SFAS No. 133, the Company's foreign exchange contracts do not qualify for hedge accounting treatment. The impact of adopting Statement 149 did not have a significant impact on our financial statements.</w:t>
      </w:r>
    </w:p>
    <w:p>
      <w:pPr>
        <w:spacing w:after="0" w:line="56"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On May 15, 2003, the FASB issued FASB Statement No. 150, "Accounting for Certain Financial Instruments with Characteristics of both Liabilities and Equity". This Statement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This Statement is effective for financial instruments entered into or modified after May 31, 2003, and otherwise is effective at the beginning of the first interim period beginning after June 15, 2003, except for certain mandatorily redeemable financial instruments. It is to be implemented by reporting the cumulative effect of a change in an accounting principle for financial instruments created before the issuance date of the Statement and still existing at the beginning of the interim period of adoption. Restatement is not permitted. The adoption of SFAS No.150 did not have a significant impact on our financial statements.</w:t>
      </w:r>
    </w:p>
    <w:p>
      <w:pPr>
        <w:spacing w:after="0" w:line="83"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The Emerging Issues Task Force (EITF) has reached a final consensus on EITF Issue No. 00-21, Revenue Arrangements with Multiple Deliverables. This Issue addresses certain aspects of the accounting by a vendor for arrangements under which it will perform multiple revenue-generating activities, specifically how to determine whether an arrangement involving multiple deliverables contains more than one unit of accounting. The Issue also addresses how arrangement consideration should be measured and allocated to the separate units of accounting in the arrangement. The guidance in this Issue is effective for revenue arrangements entered into in fiscal periods beginning after June 15, 2003, with a possible alternative means of adoption by applying the new rules to existing contracts and recording the effect of adoption as a cumulative effect of a change in accounting principle. Early adoption is permitted. We adopted EITF Issue No. 00-21 on June 1, 2003. The adoptions of EITF Issue No. 00-21did not have a significant impact on our financial statements.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Related Parties</w:t>
      </w:r>
    </w:p>
    <w:p>
      <w:pPr>
        <w:spacing w:after="0" w:line="173" w:lineRule="exact"/>
        <w:rPr>
          <w:sz w:val="20"/>
          <w:szCs w:val="20"/>
          <w:color w:val="auto"/>
        </w:rPr>
      </w:pPr>
    </w:p>
    <w:p>
      <w:pPr>
        <w:ind w:right="3419"/>
        <w:spacing w:after="0" w:line="262" w:lineRule="auto"/>
        <w:rPr>
          <w:sz w:val="20"/>
          <w:szCs w:val="20"/>
          <w:color w:val="auto"/>
        </w:rPr>
      </w:pPr>
      <w:r>
        <w:rPr>
          <w:rFonts w:ascii="Courier New" w:cs="Courier New" w:eastAsia="Courier New" w:hAnsi="Courier New"/>
          <w:sz w:val="14"/>
          <w:szCs w:val="14"/>
          <w:color w:val="auto"/>
        </w:rPr>
        <w:t>On February 6, 1998, ICON entered into an Option Agreement ("The Put Option") with Rosa Investment Limited ("Rosa"). Rosa's sole activity was to hold an investment in Clear Investments Limited ("Clear"), the sole activity of which was to hold Mr. Gray's option to exercise 54,000 ordinary shares. Mr. Gray is a director of Rosa and Clear. Rosa is owned by a trust of which Mr. Gray is a beneficiary. On the April 21, 2004, Mr. Gray subsequently acquired Clear from Rosa and exercised the Put Option in accordance with the terms of the Option Agreement. On April 22, 2004, pursuant to the Option Agreement, ICON purchased the outstanding share capital in Clear from Mr. Gray, the consideration for the acquisition being the issuance of 54,000 fully paid up ordinary shares in ICON, to Mr. Gray, such a sale being the economic equivalent of Mr. Gray exercising his stock options.</w:t>
      </w:r>
    </w:p>
    <w:p>
      <w:pPr>
        <w:spacing w:after="0" w:line="2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590"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419"/>
        <w:spacing w:after="0" w:line="292" w:lineRule="auto"/>
        <w:rPr>
          <w:sz w:val="20"/>
          <w:szCs w:val="20"/>
          <w:color w:val="auto"/>
        </w:rPr>
      </w:pPr>
      <w:r>
        <w:rPr>
          <w:rFonts w:ascii="Courier New" w:cs="Courier New" w:eastAsia="Courier New" w:hAnsi="Courier New"/>
          <w:sz w:val="14"/>
          <w:szCs w:val="14"/>
          <w:color w:val="auto"/>
        </w:rPr>
        <w:t>Pursuant to the requirements of Section 12 of the Securities Exchange Act of 1934, the Registrant certifies that it meets all of the requirements for filing on Form 20-F and has duly caused this annual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public limited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4"/>
          <w:szCs w:val="14"/>
          <w:color w:val="auto"/>
        </w:rPr>
        <w:t>July 23, 2004</w:t>
      </w:r>
      <w:r>
        <w:rPr>
          <w:sz w:val="20"/>
          <w:szCs w:val="20"/>
          <w:color w:val="auto"/>
        </w:rPr>
        <w:tab/>
      </w:r>
      <w:r>
        <w:rPr>
          <w:rFonts w:ascii="Courier New" w:cs="Courier New" w:eastAsia="Courier New" w:hAnsi="Courier New"/>
          <w:sz w:val="14"/>
          <w:szCs w:val="14"/>
          <w:color w:val="auto"/>
        </w:rPr>
        <w:t>/s/ Sean Leech</w:t>
      </w:r>
    </w:p>
    <w:p>
      <w:pPr>
        <w:spacing w:after="0" w:line="33"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Sean Leech</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Chief Financial Officer</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756" w:right="1440" w:bottom="1440" w:gutter="0" w:footer="0" w:header="0"/>
        </w:sectPr>
      </w:pPr>
    </w:p>
    <w:bookmarkStart w:id="81" w:name="page82"/>
    <w:bookmarkEnd w:id="81"/>
    <w:p>
      <w:pPr>
        <w:jc w:val="center"/>
        <w:ind w:right="3339"/>
        <w:spacing w:after="0"/>
        <w:rPr>
          <w:sz w:val="20"/>
          <w:szCs w:val="20"/>
          <w:color w:val="auto"/>
        </w:rPr>
      </w:pPr>
      <w:r>
        <w:rPr>
          <w:rFonts w:ascii="Courier New" w:cs="Courier New" w:eastAsia="Courier New" w:hAnsi="Courier New"/>
          <w:sz w:val="14"/>
          <w:szCs w:val="14"/>
          <w:color w:val="auto"/>
        </w:rPr>
        <w:t>Certification of Chief Executive Officer</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Pursuant to Section 302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Sarbanes-Oxley Act of 2002</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Peter Gray, certify that:</w:t>
      </w:r>
    </w:p>
    <w:p>
      <w:pPr>
        <w:spacing w:after="0" w:line="173" w:lineRule="exact"/>
        <w:rPr>
          <w:sz w:val="20"/>
          <w:szCs w:val="20"/>
          <w:color w:val="auto"/>
        </w:rPr>
      </w:pPr>
    </w:p>
    <w:p>
      <w:pPr>
        <w:ind w:right="4379" w:firstLine="8"/>
        <w:spacing w:after="0" w:line="375" w:lineRule="auto"/>
        <w:tabs>
          <w:tab w:leader="none" w:pos="25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20-F of ICON plc ("the registrant").</w:t>
      </w:r>
    </w:p>
    <w:p>
      <w:pPr>
        <w:spacing w:after="0" w:line="1" w:lineRule="exact"/>
        <w:rPr>
          <w:rFonts w:ascii="Courier New" w:cs="Courier New" w:eastAsia="Courier New" w:hAnsi="Courier New"/>
          <w:sz w:val="14"/>
          <w:szCs w:val="14"/>
          <w:color w:val="auto"/>
        </w:rPr>
      </w:pPr>
    </w:p>
    <w:p>
      <w:pPr>
        <w:ind w:right="3339" w:firstLine="8"/>
        <w:spacing w:after="0" w:line="292" w:lineRule="auto"/>
        <w:tabs>
          <w:tab w:leader="none" w:pos="25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Courier New" w:cs="Courier New" w:eastAsia="Courier New" w:hAnsi="Courier New"/>
          <w:sz w:val="14"/>
          <w:szCs w:val="14"/>
          <w:color w:val="auto"/>
        </w:rPr>
      </w:pPr>
    </w:p>
    <w:p>
      <w:pPr>
        <w:ind w:right="3339" w:firstLine="8"/>
        <w:spacing w:after="0" w:line="292" w:lineRule="auto"/>
        <w:tabs>
          <w:tab w:leader="none" w:pos="25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Courier New" w:cs="Courier New" w:eastAsia="Courier New" w:hAnsi="Courier New"/>
          <w:sz w:val="14"/>
          <w:szCs w:val="14"/>
          <w:color w:val="auto"/>
        </w:rPr>
      </w:pPr>
    </w:p>
    <w:p>
      <w:pPr>
        <w:ind w:right="3519" w:firstLine="8"/>
        <w:spacing w:after="0" w:line="313" w:lineRule="auto"/>
        <w:tabs>
          <w:tab w:leader="none" w:pos="25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have:</w:t>
      </w:r>
    </w:p>
    <w:p>
      <w:pPr>
        <w:spacing w:after="0" w:line="42" w:lineRule="exact"/>
        <w:rPr>
          <w:rFonts w:ascii="Courier New" w:cs="Courier New" w:eastAsia="Courier New" w:hAnsi="Courier New"/>
          <w:sz w:val="14"/>
          <w:szCs w:val="14"/>
          <w:color w:val="auto"/>
        </w:rPr>
      </w:pPr>
    </w:p>
    <w:p>
      <w:pPr>
        <w:ind w:left="440" w:right="3339" w:hanging="1"/>
        <w:spacing w:after="0" w:line="275" w:lineRule="auto"/>
        <w:tabs>
          <w:tab w:leader="none" w:pos="698"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Courier New" w:cs="Courier New" w:eastAsia="Courier New" w:hAnsi="Courier New"/>
          <w:sz w:val="14"/>
          <w:szCs w:val="14"/>
          <w:color w:val="auto"/>
        </w:rPr>
      </w:pPr>
    </w:p>
    <w:p>
      <w:pPr>
        <w:ind w:left="440" w:right="3419" w:hanging="1"/>
        <w:spacing w:after="0" w:line="292" w:lineRule="auto"/>
        <w:tabs>
          <w:tab w:leader="none" w:pos="698"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Courier New" w:cs="Courier New" w:eastAsia="Courier New" w:hAnsi="Courier New"/>
          <w:sz w:val="14"/>
          <w:szCs w:val="14"/>
          <w:color w:val="auto"/>
        </w:rPr>
      </w:pPr>
    </w:p>
    <w:p>
      <w:pPr>
        <w:ind w:left="440" w:right="3339" w:hanging="1"/>
        <w:spacing w:after="0" w:line="282" w:lineRule="auto"/>
        <w:tabs>
          <w:tab w:leader="none" w:pos="698"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 and</w:t>
      </w:r>
    </w:p>
    <w:p>
      <w:pPr>
        <w:spacing w:after="0" w:line="62" w:lineRule="exact"/>
        <w:rPr>
          <w:rFonts w:ascii="Courier New" w:cs="Courier New" w:eastAsia="Courier New" w:hAnsi="Courier New"/>
          <w:sz w:val="14"/>
          <w:szCs w:val="14"/>
          <w:color w:val="auto"/>
        </w:rPr>
      </w:pPr>
    </w:p>
    <w:p>
      <w:pPr>
        <w:ind w:right="3339" w:firstLine="8"/>
        <w:spacing w:after="0" w:line="292" w:lineRule="auto"/>
        <w:tabs>
          <w:tab w:leader="none" w:pos="25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6" w:lineRule="exact"/>
        <w:rPr>
          <w:sz w:val="20"/>
          <w:szCs w:val="20"/>
          <w:color w:val="auto"/>
        </w:rPr>
      </w:pPr>
    </w:p>
    <w:p>
      <w:pPr>
        <w:ind w:left="260" w:hanging="252"/>
        <w:spacing w:after="0"/>
        <w:tabs>
          <w:tab w:leader="none" w:pos="2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w:t>
      </w:r>
    </w:p>
    <w:p>
      <w:pPr>
        <w:spacing w:after="0" w:line="33" w:lineRule="exact"/>
        <w:rPr>
          <w:rFonts w:ascii="Courier New" w:cs="Courier New" w:eastAsia="Courier New" w:hAnsi="Courier New"/>
          <w:sz w:val="14"/>
          <w:szCs w:val="14"/>
          <w:color w:val="auto"/>
        </w:rPr>
      </w:pPr>
    </w:p>
    <w:p>
      <w:pPr>
        <w:ind w:right="377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 of internal control over financial reporting which are reasonably likely to adversely affect the registrant's ability to record, process, summarize and report financial information; and</w:t>
      </w:r>
    </w:p>
    <w:p>
      <w:pPr>
        <w:spacing w:after="0" w:line="55" w:lineRule="exact"/>
        <w:rPr>
          <w:rFonts w:ascii="Courier New" w:cs="Courier New" w:eastAsia="Courier New" w:hAnsi="Courier New"/>
          <w:sz w:val="14"/>
          <w:szCs w:val="14"/>
          <w:color w:val="auto"/>
        </w:rPr>
      </w:pPr>
    </w:p>
    <w:p>
      <w:pPr>
        <w:ind w:right="3419" w:firstLine="8"/>
        <w:spacing w:after="0" w:line="313" w:lineRule="auto"/>
        <w:tabs>
          <w:tab w:leader="none" w:pos="258"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August 30,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Peter Gray</w:t>
      </w:r>
    </w:p>
    <w:p>
      <w:pPr>
        <w:spacing w:after="0" w:line="33" w:lineRule="exact"/>
        <w:rPr>
          <w:sz w:val="20"/>
          <w:szCs w:val="20"/>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Peter Gray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Chief Executive Officer</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756" w:right="1440" w:bottom="1440" w:gutter="0" w:footer="0" w:header="0"/>
        </w:sectPr>
      </w:pPr>
    </w:p>
    <w:bookmarkStart w:id="82" w:name="page83"/>
    <w:bookmarkEnd w:id="82"/>
    <w:p>
      <w:pPr>
        <w:jc w:val="center"/>
        <w:ind w:right="3339"/>
        <w:spacing w:after="0"/>
        <w:rPr>
          <w:sz w:val="20"/>
          <w:szCs w:val="20"/>
          <w:color w:val="auto"/>
        </w:rPr>
      </w:pPr>
      <w:r>
        <w:rPr>
          <w:rFonts w:ascii="Courier New" w:cs="Courier New" w:eastAsia="Courier New" w:hAnsi="Courier New"/>
          <w:sz w:val="14"/>
          <w:szCs w:val="14"/>
          <w:color w:val="auto"/>
        </w:rPr>
        <w:t>Certification of Chief Financial Officer</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Pursuant to Section 302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Sarbanes-Oxley Act of 2002</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Sean Leech, certify that:</w:t>
      </w:r>
    </w:p>
    <w:p>
      <w:pPr>
        <w:spacing w:after="0" w:line="173" w:lineRule="exact"/>
        <w:rPr>
          <w:sz w:val="20"/>
          <w:szCs w:val="20"/>
          <w:color w:val="auto"/>
        </w:rPr>
      </w:pPr>
    </w:p>
    <w:p>
      <w:pPr>
        <w:ind w:right="4379" w:firstLine="8"/>
        <w:spacing w:after="0" w:line="375" w:lineRule="auto"/>
        <w:tabs>
          <w:tab w:leader="none" w:pos="25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20-F of ICON plc ("the registrant").</w:t>
      </w:r>
    </w:p>
    <w:p>
      <w:pPr>
        <w:spacing w:after="0" w:line="1" w:lineRule="exact"/>
        <w:rPr>
          <w:rFonts w:ascii="Courier New" w:cs="Courier New" w:eastAsia="Courier New" w:hAnsi="Courier New"/>
          <w:sz w:val="14"/>
          <w:szCs w:val="14"/>
          <w:color w:val="auto"/>
        </w:rPr>
      </w:pPr>
    </w:p>
    <w:p>
      <w:pPr>
        <w:ind w:right="3339" w:firstLine="8"/>
        <w:spacing w:after="0" w:line="292" w:lineRule="auto"/>
        <w:tabs>
          <w:tab w:leader="none" w:pos="25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Courier New" w:cs="Courier New" w:eastAsia="Courier New" w:hAnsi="Courier New"/>
          <w:sz w:val="14"/>
          <w:szCs w:val="14"/>
          <w:color w:val="auto"/>
        </w:rPr>
      </w:pPr>
    </w:p>
    <w:p>
      <w:pPr>
        <w:ind w:right="3339" w:firstLine="8"/>
        <w:spacing w:after="0" w:line="292" w:lineRule="auto"/>
        <w:tabs>
          <w:tab w:leader="none" w:pos="25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Courier New" w:cs="Courier New" w:eastAsia="Courier New" w:hAnsi="Courier New"/>
          <w:sz w:val="14"/>
          <w:szCs w:val="14"/>
          <w:color w:val="auto"/>
        </w:rPr>
      </w:pPr>
    </w:p>
    <w:p>
      <w:pPr>
        <w:ind w:right="3519" w:firstLine="8"/>
        <w:spacing w:after="0" w:line="313" w:lineRule="auto"/>
        <w:tabs>
          <w:tab w:leader="none" w:pos="25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have:</w:t>
      </w:r>
    </w:p>
    <w:p>
      <w:pPr>
        <w:spacing w:after="0" w:line="42" w:lineRule="exact"/>
        <w:rPr>
          <w:rFonts w:ascii="Courier New" w:cs="Courier New" w:eastAsia="Courier New" w:hAnsi="Courier New"/>
          <w:sz w:val="14"/>
          <w:szCs w:val="14"/>
          <w:color w:val="auto"/>
        </w:rPr>
      </w:pPr>
    </w:p>
    <w:p>
      <w:pPr>
        <w:ind w:left="440" w:right="3339" w:hanging="1"/>
        <w:spacing w:after="0" w:line="275" w:lineRule="auto"/>
        <w:tabs>
          <w:tab w:leader="none" w:pos="698"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Courier New" w:cs="Courier New" w:eastAsia="Courier New" w:hAnsi="Courier New"/>
          <w:sz w:val="14"/>
          <w:szCs w:val="14"/>
          <w:color w:val="auto"/>
        </w:rPr>
      </w:pPr>
    </w:p>
    <w:p>
      <w:pPr>
        <w:ind w:left="440" w:right="3419" w:hanging="1"/>
        <w:spacing w:after="0" w:line="292" w:lineRule="auto"/>
        <w:tabs>
          <w:tab w:leader="none" w:pos="698"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Courier New" w:cs="Courier New" w:eastAsia="Courier New" w:hAnsi="Courier New"/>
          <w:sz w:val="14"/>
          <w:szCs w:val="14"/>
          <w:color w:val="auto"/>
        </w:rPr>
      </w:pPr>
    </w:p>
    <w:p>
      <w:pPr>
        <w:ind w:left="440" w:right="3339" w:hanging="1"/>
        <w:spacing w:after="0" w:line="282" w:lineRule="auto"/>
        <w:tabs>
          <w:tab w:leader="none" w:pos="698"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 and</w:t>
      </w:r>
    </w:p>
    <w:p>
      <w:pPr>
        <w:spacing w:after="0" w:line="62" w:lineRule="exact"/>
        <w:rPr>
          <w:rFonts w:ascii="Courier New" w:cs="Courier New" w:eastAsia="Courier New" w:hAnsi="Courier New"/>
          <w:sz w:val="14"/>
          <w:szCs w:val="14"/>
          <w:color w:val="auto"/>
        </w:rPr>
      </w:pPr>
    </w:p>
    <w:p>
      <w:pPr>
        <w:ind w:right="3339" w:firstLine="8"/>
        <w:spacing w:after="0" w:line="292" w:lineRule="auto"/>
        <w:tabs>
          <w:tab w:leader="none" w:pos="25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6" w:lineRule="exact"/>
        <w:rPr>
          <w:sz w:val="20"/>
          <w:szCs w:val="20"/>
          <w:color w:val="auto"/>
        </w:rPr>
      </w:pPr>
    </w:p>
    <w:p>
      <w:pPr>
        <w:ind w:left="260" w:hanging="252"/>
        <w:spacing w:after="0"/>
        <w:tabs>
          <w:tab w:leader="none" w:pos="2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w:t>
      </w:r>
    </w:p>
    <w:p>
      <w:pPr>
        <w:spacing w:after="0" w:line="33" w:lineRule="exact"/>
        <w:rPr>
          <w:rFonts w:ascii="Courier New" w:cs="Courier New" w:eastAsia="Courier New" w:hAnsi="Courier New"/>
          <w:sz w:val="14"/>
          <w:szCs w:val="14"/>
          <w:color w:val="auto"/>
        </w:rPr>
      </w:pPr>
    </w:p>
    <w:p>
      <w:pPr>
        <w:ind w:right="377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 of internal control over financial reporting which are reasonably likely to adversely affect the registrant's ability to record, process, summarize and report financial information; and</w:t>
      </w:r>
    </w:p>
    <w:p>
      <w:pPr>
        <w:spacing w:after="0" w:line="55" w:lineRule="exact"/>
        <w:rPr>
          <w:rFonts w:ascii="Courier New" w:cs="Courier New" w:eastAsia="Courier New" w:hAnsi="Courier New"/>
          <w:sz w:val="14"/>
          <w:szCs w:val="14"/>
          <w:color w:val="auto"/>
        </w:rPr>
      </w:pPr>
    </w:p>
    <w:p>
      <w:pPr>
        <w:ind w:right="3419" w:firstLine="8"/>
        <w:spacing w:after="0" w:line="313" w:lineRule="auto"/>
        <w:tabs>
          <w:tab w:leader="none" w:pos="25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August 30,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Sean Leech</w:t>
      </w:r>
    </w:p>
    <w:p>
      <w:pPr>
        <w:spacing w:after="0" w:line="33" w:lineRule="exact"/>
        <w:rPr>
          <w:sz w:val="20"/>
          <w:szCs w:val="20"/>
          <w:color w:val="auto"/>
        </w:rPr>
      </w:pPr>
    </w:p>
    <w:p>
      <w:pPr>
        <w:ind w:left="180" w:hanging="172"/>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Sean Leech</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Chief Financial Officer</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756" w:right="1440" w:bottom="1440" w:gutter="0" w:footer="0" w:header="0"/>
        </w:sectPr>
      </w:pPr>
    </w:p>
    <w:bookmarkStart w:id="83" w:name="page84"/>
    <w:bookmarkEnd w:id="83"/>
    <w:p>
      <w:pPr>
        <w:jc w:val="center"/>
        <w:ind w:right="3239"/>
        <w:spacing w:after="0"/>
        <w:rPr>
          <w:sz w:val="20"/>
          <w:szCs w:val="20"/>
          <w:color w:val="auto"/>
        </w:rPr>
      </w:pPr>
      <w:r>
        <w:rPr>
          <w:rFonts w:ascii="Courier New" w:cs="Courier New" w:eastAsia="Courier New" w:hAnsi="Courier New"/>
          <w:sz w:val="14"/>
          <w:szCs w:val="14"/>
          <w:color w:val="auto"/>
        </w:rPr>
        <w:t>Certification Pursuant to 18 U.S.C. Section 1350,</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Adopted Pursuant to Section 906 of the Sarbanes-Oxley Act of 2002</w:t>
      </w:r>
    </w:p>
    <w:p>
      <w:pPr>
        <w:spacing w:after="0" w:line="312" w:lineRule="exact"/>
        <w:rPr>
          <w:sz w:val="20"/>
          <w:szCs w:val="20"/>
          <w:color w:val="auto"/>
        </w:rPr>
      </w:pPr>
    </w:p>
    <w:p>
      <w:pPr>
        <w:ind w:right="3599"/>
        <w:spacing w:after="0" w:line="258" w:lineRule="auto"/>
        <w:rPr>
          <w:sz w:val="20"/>
          <w:szCs w:val="20"/>
          <w:color w:val="auto"/>
        </w:rPr>
      </w:pPr>
      <w:r>
        <w:rPr>
          <w:rFonts w:ascii="Courier New" w:cs="Courier New" w:eastAsia="Courier New" w:hAnsi="Courier New"/>
          <w:sz w:val="14"/>
          <w:szCs w:val="14"/>
          <w:color w:val="auto"/>
        </w:rPr>
        <w:t>In connection with the Annual Report of ICON plc (the "Company") on Form 20-F for the period ending May 31, 2003, as filed with the Securities and Exchange Commission on the date hereof (the "Report"), I, Peter Gray, Chief Executive Officer of the Company, certify, pursuant to 18 U.S.C. ss. 1350, as adopted pursuant to ss. 906 of the Sarbanes-Oxley Act of 2002, that to my knowledge:</w:t>
      </w:r>
    </w:p>
    <w:p>
      <w:pPr>
        <w:spacing w:after="0" w:line="2" w:lineRule="exact"/>
        <w:rPr>
          <w:sz w:val="20"/>
          <w:szCs w:val="20"/>
          <w:color w:val="auto"/>
        </w:rPr>
      </w:pPr>
    </w:p>
    <w:p>
      <w:pPr>
        <w:ind w:right="3339" w:firstLine="8"/>
        <w:spacing w:after="0" w:line="250" w:lineRule="auto"/>
        <w:tabs>
          <w:tab w:leader="none" w:pos="34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or 15(d) of the Securities Exchange Act of 1934; and</w:t>
      </w:r>
    </w:p>
    <w:p>
      <w:pPr>
        <w:ind w:right="3679" w:firstLine="8"/>
        <w:spacing w:after="0" w:line="336" w:lineRule="auto"/>
        <w:tabs>
          <w:tab w:leader="none" w:pos="34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 of operations of the Company.</w:t>
      </w:r>
    </w:p>
    <w:p>
      <w:pPr>
        <w:spacing w:after="0" w:line="2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August 30,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Peter Gray</w:t>
      </w:r>
    </w:p>
    <w:p>
      <w:pPr>
        <w:spacing w:after="0" w:line="33" w:lineRule="exact"/>
        <w:rPr>
          <w:sz w:val="20"/>
          <w:szCs w:val="20"/>
          <w:color w:val="auto"/>
        </w:rPr>
      </w:pPr>
    </w:p>
    <w:p>
      <w:pPr>
        <w:ind w:left="180" w:hanging="172"/>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Peter Gray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Chief Executive Officer</w:t>
      </w:r>
    </w:p>
    <w:p>
      <w:pPr>
        <w:spacing w:after="0" w:line="147"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3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Certification Pursuant to 18 U.S.C. Section 1350,</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Adopted Pursuant to Section 906 of the Sarbanes-Oxley Act of 2002</w:t>
      </w:r>
    </w:p>
    <w:p>
      <w:pPr>
        <w:spacing w:after="0" w:line="200" w:lineRule="exact"/>
        <w:rPr>
          <w:sz w:val="20"/>
          <w:szCs w:val="20"/>
          <w:color w:val="auto"/>
        </w:rPr>
      </w:pPr>
    </w:p>
    <w:p>
      <w:pPr>
        <w:spacing w:after="0" w:line="278" w:lineRule="exact"/>
        <w:rPr>
          <w:sz w:val="20"/>
          <w:szCs w:val="20"/>
          <w:color w:val="auto"/>
        </w:rPr>
      </w:pPr>
    </w:p>
    <w:p>
      <w:pPr>
        <w:ind w:right="3599"/>
        <w:spacing w:after="0" w:line="258" w:lineRule="auto"/>
        <w:rPr>
          <w:sz w:val="20"/>
          <w:szCs w:val="20"/>
          <w:color w:val="auto"/>
        </w:rPr>
      </w:pPr>
      <w:r>
        <w:rPr>
          <w:rFonts w:ascii="Courier New" w:cs="Courier New" w:eastAsia="Courier New" w:hAnsi="Courier New"/>
          <w:sz w:val="14"/>
          <w:szCs w:val="14"/>
          <w:color w:val="auto"/>
        </w:rPr>
        <w:t>In connection with the Annual Report of ICON plc (the "Company") on Form 20-F for the period ending May 31, 2003, as filed with the Securities and Exchange Commission on the date hereof (the "Report"), I, Sean Leech, Chief Financial Officer of the Company, certify, pursuant to 18 U.S.C. ss. 1350, as adopted pursuant to ss. 906 of the Sarbanes-Oxley Act of 2002, that to my knowledge:</w:t>
      </w:r>
    </w:p>
    <w:p>
      <w:pPr>
        <w:spacing w:after="0" w:line="2" w:lineRule="exact"/>
        <w:rPr>
          <w:sz w:val="20"/>
          <w:szCs w:val="20"/>
          <w:color w:val="auto"/>
        </w:rPr>
      </w:pPr>
    </w:p>
    <w:p>
      <w:pPr>
        <w:ind w:right="3339" w:firstLine="8"/>
        <w:spacing w:after="0" w:line="250" w:lineRule="auto"/>
        <w:tabs>
          <w:tab w:leader="none" w:pos="344"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or 15(d) of the Securities Exchange Act of 1934; and</w:t>
      </w:r>
    </w:p>
    <w:p>
      <w:pPr>
        <w:ind w:right="3679" w:firstLine="8"/>
        <w:spacing w:after="0" w:line="336" w:lineRule="auto"/>
        <w:tabs>
          <w:tab w:leader="none" w:pos="344"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 of operations of the Company.</w:t>
      </w:r>
    </w:p>
    <w:p>
      <w:pPr>
        <w:spacing w:after="0" w:line="2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August 30,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Sean Leech</w:t>
      </w:r>
    </w:p>
    <w:p>
      <w:pPr>
        <w:spacing w:after="0" w:line="33" w:lineRule="exact"/>
        <w:rPr>
          <w:sz w:val="20"/>
          <w:szCs w:val="20"/>
          <w:color w:val="auto"/>
        </w:rPr>
      </w:pPr>
    </w:p>
    <w:p>
      <w:pPr>
        <w:ind w:left="180" w:hanging="172"/>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Sean Leech</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Chief Financial Officer</w:t>
      </w:r>
    </w:p>
    <w:p>
      <w:pPr>
        <w:spacing w:after="0" w:line="147" w:lineRule="exact"/>
        <w:rPr>
          <w:sz w:val="20"/>
          <w:szCs w:val="20"/>
          <w:color w:val="auto"/>
        </w:rPr>
      </w:pPr>
    </w:p>
    <w:p>
      <w:pPr>
        <w:ind w:right="3339"/>
        <w:spacing w:after="0" w:line="271" w:lineRule="auto"/>
        <w:rPr>
          <w:sz w:val="20"/>
          <w:szCs w:val="20"/>
          <w:color w:val="auto"/>
        </w:rPr>
      </w:pPr>
      <w:r>
        <w:rPr>
          <w:rFonts w:ascii="Courier New" w:cs="Courier New" w:eastAsia="Courier New" w:hAnsi="Courier New"/>
          <w:sz w:val="14"/>
          <w:szCs w:val="14"/>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81</w:t>
      </w:r>
    </w:p>
    <w:sectPr>
      <w:pgSz w:w="11900" w:h="16838" w:orient="portrait"/>
      <w:cols w:equalWidth="0" w:num="1">
        <w:col w:w="10239"/>
      </w:cols>
      <w:pgMar w:left="220" w:top="9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decimal"/>
      <w:start w:val="2"/>
    </w:lvl>
  </w:abstractNum>
  <w:abstractNum w:abstractNumId="6">
    <w:nsid w:val="7644A45C"/>
    <w:multiLevelType w:val="hybridMultilevel"/>
    <w:lvl w:ilvl="0">
      <w:lvlJc w:val="left"/>
      <w:lvlText w:val="o"/>
      <w:numFmt w:val="bullet"/>
      <w:start w:val="1"/>
    </w:lvl>
  </w:abstractNum>
  <w:abstractNum w:abstractNumId="7">
    <w:nsid w:val="32FFF902"/>
    <w:multiLevelType w:val="hybridMultilevel"/>
    <w:lvl w:ilvl="0">
      <w:lvlJc w:val="left"/>
      <w:lvlText w:val="o"/>
      <w:numFmt w:val="bullet"/>
      <w:start w:val="1"/>
    </w:lvl>
  </w:abstractNum>
  <w:abstractNum w:abstractNumId="8">
    <w:nsid w:val="684A481A"/>
    <w:multiLevelType w:val="hybridMultilevel"/>
    <w:lvl w:ilvl="0">
      <w:lvlJc w:val="left"/>
      <w:lvlText w:val="o"/>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1)"/>
      <w:numFmt w:val="decimal"/>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1)"/>
      <w:numFmt w:val="lowerLetter"/>
      <w:start w:val="1"/>
    </w:lvl>
  </w:abstractNum>
  <w:abstractNum w:abstractNumId="22">
    <w:nsid w:val="275AC794"/>
    <w:multiLevelType w:val="hybridMultilevel"/>
    <w:lvl w:ilvl="0">
      <w:lvlJc w:val="left"/>
      <w:lvlText w:val="(%1)"/>
      <w:numFmt w:val="decimal"/>
      <w:start w:val="1"/>
    </w:lvl>
  </w:abstractNum>
  <w:abstractNum w:abstractNumId="23">
    <w:nsid w:val="39386575"/>
    <w:multiLevelType w:val="hybridMultilevel"/>
    <w:lvl w:ilvl="0">
      <w:lvlJc w:val="left"/>
      <w:lvlText w:val="(%1)"/>
      <w:numFmt w:val="lowerLetter"/>
      <w:start w:val="1"/>
    </w:lvl>
  </w:abstractNum>
  <w:abstractNum w:abstractNumId="24">
    <w:nsid w:val="1CF10FD8"/>
    <w:multiLevelType w:val="hybridMultilevel"/>
    <w:lvl w:ilvl="0">
      <w:lvlJc w:val="left"/>
      <w:lvlText w:val="(%1)"/>
      <w:numFmt w:val="lowerLetter"/>
      <w:start w:val="2"/>
    </w:lvl>
  </w:abstractNum>
  <w:abstractNum w:abstractNumId="25">
    <w:nsid w:val="180115BE"/>
    <w:multiLevelType w:val="hybridMultilevel"/>
    <w:lvl w:ilvl="0">
      <w:lvlJc w:val="left"/>
      <w:lvlText w:val="(%1)"/>
      <w:numFmt w:val="lowerLetter"/>
      <w:start w:val="6"/>
    </w:lvl>
    <w:lvl w:ilvl="1">
      <w:lvlJc w:val="left"/>
      <w:lvlText w:val="(%2)"/>
      <w:numFmt w:val="lowerRoman"/>
      <w:start w:val="4"/>
    </w:lvl>
  </w:abstractNum>
  <w:abstractNum w:abstractNumId="26">
    <w:nsid w:val="235BA861"/>
    <w:multiLevelType w:val="hybridMultilevel"/>
    <w:lvl w:ilvl="0">
      <w:lvlJc w:val="left"/>
      <w:lvlText w:val="o"/>
      <w:numFmt w:val="bullet"/>
      <w:start w:val="1"/>
    </w:lvl>
  </w:abstractNum>
  <w:abstractNum w:abstractNumId="27">
    <w:nsid w:val="47398C89"/>
    <w:multiLevelType w:val="hybridMultilevel"/>
    <w:lvl w:ilvl="0">
      <w:lvlJc w:val="left"/>
      <w:lvlText w:val="o"/>
      <w:numFmt w:val="bullet"/>
      <w:start w:val="1"/>
    </w:lvl>
  </w:abstractNum>
  <w:abstractNum w:abstractNumId="28">
    <w:nsid w:val="354FE9F9"/>
    <w:multiLevelType w:val="hybridMultilevel"/>
    <w:lvl w:ilvl="0">
      <w:lvlJc w:val="left"/>
      <w:lvlText w:val="o"/>
      <w:numFmt w:val="bullet"/>
      <w:start w:val="1"/>
    </w:lvl>
  </w:abstractNum>
  <w:abstractNum w:abstractNumId="29">
    <w:nsid w:val="15B5AF5C"/>
    <w:multiLevelType w:val="hybridMultilevel"/>
    <w:lvl w:ilvl="0">
      <w:lvlJc w:val="left"/>
      <w:lvlText w:val="o"/>
      <w:numFmt w:val="bullet"/>
      <w:start w:val="1"/>
    </w:lvl>
  </w:abstractNum>
  <w:abstractNum w:abstractNumId="30">
    <w:nsid w:val="741226BB"/>
    <w:multiLevelType w:val="hybridMultilevel"/>
    <w:lvl w:ilvl="0">
      <w:lvlJc w:val="left"/>
      <w:lvlText w:val="o"/>
      <w:numFmt w:val="bullet"/>
      <w:start w:val="1"/>
    </w:lvl>
  </w:abstractNum>
  <w:abstractNum w:abstractNumId="31">
    <w:nsid w:val="D34B6A8"/>
    <w:multiLevelType w:val="hybridMultilevel"/>
    <w:lvl w:ilvl="0">
      <w:lvlJc w:val="left"/>
      <w:lvlText w:val="o"/>
      <w:numFmt w:val="bullet"/>
      <w:start w:val="1"/>
    </w:lvl>
  </w:abstractNum>
  <w:abstractNum w:abstractNumId="32">
    <w:nsid w:val="10233C99"/>
    <w:multiLevelType w:val="hybridMultilevel"/>
    <w:lvl w:ilvl="0">
      <w:lvlJc w:val="left"/>
      <w:lvlText w:val="o"/>
      <w:numFmt w:val="bullet"/>
      <w:start w:val="1"/>
    </w:lvl>
  </w:abstractNum>
  <w:abstractNum w:abstractNumId="33">
    <w:nsid w:val="3F6AB60F"/>
    <w:multiLevelType w:val="hybridMultilevel"/>
    <w:lvl w:ilvl="0">
      <w:lvlJc w:val="left"/>
      <w:lvlText w:val="o"/>
      <w:numFmt w:val="bullet"/>
      <w:start w:val="1"/>
    </w:lvl>
  </w:abstractNum>
  <w:abstractNum w:abstractNumId="34">
    <w:nsid w:val="61574095"/>
    <w:multiLevelType w:val="hybridMultilevel"/>
    <w:lvl w:ilvl="0">
      <w:lvlJc w:val="left"/>
      <w:lvlText w:val="o"/>
      <w:numFmt w:val="bullet"/>
      <w:start w:val="1"/>
    </w:lvl>
  </w:abstractNum>
  <w:abstractNum w:abstractNumId="35">
    <w:nsid w:val="7E0C57B1"/>
    <w:multiLevelType w:val="hybridMultilevel"/>
    <w:lvl w:ilvl="0">
      <w:lvlJc w:val="left"/>
      <w:lvlText w:val="%1."/>
      <w:numFmt w:val="upperLetter"/>
      <w:start w:val="1"/>
    </w:lvl>
  </w:abstractNum>
  <w:abstractNum w:abstractNumId="36">
    <w:nsid w:val="77AE35EB"/>
    <w:multiLevelType w:val="hybridMultilevel"/>
    <w:lvl w:ilvl="0">
      <w:lvlJc w:val="left"/>
      <w:lvlText w:val="%1."/>
      <w:numFmt w:val="upperLetter"/>
      <w:start w:val="2"/>
    </w:lvl>
  </w:abstractNum>
  <w:abstractNum w:abstractNumId="37">
    <w:nsid w:val="579BE4F1"/>
    <w:multiLevelType w:val="hybridMultilevel"/>
    <w:lvl w:ilvl="0">
      <w:lvlJc w:val="left"/>
      <w:lvlText w:val="%1."/>
      <w:numFmt w:val="upperLetter"/>
      <w:start w:val="3"/>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1)"/>
      <w:numFmt w:val="lowerLetter"/>
      <w:start w:val="3"/>
    </w:lvl>
  </w:abstractNum>
  <w:abstractNum w:abstractNumId="40">
    <w:nsid w:val="2F305DEF"/>
    <w:multiLevelType w:val="hybridMultilevel"/>
    <w:lvl w:ilvl="0">
      <w:lvlJc w:val="left"/>
      <w:lvlText w:val="(%1)"/>
      <w:numFmt w:val="lowerLetter"/>
      <w:start w:val="4"/>
    </w:lvl>
  </w:abstractNum>
  <w:abstractNum w:abstractNumId="41">
    <w:nsid w:val="25A70BF7"/>
    <w:multiLevelType w:val="hybridMultilevel"/>
    <w:lvl w:ilvl="0">
      <w:lvlJc w:val="left"/>
      <w:lvlText w:val="(%1)"/>
      <w:numFmt w:val="lowerLetter"/>
      <w:start w:val="5"/>
    </w:lvl>
  </w:abstractNum>
  <w:abstractNum w:abstractNumId="42">
    <w:nsid w:val="1DBABF00"/>
    <w:multiLevelType w:val="hybridMultilevel"/>
    <w:lvl w:ilvl="0">
      <w:lvlJc w:val="left"/>
      <w:lvlText w:val="(%1)"/>
      <w:numFmt w:val="lowerLetter"/>
      <w:start w:val="6"/>
    </w:lvl>
  </w:abstractNum>
  <w:abstractNum w:abstractNumId="43">
    <w:nsid w:val="4AD084E9"/>
    <w:multiLevelType w:val="hybridMultilevel"/>
    <w:lvl w:ilvl="0">
      <w:lvlJc w:val="left"/>
      <w:lvlText w:val="(%1)"/>
      <w:numFmt w:val="lowerLetter"/>
      <w:start w:val="7"/>
    </w:lvl>
  </w:abstractNum>
  <w:abstractNum w:abstractNumId="44">
    <w:nsid w:val="1F48EAA1"/>
    <w:multiLevelType w:val="hybridMultilevel"/>
    <w:lvl w:ilvl="0">
      <w:lvlJc w:val="left"/>
      <w:lvlText w:val="(%1)"/>
      <w:numFmt w:val="lowerLetter"/>
      <w:start w:val="8"/>
    </w:lvl>
  </w:abstractNum>
  <w:abstractNum w:abstractNumId="45">
    <w:nsid w:val="1381823A"/>
    <w:multiLevelType w:val="hybridMultilevel"/>
    <w:lvl w:ilvl="0">
      <w:lvlJc w:val="left"/>
      <w:lvlText w:val="(%1)"/>
      <w:numFmt w:val="lowerRoman"/>
      <w:start w:val="1"/>
    </w:lvl>
  </w:abstractNum>
  <w:abstractNum w:abstractNumId="46">
    <w:nsid w:val="5DB70AE5"/>
    <w:multiLevelType w:val="hybridMultilevel"/>
    <w:lvl w:ilvl="0">
      <w:lvlJc w:val="left"/>
      <w:lvlText w:val="(%1)"/>
      <w:numFmt w:val="lowerLetter"/>
      <w:start w:val="10"/>
    </w:lvl>
  </w:abstractNum>
  <w:abstractNum w:abstractNumId="47">
    <w:nsid w:val="100F8FCA"/>
    <w:multiLevelType w:val="hybridMultilevel"/>
    <w:lvl w:ilvl="0">
      <w:lvlJc w:val="left"/>
      <w:lvlText w:val="(%1)"/>
      <w:numFmt w:val="lowerLetter"/>
      <w:start w:val="11"/>
    </w:lvl>
  </w:abstractNum>
  <w:abstractNum w:abstractNumId="48">
    <w:nsid w:val="6590700B"/>
    <w:multiLevelType w:val="hybridMultilevel"/>
    <w:lvl w:ilvl="0">
      <w:lvlJc w:val="left"/>
      <w:lvlText w:val="(%1)"/>
      <w:numFmt w:val="lowerLetter"/>
      <w:start w:val="12"/>
    </w:lvl>
  </w:abstractNum>
  <w:abstractNum w:abstractNumId="49">
    <w:nsid w:val="15014ACB"/>
    <w:multiLevelType w:val="hybridMultilevel"/>
    <w:lvl w:ilvl="0">
      <w:lvlJc w:val="left"/>
      <w:lvlText w:val="(%1)"/>
      <w:numFmt w:val="lowerLetter"/>
      <w:start w:val="13"/>
    </w:lvl>
  </w:abstractNum>
  <w:abstractNum w:abstractNumId="50">
    <w:nsid w:val="5F5E7FD0"/>
    <w:multiLevelType w:val="hybridMultilevel"/>
    <w:lvl w:ilvl="0">
      <w:lvlJc w:val="left"/>
      <w:lvlText w:val="(%1)"/>
      <w:numFmt w:val="lowerLetter"/>
      <w:start w:val="15"/>
    </w:lvl>
  </w:abstractNum>
  <w:abstractNum w:abstractNumId="51">
    <w:nsid w:val="98A3148"/>
    <w:multiLevelType w:val="hybridMultilevel"/>
    <w:lvl w:ilvl="0">
      <w:lvlJc w:val="left"/>
      <w:lvlText w:val="(%1)"/>
      <w:numFmt w:val="lowerLetter"/>
      <w:start w:val="16"/>
    </w:lvl>
  </w:abstractNum>
  <w:abstractNum w:abstractNumId="52">
    <w:nsid w:val="799D0247"/>
    <w:multiLevelType w:val="hybridMultilevel"/>
    <w:lvl w:ilvl="0">
      <w:lvlJc w:val="left"/>
      <w:lvlText w:val="(%1)"/>
      <w:numFmt w:val="lowerLetter"/>
      <w:start w:val="17"/>
    </w:lvl>
  </w:abstractNum>
  <w:abstractNum w:abstractNumId="53">
    <w:nsid w:val="6B94764"/>
    <w:multiLevelType w:val="hybridMultilevel"/>
    <w:lvl w:ilvl="0">
      <w:lvlJc w:val="left"/>
      <w:lvlText w:val="(%1)"/>
      <w:numFmt w:val="lowerLetter"/>
      <w:start w:val="18"/>
    </w:lvl>
  </w:abstractNum>
  <w:abstractNum w:abstractNumId="54">
    <w:nsid w:val="42C296BD"/>
    <w:multiLevelType w:val="hybridMultilevel"/>
    <w:lvl w:ilvl="0">
      <w:lvlJc w:val="left"/>
      <w:lvlText w:val="(%1)"/>
      <w:numFmt w:val="lowerLetter"/>
      <w:start w:val="19"/>
    </w:lvl>
  </w:abstractNum>
  <w:abstractNum w:abstractNumId="55">
    <w:nsid w:val="168E121F"/>
    <w:multiLevelType w:val="hybridMultilevel"/>
    <w:lvl w:ilvl="0">
      <w:lvlJc w:val="left"/>
      <w:lvlText w:val="(%1)"/>
      <w:numFmt w:val="lowerLetter"/>
      <w:start w:val="20"/>
    </w:lvl>
  </w:abstractNum>
  <w:abstractNum w:abstractNumId="56">
    <w:nsid w:val="1EBA5D23"/>
    <w:multiLevelType w:val="hybridMultilevel"/>
    <w:lvl w:ilvl="0">
      <w:lvlJc w:val="left"/>
      <w:lvlText w:val="%1."/>
      <w:numFmt w:val="decimal"/>
      <w:start w:val="3"/>
    </w:lvl>
  </w:abstractNum>
  <w:abstractNum w:abstractNumId="57">
    <w:nsid w:val="661E3F1E"/>
    <w:multiLevelType w:val="hybridMultilevel"/>
    <w:lvl w:ilvl="0">
      <w:lvlJc w:val="left"/>
      <w:lvlText w:val="(%1)"/>
      <w:numFmt w:val="lowerLetter"/>
      <w:start w:val="1"/>
    </w:lvl>
  </w:abstractNum>
  <w:abstractNum w:abstractNumId="58">
    <w:nsid w:val="5DC79EA8"/>
    <w:multiLevelType w:val="hybridMultilevel"/>
    <w:lvl w:ilvl="0">
      <w:lvlJc w:val="left"/>
      <w:lvlText w:val="(%1)"/>
      <w:numFmt w:val="lowerLetter"/>
      <w:start w:val="3"/>
    </w:lvl>
  </w:abstractNum>
  <w:abstractNum w:abstractNumId="59">
    <w:nsid w:val="540A471C"/>
    <w:multiLevelType w:val="hybridMultilevel"/>
    <w:lvl w:ilvl="0">
      <w:lvlJc w:val="left"/>
      <w:lvlText w:val="(%1)"/>
      <w:numFmt w:val="lowerLetter"/>
      <w:start w:val="4"/>
    </w:lvl>
  </w:abstractNum>
  <w:abstractNum w:abstractNumId="60">
    <w:nsid w:val="7BD3EE7B"/>
    <w:multiLevelType w:val="hybridMultilevel"/>
    <w:lvl w:ilvl="0">
      <w:lvlJc w:val="left"/>
      <w:lvlText w:val="(%1)"/>
      <w:numFmt w:val="lowerLetter"/>
      <w:start w:val="6"/>
    </w:lvl>
  </w:abstractNum>
  <w:abstractNum w:abstractNumId="61">
    <w:nsid w:val="51D9C564"/>
    <w:multiLevelType w:val="hybridMultilevel"/>
    <w:lvl w:ilvl="0">
      <w:lvlJc w:val="left"/>
      <w:lvlText w:val="%1."/>
      <w:numFmt w:val="decimal"/>
      <w:start w:val="7"/>
    </w:lvl>
  </w:abstractNum>
  <w:abstractNum w:abstractNumId="62">
    <w:nsid w:val="613EFDC5"/>
    <w:multiLevelType w:val="hybridMultilevel"/>
    <w:lvl w:ilvl="0">
      <w:lvlJc w:val="left"/>
      <w:lvlText w:val="%1."/>
      <w:numFmt w:val="decimal"/>
      <w:start w:val="8"/>
    </w:lvl>
  </w:abstractNum>
  <w:abstractNum w:abstractNumId="63">
    <w:nsid w:val="BF72B14"/>
    <w:multiLevelType w:val="hybridMultilevel"/>
    <w:lvl w:ilvl="0">
      <w:lvlJc w:val="left"/>
      <w:lvlText w:val="%1."/>
      <w:numFmt w:val="decimal"/>
      <w:start w:val="9"/>
    </w:lvl>
  </w:abstractNum>
  <w:abstractNum w:abstractNumId="64">
    <w:nsid w:val="11447B73"/>
    <w:multiLevelType w:val="hybridMultilevel"/>
    <w:lvl w:ilvl="0">
      <w:lvlJc w:val="left"/>
      <w:lvlText w:val="%1."/>
      <w:numFmt w:val="decimal"/>
      <w:start w:val="15"/>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1)"/>
      <w:numFmt w:val="lowerLetter"/>
      <w:start w:val="2"/>
    </w:lvl>
  </w:abstractNum>
  <w:abstractNum w:abstractNumId="67">
    <w:nsid w:val="8F2B15E"/>
    <w:multiLevelType w:val="hybridMultilevel"/>
    <w:lvl w:ilvl="0">
      <w:lvlJc w:val="left"/>
      <w:lvlText w:val="%1)"/>
      <w:numFmt w:val="lowerLetter"/>
      <w:start w:val="3"/>
    </w:lvl>
  </w:abstractNum>
  <w:abstractNum w:abstractNumId="68">
    <w:nsid w:val="1A32234B"/>
    <w:multiLevelType w:val="hybridMultilevel"/>
    <w:lvl w:ilvl="0">
      <w:lvlJc w:val="left"/>
      <w:lvlText w:val="%1)"/>
      <w:numFmt w:val="lowerLetter"/>
      <w:start w:val="4"/>
    </w:lvl>
  </w:abstractNum>
  <w:abstractNum w:abstractNumId="69">
    <w:nsid w:val="3B0FD379"/>
    <w:multiLevelType w:val="hybridMultilevel"/>
    <w:lvl w:ilvl="0">
      <w:lvlJc w:val="left"/>
      <w:lvlText w:val="%1)"/>
      <w:numFmt w:val="lowerLetter"/>
      <w:start w:val="5"/>
    </w:lvl>
  </w:abstractNum>
  <w:abstractNum w:abstractNumId="70">
    <w:nsid w:val="68EB2F63"/>
    <w:multiLevelType w:val="hybridMultilevel"/>
    <w:lvl w:ilvl="0">
      <w:lvlJc w:val="left"/>
      <w:lvlText w:val="%1)"/>
      <w:numFmt w:val="lowerLetter"/>
      <w:start w:val="6"/>
    </w:lvl>
  </w:abstractNum>
  <w:abstractNum w:abstractNumId="71">
    <w:nsid w:val="4962813B"/>
    <w:multiLevelType w:val="hybridMultilevel"/>
    <w:lvl w:ilvl="0">
      <w:lvlJc w:val="left"/>
      <w:lvlText w:val="%1)"/>
      <w:numFmt w:val="lowerLetter"/>
      <w:start w:val="7"/>
    </w:lvl>
  </w:abstractNum>
  <w:abstractNum w:abstractNumId="72">
    <w:nsid w:val="60B6DF70"/>
    <w:multiLevelType w:val="hybridMultilevel"/>
    <w:lvl w:ilvl="0">
      <w:lvlJc w:val="left"/>
      <w:lvlText w:val="%1)"/>
      <w:numFmt w:val="lowerLetter"/>
      <w:start w:val="8"/>
    </w:lvl>
  </w:abstractNum>
  <w:abstractNum w:abstractNumId="73">
    <w:nsid w:val="6A5EE64"/>
    <w:multiLevelType w:val="hybridMultilevel"/>
    <w:lvl w:ilvl="0">
      <w:lvlJc w:val="left"/>
      <w:lvlText w:val="%1)"/>
      <w:numFmt w:val="lowerRoman"/>
      <w:start w:val="1"/>
    </w:lvl>
  </w:abstractNum>
  <w:abstractNum w:abstractNumId="74">
    <w:nsid w:val="14330624"/>
    <w:multiLevelType w:val="hybridMultilevel"/>
    <w:lvl w:ilvl="0">
      <w:lvlJc w:val="left"/>
      <w:lvlText w:val="%1)"/>
      <w:numFmt w:val="lowerLetter"/>
      <w:start w:val="10"/>
    </w:lvl>
  </w:abstractNum>
  <w:abstractNum w:abstractNumId="75">
    <w:nsid w:val="7FFFCA11"/>
    <w:multiLevelType w:val="hybridMultilevel"/>
    <w:lvl w:ilvl="0">
      <w:lvlJc w:val="left"/>
      <w:lvlText w:val="%1)"/>
      <w:numFmt w:val="lowerLetter"/>
      <w:start w:val="11"/>
    </w:lvl>
  </w:abstractNum>
  <w:abstractNum w:abstractNumId="76">
    <w:nsid w:val="1A27709E"/>
    <w:multiLevelType w:val="hybridMultilevel"/>
    <w:lvl w:ilvl="0">
      <w:lvlJc w:val="left"/>
      <w:lvlText w:val="%1)"/>
      <w:numFmt w:val="lowerLetter"/>
      <w:start w:val="12"/>
    </w:lvl>
  </w:abstractNum>
  <w:abstractNum w:abstractNumId="77">
    <w:nsid w:val="71EA1109"/>
    <w:multiLevelType w:val="hybridMultilevel"/>
    <w:lvl w:ilvl="0">
      <w:lvlJc w:val="left"/>
      <w:lvlText w:val="%1)"/>
      <w:numFmt w:val="lowerLetter"/>
      <w:start w:val="13"/>
    </w:lvl>
  </w:abstractNum>
  <w:abstractNum w:abstractNumId="78">
    <w:nsid w:val="100F59DC"/>
    <w:multiLevelType w:val="hybridMultilevel"/>
    <w:lvl w:ilvl="0">
      <w:lvlJc w:val="left"/>
      <w:lvlText w:val="%1."/>
      <w:numFmt w:val="decimal"/>
      <w:start w:val="16"/>
    </w:lvl>
  </w:abstractNum>
  <w:abstractNum w:abstractNumId="79">
    <w:nsid w:val="7FB7E0AA"/>
    <w:multiLevelType w:val="hybridMultilevel"/>
    <w:lvl w:ilvl="0">
      <w:lvlJc w:val="left"/>
      <w:lvlText w:val="%1."/>
      <w:numFmt w:val="decimal"/>
      <w:start w:val="1"/>
    </w:lvl>
    <w:lvl w:ilvl="1">
      <w:lvlJc w:val="left"/>
      <w:lvlText w:val="%2)"/>
      <w:numFmt w:val="lowerLetter"/>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1."/>
      <w:numFmt w:val="decimal"/>
      <w:start w:val="1"/>
    </w:lvl>
    <w:lvl w:ilvl="1">
      <w:lvlJc w:val="left"/>
      <w:lvlText w:val="%2)"/>
      <w:numFmt w:val="lowerLetter"/>
      <w:start w:val="1"/>
    </w:lvl>
  </w:abstractNum>
  <w:abstractNum w:abstractNumId="83">
    <w:nsid w:val="885E1B"/>
    <w:multiLevelType w:val="hybridMultilevel"/>
    <w:lvl w:ilvl="0">
      <w:lvlJc w:val="left"/>
      <w:lvlText w:val="%1)"/>
      <w:numFmt w:val="lowerLetter"/>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
      <w:numFmt w:val="bullet"/>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2019-12-14T20:47:42Z</dcterms:created>
  <dcterms:modified xsi:type="dcterms:W3CDTF">2019-12-14T20:47:42Z</dcterms:modified>
</cp:coreProperties>
</file>