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ICON plc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American Depositary Shares, representing Ordinary Shares</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45103T107</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December 31, 2004</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 Rule 13d-1(b)</w:t>
      </w:r>
    </w:p>
    <w:p>
      <w:pPr>
        <w:spacing w:after="0" w:line="20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 Rule 13d-1(c)</w:t>
      </w:r>
    </w:p>
    <w:p>
      <w:pPr>
        <w:spacing w:after="0" w:line="20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[X] Rule 13d-1(d)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p>
      <w:pPr>
        <w:ind w:left="860" w:hanging="852"/>
        <w:spacing w:after="0"/>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Dr. John Climax</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 (ENTITIES ONLY): n/a</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852" w:right="1440" w:bottom="0" w:gutter="0" w:footer="0" w:header="0"/>
        </w:sectPr>
      </w:pP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CHECK THE APPROXIMATE BOX IF A MEMBER OF A GROUP</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 [ ]</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(b) [ ]</w:t>
      </w:r>
    </w:p>
    <w:p>
      <w:pPr>
        <w:spacing w:after="0" w:line="200" w:lineRule="exact"/>
        <w:rPr>
          <w:sz w:val="24"/>
          <w:szCs w:val="24"/>
          <w:color w:val="auto"/>
        </w:rPr>
      </w:pPr>
    </w:p>
    <w:p>
      <w:pPr>
        <w:sectPr>
          <w:pgSz w:w="11900" w:h="16838" w:orient="portrait"/>
          <w:cols w:equalWidth="0" w:num="3">
            <w:col w:w="140" w:space="720"/>
            <w:col w:w="5280" w:space="720"/>
            <w:col w:w="3359"/>
          </w:cols>
          <w:pgMar w:left="240" w:top="852" w:right="1440" w:bottom="0" w:gutter="0" w:footer="0" w:header="0"/>
          <w:type w:val="continuous"/>
        </w:sectPr>
      </w:pPr>
    </w:p>
    <w:p>
      <w:pPr>
        <w:spacing w:after="0" w:line="24" w:lineRule="exact"/>
        <w:rPr>
          <w:sz w:val="24"/>
          <w:szCs w:val="24"/>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6"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CITIZENSHIP OR PLACE OF ORGANIZATION:</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Republic of Ireland</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tbl>
      <w:tblPr>
        <w:tblLayout w:type="fixed"/>
        <w:tblInd w:w="740" w:type="dxa"/>
        <w:tblCellMar>
          <w:top w:w="0" w:type="dxa"/>
          <w:left w:w="0" w:type="dxa"/>
          <w:bottom w:w="0" w:type="dxa"/>
          <w:right w:w="0" w:type="dxa"/>
        </w:tblCellMar>
      </w:tblPr>
      <w:tr>
        <w:trPr>
          <w:trHeight w:val="204"/>
        </w:trPr>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w:t>
            </w:r>
          </w:p>
        </w:tc>
        <w:tc>
          <w:tcPr>
            <w:tcW w:w="226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NUMBER</w:t>
            </w:r>
          </w:p>
        </w:tc>
        <w:tc>
          <w:tcPr>
            <w:tcW w:w="900" w:type="dxa"/>
            <w:vAlign w:val="bottom"/>
          </w:tcPr>
          <w:p>
            <w:pPr>
              <w:ind w:left="40"/>
              <w:spacing w:after="0"/>
              <w:rPr>
                <w:sz w:val="20"/>
                <w:szCs w:val="20"/>
                <w:color w:val="auto"/>
              </w:rPr>
            </w:pPr>
            <w:r>
              <w:rPr>
                <w:rFonts w:ascii="Courier New" w:cs="Courier New" w:eastAsia="Courier New" w:hAnsi="Courier New"/>
                <w:sz w:val="18"/>
                <w:szCs w:val="18"/>
                <w:color w:val="auto"/>
              </w:rPr>
              <w:t>OF</w:t>
            </w:r>
          </w:p>
        </w:tc>
        <w:tc>
          <w:tcPr>
            <w:tcW w:w="780" w:type="dxa"/>
            <w:vAlign w:val="bottom"/>
          </w:tcPr>
          <w:p>
            <w:pPr>
              <w:spacing w:after="0"/>
              <w:rPr>
                <w:sz w:val="24"/>
                <w:szCs w:val="24"/>
                <w:color w:val="auto"/>
              </w:rPr>
            </w:pPr>
          </w:p>
        </w:tc>
        <w:tc>
          <w:tcPr>
            <w:tcW w:w="2260" w:type="dxa"/>
            <w:vAlign w:val="bottom"/>
          </w:tcPr>
          <w:p>
            <w:pPr>
              <w:ind w:left="260"/>
              <w:spacing w:after="0"/>
              <w:rPr>
                <w:sz w:val="20"/>
                <w:szCs w:val="20"/>
                <w:color w:val="auto"/>
              </w:rPr>
            </w:pPr>
            <w:r>
              <w:rPr>
                <w:rFonts w:ascii="Courier New" w:cs="Courier New" w:eastAsia="Courier New" w:hAnsi="Courier New"/>
                <w:sz w:val="18"/>
                <w:szCs w:val="18"/>
                <w:color w:val="auto"/>
              </w:rPr>
              <w:t>1,571,892</w:t>
            </w:r>
          </w:p>
        </w:tc>
      </w:tr>
      <w:tr>
        <w:trPr>
          <w:trHeight w:val="203"/>
        </w:trPr>
        <w:tc>
          <w:tcPr>
            <w:tcW w:w="1700" w:type="dxa"/>
            <w:vAlign w:val="bottom"/>
            <w:gridSpan w:val="2"/>
          </w:tcPr>
          <w:p>
            <w:pPr>
              <w:jc w:val="center"/>
              <w:ind w:right="332"/>
              <w:spacing w:after="0" w:line="203" w:lineRule="exact"/>
              <w:rPr>
                <w:sz w:val="20"/>
                <w:szCs w:val="20"/>
                <w:color w:val="auto"/>
              </w:rPr>
            </w:pPr>
            <w:r>
              <w:rPr>
                <w:rFonts w:ascii="Courier New" w:cs="Courier New" w:eastAsia="Courier New" w:hAnsi="Courier New"/>
                <w:sz w:val="18"/>
                <w:szCs w:val="18"/>
                <w:color w:val="auto"/>
                <w:w w:val="98"/>
              </w:rPr>
              <w:t>SHARES</w:t>
            </w:r>
          </w:p>
        </w:tc>
        <w:tc>
          <w:tcPr>
            <w:tcW w:w="78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1700" w:type="dxa"/>
            <w:vAlign w:val="bottom"/>
            <w:gridSpan w:val="2"/>
          </w:tcPr>
          <w:p>
            <w:pPr>
              <w:jc w:val="center"/>
              <w:ind w:right="35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w:t>
            </w:r>
          </w:p>
        </w:tc>
        <w:tc>
          <w:tcPr>
            <w:tcW w:w="22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VOTING POWER</w:t>
            </w:r>
          </w:p>
        </w:tc>
      </w:tr>
      <w:tr>
        <w:trPr>
          <w:trHeight w:val="203"/>
        </w:trPr>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OWNED</w:t>
            </w:r>
          </w:p>
        </w:tc>
        <w:tc>
          <w:tcPr>
            <w:tcW w:w="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BY</w:t>
            </w:r>
          </w:p>
        </w:tc>
        <w:tc>
          <w:tcPr>
            <w:tcW w:w="780" w:type="dxa"/>
            <w:vAlign w:val="bottom"/>
          </w:tcPr>
          <w:p>
            <w:pPr>
              <w:spacing w:after="0"/>
              <w:rPr>
                <w:sz w:val="17"/>
                <w:szCs w:val="17"/>
                <w:color w:val="auto"/>
              </w:rPr>
            </w:pPr>
          </w:p>
        </w:tc>
        <w:tc>
          <w:tcPr>
            <w:tcW w:w="2260" w:type="dxa"/>
            <w:vAlign w:val="bottom"/>
          </w:tcPr>
          <w:p>
            <w:pPr>
              <w:spacing w:after="0"/>
              <w:rPr>
                <w:sz w:val="17"/>
                <w:szCs w:val="17"/>
                <w:color w:val="auto"/>
              </w:rPr>
            </w:pPr>
          </w:p>
        </w:tc>
      </w:tr>
    </w:tbl>
    <w:p>
      <w:pPr>
        <w:sectPr>
          <w:pgSz w:w="11900" w:h="16838" w:orient="portrait"/>
          <w:cols w:equalWidth="0" w:num="1">
            <w:col w:w="10219"/>
          </w:cols>
          <w:pgMar w:left="240" w:top="852" w:right="1440" w:bottom="0" w:gutter="0" w:footer="0" w:header="0"/>
          <w:type w:val="continuous"/>
        </w:sectPr>
      </w:pPr>
    </w:p>
    <w:bookmarkStart w:id="1" w:name="page2"/>
    <w:bookmarkEnd w:id="1"/>
    <w:p>
      <w:pPr>
        <w:ind w:left="1160"/>
        <w:spacing w:after="0"/>
        <w:tabs>
          <w:tab w:leader="none" w:pos="3460" w:val="left"/>
        </w:tabs>
        <w:rPr>
          <w:sz w:val="20"/>
          <w:szCs w:val="20"/>
          <w:color w:val="auto"/>
        </w:rPr>
      </w:pPr>
      <w:r>
        <w:rPr>
          <w:rFonts w:ascii="Courier New" w:cs="Courier New" w:eastAsia="Courier New" w:hAnsi="Courier New"/>
          <w:sz w:val="18"/>
          <w:szCs w:val="18"/>
          <w:color w:val="auto"/>
        </w:rPr>
        <w:t>EACH</w:t>
      </w:r>
      <w:r>
        <w:rPr>
          <w:sz w:val="20"/>
          <w:szCs w:val="20"/>
          <w:color w:val="auto"/>
        </w:rPr>
        <w:tab/>
      </w:r>
      <w:r>
        <w:rPr>
          <w:rFonts w:ascii="Courier New" w:cs="Courier New" w:eastAsia="Courier New" w:hAnsi="Courier New"/>
          <w:sz w:val="18"/>
          <w:szCs w:val="18"/>
          <w:color w:val="auto"/>
        </w:rPr>
        <w:t>0</w:t>
      </w:r>
    </w:p>
    <w:p>
      <w:pPr>
        <w:ind w:left="860"/>
        <w:spacing w:after="0" w:line="238" w:lineRule="auto"/>
        <w:rPr>
          <w:sz w:val="20"/>
          <w:szCs w:val="20"/>
          <w:color w:val="auto"/>
        </w:rPr>
      </w:pPr>
      <w:r>
        <w:rPr>
          <w:rFonts w:ascii="Courier New" w:cs="Courier New" w:eastAsia="Courier New" w:hAnsi="Courier New"/>
          <w:sz w:val="18"/>
          <w:szCs w:val="18"/>
          <w:color w:val="auto"/>
        </w:rPr>
        <w:t>REPORTING</w:t>
      </w:r>
    </w:p>
    <w:p>
      <w:pPr>
        <w:ind w:left="740"/>
        <w:spacing w:after="0"/>
        <w:tabs>
          <w:tab w:leader="none" w:pos="2840" w:val="left"/>
          <w:tab w:leader="none" w:pos="3460" w:val="left"/>
        </w:tabs>
        <w:rPr>
          <w:sz w:val="20"/>
          <w:szCs w:val="20"/>
          <w:color w:val="auto"/>
        </w:rPr>
      </w:pPr>
      <w:r>
        <w:rPr>
          <w:rFonts w:ascii="Courier New" w:cs="Courier New" w:eastAsia="Courier New" w:hAnsi="Courier New"/>
          <w:sz w:val="18"/>
          <w:szCs w:val="18"/>
          <w:color w:val="auto"/>
        </w:rPr>
        <w:t>PERSON WITH</w:t>
      </w:r>
      <w:r>
        <w:rPr>
          <w:sz w:val="20"/>
          <w:szCs w:val="20"/>
          <w:color w:val="auto"/>
        </w:rPr>
        <w:tab/>
      </w: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6"/>
          <w:szCs w:val="16"/>
          <w:color w:val="auto"/>
        </w:rPr>
        <w:t>SOLE DISPOSITIVE POWER</w:t>
      </w:r>
    </w:p>
    <w:p>
      <w:pPr>
        <w:spacing w:after="0" w:line="200"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1,571,892</w:t>
      </w:r>
    </w:p>
    <w:p>
      <w:pPr>
        <w:spacing w:after="0" w:line="207" w:lineRule="exact"/>
        <w:rPr>
          <w:sz w:val="20"/>
          <w:szCs w:val="20"/>
          <w:color w:val="auto"/>
        </w:rPr>
      </w:pPr>
    </w:p>
    <w:p>
      <w:pPr>
        <w:ind w:left="3480" w:right="4199" w:hanging="628"/>
        <w:spacing w:after="0" w:line="470" w:lineRule="auto"/>
        <w:tabs>
          <w:tab w:leader="none" w:pos="348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1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jc w:val="center"/>
        <w:ind w:right="1679"/>
        <w:spacing w:after="0" w:line="238" w:lineRule="auto"/>
        <w:rPr>
          <w:sz w:val="20"/>
          <w:szCs w:val="20"/>
          <w:color w:val="auto"/>
        </w:rPr>
      </w:pPr>
      <w:r>
        <w:rPr>
          <w:rFonts w:ascii="Courier New" w:cs="Courier New" w:eastAsia="Courier New" w:hAnsi="Courier New"/>
          <w:sz w:val="18"/>
          <w:szCs w:val="18"/>
          <w:color w:val="auto"/>
        </w:rPr>
        <w:t>1,571,892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tabs>
          <w:tab w:leader="none" w:pos="840" w:val="left"/>
          <w:tab w:leader="none" w:pos="7880" w:val="left"/>
        </w:tabs>
        <w:rPr>
          <w:sz w:val="20"/>
          <w:szCs w:val="20"/>
          <w:color w:val="auto"/>
        </w:rPr>
      </w:pPr>
      <w:r>
        <w:rPr>
          <w:rFonts w:ascii="Courier New" w:cs="Courier New" w:eastAsia="Courier New" w:hAnsi="Courier New"/>
          <w:sz w:val="18"/>
          <w:szCs w:val="18"/>
          <w:color w:val="auto"/>
        </w:rPr>
        <w:t>10</w:t>
      </w:r>
      <w:r>
        <w:rPr>
          <w:sz w:val="20"/>
          <w:szCs w:val="20"/>
          <w:color w:val="auto"/>
        </w:rPr>
        <w:tab/>
      </w:r>
      <w:r>
        <w:rPr>
          <w:rFonts w:ascii="Courier New" w:cs="Courier New" w:eastAsia="Courier New" w:hAnsi="Courier New"/>
          <w:sz w:val="18"/>
          <w:szCs w:val="18"/>
          <w:color w:val="auto"/>
        </w:rPr>
        <w:t>CHECK BOX IF AGGREGATE AMOUNT IN ROW (9) EXCLUDES CERTAIN SHARES</w:t>
      </w:r>
      <w:r>
        <w:rPr>
          <w:sz w:val="20"/>
          <w:szCs w:val="20"/>
          <w:color w:val="auto"/>
        </w:rPr>
        <w:tab/>
      </w:r>
      <w:r>
        <w:rPr>
          <w:rFonts w:ascii="Courier New" w:cs="Courier New" w:eastAsia="Courier New" w:hAnsi="Courier New"/>
          <w:sz w:val="16"/>
          <w:szCs w:val="16"/>
          <w:color w:val="auto"/>
        </w:rPr>
        <w:t>[ ]</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tabs>
          <w:tab w:leader="none" w:pos="840" w:val="left"/>
          <w:tab w:leader="none" w:pos="726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8"/>
          <w:szCs w:val="18"/>
          <w:color w:val="auto"/>
        </w:rPr>
        <w:t>PERCENT OF CLASS REPRESENTED BY AMOUNT IN ROW (9):</w:t>
      </w:r>
      <w:r>
        <w:rPr>
          <w:sz w:val="20"/>
          <w:szCs w:val="20"/>
          <w:color w:val="auto"/>
        </w:rPr>
        <w:tab/>
      </w:r>
      <w:r>
        <w:rPr>
          <w:rFonts w:ascii="Courier New" w:cs="Courier New" w:eastAsia="Courier New" w:hAnsi="Courier New"/>
          <w:sz w:val="16"/>
          <w:szCs w:val="16"/>
          <w:color w:val="auto"/>
        </w:rPr>
        <w:t>11.3%</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TYPE OF REPORTING PERSON:</w:t>
      </w:r>
    </w:p>
    <w:p>
      <w:pPr>
        <w:ind w:left="4640"/>
        <w:spacing w:after="0" w:line="238" w:lineRule="auto"/>
        <w:rPr>
          <w:sz w:val="20"/>
          <w:szCs w:val="20"/>
          <w:color w:val="auto"/>
        </w:rPr>
      </w:pPr>
      <w:r>
        <w:rPr>
          <w:rFonts w:ascii="Courier New" w:cs="Courier New" w:eastAsia="Courier New" w:hAnsi="Courier New"/>
          <w:sz w:val="18"/>
          <w:szCs w:val="18"/>
          <w:color w:val="auto"/>
        </w:rPr>
        <w:t>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36"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1580" w:hanging="624"/>
        <w:spacing w:after="0"/>
        <w:tabs>
          <w:tab w:leader="none" w:pos="15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1" w:lineRule="exact"/>
        <w:rPr>
          <w:rFonts w:ascii="Courier New" w:cs="Courier New" w:eastAsia="Courier New" w:hAnsi="Courier New"/>
          <w:sz w:val="18"/>
          <w:szCs w:val="18"/>
          <w:color w:val="auto"/>
        </w:rPr>
      </w:pPr>
    </w:p>
    <w:p>
      <w:pPr>
        <w:ind w:left="15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The name of the issuer is ICON plc (the "Issuer").</w:t>
      </w:r>
    </w:p>
    <w:p>
      <w:pPr>
        <w:spacing w:after="0" w:line="201" w:lineRule="exact"/>
        <w:rPr>
          <w:rFonts w:ascii="Courier New" w:cs="Courier New" w:eastAsia="Courier New" w:hAnsi="Courier New"/>
          <w:sz w:val="18"/>
          <w:szCs w:val="18"/>
          <w:color w:val="auto"/>
        </w:rPr>
      </w:pPr>
    </w:p>
    <w:p>
      <w:pPr>
        <w:ind w:left="1580" w:hanging="624"/>
        <w:spacing w:after="0"/>
        <w:tabs>
          <w:tab w:leader="none" w:pos="15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6" w:lineRule="exact"/>
        <w:rPr>
          <w:rFonts w:ascii="Courier New" w:cs="Courier New" w:eastAsia="Courier New" w:hAnsi="Courier New"/>
          <w:sz w:val="18"/>
          <w:szCs w:val="18"/>
          <w:color w:val="auto"/>
        </w:rPr>
      </w:pPr>
    </w:p>
    <w:p>
      <w:pPr>
        <w:ind w:left="1580" w:right="219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principal executive offices of the Issuer are located at South County Business Park, Leopardstown, Dublin 18, Ireland.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1580" w:hanging="624"/>
        <w:spacing w:after="0"/>
        <w:tabs>
          <w:tab w:leader="none" w:pos="15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206" w:lineRule="exact"/>
        <w:rPr>
          <w:rFonts w:ascii="Courier New" w:cs="Courier New" w:eastAsia="Courier New" w:hAnsi="Courier New"/>
          <w:sz w:val="18"/>
          <w:szCs w:val="18"/>
          <w:color w:val="auto"/>
        </w:rPr>
      </w:pPr>
    </w:p>
    <w:p>
      <w:pPr>
        <w:ind w:left="1580"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This Schedule 13G Statement (this "Statement") is hereby filed by Dr. John Climax.</w:t>
      </w:r>
    </w:p>
    <w:p>
      <w:pPr>
        <w:spacing w:after="0" w:line="202" w:lineRule="exact"/>
        <w:rPr>
          <w:rFonts w:ascii="Courier New" w:cs="Courier New" w:eastAsia="Courier New" w:hAnsi="Courier New"/>
          <w:sz w:val="18"/>
          <w:szCs w:val="18"/>
          <w:color w:val="auto"/>
        </w:rPr>
      </w:pPr>
    </w:p>
    <w:p>
      <w:pPr>
        <w:ind w:left="1580" w:hanging="624"/>
        <w:spacing w:after="0"/>
        <w:tabs>
          <w:tab w:leader="none" w:pos="15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w:t>
      </w:r>
    </w:p>
    <w:p>
      <w:pPr>
        <w:spacing w:after="0" w:line="206" w:lineRule="exact"/>
        <w:rPr>
          <w:rFonts w:ascii="Courier New" w:cs="Courier New" w:eastAsia="Courier New" w:hAnsi="Courier New"/>
          <w:sz w:val="18"/>
          <w:szCs w:val="18"/>
          <w:color w:val="auto"/>
        </w:rPr>
      </w:pPr>
    </w:p>
    <w:p>
      <w:pPr>
        <w:ind w:left="1580" w:right="44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South County Business Park, Leopardstown Dublin, Ireland</w:t>
      </w:r>
    </w:p>
    <w:p>
      <w:pPr>
        <w:spacing w:after="0" w:line="208" w:lineRule="exact"/>
        <w:rPr>
          <w:rFonts w:ascii="Courier New" w:cs="Courier New" w:eastAsia="Courier New" w:hAnsi="Courier New"/>
          <w:sz w:val="18"/>
          <w:szCs w:val="18"/>
          <w:color w:val="auto"/>
        </w:rPr>
      </w:pPr>
    </w:p>
    <w:p>
      <w:pPr>
        <w:ind w:left="1580" w:right="6639" w:hanging="624"/>
        <w:spacing w:after="0" w:line="536" w:lineRule="auto"/>
        <w:tabs>
          <w:tab w:leader="none" w:pos="158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Republic of Ireland</w:t>
      </w:r>
    </w:p>
    <w:p>
      <w:pPr>
        <w:ind w:left="1580" w:hanging="624"/>
        <w:spacing w:after="0"/>
        <w:tabs>
          <w:tab w:leader="none" w:pos="15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1" w:lineRule="exact"/>
        <w:rPr>
          <w:rFonts w:ascii="Courier New" w:cs="Courier New" w:eastAsia="Courier New" w:hAnsi="Courier New"/>
          <w:sz w:val="18"/>
          <w:szCs w:val="18"/>
          <w:color w:val="auto"/>
        </w:rPr>
      </w:pPr>
    </w:p>
    <w:p>
      <w:pPr>
        <w:ind w:left="15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American Depositary Shares, representing Ordinary Shares.</w:t>
      </w:r>
    </w:p>
    <w:p>
      <w:pPr>
        <w:spacing w:after="0" w:line="201" w:lineRule="exact"/>
        <w:rPr>
          <w:rFonts w:ascii="Courier New" w:cs="Courier New" w:eastAsia="Courier New" w:hAnsi="Courier New"/>
          <w:sz w:val="18"/>
          <w:szCs w:val="18"/>
          <w:color w:val="auto"/>
        </w:rPr>
      </w:pPr>
    </w:p>
    <w:p>
      <w:pPr>
        <w:ind w:left="1580" w:hanging="624"/>
        <w:spacing w:after="0"/>
        <w:tabs>
          <w:tab w:leader="none" w:pos="15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45103T107</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860" w:right="2099" w:hanging="842"/>
        <w:spacing w:after="0" w:line="235" w:lineRule="auto"/>
        <w:rPr>
          <w:sz w:val="20"/>
          <w:szCs w:val="20"/>
          <w:color w:val="auto"/>
        </w:rPr>
      </w:pPr>
      <w:r>
        <w:rPr>
          <w:rFonts w:ascii="Courier New" w:cs="Courier New" w:eastAsia="Courier New" w:hAnsi="Courier New"/>
          <w:sz w:val="18"/>
          <w:szCs w:val="18"/>
          <w:color w:val="auto"/>
        </w:rPr>
        <w:t>Item 3. If this statement is filed pursuant to Rules 13d-1(b), or 13d-2(b) or (c), check whether the person filing is a:</w:t>
      </w:r>
    </w:p>
    <w:p>
      <w:pPr>
        <w:spacing w:after="0" w:line="208" w:lineRule="exact"/>
        <w:rPr>
          <w:sz w:val="20"/>
          <w:szCs w:val="20"/>
          <w:color w:val="auto"/>
        </w:rPr>
      </w:pPr>
    </w:p>
    <w:p>
      <w:pPr>
        <w:ind w:left="2000" w:right="3259" w:hanging="1044"/>
        <w:spacing w:after="0" w:line="235" w:lineRule="auto"/>
        <w:tabs>
          <w:tab w:leader="none" w:pos="157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 78o);</w:t>
      </w:r>
    </w:p>
    <w:p>
      <w:pPr>
        <w:spacing w:after="0" w:line="208" w:lineRule="exact"/>
        <w:rPr>
          <w:rFonts w:ascii="Courier New" w:cs="Courier New" w:eastAsia="Courier New" w:hAnsi="Courier New"/>
          <w:sz w:val="18"/>
          <w:szCs w:val="18"/>
          <w:color w:val="auto"/>
        </w:rPr>
      </w:pPr>
    </w:p>
    <w:p>
      <w:pPr>
        <w:ind w:left="2000" w:right="3039" w:hanging="1044"/>
        <w:spacing w:after="0" w:line="235" w:lineRule="auto"/>
        <w:tabs>
          <w:tab w:leader="none" w:pos="157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 (15 U.S.C. 78c);</w:t>
      </w:r>
    </w:p>
    <w:p>
      <w:pPr>
        <w:spacing w:after="0" w:line="208" w:lineRule="exact"/>
        <w:rPr>
          <w:rFonts w:ascii="Courier New" w:cs="Courier New" w:eastAsia="Courier New" w:hAnsi="Courier New"/>
          <w:sz w:val="18"/>
          <w:szCs w:val="18"/>
          <w:color w:val="auto"/>
        </w:rPr>
      </w:pPr>
    </w:p>
    <w:p>
      <w:pPr>
        <w:ind w:left="2000" w:right="3159" w:hanging="1044"/>
        <w:spacing w:after="0" w:line="235" w:lineRule="auto"/>
        <w:tabs>
          <w:tab w:leader="none" w:pos="157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208" w:lineRule="exact"/>
        <w:rPr>
          <w:rFonts w:ascii="Courier New" w:cs="Courier New" w:eastAsia="Courier New" w:hAnsi="Courier New"/>
          <w:sz w:val="18"/>
          <w:szCs w:val="18"/>
          <w:color w:val="auto"/>
        </w:rPr>
      </w:pPr>
    </w:p>
    <w:p>
      <w:pPr>
        <w:ind w:left="2000" w:right="2739" w:hanging="1044"/>
        <w:spacing w:after="0" w:line="290" w:lineRule="auto"/>
        <w:tabs>
          <w:tab w:leader="none" w:pos="1579"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Investment company registered under Section 8 of the Investment Company Act of 1940 (15 U.S.C. 80a-8);</w:t>
      </w:r>
    </w:p>
    <w:p>
      <w:pPr>
        <w:spacing w:after="0" w:line="169" w:lineRule="exact"/>
        <w:rPr>
          <w:rFonts w:ascii="Courier New" w:cs="Courier New" w:eastAsia="Courier New" w:hAnsi="Courier New"/>
          <w:sz w:val="16"/>
          <w:szCs w:val="16"/>
          <w:color w:val="auto"/>
        </w:rPr>
      </w:pPr>
    </w:p>
    <w:p>
      <w:pPr>
        <w:ind w:left="2000" w:right="3159" w:hanging="1044"/>
        <w:spacing w:after="0" w:line="235" w:lineRule="auto"/>
        <w:tabs>
          <w:tab w:leader="none" w:pos="157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investment adviser in accordance with Section 240.13d-1(b)(1)(ii)(E);</w:t>
      </w:r>
    </w:p>
    <w:p>
      <w:pPr>
        <w:spacing w:after="0" w:line="208" w:lineRule="exact"/>
        <w:rPr>
          <w:rFonts w:ascii="Courier New" w:cs="Courier New" w:eastAsia="Courier New" w:hAnsi="Courier New"/>
          <w:sz w:val="18"/>
          <w:szCs w:val="18"/>
          <w:color w:val="auto"/>
        </w:rPr>
      </w:pPr>
    </w:p>
    <w:p>
      <w:pPr>
        <w:ind w:left="2000" w:right="3259" w:hanging="1044"/>
        <w:spacing w:after="0" w:line="290" w:lineRule="auto"/>
        <w:tabs>
          <w:tab w:leader="none" w:pos="1579"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An employee benefit plan or endowment fund in accordance with Section 240.13d-1(b)(1)(ii)(F);</w:t>
      </w:r>
    </w:p>
    <w:p>
      <w:pPr>
        <w:sectPr>
          <w:pgSz w:w="11900" w:h="16838" w:orient="portrait"/>
          <w:cols w:equalWidth="0" w:num="1">
            <w:col w:w="10219"/>
          </w:cols>
          <w:pgMar w:left="240" w:top="1325" w:right="1440" w:bottom="1440" w:gutter="0" w:footer="0" w:header="0"/>
        </w:sectPr>
      </w:pPr>
    </w:p>
    <w:bookmarkStart w:id="3" w:name="page4"/>
    <w:bookmarkEnd w:id="3"/>
    <w:p>
      <w:pPr>
        <w:ind w:left="2000" w:right="3259" w:hanging="1044"/>
        <w:spacing w:after="0" w:line="290" w:lineRule="auto"/>
        <w:tabs>
          <w:tab w:leader="none" w:pos="1579"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A parent holding company or control person in accordance with Section 240.13d-1(b)(1)(ii)(G);</w:t>
      </w:r>
    </w:p>
    <w:p>
      <w:pPr>
        <w:spacing w:after="0" w:line="169" w:lineRule="exact"/>
        <w:rPr>
          <w:rFonts w:ascii="Courier New" w:cs="Courier New" w:eastAsia="Courier New" w:hAnsi="Courier New"/>
          <w:sz w:val="16"/>
          <w:szCs w:val="16"/>
          <w:color w:val="auto"/>
        </w:rPr>
      </w:pPr>
    </w:p>
    <w:p>
      <w:pPr>
        <w:ind w:left="2000" w:right="2319" w:hanging="1044"/>
        <w:spacing w:after="0" w:line="235" w:lineRule="auto"/>
        <w:tabs>
          <w:tab w:leader="none" w:pos="1579"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line="202" w:lineRule="exact"/>
        <w:rPr>
          <w:rFonts w:ascii="Courier New" w:cs="Courier New" w:eastAsia="Courier New" w:hAnsi="Courier New"/>
          <w:sz w:val="18"/>
          <w:szCs w:val="18"/>
          <w:color w:val="auto"/>
        </w:rPr>
      </w:pPr>
    </w:p>
    <w:p>
      <w:pPr>
        <w:ind w:left="1580" w:hanging="624"/>
        <w:spacing w:after="0"/>
        <w:tabs>
          <w:tab w:leader="none" w:pos="15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w:t>
      </w:r>
    </w:p>
    <w:p>
      <w:pPr>
        <w:spacing w:after="0" w:line="4" w:lineRule="exact"/>
        <w:rPr>
          <w:sz w:val="20"/>
          <w:szCs w:val="20"/>
          <w:color w:val="auto"/>
        </w:rPr>
      </w:pPr>
    </w:p>
    <w:p>
      <w:pPr>
        <w:ind w:left="2000" w:right="2939"/>
        <w:spacing w:after="0" w:line="236" w:lineRule="auto"/>
        <w:rPr>
          <w:sz w:val="20"/>
          <w:szCs w:val="20"/>
          <w:color w:val="auto"/>
        </w:rPr>
      </w:pPr>
      <w:r>
        <w:rPr>
          <w:rFonts w:ascii="Courier New" w:cs="Courier New" w:eastAsia="Courier New" w:hAnsi="Courier New"/>
          <w:sz w:val="18"/>
          <w:szCs w:val="18"/>
          <w:color w:val="auto"/>
        </w:rPr>
        <w:t>definition of an investment company under Section 3(c)(14) of the Investment Company Act of 1940 (15 U.S.C. 80a-3);</w:t>
      </w:r>
    </w:p>
    <w:p>
      <w:pPr>
        <w:spacing w:after="0" w:line="209" w:lineRule="exact"/>
        <w:rPr>
          <w:sz w:val="20"/>
          <w:szCs w:val="20"/>
          <w:color w:val="auto"/>
        </w:rPr>
      </w:pPr>
    </w:p>
    <w:p>
      <w:pPr>
        <w:ind w:left="2000" w:right="4739" w:hanging="1044"/>
        <w:spacing w:after="0" w:line="235" w:lineRule="auto"/>
        <w:tabs>
          <w:tab w:leader="none" w:pos="1579"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Section 240.13d-1(b)(1)(ii)(J).</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1580" w:right="5899" w:hanging="624"/>
        <w:spacing w:after="0" w:line="470" w:lineRule="auto"/>
        <w:tabs>
          <w:tab w:leader="none" w:pos="15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1,571,892</w:t>
      </w:r>
    </w:p>
    <w:p>
      <w:pPr>
        <w:spacing w:after="0" w:line="6" w:lineRule="exact"/>
        <w:rPr>
          <w:rFonts w:ascii="Courier New" w:cs="Courier New" w:eastAsia="Courier New" w:hAnsi="Courier New"/>
          <w:sz w:val="18"/>
          <w:szCs w:val="18"/>
          <w:color w:val="auto"/>
        </w:rPr>
      </w:pPr>
    </w:p>
    <w:p>
      <w:pPr>
        <w:ind w:left="1580" w:hanging="624"/>
        <w:spacing w:after="0"/>
        <w:tabs>
          <w:tab w:leader="none" w:pos="15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rFonts w:ascii="Courier New" w:cs="Courier New" w:eastAsia="Courier New" w:hAnsi="Courier New"/>
          <w:sz w:val="18"/>
          <w:szCs w:val="18"/>
          <w:color w:val="auto"/>
        </w:rPr>
      </w:pPr>
    </w:p>
    <w:p>
      <w:pPr>
        <w:ind w:left="15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11.3%</w:t>
      </w:r>
    </w:p>
    <w:p>
      <w:pPr>
        <w:spacing w:after="0" w:line="206" w:lineRule="exact"/>
        <w:rPr>
          <w:rFonts w:ascii="Courier New" w:cs="Courier New" w:eastAsia="Courier New" w:hAnsi="Courier New"/>
          <w:sz w:val="18"/>
          <w:szCs w:val="18"/>
          <w:color w:val="auto"/>
        </w:rPr>
      </w:pPr>
    </w:p>
    <w:p>
      <w:pPr>
        <w:ind w:left="1580" w:right="5579" w:hanging="624"/>
        <w:spacing w:after="0" w:line="470" w:lineRule="auto"/>
        <w:tabs>
          <w:tab w:leader="none" w:pos="15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Voting and dispositive power: 1,571,892</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860" w:right="1999" w:hanging="842"/>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left="1060" w:right="17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219"/>
          </w:cols>
          <w:pgMar w:left="240" w:top="1330" w:right="1440" w:bottom="1440" w:gutter="0" w:footer="0" w:header="0"/>
        </w:sectPr>
      </w:pPr>
    </w:p>
    <w:bookmarkStart w:id="4" w:name="page5"/>
    <w:bookmarkEnd w:id="4"/>
    <w:p>
      <w:pPr>
        <w:jc w:val="center"/>
        <w:ind w:right="16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October 11, 2005</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/s/ John Climax</w:t>
      </w:r>
    </w:p>
    <w:p>
      <w:pPr>
        <w:ind w:left="4120"/>
        <w:spacing w:after="0" w:line="238" w:lineRule="auto"/>
        <w:rPr>
          <w:sz w:val="20"/>
          <w:szCs w:val="20"/>
          <w:color w:val="auto"/>
        </w:rPr>
      </w:pPr>
      <w:r>
        <w:rPr>
          <w:rFonts w:ascii="Courier New" w:cs="Courier New" w:eastAsia="Courier New" w:hAnsi="Courier New"/>
          <w:sz w:val="18"/>
          <w:szCs w:val="18"/>
          <w:color w:val="auto"/>
        </w:rPr>
        <w:t>-------------------------------</w:t>
      </w:r>
    </w:p>
    <w:p>
      <w:pPr>
        <w:ind w:left="4120"/>
        <w:spacing w:after="0"/>
        <w:tabs>
          <w:tab w:leader="none" w:pos="4840" w:val="left"/>
        </w:tabs>
        <w:rPr>
          <w:sz w:val="20"/>
          <w:szCs w:val="20"/>
          <w:color w:val="auto"/>
        </w:rPr>
      </w:pPr>
      <w:r>
        <w:rPr>
          <w:rFonts w:ascii="Courier New" w:cs="Courier New" w:eastAsia="Courier New" w:hAnsi="Courier New"/>
          <w:sz w:val="18"/>
          <w:szCs w:val="18"/>
          <w:color w:val="auto"/>
        </w:rPr>
        <w:t>Name:</w:t>
        <w:tab/>
        <w:t>Dr. John Climax</w:t>
      </w:r>
    </w:p>
    <w:p>
      <w:pPr>
        <w:ind w:left="4120"/>
        <w:spacing w:after="0" w:line="237" w:lineRule="auto"/>
        <w:rPr>
          <w:sz w:val="20"/>
          <w:szCs w:val="20"/>
          <w:color w:val="auto"/>
        </w:rPr>
      </w:pPr>
      <w:r>
        <w:rPr>
          <w:rFonts w:ascii="Courier New" w:cs="Courier New" w:eastAsia="Courier New" w:hAnsi="Courier New"/>
          <w:sz w:val="18"/>
          <w:szCs w:val="18"/>
          <w:color w:val="auto"/>
        </w:rPr>
        <w:t>Title: Chairman of the Board</w:t>
      </w:r>
    </w:p>
    <w:sectPr>
      <w:pgSz w:w="11900" w:h="16838" w:orient="portrait"/>
      <w:cols w:equalWidth="0" w:num="1">
        <w:col w:w="10219"/>
      </w:cols>
      <w:pgMar w:left="240" w:top="13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1"/>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lvl w:ilvl="1">
      <w:lvlJc w:val="left"/>
      <w:lvlText w:val="8"/>
      <w:numFmt w:val="bullet"/>
      <w:start w:val="1"/>
    </w:lvl>
  </w:abstractNum>
  <w:abstractNum w:abstractNumId="7">
    <w:nsid w:val="1F16E9E8"/>
    <w:multiLevelType w:val="hybridMultilevel"/>
    <w:lvl w:ilvl="0">
      <w:lvlJc w:val="left"/>
      <w:lvlText w:val="9"/>
      <w:numFmt w:val="bullet"/>
      <w:start w:val="1"/>
    </w:lvl>
  </w:abstractNum>
  <w:abstractNum w:abstractNumId="8">
    <w:nsid w:val="1190CDE7"/>
    <w:multiLevelType w:val="hybridMultilevel"/>
    <w:lvl w:ilvl="0">
      <w:lvlJc w:val="left"/>
      <w:lvlText w:val="(%1)"/>
      <w:numFmt w:val="lowerLetter"/>
      <w:start w:val="1"/>
    </w:lvl>
  </w:abstractNum>
  <w:abstractNum w:abstractNumId="9">
    <w:nsid w:val="66EF438D"/>
    <w:multiLevelType w:val="hybridMultilevel"/>
    <w:lvl w:ilvl="0">
      <w:lvlJc w:val="left"/>
      <w:lvlText w:val="(%1)"/>
      <w:numFmt w:val="lowerLetter"/>
      <w:start w:val="1"/>
    </w:lvl>
  </w:abstractNum>
  <w:abstractNum w:abstractNumId="10">
    <w:nsid w:val="140E0F76"/>
    <w:multiLevelType w:val="hybridMultilevel"/>
    <w:lvl w:ilvl="0">
      <w:lvlJc w:val="left"/>
      <w:lvlText w:val="(%1)"/>
      <w:numFmt w:val="lowerLetter"/>
      <w:start w:val="1"/>
    </w:lvl>
  </w:abstractNum>
  <w:abstractNum w:abstractNumId="11">
    <w:nsid w:val="3352255A"/>
    <w:multiLevelType w:val="hybridMultilevel"/>
    <w:lvl w:ilvl="0">
      <w:lvlJc w:val="left"/>
      <w:lvlText w:val="(%1)"/>
      <w:numFmt w:val="lowerLetter"/>
      <w:start w:val="7"/>
    </w:lvl>
  </w:abstractNum>
  <w:abstractNum w:abstractNumId="12">
    <w:nsid w:val="109CF92E"/>
    <w:multiLevelType w:val="hybridMultilevel"/>
    <w:lvl w:ilvl="0">
      <w:lvlJc w:val="left"/>
      <w:lvlText w:val="(%1)"/>
      <w:numFmt w:val="lowerLetter"/>
      <w:start w:val="10"/>
    </w:lvl>
  </w:abstractNum>
  <w:abstractNum w:abstractNumId="13">
    <w:nsid w:val="DED726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2019-12-14T20:58:51Z</dcterms:created>
  <dcterms:modified xsi:type="dcterms:W3CDTF">2019-12-14T20:58:51Z</dcterms:modified>
</cp:coreProperties>
</file>