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0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08"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8"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ind w:left="2200"/>
        <w:spacing w:after="0"/>
        <w:rPr>
          <w:sz w:val="20"/>
          <w:szCs w:val="20"/>
          <w:color w:val="auto"/>
        </w:rPr>
      </w:pPr>
      <w:r>
        <w:rPr>
          <w:rFonts w:ascii="Courier New" w:cs="Courier New" w:eastAsia="Courier New" w:hAnsi="Courier New"/>
          <w:sz w:val="15"/>
          <w:szCs w:val="15"/>
          <w:color w:val="auto"/>
        </w:rPr>
        <w:t>PURSUANT TO RULE 13A - 16 UNDER</w:t>
      </w:r>
    </w:p>
    <w:p>
      <w:pPr>
        <w:ind w:left="20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38"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For the quarterly period ended November 30, 2002</w:t>
      </w:r>
    </w:p>
    <w:p>
      <w:pPr>
        <w:spacing w:after="0" w:line="200" w:lineRule="exact"/>
        <w:rPr>
          <w:sz w:val="24"/>
          <w:szCs w:val="24"/>
          <w:color w:val="auto"/>
        </w:rPr>
      </w:pPr>
    </w:p>
    <w:p>
      <w:pPr>
        <w:spacing w:after="0" w:line="308"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ind w:left="2720"/>
        <w:spacing w:after="0"/>
        <w:rPr>
          <w:sz w:val="20"/>
          <w:szCs w:val="20"/>
          <w:color w:val="auto"/>
        </w:rPr>
      </w:pPr>
      <w:r>
        <w:rPr>
          <w:rFonts w:ascii="Courier New" w:cs="Courier New" w:eastAsia="Courier New" w:hAnsi="Courier New"/>
          <w:sz w:val="15"/>
          <w:szCs w:val="15"/>
          <w:color w:val="auto"/>
        </w:rPr>
        <w:t>(Registrant's name)</w:t>
      </w:r>
    </w:p>
    <w:p>
      <w:pPr>
        <w:spacing w:after="0" w:line="200" w:lineRule="exact"/>
        <w:rPr>
          <w:sz w:val="24"/>
          <w:szCs w:val="24"/>
          <w:color w:val="auto"/>
        </w:rPr>
      </w:pPr>
    </w:p>
    <w:p>
      <w:pPr>
        <w:spacing w:after="0" w:line="308"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0-29714</w:t>
      </w:r>
    </w:p>
    <w:p>
      <w:pPr>
        <w:ind w:left="2460"/>
        <w:spacing w:after="0"/>
        <w:rPr>
          <w:sz w:val="20"/>
          <w:szCs w:val="20"/>
          <w:color w:val="auto"/>
        </w:rPr>
      </w:pPr>
      <w:r>
        <w:rPr>
          <w:rFonts w:ascii="Courier New" w:cs="Courier New" w:eastAsia="Courier New" w:hAnsi="Courier New"/>
          <w:sz w:val="15"/>
          <w:szCs w:val="15"/>
          <w:color w:val="auto"/>
        </w:rPr>
        <w:t>(Commission file number)</w:t>
      </w:r>
    </w:p>
    <w:p>
      <w:pPr>
        <w:spacing w:after="0" w:line="33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4"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Yes___X___ No_______</w:t>
      </w:r>
    </w:p>
    <w:p>
      <w:pPr>
        <w:spacing w:after="0" w:line="175" w:lineRule="exact"/>
        <w:rPr>
          <w:sz w:val="24"/>
          <w:szCs w:val="24"/>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Yes______ No___X___</w:t>
      </w:r>
    </w:p>
    <w:p>
      <w:pPr>
        <w:spacing w:after="0" w:line="175" w:lineRule="exact"/>
        <w:rPr>
          <w:sz w:val="24"/>
          <w:szCs w:val="24"/>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Yes______ No___X___</w:t>
      </w:r>
    </w:p>
    <w:p>
      <w:pPr>
        <w:spacing w:after="0" w:line="175" w:lineRule="exact"/>
        <w:rPr>
          <w:sz w:val="24"/>
          <w:szCs w:val="24"/>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Yes_______ No___X___</w:t>
      </w:r>
    </w:p>
    <w:p>
      <w:pPr>
        <w:spacing w:after="0" w:line="175" w:lineRule="exact"/>
        <w:rPr>
          <w:sz w:val="24"/>
          <w:szCs w:val="24"/>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QUARTERLY PERIOD ENDED NOVEMBER 30, 2002</w:t>
      </w:r>
    </w:p>
    <w:p>
      <w:pPr>
        <w:spacing w:after="0" w:line="339" w:lineRule="exact"/>
        <w:rPr>
          <w:sz w:val="24"/>
          <w:szCs w:val="24"/>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PAGE</w:t>
      </w:r>
    </w:p>
    <w:p>
      <w:pPr>
        <w:spacing w:after="0" w:line="339" w:lineRule="exact"/>
        <w:rPr>
          <w:sz w:val="24"/>
          <w:szCs w:val="24"/>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w:t>
      </w:r>
    </w:p>
    <w:p>
      <w:pPr>
        <w:spacing w:after="0"/>
        <w:tabs>
          <w:tab w:leader="dot" w:pos="6760" w:val="left"/>
        </w:tabs>
        <w:rPr>
          <w:sz w:val="20"/>
          <w:szCs w:val="20"/>
          <w:color w:val="auto"/>
        </w:rPr>
      </w:pPr>
      <w:r>
        <w:rPr>
          <w:rFonts w:ascii="Courier New" w:cs="Courier New" w:eastAsia="Courier New" w:hAnsi="Courier New"/>
          <w:sz w:val="15"/>
          <w:szCs w:val="15"/>
          <w:color w:val="auto"/>
        </w:rPr>
        <w:t>November 30, 2002 and May 31, 2002</w:t>
      </w:r>
      <w:r>
        <w:rPr>
          <w:sz w:val="20"/>
          <w:szCs w:val="20"/>
          <w:color w:val="auto"/>
        </w:rPr>
        <w:tab/>
      </w:r>
      <w:r>
        <w:rPr>
          <w:rFonts w:ascii="Courier New" w:cs="Courier New" w:eastAsia="Courier New" w:hAnsi="Courier New"/>
          <w:sz w:val="13"/>
          <w:szCs w:val="13"/>
          <w:color w:val="auto"/>
        </w:rPr>
        <w:t>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tabs>
          <w:tab w:leader="dot" w:pos="6760" w:val="left"/>
        </w:tabs>
        <w:rPr>
          <w:sz w:val="20"/>
          <w:szCs w:val="20"/>
          <w:color w:val="auto"/>
        </w:rPr>
      </w:pPr>
      <w:r>
        <w:rPr>
          <w:rFonts w:ascii="Courier New" w:cs="Courier New" w:eastAsia="Courier New" w:hAnsi="Courier New"/>
          <w:sz w:val="15"/>
          <w:szCs w:val="15"/>
          <w:color w:val="auto"/>
        </w:rPr>
        <w:t>Three and Six months ended November 30, 2002 and 2001</w:t>
      </w:r>
      <w:r>
        <w:rPr>
          <w:sz w:val="20"/>
          <w:szCs w:val="20"/>
          <w:color w:val="auto"/>
        </w:rPr>
        <w:tab/>
      </w:r>
      <w:r>
        <w:rPr>
          <w:rFonts w:ascii="Courier New" w:cs="Courier New" w:eastAsia="Courier New" w:hAnsi="Courier New"/>
          <w:sz w:val="13"/>
          <w:szCs w:val="13"/>
          <w:color w:val="auto"/>
        </w:rPr>
        <w:t>3</w:t>
      </w:r>
    </w:p>
    <w:p>
      <w:pPr>
        <w:spacing w:after="0" w:line="169" w:lineRule="exact"/>
        <w:rPr>
          <w:sz w:val="24"/>
          <w:szCs w:val="24"/>
          <w:color w:val="auto"/>
        </w:rPr>
      </w:pPr>
    </w:p>
    <w:p>
      <w:pPr>
        <w:spacing w:after="0"/>
        <w:tabs>
          <w:tab w:leader="none" w:pos="940" w:val="left"/>
          <w:tab w:leader="none" w:pos="2180" w:val="left"/>
          <w:tab w:leader="none" w:pos="3240" w:val="left"/>
          <w:tab w:leader="none" w:pos="4020" w:val="left"/>
        </w:tabs>
        <w:rPr>
          <w:sz w:val="20"/>
          <w:szCs w:val="20"/>
          <w:color w:val="auto"/>
        </w:rPr>
      </w:pPr>
      <w:r>
        <w:rPr>
          <w:rFonts w:ascii="Courier New" w:cs="Courier New" w:eastAsia="Courier New" w:hAnsi="Courier New"/>
          <w:sz w:val="15"/>
          <w:szCs w:val="15"/>
          <w:color w:val="auto"/>
        </w:rPr>
        <w:t>Condensed</w:t>
        <w:tab/>
        <w:t>Consolidated</w:t>
        <w:tab/>
        <w:t>Statements</w:t>
        <w:tab/>
        <w:t>of Cash</w:t>
      </w:r>
      <w:r>
        <w:rPr>
          <w:sz w:val="20"/>
          <w:szCs w:val="20"/>
          <w:color w:val="auto"/>
        </w:rPr>
        <w:tab/>
      </w:r>
      <w:r>
        <w:rPr>
          <w:rFonts w:ascii="Courier New" w:cs="Courier New" w:eastAsia="Courier New" w:hAnsi="Courier New"/>
          <w:sz w:val="14"/>
          <w:szCs w:val="14"/>
          <w:color w:val="auto"/>
        </w:rPr>
        <w:t>Flows for</w:t>
      </w:r>
    </w:p>
    <w:p>
      <w:pPr>
        <w:spacing w:after="0"/>
        <w:tabs>
          <w:tab w:leader="dot" w:pos="6760" w:val="left"/>
        </w:tabs>
        <w:rPr>
          <w:sz w:val="20"/>
          <w:szCs w:val="20"/>
          <w:color w:val="auto"/>
        </w:rPr>
      </w:pPr>
      <w:r>
        <w:rPr>
          <w:rFonts w:ascii="Courier New" w:cs="Courier New" w:eastAsia="Courier New" w:hAnsi="Courier New"/>
          <w:sz w:val="15"/>
          <w:szCs w:val="15"/>
          <w:color w:val="auto"/>
        </w:rPr>
        <w:t>the six months ended November 30, 2002 and 2001</w:t>
      </w:r>
      <w:r>
        <w:rPr>
          <w:sz w:val="20"/>
          <w:szCs w:val="20"/>
          <w:color w:val="auto"/>
        </w:rPr>
        <w:tab/>
      </w:r>
      <w:r>
        <w:rPr>
          <w:rFonts w:ascii="Courier New" w:cs="Courier New" w:eastAsia="Courier New" w:hAnsi="Courier New"/>
          <w:sz w:val="13"/>
          <w:szCs w:val="13"/>
          <w:color w:val="auto"/>
        </w:rPr>
        <w:t>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tabs>
          <w:tab w:leader="dot" w:pos="676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tabs>
          <w:tab w:leader="dot" w:pos="676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3"/>
          <w:szCs w:val="13"/>
          <w:color w:val="auto"/>
        </w:rPr>
        <w:t>6</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tabs>
          <w:tab w:leader="dot" w:pos="666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11</w:t>
      </w:r>
    </w:p>
    <w:p>
      <w:pPr>
        <w:spacing w:after="0" w:line="169" w:lineRule="exact"/>
        <w:rPr>
          <w:sz w:val="24"/>
          <w:szCs w:val="24"/>
          <w:color w:val="auto"/>
        </w:rPr>
      </w:pPr>
    </w:p>
    <w:p>
      <w:pPr>
        <w:spacing w:after="0"/>
        <w:tabs>
          <w:tab w:leader="dot" w:pos="666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18</w:t>
      </w:r>
    </w:p>
    <w:p>
      <w:pPr>
        <w:sectPr>
          <w:pgSz w:w="11900" w:h="16847" w:orient="portrait"/>
          <w:cols w:equalWidth="0" w:num="1">
            <w:col w:w="10219"/>
          </w:cols>
          <w:pgMar w:left="240" w:top="396" w:right="1440" w:bottom="0" w:gutter="0" w:footer="0" w:header="0"/>
        </w:sectPr>
      </w:pPr>
    </w:p>
    <w:bookmarkStart w:id="1" w:name="page2"/>
    <w:bookmarkEnd w:id="1"/>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814"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porividing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operations are in the United States, South America, Europe and the Rest of the World. For the six months ended November 30, 2002, we derived approximately 70.3%, 27.1% and 2.6% of our net revenue in the United States, Europe and Rest of World, respectively.</w:t>
      </w:r>
    </w:p>
    <w:p>
      <w:pPr>
        <w:spacing w:after="0" w:line="18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On October 9, 2002, we acquired Barton &amp; Polansky Associates, Inc ("BPA") and its sister company, Managed Clinical Solutions, Inc ("MCS"), contract research organizations in New York.</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Since the end of the quarter, we completed the acquisition of Medeval Group Limited, or Medeval, a specialist provider of Phase I clinical trials to the pharmaceutical and biotechnology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7700" w:type="dxa"/>
            <w:vAlign w:val="bottom"/>
          </w:tcPr>
          <w:p>
            <w:pPr>
              <w:ind w:left="3160"/>
              <w:spacing w:after="0"/>
              <w:rPr>
                <w:sz w:val="20"/>
                <w:szCs w:val="20"/>
                <w:color w:val="auto"/>
              </w:rPr>
            </w:pPr>
            <w:r>
              <w:rPr>
                <w:rFonts w:ascii="Courier New" w:cs="Courier New" w:eastAsia="Courier New" w:hAnsi="Courier New"/>
                <w:sz w:val="15"/>
                <w:szCs w:val="15"/>
                <w:color w:val="auto"/>
              </w:rPr>
              <w:t>ICON PLC</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7700" w:type="dxa"/>
            <w:vAlign w:val="bottom"/>
          </w:tcPr>
          <w:p>
            <w:pPr>
              <w:ind w:left="1920"/>
              <w:spacing w:after="0"/>
              <w:rPr>
                <w:sz w:val="20"/>
                <w:szCs w:val="20"/>
                <w:color w:val="auto"/>
              </w:rPr>
            </w:pPr>
            <w:r>
              <w:rPr>
                <w:rFonts w:ascii="Courier New" w:cs="Courier New" w:eastAsia="Courier New" w:hAnsi="Courier New"/>
                <w:sz w:val="15"/>
                <w:szCs w:val="15"/>
                <w:color w:val="auto"/>
              </w:rPr>
              <w:t>CONDENSED CONSOLIDATED BALANCE SHEETS</w:t>
            </w: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7700" w:type="dxa"/>
            <w:vAlign w:val="bottom"/>
          </w:tcPr>
          <w:p>
            <w:pPr>
              <w:ind w:left="1760"/>
              <w:spacing w:after="0"/>
              <w:rPr>
                <w:sz w:val="20"/>
                <w:szCs w:val="20"/>
                <w:color w:val="auto"/>
              </w:rPr>
            </w:pPr>
            <w:r>
              <w:rPr>
                <w:rFonts w:ascii="Courier New" w:cs="Courier New" w:eastAsia="Courier New" w:hAnsi="Courier New"/>
                <w:sz w:val="15"/>
                <w:szCs w:val="15"/>
                <w:color w:val="auto"/>
              </w:rPr>
              <w:t>AS AT NOVEMBER 30, 2002 AND MAY 31, 2002</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7700" w:type="dxa"/>
            <w:vAlign w:val="bottom"/>
          </w:tcPr>
          <w:p>
            <w:pPr>
              <w:spacing w:after="0"/>
              <w:rPr>
                <w:sz w:val="24"/>
                <w:szCs w:val="24"/>
                <w:color w:val="auto"/>
              </w:rPr>
            </w:pP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(AUDITED)</w:t>
            </w:r>
          </w:p>
        </w:tc>
      </w:tr>
      <w:tr>
        <w:trPr>
          <w:trHeight w:val="170"/>
        </w:trPr>
        <w:tc>
          <w:tcPr>
            <w:tcW w:w="77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7700" w:type="dxa"/>
            <w:vAlign w:val="bottom"/>
          </w:tcPr>
          <w:p>
            <w:pPr>
              <w:spacing w:after="0"/>
              <w:rPr>
                <w:sz w:val="14"/>
                <w:szCs w:val="14"/>
                <w:color w:val="auto"/>
              </w:rPr>
            </w:pPr>
          </w:p>
        </w:tc>
        <w:tc>
          <w:tcPr>
            <w:tcW w:w="28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Cash and cash equivalents.......................................................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$25,264</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$36,291</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Short term investments (available for sale) ....................................</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10,877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18,551</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Accounts receivable.............................................................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47,032</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41,306</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Unbilled revenue................................................................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41,682</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26,387</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Other receivables...............................................................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5,531</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2,093</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Deferred taxes..................................................................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408</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408</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Prepayments and other current assets............................................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5,052</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5,183</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Total current assets............................................................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135,846</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130,219</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30,299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25,482</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Goodwill........................................................................</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20,775</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10,093</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$186,920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$165,794</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Accounts payable................................................................</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$3,248</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$5,788</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Payments on account.............................................................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33,427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19,854</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Other liabilities...............................................................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17,217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16,308</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Taxes payable...................................................................</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4,894</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3,601</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Bank creditlines and loan facilities............................................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8,691</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11,745</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700" w:type="dxa"/>
            <w:vAlign w:val="bottom"/>
          </w:tcPr>
          <w:p>
            <w:pPr>
              <w:ind w:left="600"/>
              <w:spacing w:after="0"/>
              <w:rPr>
                <w:sz w:val="20"/>
                <w:szCs w:val="20"/>
                <w:color w:val="auto"/>
              </w:rPr>
            </w:pPr>
            <w:r>
              <w:rPr>
                <w:rFonts w:ascii="Courier New" w:cs="Courier New" w:eastAsia="Courier New" w:hAnsi="Courier New"/>
                <w:sz w:val="15"/>
                <w:szCs w:val="15"/>
                <w:color w:val="auto"/>
                <w:w w:val="99"/>
              </w:rPr>
              <w:t>Total current liabilities......................................................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67,477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57,296</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Long term government grants.....................................................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937</w:t>
            </w:r>
          </w:p>
        </w:tc>
      </w:tr>
      <w:tr>
        <w:trPr>
          <w:trHeight w:val="170"/>
        </w:trPr>
        <w:tc>
          <w:tcPr>
            <w:tcW w:w="770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rPr>
              <w:t>authorized, 11,814,117 shares issued and outstanding at November 30, 2002</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rPr>
              <w:t>and</w:t>
            </w: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rPr>
              <w:t>11,798,501 shares issued and outstanding at May 31, 2002</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839</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Additional paid-in capital......................................................</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60,638</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60,348</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(242)</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(2,461)</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Merger reserve..................................................................</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w:t>
            </w:r>
          </w:p>
        </w:tc>
      </w:tr>
      <w:tr>
        <w:trPr>
          <w:trHeight w:val="170"/>
        </w:trPr>
        <w:tc>
          <w:tcPr>
            <w:tcW w:w="7700" w:type="dxa"/>
            <w:vAlign w:val="bottom"/>
          </w:tcPr>
          <w:p>
            <w:pPr>
              <w:ind w:left="520"/>
              <w:spacing w:after="0"/>
              <w:rPr>
                <w:sz w:val="20"/>
                <w:szCs w:val="20"/>
                <w:color w:val="auto"/>
              </w:rPr>
            </w:pPr>
            <w:r>
              <w:rPr>
                <w:rFonts w:ascii="Courier New" w:cs="Courier New" w:eastAsia="Courier New" w:hAnsi="Courier New"/>
                <w:sz w:val="15"/>
                <w:szCs w:val="15"/>
                <w:color w:val="auto"/>
                <w:w w:val="99"/>
              </w:rPr>
              <w:t>Retained earnings...............................................................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57,180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48,788</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Total Shareholders' Equity............................................................</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118,463</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107,561</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Shareholders' Equity............................................</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$186,920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$165,794</w:t>
            </w:r>
          </w:p>
        </w:tc>
      </w:tr>
      <w:tr>
        <w:trPr>
          <w:trHeight w:val="170"/>
        </w:trPr>
        <w:tc>
          <w:tcPr>
            <w:tcW w:w="77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96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560"/>
          </w:cols>
          <w:pgMar w:left="240" w:top="1300" w:right="10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586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ICON PLC</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5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 THE THREE AND SIX MONTHS ENDED NOVEMBER 30, 2002 AND</w:t>
            </w:r>
          </w:p>
        </w:tc>
        <w:tc>
          <w:tcPr>
            <w:tcW w:w="150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4"/>
              </w:rPr>
              <w:t>2001</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860" w:type="dxa"/>
            <w:vAlign w:val="bottom"/>
          </w:tcPr>
          <w:p>
            <w:pPr>
              <w:jc w:val="right"/>
              <w:ind w:right="1747"/>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860" w:type="dxa"/>
            <w:vAlign w:val="bottom"/>
          </w:tcPr>
          <w:p>
            <w:pPr>
              <w:spacing w:after="0"/>
              <w:rPr>
                <w:sz w:val="14"/>
                <w:szCs w:val="14"/>
                <w:color w:val="auto"/>
              </w:rPr>
            </w:pPr>
          </w:p>
        </w:tc>
        <w:tc>
          <w:tcPr>
            <w:tcW w:w="2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860" w:type="dxa"/>
            <w:vAlign w:val="bottom"/>
          </w:tcPr>
          <w:p>
            <w:pPr>
              <w:spacing w:after="0"/>
              <w:rPr>
                <w:sz w:val="14"/>
                <w:szCs w:val="14"/>
                <w:color w:val="auto"/>
              </w:rPr>
            </w:pPr>
          </w:p>
        </w:tc>
        <w:tc>
          <w:tcPr>
            <w:tcW w:w="28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NOVEMBER 30,</w:t>
            </w:r>
          </w:p>
        </w:tc>
        <w:tc>
          <w:tcPr>
            <w:tcW w:w="26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NOVEMBER 30,</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860" w:type="dxa"/>
            <w:vAlign w:val="bottom"/>
          </w:tcPr>
          <w:p>
            <w:pPr>
              <w:spacing w:after="0"/>
              <w:rPr>
                <w:sz w:val="14"/>
                <w:szCs w:val="14"/>
                <w:color w:val="auto"/>
              </w:rPr>
            </w:pPr>
          </w:p>
        </w:tc>
        <w:tc>
          <w:tcPr>
            <w:tcW w:w="550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170"/>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Revenue:</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Gross revenue..............................................</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$84,978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$52,648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$157,065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$100,301</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Subcontractor costs........................................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(31,443)</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(14,879)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(56,671)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(26,313)</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revenue................................................</w:t>
            </w:r>
          </w:p>
        </w:tc>
        <w:tc>
          <w:tcPr>
            <w:tcW w:w="1360" w:type="dxa"/>
            <w:vAlign w:val="bottom"/>
          </w:tcPr>
          <w:p>
            <w:pPr>
              <w:spacing w:after="0"/>
              <w:rPr>
                <w:sz w:val="24"/>
                <w:szCs w:val="2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37,769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100,394</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73,988</w:t>
            </w:r>
          </w:p>
        </w:tc>
      </w:tr>
      <w:tr>
        <w:trPr>
          <w:trHeight w:val="170"/>
        </w:trPr>
        <w:tc>
          <w:tcPr>
            <w:tcW w:w="586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53,535</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Direct costs...............................................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28,716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20,575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54,141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39,514</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16,948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11,359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31,591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23,088</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Depreciation ..............................................</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2,878</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costs and expenses...................................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47,242</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33,364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88,880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65,480</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from operations........................................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6,293</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4,405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11,514</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8,508</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income...............................................</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911</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before provision for income taxes......................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11,773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9,087</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Provision for income taxes....................................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(1,947)</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(2,300)</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$4,419</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$8,392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$6,787</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Ordinary Share:</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$0.37</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$0.59</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$0.56</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97"/>
              </w:rPr>
              <w:t>Weighted average number of Ordinary Shares outstanding:</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11,804,345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11,667,504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11,799,125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11,507,105</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12,147,702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12,242,463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12,143,034</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12,224,841</w:t>
            </w:r>
          </w:p>
        </w:tc>
      </w:tr>
      <w:tr>
        <w:trPr>
          <w:trHeight w:val="170"/>
        </w:trPr>
        <w:tc>
          <w:tcPr>
            <w:tcW w:w="5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60"/>
          </w:cols>
          <w:pgMar w:left="240" w:top="1300"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240" w:type="dxa"/>
            <w:vAlign w:val="bottom"/>
          </w:tcPr>
          <w:p>
            <w:pPr>
              <w:jc w:val="right"/>
              <w:ind w:right="2527"/>
              <w:spacing w:after="0"/>
              <w:rPr>
                <w:sz w:val="20"/>
                <w:szCs w:val="20"/>
                <w:color w:val="auto"/>
              </w:rPr>
            </w:pPr>
            <w:r>
              <w:rPr>
                <w:rFonts w:ascii="Courier New" w:cs="Courier New" w:eastAsia="Courier New" w:hAnsi="Courier New"/>
                <w:sz w:val="15"/>
                <w:szCs w:val="15"/>
                <w:color w:val="auto"/>
              </w:rPr>
              <w:t>ICON PLC</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1220" w:type="dxa"/>
            <w:vAlign w:val="bottom"/>
          </w:tcPr>
          <w:p>
            <w:pPr>
              <w:spacing w:after="0"/>
              <w:rPr>
                <w:sz w:val="24"/>
                <w:szCs w:val="24"/>
                <w:color w:val="auto"/>
              </w:rPr>
            </w:pPr>
          </w:p>
        </w:tc>
        <w:tc>
          <w:tcPr>
            <w:tcW w:w="52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CONDENSED CONSOLIDATED STATEMENTS OF CASH FLOWS</w:t>
            </w: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1220" w:type="dxa"/>
            <w:vAlign w:val="bottom"/>
          </w:tcPr>
          <w:p>
            <w:pPr>
              <w:spacing w:after="0"/>
              <w:rPr>
                <w:sz w:val="14"/>
                <w:szCs w:val="14"/>
                <w:color w:val="auto"/>
              </w:rPr>
            </w:pPr>
          </w:p>
        </w:tc>
        <w:tc>
          <w:tcPr>
            <w:tcW w:w="52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FOR THE SIX MONTHS ENDED NOVEMBER 30, 2002 AND 2001</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220" w:type="dxa"/>
            <w:vAlign w:val="bottom"/>
          </w:tcPr>
          <w:p>
            <w:pPr>
              <w:spacing w:after="0"/>
              <w:rPr>
                <w:sz w:val="14"/>
                <w:szCs w:val="14"/>
                <w:color w:val="auto"/>
              </w:rPr>
            </w:pPr>
          </w:p>
        </w:tc>
        <w:tc>
          <w:tcPr>
            <w:tcW w:w="52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6"/>
              </w:rPr>
              <w:t>(UNAUDITED)</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SIX MONTHS ENDED NOVEMBER 30,</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$8,392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$6,787</w:t>
            </w: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provided by/ (used in) operating activities:..............</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Loss on disposal of fixed assets.......................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Depreciation...........................................</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2,878</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Amortization of grants.................................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Decrease /(increase) in accounts receivable............</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(4,938)</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(Increase) /decrease in unbilled revenue...............</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(12,058)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(Increase) /decrease in other receivables..............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1,422</w:t>
            </w:r>
          </w:p>
        </w:tc>
      </w:tr>
      <w:tr>
        <w:trPr>
          <w:trHeight w:val="170"/>
        </w:trPr>
        <w:tc>
          <w:tcPr>
            <w:tcW w:w="646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Decrease /(increase) in prepayments and other current assets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457</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(920)</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Increase in payments on account........................</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13,158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6,852</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(Decrease)/ increase in other liabilities..............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1,803</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Increase in income taxes payable.......................</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1,489</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(Decrease)/ increase in accounts payable...............</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1,792</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Net cash provided by operating activities.................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17,212</w:t>
            </w: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Purchase of fixed assets...............................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(5,725)</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Sale of short term investments.........................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12,313</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17,417</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Purchase of short term investments.....................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Purchase of subsidiary.................................</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(15,861)</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Cash acquired with subsidiary .........................</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gridSpan w:val="2"/>
          </w:tcPr>
          <w:p>
            <w:pPr>
              <w:jc w:val="right"/>
              <w:ind w:right="1907"/>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(3,078)</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(2,591)</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Net cash (used in)/ provided by investing activities......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(16,816)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9,101</w:t>
            </w:r>
          </w:p>
        </w:tc>
      </w:tr>
      <w:tr>
        <w:trPr>
          <w:trHeight w:val="170"/>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(Repayment of) / proceeds from bank overdraft.............</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(3,753)</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Repayment of long term debt...............................</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524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7"/>
              </w:rPr>
              <w:t>exercise of share options...................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2,067</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Repayment of</w:t>
            </w:r>
          </w:p>
        </w:tc>
        <w:tc>
          <w:tcPr>
            <w:tcW w:w="524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7"/>
              </w:rPr>
              <w:t>other liabilities...........................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Net cash (used in)/ provided by financing activities......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(3,539)</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Effect of exchange rate movements on cash.................</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NET (DECREASE)/ INCREASE IN CASH AND CASH EQUIVALENTS.....</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(11,027)</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28,516</w:t>
            </w:r>
          </w:p>
        </w:tc>
      </w:tr>
      <w:tr>
        <w:trPr>
          <w:trHeight w:val="170"/>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36,291</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11,179</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$25,264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$39,695</w:t>
            </w:r>
          </w:p>
        </w:tc>
      </w:tr>
      <w:tr>
        <w:trPr>
          <w:trHeight w:val="170"/>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300" w:right="1440" w:bottom="1440" w:gutter="0" w:footer="0" w:header="0"/>
        </w:sectPr>
      </w:pPr>
    </w:p>
    <w:bookmarkStart w:id="6" w:name="page7"/>
    <w:bookmarkEnd w:id="6"/>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ICON PLC</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9"/>
        </w:trPr>
        <w:tc>
          <w:tcPr>
            <w:tcW w:w="9200" w:type="dxa"/>
            <w:vAlign w:val="bottom"/>
            <w:gridSpan w:val="6"/>
          </w:tcPr>
          <w:p>
            <w:pPr>
              <w:jc w:val="right"/>
              <w:ind w:right="667"/>
              <w:spacing w:after="0"/>
              <w:rPr>
                <w:sz w:val="20"/>
                <w:szCs w:val="20"/>
                <w:color w:val="auto"/>
              </w:rPr>
            </w:pPr>
            <w:r>
              <w:rPr>
                <w:rFonts w:ascii="Courier New" w:cs="Courier New" w:eastAsia="Courier New" w:hAnsi="Courier New"/>
                <w:sz w:val="15"/>
                <w:szCs w:val="15"/>
                <w:color w:val="auto"/>
              </w:rPr>
              <w:t>CONDENSED CONSOLIDATED STATEMENTS OF SHAREHOLDERS' EQUITY AND COMPREHENSIVE INCOME</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(UNAUDITED)</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9"/>
        </w:trPr>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ACCUMULATED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OTHER</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COMPREHENSIVE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RETAINED</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MERGER</w:t>
            </w:r>
          </w:p>
        </w:tc>
        <w:tc>
          <w:tcPr>
            <w:tcW w:w="8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INCOME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EARNINGS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RESERVE</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r>
      <w:tr>
        <w:trPr>
          <w:trHeight w:val="339"/>
        </w:trPr>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(DOLLARS IN THOUSANDS, EXCEPT SHARE DATA)</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78"/>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AT MAY 31, 2002........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11,798,501</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$60,348</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($2,461)</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$48,788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income.......................</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8,392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8,392</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Currency translation adjustment..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2,219</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2,219</w:t>
            </w:r>
          </w:p>
        </w:tc>
      </w:tr>
      <w:tr>
        <w:trPr>
          <w:trHeight w:val="170"/>
        </w:trPr>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Total comprehensive income.......</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10,611</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Exercise of Share Options........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11,980</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Shares issued....................</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3,696</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308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AT NOVEMBER 30, 2002...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11,814,177</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$60,638</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$57,180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$118,463</w:t>
            </w:r>
          </w:p>
        </w:tc>
      </w:tr>
      <w:tr>
        <w:trPr>
          <w:trHeight w:val="170"/>
        </w:trPr>
        <w:tc>
          <w:tcPr>
            <w:tcW w:w="308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44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000"/>
          </w:cols>
          <w:pgMar w:left="240" w:top="1440" w:right="659" w:bottom="1440" w:gutter="0" w:footer="0" w:header="0"/>
        </w:sectPr>
      </w:pPr>
    </w:p>
    <w:bookmarkStart w:id="7" w:name="page8"/>
    <w:bookmarkEnd w:id="7"/>
    <w:p>
      <w:pPr>
        <w:jc w:val="center"/>
        <w:ind w:right="3179"/>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jc w:val="center"/>
        <w:ind w:right="3079"/>
        <w:spacing w:after="0"/>
        <w:rPr>
          <w:sz w:val="20"/>
          <w:szCs w:val="20"/>
          <w:color w:val="auto"/>
        </w:rPr>
      </w:pPr>
      <w:r>
        <w:rPr>
          <w:rFonts w:ascii="Courier New" w:cs="Courier New" w:eastAsia="Courier New" w:hAnsi="Courier New"/>
          <w:sz w:val="15"/>
          <w:szCs w:val="15"/>
          <w:color w:val="auto"/>
        </w:rPr>
        <w:t>(UNAUDITED)</w:t>
      </w:r>
    </w:p>
    <w:p>
      <w:pPr>
        <w:jc w:val="center"/>
        <w:ind w:right="3079"/>
        <w:spacing w:after="0"/>
        <w:rPr>
          <w:sz w:val="20"/>
          <w:szCs w:val="20"/>
          <w:color w:val="auto"/>
        </w:rPr>
      </w:pPr>
      <w:r>
        <w:rPr>
          <w:rFonts w:ascii="Courier New" w:cs="Courier New" w:eastAsia="Courier New" w:hAnsi="Courier New"/>
          <w:sz w:val="15"/>
          <w:szCs w:val="15"/>
          <w:color w:val="auto"/>
        </w:rPr>
        <w:t>NOVEMBER 30, 2002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These condensed consolidated financial statements, which have been prepared in accordance with United States generally accepted accounting principles,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United States generally accepted accounting principles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2002, except as described below.</w:t>
      </w:r>
    </w:p>
    <w:p>
      <w:pPr>
        <w:spacing w:after="0" w:line="16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2002 annual report on Form 20-F. Operating results for the six months ended November 30, 2002 are not necessarily indicative of the results that may be expected for the fiscal year ending May 31, 2003.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w:t>
      </w:r>
    </w:p>
    <w:p>
      <w:pPr>
        <w:spacing w:after="0" w:line="175"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Acquisition of Barton &amp; Polansky Associates, Inc. and Managed Clinical Solutions, Inc.</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October 9, 2002, the Company acquired 100% of the outstanding shares of Barton &amp; Polansky Associates, Inc. ("BPA") and its sister company Managed Clinical Solutions, Inc. ("MCS"), both based in New York, USA, for initial cash consideration of U.S.$15.7 million, excluding costs of acquisition. Earn-out and working capital provisions have been built into the acquisition contract requiring the potential payment of additional deferred consideration up to a maximum of U.S.$18 million depending on the performance of MCS over the period to May 31, 2006.</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acquisitions of BPA and MCS have been accounted for as a purchase in accordance with SFAS No. 141, "Business Combinations". The primary purpose of the acquisition was to expand our expertise in the US in the area of immuno-suppressant drugs, including those used to treat transplant patients, and to provide contract staffing solutions to the pharmaceutical and biotechnology industries. The results of BPA and MCS have been included in the condensed consolidated financial statements from October 1, 2002.</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proforma effect of the acquisition if completed on June 1, 2002 would have resulted in net revenue, net income and earnings per share for the three and six months ended November 30, 2002 and 2001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31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560" w:type="dxa"/>
            <w:vAlign w:val="bottom"/>
          </w:tcPr>
          <w:p>
            <w:pPr>
              <w:spacing w:after="0"/>
              <w:rPr>
                <w:sz w:val="14"/>
                <w:szCs w:val="14"/>
                <w:color w:val="auto"/>
              </w:rPr>
            </w:pPr>
          </w:p>
        </w:tc>
        <w:tc>
          <w:tcPr>
            <w:tcW w:w="318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NOVEMBER 30,</w:t>
            </w:r>
          </w:p>
        </w:tc>
        <w:tc>
          <w:tcPr>
            <w:tcW w:w="96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NOVEMBER 30,</w:t>
            </w:r>
          </w:p>
        </w:tc>
      </w:tr>
      <w:tr>
        <w:trPr>
          <w:trHeight w:val="170"/>
        </w:trPr>
        <w:tc>
          <w:tcPr>
            <w:tcW w:w="2560" w:type="dxa"/>
            <w:vAlign w:val="bottom"/>
          </w:tcPr>
          <w:p>
            <w:pPr>
              <w:spacing w:after="0"/>
              <w:rPr>
                <w:sz w:val="14"/>
                <w:szCs w:val="14"/>
                <w:color w:val="auto"/>
              </w:rPr>
            </w:pP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560" w:type="dxa"/>
            <w:vAlign w:val="bottom"/>
          </w:tcPr>
          <w:p>
            <w:pPr>
              <w:spacing w:after="0"/>
              <w:rPr>
                <w:sz w:val="14"/>
                <w:szCs w:val="14"/>
                <w:color w:val="auto"/>
              </w:rPr>
            </w:pPr>
          </w:p>
        </w:tc>
        <w:tc>
          <w:tcPr>
            <w:tcW w:w="318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$55,513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$108,017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$85,403</w:t>
            </w: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4,650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8,578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8,146</w:t>
            </w: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r>
        <w:trPr>
          <w:trHeight w:val="848"/>
        </w:trPr>
        <w:tc>
          <w:tcPr>
            <w:tcW w:w="2560" w:type="dxa"/>
            <w:vAlign w:val="bottom"/>
          </w:tcPr>
          <w:p>
            <w:pPr>
              <w:spacing w:after="0"/>
              <w:rPr>
                <w:sz w:val="24"/>
                <w:szCs w:val="24"/>
                <w:color w:val="auto"/>
              </w:rPr>
            </w:pPr>
          </w:p>
        </w:tc>
        <w:tc>
          <w:tcPr>
            <w:tcW w:w="18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8</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8" w:name="page9"/>
    <w:bookmarkEnd w:id="8"/>
    <w:p>
      <w:pPr>
        <w:jc w:val="both"/>
        <w:ind w:right="4060"/>
        <w:spacing w:after="0" w:line="265" w:lineRule="auto"/>
        <w:rPr>
          <w:sz w:val="20"/>
          <w:szCs w:val="20"/>
          <w:color w:val="auto"/>
        </w:rPr>
      </w:pPr>
      <w:r>
        <w:rPr>
          <w:rFonts w:ascii="Courier New" w:cs="Courier New" w:eastAsia="Courier New" w:hAnsi="Courier New"/>
          <w:sz w:val="14"/>
          <w:szCs w:val="14"/>
          <w:color w:val="auto"/>
        </w:rPr>
        <w:t>In August 2002 a $900,000 distribution was made to the former shareholders which was recorded as other expenses. This is included in the proforma results.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31, 2002 the Company made a payment of Sterling (pound)100,000</w:t>
      </w:r>
    </w:p>
    <w:p>
      <w:pPr>
        <w:spacing w:after="0" w:line="5" w:lineRule="exact"/>
        <w:rPr>
          <w:sz w:val="20"/>
          <w:szCs w:val="20"/>
          <w:color w:val="auto"/>
        </w:rPr>
      </w:pPr>
    </w:p>
    <w:p>
      <w:pPr>
        <w:jc w:val="both"/>
        <w:ind w:right="4060"/>
        <w:spacing w:after="0" w:line="237" w:lineRule="auto"/>
        <w:rPr>
          <w:sz w:val="20"/>
          <w:szCs w:val="20"/>
          <w:color w:val="auto"/>
        </w:rPr>
      </w:pPr>
      <w:r>
        <w:rPr>
          <w:rFonts w:ascii="Courier New" w:cs="Courier New" w:eastAsia="Courier New" w:hAnsi="Courier New"/>
          <w:sz w:val="15"/>
          <w:szCs w:val="15"/>
          <w:color w:val="auto"/>
        </w:rPr>
        <w:t>(US$146,602) to the former shareholders of YRCR Limited ("YRCR") in the form 50% cash and 50% shares under the terms of an earn out provision entered into on the acquisition of YRCR on January 27,2000.</w:t>
      </w:r>
    </w:p>
    <w:p>
      <w:pPr>
        <w:spacing w:after="0" w:line="175" w:lineRule="exact"/>
        <w:rPr>
          <w:sz w:val="20"/>
          <w:szCs w:val="20"/>
          <w:color w:val="auto"/>
        </w:rPr>
      </w:pPr>
    </w:p>
    <w:p>
      <w:pPr>
        <w:ind w:right="4060"/>
        <w:spacing w:after="0" w:line="237" w:lineRule="auto"/>
        <w:rPr>
          <w:sz w:val="20"/>
          <w:szCs w:val="20"/>
          <w:color w:val="auto"/>
        </w:rPr>
      </w:pPr>
      <w:r>
        <w:rPr>
          <w:rFonts w:ascii="Courier New" w:cs="Courier New" w:eastAsia="Courier New" w:hAnsi="Courier New"/>
          <w:sz w:val="15"/>
          <w:szCs w:val="15"/>
          <w:color w:val="auto"/>
        </w:rPr>
        <w:t>On September 1, 2002 the Company made a cash payment of $3,000,000 to the former shareholders of UCT (U.S.) Inc., ("UCT") under the terms of an earn out provision entered into on the acquisition of UCT on June 8, 2000.</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3. GOODWILL</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9"/>
        </w:trPr>
        <w:tc>
          <w:tcPr>
            <w:tcW w:w="3080" w:type="dxa"/>
            <w:vAlign w:val="bottom"/>
          </w:tcPr>
          <w:p>
            <w:pPr>
              <w:spacing w:after="0"/>
              <w:rPr>
                <w:sz w:val="24"/>
                <w:szCs w:val="24"/>
                <w:color w:val="auto"/>
              </w:rPr>
            </w:pP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3080" w:type="dxa"/>
            <w:vAlign w:val="bottom"/>
          </w:tcPr>
          <w:p>
            <w:pPr>
              <w:spacing w:after="0"/>
              <w:rPr>
                <w:sz w:val="14"/>
                <w:szCs w:val="14"/>
                <w:color w:val="auto"/>
              </w:rPr>
            </w:pP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NOVEMBER 30</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3080" w:type="dxa"/>
            <w:vAlign w:val="bottom"/>
          </w:tcPr>
          <w:p>
            <w:pPr>
              <w:spacing w:after="0"/>
              <w:rPr>
                <w:sz w:val="14"/>
                <w:szCs w:val="14"/>
                <w:color w:val="auto"/>
              </w:rPr>
            </w:pP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3080" w:type="dxa"/>
            <w:vAlign w:val="bottom"/>
          </w:tcPr>
          <w:p>
            <w:pPr>
              <w:spacing w:after="0"/>
              <w:rPr>
                <w:sz w:val="14"/>
                <w:szCs w:val="14"/>
                <w:color w:val="auto"/>
              </w:rPr>
            </w:pP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080" w:type="dxa"/>
            <w:vAlign w:val="bottom"/>
          </w:tcPr>
          <w:p>
            <w:pPr>
              <w:ind w:left="600"/>
              <w:spacing w:after="0"/>
              <w:rPr>
                <w:sz w:val="20"/>
                <w:szCs w:val="20"/>
                <w:color w:val="auto"/>
              </w:rPr>
            </w:pPr>
            <w:r>
              <w:rPr>
                <w:rFonts w:ascii="Courier New" w:cs="Courier New" w:eastAsia="Courier New" w:hAnsi="Courier New"/>
                <w:sz w:val="15"/>
                <w:szCs w:val="15"/>
                <w:color w:val="auto"/>
              </w:rPr>
              <w:t>Opening Balance</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$10,093</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$6,642</w:t>
            </w:r>
          </w:p>
        </w:tc>
      </w:tr>
      <w:tr>
        <w:trPr>
          <w:trHeight w:val="170"/>
        </w:trPr>
        <w:tc>
          <w:tcPr>
            <w:tcW w:w="3080" w:type="dxa"/>
            <w:vAlign w:val="bottom"/>
          </w:tcPr>
          <w:p>
            <w:pPr>
              <w:ind w:left="600"/>
              <w:spacing w:after="0"/>
              <w:rPr>
                <w:sz w:val="20"/>
                <w:szCs w:val="20"/>
                <w:color w:val="auto"/>
              </w:rPr>
            </w:pPr>
            <w:r>
              <w:rPr>
                <w:rFonts w:ascii="Courier New" w:cs="Courier New" w:eastAsia="Courier New" w:hAnsi="Courier New"/>
                <w:sz w:val="15"/>
                <w:szCs w:val="15"/>
                <w:color w:val="auto"/>
              </w:rPr>
              <w:t>Arising on earn out</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3,287</w:t>
            </w:r>
          </w:p>
        </w:tc>
      </w:tr>
      <w:tr>
        <w:trPr>
          <w:trHeight w:val="170"/>
        </w:trPr>
        <w:tc>
          <w:tcPr>
            <w:tcW w:w="3080" w:type="dxa"/>
            <w:vAlign w:val="bottom"/>
          </w:tcPr>
          <w:p>
            <w:pPr>
              <w:ind w:left="600"/>
              <w:spacing w:after="0"/>
              <w:rPr>
                <w:sz w:val="20"/>
                <w:szCs w:val="20"/>
                <w:color w:val="auto"/>
              </w:rPr>
            </w:pPr>
            <w:r>
              <w:rPr>
                <w:rFonts w:ascii="Courier New" w:cs="Courier New" w:eastAsia="Courier New" w:hAnsi="Courier New"/>
                <w:sz w:val="15"/>
                <w:szCs w:val="15"/>
                <w:color w:val="auto"/>
              </w:rPr>
              <w:t>Arising on acquisition</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10,477</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600"/>
              <w:spacing w:after="0"/>
              <w:rPr>
                <w:sz w:val="20"/>
                <w:szCs w:val="20"/>
                <w:color w:val="auto"/>
              </w:rPr>
            </w:pPr>
            <w:r>
              <w:rPr>
                <w:rFonts w:ascii="Courier New" w:cs="Courier New" w:eastAsia="Courier New" w:hAnsi="Courier New"/>
                <w:sz w:val="15"/>
                <w:szCs w:val="15"/>
                <w:color w:val="auto"/>
              </w:rPr>
              <w:t>Exchange Movement</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6860" w:type="dxa"/>
            <w:vAlign w:val="bottom"/>
            <w:gridSpan w:val="3"/>
          </w:tcPr>
          <w:p>
            <w:pPr>
              <w:ind w:left="60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080" w:type="dxa"/>
            <w:vAlign w:val="bottom"/>
          </w:tcPr>
          <w:p>
            <w:pPr>
              <w:ind w:left="600"/>
              <w:spacing w:after="0"/>
              <w:rPr>
                <w:sz w:val="20"/>
                <w:szCs w:val="20"/>
                <w:color w:val="auto"/>
              </w:rPr>
            </w:pPr>
            <w:r>
              <w:rPr>
                <w:rFonts w:ascii="Courier New" w:cs="Courier New" w:eastAsia="Courier New" w:hAnsi="Courier New"/>
                <w:sz w:val="15"/>
                <w:szCs w:val="15"/>
                <w:color w:val="auto"/>
              </w:rPr>
              <w:t>Closing Balance</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$20,775</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$10,093</w:t>
            </w:r>
          </w:p>
        </w:tc>
      </w:tr>
    </w:tbl>
    <w:p>
      <w:pPr>
        <w:ind w:left="600"/>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4580"/>
        <w:spacing w:after="0" w:line="237" w:lineRule="auto"/>
        <w:rPr>
          <w:sz w:val="20"/>
          <w:szCs w:val="20"/>
          <w:color w:val="auto"/>
        </w:rPr>
      </w:pPr>
      <w:r>
        <w:rPr>
          <w:rFonts w:ascii="Courier New" w:cs="Courier New" w:eastAsia="Courier New" w:hAnsi="Courier New"/>
          <w:sz w:val="15"/>
          <w:szCs w:val="15"/>
          <w:color w:val="auto"/>
        </w:rPr>
        <w:t>Goodwill arising on acquisition for the six months ended November 30, 2002 wholly relates to the acquisition of Barton &amp; Polansky, Inc. and Managed Clinical Solutions (see note 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75" w:lineRule="exact"/>
        <w:rPr>
          <w:sz w:val="20"/>
          <w:szCs w:val="20"/>
          <w:color w:val="auto"/>
        </w:rPr>
      </w:pPr>
    </w:p>
    <w:p>
      <w:pPr>
        <w:ind w:right="4060"/>
        <w:spacing w:after="0" w:line="257"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67" w:lineRule="exact"/>
        <w:rPr>
          <w:sz w:val="20"/>
          <w:szCs w:val="20"/>
          <w:color w:val="auto"/>
        </w:rPr>
      </w:pPr>
    </w:p>
    <w:p>
      <w:pPr>
        <w:ind w:right="4240"/>
        <w:spacing w:after="0" w:line="260" w:lineRule="auto"/>
        <w:rPr>
          <w:sz w:val="20"/>
          <w:szCs w:val="20"/>
          <w:color w:val="auto"/>
        </w:rPr>
      </w:pPr>
      <w:r>
        <w:rPr>
          <w:rFonts w:ascii="Courier New" w:cs="Courier New" w:eastAsia="Courier New" w:hAnsi="Courier New"/>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3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420" w:type="dxa"/>
            <w:vAlign w:val="bottom"/>
          </w:tcPr>
          <w:p>
            <w:pPr>
              <w:spacing w:after="0"/>
              <w:rPr>
                <w:sz w:val="14"/>
                <w:szCs w:val="14"/>
                <w:color w:val="auto"/>
              </w:rPr>
            </w:pP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NOVEMBER 30,</w:t>
            </w:r>
          </w:p>
        </w:tc>
        <w:tc>
          <w:tcPr>
            <w:tcW w:w="1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NOVEMBER 30,</w:t>
            </w:r>
          </w:p>
        </w:tc>
      </w:tr>
      <w:tr>
        <w:trPr>
          <w:trHeight w:val="339"/>
        </w:trPr>
        <w:tc>
          <w:tcPr>
            <w:tcW w:w="5420" w:type="dxa"/>
            <w:vAlign w:val="bottom"/>
          </w:tcPr>
          <w:p>
            <w:pPr>
              <w:spacing w:after="0"/>
              <w:rPr>
                <w:sz w:val="24"/>
                <w:szCs w:val="24"/>
                <w:color w:val="auto"/>
              </w:rPr>
            </w:pP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420" w:type="dxa"/>
            <w:vAlign w:val="bottom"/>
          </w:tcPr>
          <w:p>
            <w:pPr>
              <w:spacing w:after="0"/>
              <w:rPr>
                <w:sz w:val="14"/>
                <w:szCs w:val="14"/>
                <w:color w:val="auto"/>
              </w:rPr>
            </w:pP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 for</w:t>
            </w: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11,804,345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11,667,504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11,799,125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11,507,105</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343,357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574,959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343,909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717,736</w:t>
            </w:r>
          </w:p>
        </w:tc>
      </w:tr>
      <w:tr>
        <w:trPr>
          <w:trHeight w:val="170"/>
        </w:trPr>
        <w:tc>
          <w:tcPr>
            <w:tcW w:w="5420" w:type="dxa"/>
            <w:vAlign w:val="bottom"/>
          </w:tcPr>
          <w:p>
            <w:pPr>
              <w:spacing w:after="0"/>
              <w:rPr>
                <w:sz w:val="14"/>
                <w:szCs w:val="14"/>
                <w:color w:val="auto"/>
              </w:rPr>
            </w:pPr>
          </w:p>
        </w:tc>
        <w:tc>
          <w:tcPr>
            <w:tcW w:w="5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for diluted net</w:t>
            </w:r>
          </w:p>
        </w:tc>
        <w:tc>
          <w:tcPr>
            <w:tcW w:w="2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income per Ordinary Share</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12,147,702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12,242,463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12,143,034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12,224,841</w:t>
            </w:r>
          </w:p>
        </w:tc>
      </w:tr>
      <w:tr>
        <w:trPr>
          <w:trHeight w:val="170"/>
        </w:trPr>
        <w:tc>
          <w:tcPr>
            <w:tcW w:w="5420" w:type="dxa"/>
            <w:vAlign w:val="bottom"/>
          </w:tcPr>
          <w:p>
            <w:pPr>
              <w:spacing w:after="0"/>
              <w:rPr>
                <w:sz w:val="14"/>
                <w:szCs w:val="14"/>
                <w:color w:val="auto"/>
              </w:rPr>
            </w:pPr>
          </w:p>
        </w:tc>
        <w:tc>
          <w:tcPr>
            <w:tcW w:w="5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5420" w:type="dxa"/>
            <w:vAlign w:val="bottom"/>
          </w:tcPr>
          <w:p>
            <w:pPr>
              <w:ind w:left="3420"/>
              <w:spacing w:after="0"/>
              <w:rPr>
                <w:sz w:val="20"/>
                <w:szCs w:val="20"/>
                <w:color w:val="auto"/>
              </w:rPr>
            </w:pPr>
            <w:r>
              <w:rPr>
                <w:rFonts w:ascii="Courier New" w:cs="Courier New" w:eastAsia="Courier New" w:hAnsi="Courier New"/>
                <w:sz w:val="15"/>
                <w:szCs w:val="15"/>
                <w:color w:val="auto"/>
              </w:rPr>
              <w:t>9</w:t>
            </w: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00"/>
          </w:cols>
          <w:pgMar w:left="240" w:top="627" w:right="55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States, United Kingdom, Germany, France, The Netherlands, Latvia, Israel, Australia, Argentina, Japan, Singapore, South Africa, Canada and India. Segment information for the three and six month periods ended November 30, 2002 and 2001 are as follows:</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308"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29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THREE MONTHS ENDED</w:t>
            </w:r>
          </w:p>
        </w:tc>
        <w:tc>
          <w:tcPr>
            <w:tcW w:w="2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1820" w:type="dxa"/>
            <w:vAlign w:val="bottom"/>
          </w:tcPr>
          <w:p>
            <w:pPr>
              <w:spacing w:after="0"/>
              <w:rPr>
                <w:sz w:val="14"/>
                <w:szCs w:val="14"/>
                <w:color w:val="auto"/>
              </w:rPr>
            </w:pPr>
          </w:p>
        </w:tc>
        <w:tc>
          <w:tcPr>
            <w:tcW w:w="2060" w:type="dxa"/>
            <w:vAlign w:val="bottom"/>
          </w:tcPr>
          <w:p>
            <w:pPr>
              <w:ind w:left="1000"/>
              <w:spacing w:after="0"/>
              <w:rPr>
                <w:sz w:val="20"/>
                <w:szCs w:val="20"/>
                <w:color w:val="auto"/>
              </w:rPr>
            </w:pPr>
            <w:r>
              <w:rPr>
                <w:rFonts w:ascii="Courier New" w:cs="Courier New" w:eastAsia="Courier New" w:hAnsi="Courier New"/>
                <w:sz w:val="15"/>
                <w:szCs w:val="15"/>
                <w:color w:val="auto"/>
                <w:w w:val="96"/>
              </w:rPr>
              <w:t>NOVEMBER 30,</w:t>
            </w:r>
          </w:p>
        </w:tc>
        <w:tc>
          <w:tcPr>
            <w:tcW w:w="84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560" w:type="dxa"/>
            <w:vAlign w:val="bottom"/>
          </w:tcPr>
          <w:p>
            <w:pPr>
              <w:spacing w:after="0"/>
              <w:rPr>
                <w:sz w:val="14"/>
                <w:szCs w:val="14"/>
                <w:color w:val="auto"/>
              </w:rPr>
            </w:pPr>
          </w:p>
        </w:tc>
      </w:tr>
      <w:tr>
        <w:trPr>
          <w:trHeight w:val="170"/>
        </w:trPr>
        <w:tc>
          <w:tcPr>
            <w:tcW w:w="1820" w:type="dxa"/>
            <w:vAlign w:val="bottom"/>
          </w:tcPr>
          <w:p>
            <w:pPr>
              <w:spacing w:after="0"/>
              <w:rPr>
                <w:sz w:val="14"/>
                <w:szCs w:val="14"/>
                <w:color w:val="auto"/>
              </w:rPr>
            </w:pPr>
          </w:p>
        </w:tc>
        <w:tc>
          <w:tcPr>
            <w:tcW w:w="2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20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2002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820" w:type="dxa"/>
            <w:vAlign w:val="bottom"/>
          </w:tcPr>
          <w:p>
            <w:pPr>
              <w:spacing w:after="0"/>
              <w:rPr>
                <w:sz w:val="14"/>
                <w:szCs w:val="14"/>
                <w:color w:val="auto"/>
              </w:rPr>
            </w:pPr>
          </w:p>
        </w:tc>
        <w:tc>
          <w:tcPr>
            <w:tcW w:w="290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(IN THOUSANDS)</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14"/>
                <w:szCs w:val="14"/>
                <w:color w:val="auto"/>
              </w:rPr>
            </w:pPr>
          </w:p>
        </w:tc>
      </w:tr>
      <w:tr>
        <w:trPr>
          <w:trHeight w:val="339"/>
        </w:trPr>
        <w:tc>
          <w:tcPr>
            <w:tcW w:w="18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$7,135</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$4,622</w:t>
            </w:r>
          </w:p>
        </w:tc>
        <w:tc>
          <w:tcPr>
            <w:tcW w:w="20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$12,301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$9,028</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7,915</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7,070</w:t>
            </w:r>
          </w:p>
        </w:tc>
        <w:tc>
          <w:tcPr>
            <w:tcW w:w="20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14,930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13,184</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37,185</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25,097</w:t>
            </w:r>
          </w:p>
        </w:tc>
        <w:tc>
          <w:tcPr>
            <w:tcW w:w="20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70,579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50,045</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1,300</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980</w:t>
            </w:r>
          </w:p>
        </w:tc>
        <w:tc>
          <w:tcPr>
            <w:tcW w:w="204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2,584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1,731</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$53,535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$37,769</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$100,394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$73,988</w:t>
            </w:r>
          </w:p>
        </w:tc>
      </w:tr>
    </w:tbl>
    <w:p>
      <w:pPr>
        <w:ind w:left="600"/>
        <w:spacing w:after="0"/>
        <w:rPr>
          <w:sz w:val="20"/>
          <w:szCs w:val="20"/>
          <w:color w:val="auto"/>
        </w:rPr>
      </w:pPr>
      <w:r>
        <w:rPr>
          <w:rFonts w:ascii="Courier New" w:cs="Courier New" w:eastAsia="Courier New" w:hAnsi="Courier New"/>
          <w:sz w:val="15"/>
          <w:szCs w:val="15"/>
          <w:color w:val="auto"/>
        </w:rPr>
        <w:t>------------------------------------------------------------------------------------</w:t>
      </w:r>
    </w:p>
    <w:p>
      <w:pPr>
        <w:ind w:left="600"/>
        <w:spacing w:after="0"/>
        <w:rPr>
          <w:sz w:val="20"/>
          <w:szCs w:val="20"/>
          <w:color w:val="auto"/>
        </w:rPr>
      </w:pPr>
      <w:r>
        <w:rPr>
          <w:rFonts w:ascii="Courier New" w:cs="Courier New" w:eastAsia="Courier New" w:hAnsi="Courier New"/>
          <w:sz w:val="15"/>
          <w:szCs w:val="15"/>
          <w:color w:val="auto"/>
        </w:rPr>
        <w:t>* All sales shown for Ireland are export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 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36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THREE MONTHS ENDED</w:t>
            </w:r>
          </w:p>
        </w:tc>
        <w:tc>
          <w:tcPr>
            <w:tcW w:w="2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920" w:type="dxa"/>
            <w:vAlign w:val="bottom"/>
          </w:tcPr>
          <w:p>
            <w:pPr>
              <w:spacing w:after="0"/>
              <w:rPr>
                <w:sz w:val="14"/>
                <w:szCs w:val="14"/>
                <w:color w:val="auto"/>
              </w:rPr>
            </w:pPr>
          </w:p>
        </w:tc>
        <w:tc>
          <w:tcPr>
            <w:tcW w:w="36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NOVEMBER 30,</w:t>
            </w:r>
          </w:p>
        </w:tc>
        <w:tc>
          <w:tcPr>
            <w:tcW w:w="92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NOVEMBER 30,</w:t>
            </w:r>
          </w:p>
        </w:tc>
      </w:tr>
      <w:tr>
        <w:trPr>
          <w:trHeight w:val="170"/>
        </w:trPr>
        <w:tc>
          <w:tcPr>
            <w:tcW w:w="29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(IN THOUSANDS)</w:t>
            </w:r>
          </w:p>
        </w:tc>
        <w:tc>
          <w:tcPr>
            <w:tcW w:w="9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9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$13,217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$11,393</w:t>
            </w:r>
          </w:p>
        </w:tc>
      </w:tr>
      <w:tr>
        <w:trPr>
          <w:trHeight w:val="339"/>
        </w:trPr>
        <w:tc>
          <w:tcPr>
            <w:tcW w:w="29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47,505</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31,376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87,177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62,595</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$53,535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$37,769</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$100,394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$73,988</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700" w:hanging="269"/>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31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080" w:type="dxa"/>
            <w:vAlign w:val="bottom"/>
          </w:tcPr>
          <w:p>
            <w:pPr>
              <w:spacing w:after="0"/>
              <w:rPr>
                <w:sz w:val="14"/>
                <w:szCs w:val="14"/>
                <w:color w:val="auto"/>
              </w:rPr>
            </w:pPr>
          </w:p>
        </w:tc>
        <w:tc>
          <w:tcPr>
            <w:tcW w:w="2240" w:type="dxa"/>
            <w:vAlign w:val="bottom"/>
          </w:tcPr>
          <w:p>
            <w:pPr>
              <w:ind w:left="1180"/>
              <w:spacing w:after="0"/>
              <w:rPr>
                <w:sz w:val="20"/>
                <w:szCs w:val="20"/>
                <w:color w:val="auto"/>
              </w:rPr>
            </w:pPr>
            <w:r>
              <w:rPr>
                <w:rFonts w:ascii="Courier New" w:cs="Courier New" w:eastAsia="Courier New" w:hAnsi="Courier New"/>
                <w:sz w:val="15"/>
                <w:szCs w:val="15"/>
                <w:color w:val="auto"/>
                <w:w w:val="96"/>
              </w:rPr>
              <w:t>NOVEMBER 30,</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NOVEMBER 30,</w:t>
            </w:r>
          </w:p>
        </w:tc>
      </w:tr>
      <w:tr>
        <w:trPr>
          <w:trHeight w:val="170"/>
        </w:trPr>
        <w:tc>
          <w:tcPr>
            <w:tcW w:w="2080" w:type="dxa"/>
            <w:vAlign w:val="bottom"/>
          </w:tcPr>
          <w:p>
            <w:pPr>
              <w:spacing w:after="0"/>
              <w:rPr>
                <w:sz w:val="14"/>
                <w:szCs w:val="14"/>
                <w:color w:val="auto"/>
              </w:rPr>
            </w:pP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080" w:type="dxa"/>
            <w:vAlign w:val="bottom"/>
          </w:tcPr>
          <w:p>
            <w:pPr>
              <w:spacing w:after="0"/>
              <w:rPr>
                <w:sz w:val="14"/>
                <w:szCs w:val="14"/>
                <w:color w:val="auto"/>
              </w:rPr>
            </w:pPr>
          </w:p>
        </w:tc>
        <w:tc>
          <w:tcPr>
            <w:tcW w:w="318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0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$882</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$1,017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$2,063</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723</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1,316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893</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4,509</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8,920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5,346</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179</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$6,293</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$4,405</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$11,514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$8,508</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0" w:name="page11"/>
    <w:bookmarkEnd w:id="10"/>
    <w:p>
      <w:pPr>
        <w:ind w:left="700" w:hanging="269"/>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8"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35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THREE MONTHS ENDED</w:t>
            </w:r>
          </w:p>
        </w:tc>
        <w:tc>
          <w:tcPr>
            <w:tcW w:w="2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820" w:type="dxa"/>
            <w:vAlign w:val="bottom"/>
          </w:tcPr>
          <w:p>
            <w:pPr>
              <w:spacing w:after="0"/>
              <w:rPr>
                <w:sz w:val="14"/>
                <w:szCs w:val="14"/>
                <w:color w:val="auto"/>
              </w:rPr>
            </w:pPr>
          </w:p>
        </w:tc>
        <w:tc>
          <w:tcPr>
            <w:tcW w:w="2700" w:type="dxa"/>
            <w:vAlign w:val="bottom"/>
          </w:tcPr>
          <w:p>
            <w:pPr>
              <w:ind w:left="1600"/>
              <w:spacing w:after="0"/>
              <w:rPr>
                <w:sz w:val="20"/>
                <w:szCs w:val="20"/>
                <w:color w:val="auto"/>
              </w:rPr>
            </w:pPr>
            <w:r>
              <w:rPr>
                <w:rFonts w:ascii="Courier New" w:cs="Courier New" w:eastAsia="Courier New" w:hAnsi="Courier New"/>
                <w:sz w:val="15"/>
                <w:szCs w:val="15"/>
                <w:color w:val="auto"/>
                <w:w w:val="99"/>
              </w:rPr>
              <w:t>NOVEMBER 30,</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6"/>
              </w:rPr>
              <w:t>NOVEMBER 30,</w:t>
            </w:r>
          </w:p>
        </w:tc>
      </w:tr>
      <w:tr>
        <w:trPr>
          <w:trHeight w:val="170"/>
        </w:trPr>
        <w:tc>
          <w:tcPr>
            <w:tcW w:w="2820" w:type="dxa"/>
            <w:vAlign w:val="bottom"/>
          </w:tcPr>
          <w:p>
            <w:pPr>
              <w:spacing w:after="0"/>
              <w:rPr>
                <w:sz w:val="14"/>
                <w:szCs w:val="14"/>
                <w:color w:val="auto"/>
              </w:rPr>
            </w:pPr>
          </w:p>
        </w:tc>
        <w:tc>
          <w:tcPr>
            <w:tcW w:w="27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820" w:type="dxa"/>
            <w:vAlign w:val="bottom"/>
          </w:tcPr>
          <w:p>
            <w:pPr>
              <w:spacing w:after="0"/>
              <w:rPr>
                <w:sz w:val="14"/>
                <w:szCs w:val="14"/>
                <w:color w:val="auto"/>
              </w:rPr>
            </w:pPr>
          </w:p>
        </w:tc>
        <w:tc>
          <w:tcPr>
            <w:tcW w:w="3540" w:type="dxa"/>
            <w:vAlign w:val="bottom"/>
            <w:gridSpan w:val="2"/>
          </w:tcPr>
          <w:p>
            <w:pPr>
              <w:ind w:left="160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(IN THOUSANDS)</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7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($87)</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r>
      <w:tr>
        <w:trPr>
          <w:trHeight w:val="339"/>
        </w:trPr>
        <w:tc>
          <w:tcPr>
            <w:tcW w:w="2820" w:type="dxa"/>
            <w:vAlign w:val="bottom"/>
          </w:tcPr>
          <w:p>
            <w:pPr>
              <w:spacing w:after="0"/>
              <w:rPr>
                <w:sz w:val="24"/>
                <w:szCs w:val="24"/>
                <w:color w:val="auto"/>
              </w:rPr>
            </w:pPr>
          </w:p>
        </w:tc>
        <w:tc>
          <w:tcPr>
            <w:tcW w:w="270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6,380</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10,804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7,493</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$6,293</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$4,405</w:t>
            </w: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$11,514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$8,508</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right="3259" w:firstLine="431"/>
        <w:spacing w:after="0" w:line="235" w:lineRule="auto"/>
        <w:tabs>
          <w:tab w:leader="none" w:pos="70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0"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NOVEMBER 30,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2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2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(IN THOUSANDS)</w:t>
            </w:r>
          </w:p>
        </w:tc>
      </w:t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$12,677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$9,795</w:t>
            </w:r>
          </w:p>
        </w:tc>
      </w:t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3,581</w:t>
            </w:r>
          </w:p>
        </w:tc>
      </w:t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12,652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11,438</w:t>
            </w:r>
          </w:p>
        </w:tc>
      </w:t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839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$30,299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$25,482</w:t>
            </w:r>
          </w:p>
        </w:tc>
      </w:tr>
    </w:tbl>
    <w:p>
      <w:pPr>
        <w:ind w:left="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right="3619" w:firstLine="431"/>
        <w:spacing w:after="0" w:line="235" w:lineRule="auto"/>
        <w:tabs>
          <w:tab w:leader="none" w:pos="70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0"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NOVEMBER 30,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244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2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(IN THOUSANDS)</w:t>
            </w:r>
          </w:p>
        </w:tc>
      </w:t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$3,280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$2,721</w:t>
            </w:r>
          </w:p>
        </w:tc>
      </w:t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27,019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22,761</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$30,299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$25,482</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The distribution of depreciation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29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2160" w:type="dxa"/>
            <w:vAlign w:val="bottom"/>
          </w:tcPr>
          <w:p>
            <w:pPr>
              <w:ind w:left="920"/>
              <w:spacing w:after="0"/>
              <w:rPr>
                <w:sz w:val="20"/>
                <w:szCs w:val="20"/>
                <w:color w:val="auto"/>
              </w:rPr>
            </w:pPr>
            <w:r>
              <w:rPr>
                <w:rFonts w:ascii="Courier New" w:cs="Courier New" w:eastAsia="Courier New" w:hAnsi="Courier New"/>
                <w:sz w:val="15"/>
                <w:szCs w:val="15"/>
                <w:color w:val="auto"/>
              </w:rPr>
              <w:t>NOVEMBER 30,</w:t>
            </w:r>
          </w:p>
        </w:tc>
        <w:tc>
          <w:tcPr>
            <w:tcW w:w="760" w:type="dxa"/>
            <w:vAlign w:val="bottom"/>
          </w:tcPr>
          <w:p>
            <w:pPr>
              <w:spacing w:after="0"/>
              <w:rPr>
                <w:sz w:val="14"/>
                <w:szCs w:val="14"/>
                <w:color w:val="auto"/>
              </w:rPr>
            </w:pP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NOVEMBER 30,</w:t>
            </w:r>
          </w:p>
        </w:tc>
        <w:tc>
          <w:tcPr>
            <w:tcW w:w="44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21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2001</w:t>
            </w:r>
          </w:p>
        </w:tc>
        <w:tc>
          <w:tcPr>
            <w:tcW w:w="20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900" w:type="dxa"/>
            <w:vAlign w:val="bottom"/>
          </w:tcPr>
          <w:p>
            <w:pPr>
              <w:spacing w:after="0"/>
              <w:rPr>
                <w:sz w:val="14"/>
                <w:szCs w:val="14"/>
                <w:color w:val="auto"/>
              </w:rPr>
            </w:pPr>
          </w:p>
        </w:tc>
        <w:tc>
          <w:tcPr>
            <w:tcW w:w="2160" w:type="dxa"/>
            <w:vAlign w:val="bottom"/>
          </w:tcPr>
          <w:p>
            <w:pPr>
              <w:ind w:left="920"/>
              <w:spacing w:after="0"/>
              <w:rPr>
                <w:sz w:val="20"/>
                <w:szCs w:val="20"/>
                <w:color w:val="auto"/>
              </w:rPr>
            </w:pPr>
            <w:r>
              <w:rPr>
                <w:rFonts w:ascii="Courier New" w:cs="Courier New" w:eastAsia="Courier New" w:hAnsi="Courier New"/>
                <w:sz w:val="15"/>
                <w:szCs w:val="15"/>
                <w:color w:val="auto"/>
                <w:w w:val="96"/>
              </w:rPr>
              <w:t>(IN THOUSANDS)</w:t>
            </w:r>
          </w:p>
        </w:tc>
        <w:tc>
          <w:tcPr>
            <w:tcW w:w="7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r>
      <w:tr>
        <w:trPr>
          <w:trHeight w:val="339"/>
        </w:trPr>
        <w:tc>
          <w:tcPr>
            <w:tcW w:w="19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1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$513</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$327</w:t>
            </w:r>
          </w:p>
        </w:tc>
        <w:tc>
          <w:tcPr>
            <w:tcW w:w="20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1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179</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192</w:t>
            </w:r>
          </w:p>
        </w:tc>
        <w:tc>
          <w:tcPr>
            <w:tcW w:w="20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429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1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819</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860</w:t>
            </w:r>
          </w:p>
        </w:tc>
        <w:tc>
          <w:tcPr>
            <w:tcW w:w="20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1,610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1,757</w:t>
            </w:r>
          </w:p>
        </w:tc>
      </w:t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67</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w:t>
            </w:r>
          </w:p>
        </w:tc>
        <w:tc>
          <w:tcPr>
            <w:tcW w:w="20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$1,578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$1,430</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$2,878</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67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r>
      <w:tr>
        <w:trPr>
          <w:trHeight w:val="170"/>
        </w:trPr>
        <w:tc>
          <w:tcPr>
            <w:tcW w:w="1640" w:type="dxa"/>
            <w:vAlign w:val="bottom"/>
          </w:tcPr>
          <w:p>
            <w:pPr>
              <w:spacing w:after="0"/>
              <w:rPr>
                <w:sz w:val="14"/>
                <w:szCs w:val="14"/>
                <w:color w:val="auto"/>
              </w:rPr>
            </w:pP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880" w:type="dxa"/>
            <w:vAlign w:val="bottom"/>
          </w:tcPr>
          <w:p>
            <w:pPr>
              <w:spacing w:after="0"/>
              <w:rPr>
                <w:sz w:val="14"/>
                <w:szCs w:val="14"/>
                <w:color w:val="auto"/>
              </w:rPr>
            </w:pPr>
          </w:p>
        </w:tc>
        <w:tc>
          <w:tcPr>
            <w:tcW w:w="2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NOVEMBER 30,</w:t>
            </w:r>
          </w:p>
        </w:tc>
        <w:tc>
          <w:tcPr>
            <w:tcW w:w="440" w:type="dxa"/>
            <w:vAlign w:val="bottom"/>
          </w:tcPr>
          <w:p>
            <w:pPr>
              <w:spacing w:after="0"/>
              <w:rPr>
                <w:sz w:val="14"/>
                <w:szCs w:val="14"/>
                <w:color w:val="auto"/>
              </w:rPr>
            </w:pPr>
          </w:p>
        </w:tc>
      </w:tr>
      <w:tr>
        <w:trPr>
          <w:trHeight w:val="170"/>
        </w:trPr>
        <w:tc>
          <w:tcPr>
            <w:tcW w:w="1640" w:type="dxa"/>
            <w:vAlign w:val="bottom"/>
          </w:tcPr>
          <w:p>
            <w:pPr>
              <w:spacing w:after="0"/>
              <w:rPr>
                <w:sz w:val="14"/>
                <w:szCs w:val="14"/>
                <w:color w:val="auto"/>
              </w:rPr>
            </w:pPr>
          </w:p>
        </w:tc>
        <w:tc>
          <w:tcPr>
            <w:tcW w:w="58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640" w:type="dxa"/>
            <w:vAlign w:val="bottom"/>
          </w:tcPr>
          <w:p>
            <w:pPr>
              <w:spacing w:after="0"/>
              <w:rPr>
                <w:sz w:val="14"/>
                <w:szCs w:val="14"/>
                <w:color w:val="auto"/>
              </w:rPr>
            </w:pPr>
          </w:p>
        </w:tc>
        <w:tc>
          <w:tcPr>
            <w:tcW w:w="5820" w:type="dxa"/>
            <w:vAlign w:val="bottom"/>
          </w:tcPr>
          <w:p>
            <w:pPr>
              <w:jc w:val="right"/>
              <w:ind w:right="3147"/>
              <w:spacing w:after="0"/>
              <w:rPr>
                <w:sz w:val="20"/>
                <w:szCs w:val="20"/>
                <w:color w:val="auto"/>
              </w:rPr>
            </w:pPr>
            <w:r>
              <w:rPr>
                <w:rFonts w:ascii="Courier New" w:cs="Courier New" w:eastAsia="Courier New" w:hAnsi="Courier New"/>
                <w:sz w:val="15"/>
                <w:szCs w:val="15"/>
                <w:color w:val="auto"/>
                <w:w w:val="98"/>
              </w:rPr>
              <w:t>(IN THOUSANDS) (IN THOUSANDS)</w:t>
            </w: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Central laboratory</w:t>
            </w:r>
          </w:p>
        </w:tc>
        <w:tc>
          <w:tcPr>
            <w:tcW w:w="58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$167</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$222</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$330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339"/>
        </w:trPr>
        <w:tc>
          <w:tcPr>
            <w:tcW w:w="1640" w:type="dxa"/>
            <w:vAlign w:val="bottom"/>
          </w:tcPr>
          <w:p>
            <w:pPr>
              <w:spacing w:after="0"/>
              <w:rPr>
                <w:sz w:val="24"/>
                <w:szCs w:val="24"/>
                <w:color w:val="auto"/>
              </w:rPr>
            </w:pPr>
          </w:p>
        </w:tc>
        <w:tc>
          <w:tcPr>
            <w:tcW w:w="58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1,411</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1,208</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2,818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2,434</w:t>
            </w:r>
          </w:p>
        </w:tc>
      </w:tr>
    </w:tbl>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$1,578</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$1,430</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$3,148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$2,878</w:t>
            </w:r>
          </w:p>
        </w:tc>
      </w:tr>
    </w:tbl>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net assets by geographical area was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NOVEMBER 30,</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3260" w:type="dxa"/>
            <w:vAlign w:val="bottom"/>
          </w:tcPr>
          <w:p>
            <w:pPr>
              <w:spacing w:after="0"/>
              <w:rPr>
                <w:sz w:val="14"/>
                <w:szCs w:val="14"/>
                <w:color w:val="auto"/>
              </w:rPr>
            </w:pP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3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$25,304</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7,675</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25,339</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1,697</w:t>
            </w:r>
          </w:p>
        </w:tc>
      </w:tr>
    </w:tbl>
    <w:p>
      <w:pPr>
        <w:ind w:left="160"/>
        <w:spacing w:after="0"/>
        <w:rPr>
          <w:sz w:val="20"/>
          <w:szCs w:val="20"/>
          <w:color w:val="auto"/>
        </w:rPr>
      </w:pPr>
      <w:r>
        <w:rPr>
          <w:rFonts w:ascii="Courier New" w:cs="Courier New" w:eastAsia="Courier New" w:hAnsi="Courier New"/>
          <w:sz w:val="15"/>
          <w:szCs w:val="15"/>
          <w:color w:val="auto"/>
        </w:rPr>
        <w:t>---------------------------------------------------------------------------------------------</w:t>
      </w:r>
    </w:p>
    <w:tbl>
      <w:tblPr>
        <w:tblLayout w:type="fixed"/>
        <w:tblInd w:w="160" w:type="dxa"/>
        <w:tblCellMar>
          <w:top w:w="0" w:type="dxa"/>
          <w:left w:w="0" w:type="dxa"/>
          <w:bottom w:w="0" w:type="dxa"/>
          <w:right w:w="0" w:type="dxa"/>
        </w:tblCellMar>
      </w:tblPr>
      <w:tr>
        <w:trPr>
          <w:trHeight w:val="169"/>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Segmental net</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97,948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60,015</w:t>
            </w:r>
          </w:p>
        </w:tc>
      </w:tr>
      <w:tr>
        <w:trPr>
          <w:trHeight w:val="170"/>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Group liquid resources not allocated to segments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9,549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28,820</w:t>
            </w:r>
          </w:p>
        </w:tc>
      </w:tr>
      <w:tr>
        <w:trPr>
          <w:trHeight w:val="170"/>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Group interest bearing assets and liabilities</w:t>
            </w: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not allocated</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to segments</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10,966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18,726</w:t>
            </w:r>
          </w:p>
        </w:tc>
      </w:tr>
    </w:tbl>
    <w:p>
      <w:pPr>
        <w:ind w:left="1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$118,463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bl>
    <w:p>
      <w:pPr>
        <w:ind w:left="1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The distribution of net assets by business segment was as follows: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19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NOVEMBER 30,</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2340" w:type="dxa"/>
            <w:vAlign w:val="bottom"/>
          </w:tcPr>
          <w:p>
            <w:pPr>
              <w:spacing w:after="0"/>
              <w:rPr>
                <w:sz w:val="14"/>
                <w:szCs w:val="14"/>
                <w:color w:val="auto"/>
              </w:rPr>
            </w:pPr>
          </w:p>
        </w:tc>
        <w:tc>
          <w:tcPr>
            <w:tcW w:w="1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$7,862</w:t>
            </w:r>
          </w:p>
        </w:tc>
        <w:tc>
          <w:tcPr>
            <w:tcW w:w="1600" w:type="dxa"/>
            <w:vAlign w:val="bottom"/>
          </w:tcPr>
          <w:p>
            <w:pPr>
              <w:spacing w:after="0"/>
              <w:rPr>
                <w:sz w:val="14"/>
                <w:szCs w:val="14"/>
                <w:color w:val="auto"/>
              </w:rPr>
            </w:pPr>
          </w:p>
        </w:tc>
      </w:tr>
      <w:tr>
        <w:trPr>
          <w:trHeight w:val="170"/>
        </w:trPr>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$4,078</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110,601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103,483</w:t>
            </w:r>
          </w:p>
        </w:tc>
      </w:tr>
    </w:tbl>
    <w:p>
      <w:pPr>
        <w:ind w:left="1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$118,463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bl>
    <w:p>
      <w:pPr>
        <w:ind w:left="1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080"/>
          </w:cols>
          <w:pgMar w:left="680" w:top="791" w:right="1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ICON PLC</w:t>
      </w:r>
    </w:p>
    <w:p>
      <w:pPr>
        <w:spacing w:after="0" w:line="34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2002.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porividing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operations are in the United States, South America, Europe and the Rest of the World. For the six months ended November 30, 2002, we derived approximately 70.3%, 27.1% and 2.6% of our net revenue in the United States, Europe and Rest of World, respectively.</w:t>
      </w:r>
    </w:p>
    <w:p>
      <w:pPr>
        <w:spacing w:after="0" w:line="18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8"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63"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ten operations trading in U.S. dollars, four trading in Euros, three in pounds Sterling, and one each in Australian dollars, Singapore dollars, Japanese Yen, Israeli New Shekels, Latvian Lats, Swedish Krona, South African Rand, Argentine Peso, Indian Rupee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396" w:gutter="0" w:footer="0" w:header="0"/>
        </w:sectPr>
      </w:pPr>
    </w:p>
    <w:bookmarkStart w:id="13" w:name="page14"/>
    <w:bookmarkEnd w:id="13"/>
    <w:p>
      <w:pPr>
        <w:ind w:right="3179"/>
        <w:spacing w:after="0" w:line="238"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2002, we have received $1,150,305 and $1,045,348 under the capital grants and operating grants, respectively. Pursuant to the terms of the grant agreements we are restricted from distributing some of these amounts by way of dividend or otherwise.</w:t>
      </w:r>
    </w:p>
    <w:p>
      <w:pPr>
        <w:spacing w:after="0" w:line="18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THREE MONTHS ENDED NOVEMBER 30, 2002 COMPARED WITH THREE MONTHS ENDED NOVEMBER 30, 2001</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34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THREE MONTHS ENDED</w:t>
            </w:r>
          </w:p>
        </w:tc>
        <w:tc>
          <w:tcPr>
            <w:tcW w:w="138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NOVEMBER 30,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NOVEMBER 30,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374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 2001</w:t>
            </w:r>
          </w:p>
        </w:tc>
      </w:tr>
      <w:tr>
        <w:trPr>
          <w:trHeight w:val="170"/>
        </w:trPr>
        <w:tc>
          <w:tcPr>
            <w:tcW w:w="3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374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PERCENTAGE OF NET REVENUE</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INCREASE</w:t>
            </w:r>
          </w:p>
        </w:tc>
      </w:tr>
      <w:tr>
        <w:trPr>
          <w:trHeight w:val="6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53.6%</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39.6%</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31.7%</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Net revenue increased by $15.7 million, or 41.7%, from $37.8 million to $53.5 million. This improvement arose through a combination of increased business from existing clients, business won from new clients and revenues from acquisitions not included in the comparative period. The additional revenues from these acquisitions (BPA and MCS) amounted to $3.5 million for the two months ended November 30, 2002. Including the impact of the acquisition, revenues in the United States, Europe/Rest of World grew by 48.2% and 29.0%, respectively. For the three months ended November 30, 2002, net revenue for our central laboratory business fell by 5.7% from $6.4 million to $6.0 million while our clinical research segment grew by 51.4% from $31.4 million to $47.5 million over the comparable period. The decrease in the central laboratory revenues was due principally to a higher than normal level of project cancellations in the first quarter of fiscal 2003.</w:t>
      </w:r>
    </w:p>
    <w:p>
      <w:pPr>
        <w:spacing w:after="0" w:line="18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Direct costs increased by $8.1 million, or 39.6%, from $20.6 million to $28.7 million, primarily due to increased staff numbers needed to support increased project related activity and increased costs arising from the acquisitions amounting to $2.1 million. Direct costs, as a percentage of net revenue decreased from 54.4% in the three months to November 30, 2001, to 53.6% for the quarter ended November 30, 2002 or 53.2% when the effects of acquisitions have been excluded.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$5.5 million, or</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49.2%, from $11.4 million to $16.9 million. The increase in costs is due to the continued expansion of our operations and additional selling, general and administrative costs from acquisitions of $1.0 million not included in the comparative period. As a percentage of net revenue, selling, general and administrative expenses,</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735" w:gutter="0" w:footer="0" w:header="0"/>
        </w:sectPr>
      </w:pPr>
    </w:p>
    <w:bookmarkStart w:id="14" w:name="page15"/>
    <w:bookmarkEnd w:id="14"/>
    <w:p>
      <w:pPr>
        <w:jc w:val="both"/>
        <w:ind w:right="180"/>
        <w:spacing w:after="0" w:line="237" w:lineRule="auto"/>
        <w:rPr>
          <w:sz w:val="20"/>
          <w:szCs w:val="20"/>
          <w:color w:val="auto"/>
        </w:rPr>
      </w:pPr>
      <w:r>
        <w:rPr>
          <w:rFonts w:ascii="Courier New" w:cs="Courier New" w:eastAsia="Courier New" w:hAnsi="Courier New"/>
          <w:sz w:val="15"/>
          <w:szCs w:val="15"/>
          <w:color w:val="auto"/>
        </w:rPr>
        <w:t>increased from 30.1% in the three months to November 30, 2001, to 31.7% for the quarter ended November 30, 2002, or 31.9% when the effects of acquisitions have been excluded.</w:t>
      </w:r>
    </w:p>
    <w:p>
      <w:pPr>
        <w:spacing w:after="0" w:line="175" w:lineRule="exact"/>
        <w:rPr>
          <w:sz w:val="20"/>
          <w:szCs w:val="20"/>
          <w:color w:val="auto"/>
        </w:rPr>
      </w:pPr>
    </w:p>
    <w:p>
      <w:pPr>
        <w:ind w:right="100"/>
        <w:spacing w:after="0" w:line="238" w:lineRule="auto"/>
        <w:rPr>
          <w:sz w:val="20"/>
          <w:szCs w:val="20"/>
          <w:color w:val="auto"/>
        </w:rPr>
      </w:pPr>
      <w:r>
        <w:rPr>
          <w:rFonts w:ascii="Courier New" w:cs="Courier New" w:eastAsia="Courier New" w:hAnsi="Courier New"/>
          <w:sz w:val="15"/>
          <w:szCs w:val="15"/>
          <w:color w:val="auto"/>
        </w:rPr>
        <w:t>Depreciation and amortization expense increased by $0.1 million, or 10.3%, over the same quarter last year. This increase is due to the continued investment in facilities and information technology to support the growth in activity and in providing for future capacity. As a percentage of net revenue, depreciation and amortisation decreased from 3.8% of net revenues in the three months to November 30, 2001 to 2.9% for the quarter ended November 30, 2002 or 3.2% when the effects of acquisitions have been excluded.</w:t>
      </w:r>
    </w:p>
    <w:p>
      <w:pPr>
        <w:spacing w:after="0" w:line="177" w:lineRule="exact"/>
        <w:rPr>
          <w:sz w:val="20"/>
          <w:szCs w:val="20"/>
          <w:color w:val="auto"/>
        </w:rPr>
      </w:pPr>
    </w:p>
    <w:p>
      <w:pPr>
        <w:ind w:right="100"/>
        <w:spacing w:after="0" w:line="238" w:lineRule="auto"/>
        <w:rPr>
          <w:sz w:val="20"/>
          <w:szCs w:val="20"/>
          <w:color w:val="auto"/>
        </w:rPr>
      </w:pPr>
      <w:r>
        <w:rPr>
          <w:rFonts w:ascii="Courier New" w:cs="Courier New" w:eastAsia="Courier New" w:hAnsi="Courier New"/>
          <w:sz w:val="15"/>
          <w:szCs w:val="15"/>
          <w:color w:val="auto"/>
        </w:rPr>
        <w:t>Income from operations increased by $1.9 million, or 42.9%, from $4.4 million to $6.3 million, including acquisitions. This improvement is due to increased levels of activity carried out across the Company together with the acquisition of BPA and MCS. As a percentage of net revenue, including the effect of acquisitions, income from operations increased from 11.7% for the three months ended November 30, 2001 to 11.8% of net revenues for the three months ended November 30, 2002. For the quarter, income from operations, as a percentage of net revenue for the central laboratory fell to (1.4)% from 12.4% in the same quarter in fiscal 2002 due principally to a higher than normal level of project cancellations in the first quarter of the current fiscal year. Operating margins for our clinical research segment increased from 11.5% in the three months ended November 30, 2001 to 13.4% for the three months ended November 30, 2002 due principally to improved staff utilization.</w:t>
      </w:r>
    </w:p>
    <w:p>
      <w:pPr>
        <w:spacing w:after="0" w:line="183" w:lineRule="exact"/>
        <w:rPr>
          <w:sz w:val="20"/>
          <w:szCs w:val="20"/>
          <w:color w:val="auto"/>
        </w:rPr>
      </w:pPr>
    </w:p>
    <w:p>
      <w:pPr>
        <w:ind w:right="100"/>
        <w:spacing w:after="0" w:line="238" w:lineRule="auto"/>
        <w:rPr>
          <w:sz w:val="20"/>
          <w:szCs w:val="20"/>
          <w:color w:val="auto"/>
        </w:rPr>
      </w:pPr>
      <w:r>
        <w:rPr>
          <w:rFonts w:ascii="Courier New" w:cs="Courier New" w:eastAsia="Courier New" w:hAnsi="Courier New"/>
          <w:sz w:val="15"/>
          <w:szCs w:val="15"/>
          <w:color w:val="auto"/>
        </w:rPr>
        <w:t>Net interest income for the three months ended November 30, 2002 was $0.1 million compared to $0.2 million for the equivalent period last year. Net cash invested decreased from $43.1 million at May 31, 2002 to $27.5 million at November 30, 2002. Lower average interest rates for the second quarter of fiscal 2003, when compared to the same period last year, together with lower amounts of cash invested contributed to the lower returns on our investments.</w:t>
      </w:r>
    </w:p>
    <w:p>
      <w:pPr>
        <w:spacing w:after="0" w:line="176" w:lineRule="exact"/>
        <w:rPr>
          <w:sz w:val="20"/>
          <w:szCs w:val="20"/>
          <w:color w:val="auto"/>
        </w:rPr>
      </w:pPr>
    </w:p>
    <w:p>
      <w:pPr>
        <w:ind w:right="460"/>
        <w:spacing w:after="0" w:line="237" w:lineRule="auto"/>
        <w:rPr>
          <w:sz w:val="20"/>
          <w:szCs w:val="20"/>
          <w:color w:val="auto"/>
        </w:rPr>
      </w:pPr>
      <w:r>
        <w:rPr>
          <w:rFonts w:ascii="Courier New" w:cs="Courier New" w:eastAsia="Courier New" w:hAnsi="Courier New"/>
          <w:sz w:val="15"/>
          <w:szCs w:val="15"/>
          <w:color w:val="auto"/>
        </w:rPr>
        <w:t>Our effective tax rate for the six months ended November 30, 2002 was 30.6% compared to 25.5% for the comparable period last year. The increase in the effective rate was due to a change in the geographic distribution of pre-tax earnings and the impact of the acquisition of BPA and MCS.</w:t>
      </w:r>
    </w:p>
    <w:p>
      <w:pPr>
        <w:spacing w:after="0" w:line="346" w:lineRule="exact"/>
        <w:rPr>
          <w:sz w:val="20"/>
          <w:szCs w:val="20"/>
          <w:color w:val="auto"/>
        </w:rPr>
      </w:pPr>
    </w:p>
    <w:p>
      <w:pPr>
        <w:ind w:right="280"/>
        <w:spacing w:after="0" w:line="235" w:lineRule="auto"/>
        <w:rPr>
          <w:sz w:val="20"/>
          <w:szCs w:val="20"/>
          <w:color w:val="auto"/>
        </w:rPr>
      </w:pPr>
      <w:r>
        <w:rPr>
          <w:rFonts w:ascii="Courier New" w:cs="Courier New" w:eastAsia="Courier New" w:hAnsi="Courier New"/>
          <w:sz w:val="15"/>
          <w:szCs w:val="15"/>
          <w:color w:val="auto"/>
        </w:rPr>
        <w:t>SIX MONTHS ENDED NOVEMBER 30, 2002 COMPARED WITH SIX MONTHS ENDED NOVEMBER 30, 2001</w:t>
      </w:r>
    </w:p>
    <w:p>
      <w:pPr>
        <w:spacing w:after="0" w:line="176"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32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920" w:type="dxa"/>
            <w:vAlign w:val="bottom"/>
          </w:tcPr>
          <w:p>
            <w:pPr>
              <w:spacing w:after="0"/>
              <w:rPr>
                <w:sz w:val="14"/>
                <w:szCs w:val="14"/>
                <w:color w:val="auto"/>
              </w:rPr>
            </w:pP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NOVEMBER 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r>
      <w:tr>
        <w:trPr>
          <w:trHeight w:val="170"/>
        </w:trPr>
        <w:tc>
          <w:tcPr>
            <w:tcW w:w="3920" w:type="dxa"/>
            <w:vAlign w:val="bottom"/>
          </w:tcPr>
          <w:p>
            <w:pPr>
              <w:spacing w:after="0"/>
              <w:rPr>
                <w:sz w:val="14"/>
                <w:szCs w:val="14"/>
                <w:color w:val="auto"/>
              </w:rPr>
            </w:pPr>
          </w:p>
        </w:tc>
        <w:tc>
          <w:tcPr>
            <w:tcW w:w="18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r>
      <w:tr>
        <w:trPr>
          <w:trHeight w:val="339"/>
        </w:trPr>
        <w:tc>
          <w:tcPr>
            <w:tcW w:w="3920" w:type="dxa"/>
            <w:vAlign w:val="bottom"/>
          </w:tcPr>
          <w:p>
            <w:pPr>
              <w:spacing w:after="0"/>
              <w:rPr>
                <w:sz w:val="24"/>
                <w:szCs w:val="24"/>
                <w:color w:val="auto"/>
              </w:rPr>
            </w:pPr>
          </w:p>
        </w:tc>
        <w:tc>
          <w:tcPr>
            <w:tcW w:w="32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PERCENTAGE OF NET REVENUE</w:t>
            </w:r>
          </w:p>
        </w:tc>
      </w:tr>
      <w:tr>
        <w:trPr>
          <w:trHeight w:val="509"/>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53.9%</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53.4%</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31.5%</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31.2%</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11.5%</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r>
    </w:tbl>
    <w:p>
      <w:pPr>
        <w:spacing w:after="0" w:line="200" w:lineRule="exact"/>
        <w:rPr>
          <w:sz w:val="20"/>
          <w:szCs w:val="20"/>
          <w:color w:val="auto"/>
        </w:rPr>
      </w:pPr>
    </w:p>
    <w:p>
      <w:pPr>
        <w:spacing w:after="0" w:line="314" w:lineRule="exact"/>
        <w:rPr>
          <w:sz w:val="20"/>
          <w:szCs w:val="20"/>
          <w:color w:val="auto"/>
        </w:rPr>
      </w:pPr>
    </w:p>
    <w:p>
      <w:pPr>
        <w:ind w:right="100"/>
        <w:spacing w:after="0" w:line="238" w:lineRule="auto"/>
        <w:rPr>
          <w:sz w:val="20"/>
          <w:szCs w:val="20"/>
          <w:color w:val="auto"/>
        </w:rPr>
      </w:pPr>
      <w:r>
        <w:rPr>
          <w:rFonts w:ascii="Courier New" w:cs="Courier New" w:eastAsia="Courier New" w:hAnsi="Courier New"/>
          <w:sz w:val="15"/>
          <w:szCs w:val="15"/>
          <w:color w:val="auto"/>
        </w:rPr>
        <w:t>Net revenue increased by $26.4 million, or 35.7%, from $74.0 million to $100.4 million. This improvement arose through a combination of increased business from existing clients, business won from new clients and revenues from acquisitions not included in the comparative period. The additional revenues from these acquisitions (BPA and MCS) were $3.5 million for the two months ended November 30, 2002. Of the total increase, revenues in the United States, Europe/Rest of World grew by 41.0% and 24.5%, respectively. For the six months ended November 30, 2002 net revenue for our central laboratory segment grew from $11.4 million to $13.2 million, or 16.0% over the comparable period last year, while our clinical research segment grew from $62.6 million to $87.2 million, or 39.3% in the same period. The growth in our central laboratory segment was lower due principally to a higher than normal level of cancellations in the first quarter of fiscal 2003.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5"/>
          <w:szCs w:val="15"/>
          <w:color w:val="auto"/>
        </w:rPr>
        <w:t>2002</w:t>
      </w:r>
    </w:p>
    <w:p>
      <w:pPr>
        <w:jc w:val="right"/>
        <w:ind w:right="1679"/>
        <w:spacing w:after="0"/>
        <w:rPr>
          <w:sz w:val="20"/>
          <w:szCs w:val="20"/>
          <w:color w:val="auto"/>
        </w:rPr>
      </w:pPr>
      <w:r>
        <w:rPr>
          <w:rFonts w:ascii="Courier New" w:cs="Courier New" w:eastAsia="Courier New" w:hAnsi="Courier New"/>
          <w:sz w:val="15"/>
          <w:szCs w:val="15"/>
          <w:color w:val="auto"/>
        </w:rPr>
        <w:t>TO 2001</w:t>
      </w:r>
    </w:p>
    <w:p>
      <w:pPr>
        <w:spacing w:after="0" w:line="5"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4"/>
          <w:szCs w:val="14"/>
          <w:color w:val="auto"/>
        </w:rPr>
        <w:t>PERCENTAGE</w:t>
      </w:r>
    </w:p>
    <w:p>
      <w:pPr>
        <w:spacing w:after="0" w:line="5"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5"/>
          <w:szCs w:val="15"/>
          <w:color w:val="auto"/>
        </w:rPr>
        <w:t>INCREASE</w:t>
      </w:r>
    </w:p>
    <w:p>
      <w:pPr>
        <w:spacing w:after="0" w:line="339"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5"/>
          <w:szCs w:val="15"/>
          <w:color w:val="auto"/>
        </w:rPr>
        <w:t>35.7%</w:t>
      </w:r>
    </w:p>
    <w:p>
      <w:pPr>
        <w:spacing w:after="0" w:line="169"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5"/>
          <w:szCs w:val="15"/>
          <w:color w:val="auto"/>
        </w:rPr>
        <w:t>37.0%</w:t>
      </w:r>
    </w:p>
    <w:p>
      <w:pPr>
        <w:jc w:val="right"/>
        <w:ind w:right="1599"/>
        <w:spacing w:after="0"/>
        <w:rPr>
          <w:sz w:val="20"/>
          <w:szCs w:val="20"/>
          <w:color w:val="auto"/>
        </w:rPr>
      </w:pPr>
      <w:r>
        <w:rPr>
          <w:rFonts w:ascii="Courier New" w:cs="Courier New" w:eastAsia="Courier New" w:hAnsi="Courier New"/>
          <w:sz w:val="15"/>
          <w:szCs w:val="15"/>
          <w:color w:val="auto"/>
        </w:rPr>
        <w:t>36.8%</w:t>
      </w:r>
    </w:p>
    <w:p>
      <w:pPr>
        <w:jc w:val="right"/>
        <w:ind w:right="1599"/>
        <w:spacing w:after="0"/>
        <w:rPr>
          <w:sz w:val="20"/>
          <w:szCs w:val="20"/>
          <w:color w:val="auto"/>
        </w:rPr>
      </w:pPr>
      <w:r>
        <w:rPr>
          <w:rFonts w:ascii="Courier New" w:cs="Courier New" w:eastAsia="Courier New" w:hAnsi="Courier New"/>
          <w:sz w:val="15"/>
          <w:szCs w:val="15"/>
          <w:color w:val="auto"/>
        </w:rPr>
        <w:t>9.4%</w:t>
      </w:r>
    </w:p>
    <w:p>
      <w:pPr>
        <w:jc w:val="right"/>
        <w:ind w:right="1599"/>
        <w:spacing w:after="0" w:line="238" w:lineRule="auto"/>
        <w:rPr>
          <w:sz w:val="20"/>
          <w:szCs w:val="20"/>
          <w:color w:val="auto"/>
        </w:rPr>
      </w:pPr>
      <w:r>
        <w:rPr>
          <w:rFonts w:ascii="Courier New" w:cs="Courier New" w:eastAsia="Courier New" w:hAnsi="Courier New"/>
          <w:sz w:val="15"/>
          <w:szCs w:val="15"/>
          <w:color w:val="auto"/>
        </w:rPr>
        <w:t>35.3%</w:t>
      </w:r>
    </w:p>
    <w:p>
      <w:pPr>
        <w:sectPr>
          <w:pgSz w:w="11900" w:h="16838" w:orient="portrait"/>
          <w:cols w:equalWidth="0" w:num="2">
            <w:col w:w="7140" w:space="520"/>
            <w:col w:w="2559"/>
          </w:cols>
          <w:pgMar w:left="240" w:top="627" w:right="1440" w:bottom="1440" w:gutter="0" w:footer="0" w:header="0"/>
        </w:sectPr>
      </w:pPr>
    </w:p>
    <w:bookmarkStart w:id="15" w:name="page16"/>
    <w:bookmarkEnd w:id="15"/>
    <w:p>
      <w:pPr>
        <w:ind w:right="3259"/>
        <w:spacing w:after="0" w:line="238" w:lineRule="auto"/>
        <w:rPr>
          <w:sz w:val="20"/>
          <w:szCs w:val="20"/>
          <w:color w:val="auto"/>
        </w:rPr>
      </w:pPr>
      <w:r>
        <w:rPr>
          <w:rFonts w:ascii="Courier New" w:cs="Courier New" w:eastAsia="Courier New" w:hAnsi="Courier New"/>
          <w:sz w:val="15"/>
          <w:szCs w:val="15"/>
          <w:color w:val="auto"/>
        </w:rPr>
        <w:t>Direct costs increased by $14.6 million, or 37.0%, from $39.5 million to $54.1 million, primarily due to increased staff numbers needed to support increased project related activity and increased costs arising from the acquisitions amounting to $2.1 million. Direct costs, as a percentage of net revenue increased from 53.4% in the six months to November 30, 2001, to 53.9% for the six months ended November 30, 2002 or 53.7% when the effect of acquisitions has been excluded.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$8.5 million, or</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36.8%, from $23.1 million to $31.6 million. The increase in costs is due to the continued expansion of our operations and additional selling, general and administrative costs from acquisitions of $1.0 million not included in the comparative period. As a percentage of net revenue, selling, general and administrative expenses, increased from 31.2% in the six months to November 30, 2001, to 31.5% for the six months ended November 30, 2002 or 31.6% when the effect of acquisitions has been excluded.</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Depreciation and amortization expense increased by $0.3 million, or 9.4%, over the same period last year. This increase is due to the continued investment in facilities and information technology to support the growth in activity and in providing for future capacity. As a percentage of net revenue, depreciation and amortisation decreased from 3.9% of net revenues in the six months to November 30, 2001 to 3.1% for the six months ended November 30, 2002 or 3.3% when the effect of acquisitions has been excluded.</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Income from operations increased by $3.0 million, or 35.3%, from $8.5 million to $11.5 million, including acquisitions. This increase is due to increased levels of activity carried out across the Company together with the acquisition of BPA and MCS. As a percentage of net revenue, including the effect of acquisitions, income from operations was 11.5% for the six months ended November 30, 2002, the same as the comparable period in fiscal 2002. For the first six months of fiscal 2003, income from operations, as a percentage of net revenue for our central laboratory segment fell to 5.4% from 8.9% in the same period in fiscal 2002 due principally to a higher than normal level of project cancellations in the first quarter of the current fiscal year. Operating margins for our clinical research segment increased from 12.0% in the six months ended November 30, 2001 to 12.4% for the six months ended November 30, 2002 primarily due to improved staff utilization.</w:t>
      </w:r>
    </w:p>
    <w:p>
      <w:pPr>
        <w:spacing w:after="0" w:line="18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Net interest income for the six months ended November 30, 2002 was $0.3 million compared to $0.6 million for the equivalent period last year. Net cash invested decreased from $43.1 million at May 31, 2002 to $27.5 million at November 30, 2002, primarily due to the acquisition of BPA and MCS in October 2002. Lower average interest rates for the first six months of fiscal 2003 compared to the same period last year, combined with lower levels of net cash invested, contributed to the lower returns on our investments.</w:t>
      </w:r>
    </w:p>
    <w:p>
      <w:pPr>
        <w:spacing w:after="0" w:line="177"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Our effective tax rate for the six months ended November 30, 2002 was 28.7% compared to 25.3% for the comparable period last year. The increase in the effective rate was due to a change in the geographic distribution of pre-tax earnings and the impact of the acquisition of BPA and MCS.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and the net proceeds of $49.1 million raised in our initial public offering in May 1998. Our principal cash needs are payment of salaries, office rents, travel expenditures and payments to subcontractors. The aggregate amount of employee compensation, excluding stock compensation expense, paid by us and our subsidiaries in the six months ended November 30, 2001 and November 30, 2002 amounted to $41.4 million and $59.6 million, respectively. Investing activities primarily reflect capital expenditures for facilities and for information systems enhancements, the sale and purchase of short term investments and acquisitions.</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of November 30, 2002, our working capital amounted to $68.4 million, compared to $72.9 million at May 31, 2002.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59 days at November 30, 2002 compared to 67 days at May 31, 2002.</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735" w:gutter="0" w:footer="0" w:header="0"/>
        </w:sectPr>
      </w:pPr>
    </w:p>
    <w:bookmarkStart w:id="16" w:name="page17"/>
    <w:bookmarkEnd w:id="16"/>
    <w:p>
      <w:pPr>
        <w:ind w:right="3539"/>
        <w:spacing w:after="0" w:line="237" w:lineRule="auto"/>
        <w:rPr>
          <w:sz w:val="20"/>
          <w:szCs w:val="20"/>
          <w:color w:val="auto"/>
        </w:rPr>
      </w:pPr>
      <w:r>
        <w:rPr>
          <w:rFonts w:ascii="Courier New" w:cs="Courier New" w:eastAsia="Courier New" w:hAnsi="Courier New"/>
          <w:sz w:val="15"/>
          <w:szCs w:val="15"/>
          <w:color w:val="auto"/>
        </w:rPr>
        <w:t>Net cash provided by operating activities was $9.5 million in the six months ended November 30, 2002, compared to $17.2 million in the six months ended November 30, 2001.</w:t>
      </w:r>
    </w:p>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Net cash used in investing activities was $16.8 million in the six months ended November 30, 2002, compared to $9.1 million provided by investing activities in the six months ended November 30, 2001.</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Net cash used in financing activities was $3.5 million in the six months ended November 30, 2002, compared with $1.9 million provided by financing activities in the six months ended November 30, 2001.</w:t>
      </w:r>
    </w:p>
    <w:p>
      <w:pPr>
        <w:spacing w:after="0" w:line="17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As a result of these cash flows, cash and cash equivalents decreased by $11.0 million in the six months ended November 30, 2002, compared to an increase of $28.5 million in the six months ended November 30, 2001.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(U.S.$2,525,567) with Allied Irish Banks plc ("A.I.B."). This facility bears interest at an annual rate equal to A.I.B. Bank's Prime Rate plus one-quarter of a percent. The full sum of the unpaid principal and interest is due and repayable on demand. This A.I.B. facility will be reviewed on June 30, 2003. As at November 30, 2002, the full sum of this facility was available to be drawn down.</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July 29, 2002, we entered into an additional A.I.B. facility for STG(pound)50,000 (U.S.$77,548) This facility bears interest at an annual rate equal to A.I.B. Bank's Prime Rate plus two percent. The full sum of the unpaid principal and interest is due and repayable on demand. This A.I.B. facility will be reviewed on June 30, 2003. As at November 30, 2002, STG(pound)35,588 (U.S.$55,196) of this facility was available to be drawn down.</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U.S. subsidiary, ICON Clinical Research, Inc. (the "Borrower"), has a $12 million secured line of credit (the "PNC Facility") with PNC Bank N.A ("P.N.C."). Borrowings under the PNC Facility must be the lesser of (a) $12 million and (b) the sum of (i) 80% of the borrower's gross accounts receivables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less three-quarters of a percent. The full sum of the unpaid principal and interest is due and payable on demand. The PNC Facility is secured by a first priority security interest in certain assets of the Borrower. This facility will expire on December 31, 2002. As of November 30, 2002, $8.4 million was drawn down of the available $12 million.</w:t>
      </w:r>
    </w:p>
    <w:p>
      <w:pPr>
        <w:spacing w:after="0" w:line="18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entered into an overdraft agreement with A.I.B., whereby we guarantee any overdrafts of our subsidiaries, ICON Clinical Research GmbH and ICON Clinical Research Israel Ltd., up to an amount (euro)112,484 (U.S.$111,889) and U.S.$250,000 (ILS 1,647,741), respectively. As of November 30, 2002, the full German facility and U.S.$234,324 (ILS1,091,707) of the Israeli facility were available to be drawn down.</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expect to spend approximately U.S.$15.0 million in the next twelve months on further investments in information technology, the expansion of existing facilities and the addition of new offices, and expect an increased level of spending in subsequent years. We believe that we will be able to fund our additional foreseeable cash needs for the next twelve months from cash flow from operations and existing cash balances. In the future, we will consider acquiring further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181"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On October 9, 2002 we completed the acquisition of Barton &amp; Polansky Associates, Inc. and its sister company, Managed Clinical Solutions, Inc., contract research organisations in New York, for an initial cash consideration of $15.7 million.</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Since the end of the quarter, we completed the acquisition of Medeval Group Limited, or Medeval, a specialist provider of Phase I clinical trials to the pharmaceutical and biotechnology industries, for an initial cash consideration of sterling (pound)9.6 million.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INFLATION</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July 2001 the Financial Accounting Standards Board ("FASB") issued two new statements: SFAS No. 141, "Business Combinations", and Statement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8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July 2001 the FASB issued SFAS No. 143, "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August 2001, the Financial Accounting Standards Board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No.144 did not have a material impact on our results of operations and financial position.</w:t>
      </w:r>
    </w:p>
    <w:p>
      <w:pPr>
        <w:spacing w:after="0" w:line="18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2001, the Emerging Issues Task Force ("EITF") released EITF Issue 01-14 "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April 2002, the FASB issued SFAS No.145, "Rescission of FASB Statements No.4, 44 and 64, Amendment of FASB Statement No.13, and Technical Corrections". SFAS No.145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No.13, which will be adopted for the transactions occurring subsequent to May 15, 2002. Adoption of SFAS No.145 did not have a material impact on our results of operations and financial position.</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No. 146 addresses financial accounting and reporting for costs associated with exit or disposal activities and nullifies Emerging Issues Task Force (EITF) Issue 94-3, "Liability Recognition for Certain Costs Incurred in a Restructuring". The statement also establishes that fair value is the objective for initial measurement of the liability. The statement is also effective for exit or disposal activities initiated after December 31, 2002. The Company does not expect that the adoption of SFAS No. 146 to have a material impact on its consolidated financial statements.</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1" w:right="1440" w:bottom="0" w:gutter="0" w:footer="0" w:header="0"/>
        </w:sectPr>
      </w:pPr>
    </w:p>
    <w:bookmarkStart w:id="18" w:name="page19"/>
    <w:bookmarkEnd w:id="18"/>
    <w:p>
      <w:pPr>
        <w:ind w:right="3179"/>
        <w:spacing w:after="0" w:line="257" w:lineRule="auto"/>
        <w:rPr>
          <w:sz w:val="20"/>
          <w:szCs w:val="20"/>
          <w:color w:val="auto"/>
        </w:rPr>
      </w:pPr>
      <w:r>
        <w:rPr>
          <w:rFonts w:ascii="Courier New" w:cs="Courier New" w:eastAsia="Courier New" w:hAnsi="Courier New"/>
          <w:sz w:val="14"/>
          <w:szCs w:val="14"/>
          <w:color w:val="auto"/>
        </w:rPr>
        <w:t>In June 2002, the FASB issued SFAS No. 146," Accounting for Costs Associated with Exit or Disposal Activities" ("SFAS No. 146"). SFAS 146 addresses financial accounting reporting for costs associated with exit or disposal activities and nullifies EITF Issue No.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9" w:name="page20"/>
    <w:bookmarkEnd w:id="1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19"/>
          </w:cols>
          <w:pgMar w:left="24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29,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240" w:space="720"/>
            <w:col w:w="6259"/>
          </w:cols>
          <w:pgMar w:left="240" w:top="9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sectPr>
      <w:pgSz w:w="11900" w:h="16838" w:orient="portrait"/>
      <w:cols w:equalWidth="0" w:num="1">
        <w:col w:w="10219"/>
      </w:cols>
      <w:pgMar w:left="240" w:top="96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2019-12-14T19:21:56Z</dcterms:created>
  <dcterms:modified xsi:type="dcterms:W3CDTF">2019-12-14T19:21:56Z</dcterms:modified>
</cp:coreProperties>
</file>