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6010</w:t>
      </w:r>
    </w:p>
    <w:p>
      <w:pPr>
        <w:spacing w:after="0" w:line="201" w:lineRule="exact"/>
        <w:rPr>
          <w:sz w:val="24"/>
          <w:szCs w:val="24"/>
          <w:color w:val="auto"/>
        </w:rPr>
      </w:pPr>
    </w:p>
    <w:p>
      <w:pPr>
        <w:jc w:val="right"/>
        <w:ind w:right="2839"/>
        <w:spacing w:after="0"/>
        <w:rPr>
          <w:sz w:val="20"/>
          <w:szCs w:val="20"/>
          <w:color w:val="auto"/>
        </w:rPr>
      </w:pPr>
      <w:r>
        <w:rPr>
          <w:rFonts w:ascii="Courier New" w:cs="Courier New" w:eastAsia="Courier New" w:hAnsi="Courier New"/>
          <w:sz w:val="18"/>
          <w:szCs w:val="18"/>
          <w:color w:val="auto"/>
        </w:rPr>
        <w:t>April 25, 2006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Ciaran Murray</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rPr>
          <w:sz w:val="20"/>
          <w:szCs w:val="20"/>
          <w:color w:val="auto"/>
        </w:rPr>
      </w:pPr>
      <w:r>
        <w:rPr>
          <w:rFonts w:ascii="Courier New" w:cs="Courier New" w:eastAsia="Courier New" w:hAnsi="Courier New"/>
          <w:sz w:val="18"/>
          <w:szCs w:val="18"/>
          <w:color w:val="auto"/>
        </w:rPr>
        <w:t>ICON plc</w:t>
      </w:r>
    </w:p>
    <w:p>
      <w:pPr>
        <w:spacing w:after="0" w:line="237" w:lineRule="auto"/>
        <w:rPr>
          <w:sz w:val="20"/>
          <w:szCs w:val="20"/>
          <w:color w:val="auto"/>
        </w:rPr>
      </w:pPr>
      <w:r>
        <w:rPr>
          <w:rFonts w:ascii="Courier New" w:cs="Courier New" w:eastAsia="Courier New" w:hAnsi="Courier New"/>
          <w:sz w:val="18"/>
          <w:szCs w:val="18"/>
          <w:color w:val="auto"/>
        </w:rPr>
        <w:t>South County Business Park</w:t>
      </w:r>
    </w:p>
    <w:p>
      <w:pPr>
        <w:spacing w:after="0" w:line="238" w:lineRule="auto"/>
        <w:rPr>
          <w:sz w:val="20"/>
          <w:szCs w:val="20"/>
          <w:color w:val="auto"/>
        </w:rPr>
      </w:pPr>
      <w:r>
        <w:rPr>
          <w:rFonts w:ascii="Courier New" w:cs="Courier New" w:eastAsia="Courier New" w:hAnsi="Courier New"/>
          <w:sz w:val="18"/>
          <w:szCs w:val="18"/>
          <w:color w:val="auto"/>
        </w:rPr>
        <w:t>Leopardstown, Dublin 18, Ireland</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ICON Public Limited Company</w:t>
      </w:r>
    </w:p>
    <w:p>
      <w:pPr>
        <w:ind w:left="860"/>
        <w:spacing w:after="0" w:line="238" w:lineRule="auto"/>
        <w:rPr>
          <w:sz w:val="20"/>
          <w:szCs w:val="20"/>
          <w:color w:val="auto"/>
        </w:rPr>
      </w:pPr>
      <w:r>
        <w:rPr>
          <w:rFonts w:ascii="Courier New" w:cs="Courier New" w:eastAsia="Courier New" w:hAnsi="Courier New"/>
          <w:sz w:val="18"/>
          <w:szCs w:val="18"/>
          <w:color w:val="auto"/>
        </w:rPr>
        <w:t>Registration Statement on Form F-3</w:t>
      </w:r>
    </w:p>
    <w:p>
      <w:pPr>
        <w:ind w:left="860"/>
        <w:spacing w:after="0"/>
        <w:rPr>
          <w:sz w:val="20"/>
          <w:szCs w:val="20"/>
          <w:color w:val="auto"/>
        </w:rPr>
      </w:pPr>
      <w:r>
        <w:rPr>
          <w:rFonts w:ascii="Courier New" w:cs="Courier New" w:eastAsia="Courier New" w:hAnsi="Courier New"/>
          <w:sz w:val="18"/>
          <w:szCs w:val="18"/>
          <w:color w:val="auto"/>
        </w:rPr>
        <w:t>File Number 333-133371</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Murray:</w:t>
      </w:r>
    </w:p>
    <w:p>
      <w:pPr>
        <w:spacing w:after="0" w:line="207" w:lineRule="exact"/>
        <w:rPr>
          <w:sz w:val="24"/>
          <w:szCs w:val="24"/>
          <w:color w:val="auto"/>
        </w:rPr>
      </w:pPr>
    </w:p>
    <w:p>
      <w:pPr>
        <w:ind w:right="3259" w:firstLine="632"/>
        <w:spacing w:after="0" w:line="236" w:lineRule="auto"/>
        <w:rPr>
          <w:sz w:val="20"/>
          <w:szCs w:val="20"/>
          <w:color w:val="auto"/>
        </w:rPr>
      </w:pPr>
      <w:r>
        <w:rPr>
          <w:rFonts w:ascii="Courier New" w:cs="Courier New" w:eastAsia="Courier New" w:hAnsi="Courier New"/>
          <w:sz w:val="18"/>
          <w:szCs w:val="18"/>
          <w:color w:val="auto"/>
        </w:rPr>
        <w:t>This is to advise you that we have limited our review of the above referenced registration statement to only the issues identified</w:t>
      </w:r>
    </w:p>
    <w:p>
      <w:pPr>
        <w:spacing w:after="0" w:line="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below.</w:t>
        <w:tab/>
        <w:t>We will make no further review of this filing.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 an appropriate section of your prospectus, please provide</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5" w:lineRule="exact"/>
        <w:rPr>
          <w:sz w:val="24"/>
          <w:szCs w:val="24"/>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description of the transaction in which the securities being registered were issued to the selling shareholders.</w:t>
      </w:r>
    </w:p>
    <w:p>
      <w:pPr>
        <w:spacing w:after="0" w:line="203" w:lineRule="exact"/>
        <w:rPr>
          <w:sz w:val="24"/>
          <w:szCs w:val="24"/>
          <w:color w:val="auto"/>
        </w:rPr>
      </w:pPr>
    </w:p>
    <w:p>
      <w:pPr>
        <w:ind w:left="640"/>
        <w:spacing w:after="0"/>
        <w:tabs>
          <w:tab w:leader="none" w:pos="16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7" w:lineRule="exact"/>
        <w:rPr>
          <w:sz w:val="24"/>
          <w:szCs w:val="24"/>
          <w:color w:val="auto"/>
        </w:rPr>
      </w:pPr>
    </w:p>
    <w:p>
      <w:pPr>
        <w:jc w:val="both"/>
        <w:ind w:right="3259" w:firstLine="632"/>
        <w:spacing w:after="0" w:line="236"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filings reviewed by the staff to be</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certain that they have provided all information investors require for</w:t>
      </w:r>
    </w:p>
    <w:p>
      <w:pPr>
        <w:spacing w:after="0" w:line="6" w:lineRule="exact"/>
        <w:rPr>
          <w:sz w:val="24"/>
          <w:szCs w:val="24"/>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an informed decision. Since the company and its management are in possession of all facts relating to a company`s disclosure, they are</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responsible for the accuracy and adequacy of the disclosures they have made.</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Notwithstanding our comments, in the event the company</w:t>
      </w:r>
    </w:p>
    <w:p>
      <w:pPr>
        <w:spacing w:after="0" w:line="238" w:lineRule="auto"/>
        <w:rPr>
          <w:sz w:val="20"/>
          <w:szCs w:val="20"/>
          <w:color w:val="auto"/>
        </w:rPr>
      </w:pPr>
      <w:r>
        <w:rPr>
          <w:rFonts w:ascii="Courier New" w:cs="Courier New" w:eastAsia="Courier New" w:hAnsi="Courier New"/>
          <w:sz w:val="18"/>
          <w:szCs w:val="18"/>
          <w:color w:val="auto"/>
        </w:rPr>
        <w:t>requests</w:t>
      </w:r>
    </w:p>
    <w:p>
      <w:pPr>
        <w:spacing w:after="0"/>
        <w:rPr>
          <w:sz w:val="20"/>
          <w:szCs w:val="20"/>
          <w:color w:val="auto"/>
        </w:rPr>
      </w:pPr>
      <w:r>
        <w:rPr>
          <w:rFonts w:ascii="Courier New" w:cs="Courier New" w:eastAsia="Courier New" w:hAnsi="Courier New"/>
          <w:sz w:val="18"/>
          <w:szCs w:val="18"/>
          <w:color w:val="auto"/>
        </w:rPr>
        <w:t>acceleration of the effective date of the pending registration</w:t>
      </w:r>
    </w:p>
    <w:p>
      <w:pPr>
        <w:spacing w:after="0" w:line="237" w:lineRule="auto"/>
        <w:rPr>
          <w:sz w:val="20"/>
          <w:szCs w:val="20"/>
          <w:color w:val="auto"/>
        </w:rPr>
      </w:pPr>
      <w:r>
        <w:rPr>
          <w:rFonts w:ascii="Courier New" w:cs="Courier New" w:eastAsia="Courier New" w:hAnsi="Courier New"/>
          <w:sz w:val="18"/>
          <w:szCs w:val="18"/>
          <w:color w:val="auto"/>
        </w:rPr>
        <w:t>statement, it should furnish a letter, at the time of such</w:t>
      </w:r>
    </w:p>
    <w:p>
      <w:pPr>
        <w:spacing w:after="0" w:line="238" w:lineRule="auto"/>
        <w:rPr>
          <w:sz w:val="20"/>
          <w:szCs w:val="20"/>
          <w:color w:val="auto"/>
        </w:rPr>
      </w:pPr>
      <w:r>
        <w:rPr>
          <w:rFonts w:ascii="Courier New" w:cs="Courier New" w:eastAsia="Courier New" w:hAnsi="Courier New"/>
          <w:sz w:val="18"/>
          <w:szCs w:val="18"/>
          <w:color w:val="auto"/>
        </w:rPr>
        <w:t>request,</w:t>
      </w:r>
    </w:p>
    <w:p>
      <w:pPr>
        <w:spacing w:after="0"/>
        <w:rPr>
          <w:sz w:val="20"/>
          <w:szCs w:val="20"/>
          <w:color w:val="auto"/>
        </w:rPr>
      </w:pPr>
      <w:r>
        <w:rPr>
          <w:rFonts w:ascii="Courier New" w:cs="Courier New" w:eastAsia="Courier New" w:hAnsi="Courier New"/>
          <w:sz w:val="18"/>
          <w:szCs w:val="18"/>
          <w:color w:val="auto"/>
        </w:rPr>
        <w:t>acknowledging that:</w:t>
      </w:r>
    </w:p>
    <w:p>
      <w:pPr>
        <w:spacing w:after="0" w:line="206" w:lineRule="exact"/>
        <w:rPr>
          <w:sz w:val="24"/>
          <w:szCs w:val="24"/>
          <w:color w:val="auto"/>
        </w:rPr>
      </w:pPr>
    </w:p>
    <w:p>
      <w:pPr>
        <w:jc w:val="both"/>
        <w:ind w:right="3259" w:firstLine="8"/>
        <w:spacing w:after="0" w:line="279"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the Commission or the staff, acting pursuant to delegated authority, declare the filing effective, it does not foreclose the Commission from taking any action with respect to the filing;</w:t>
      </w:r>
    </w:p>
    <w:p>
      <w:pPr>
        <w:spacing w:after="0" w:line="178" w:lineRule="exact"/>
        <w:rPr>
          <w:rFonts w:ascii="Courier New" w:cs="Courier New" w:eastAsia="Courier New" w:hAnsi="Courier New"/>
          <w:sz w:val="16"/>
          <w:szCs w:val="16"/>
          <w:color w:val="auto"/>
        </w:rPr>
      </w:pPr>
    </w:p>
    <w:p>
      <w:pPr>
        <w:ind w:right="335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 of the Commission or the staff, acting pursuant to delegated authority, in declaring the filing effective, does not relieve the company from its full responsibility for the adequacy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the disclosure in the filing; and</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this action as a defense in any</w:t>
      </w:r>
    </w:p>
    <w:p>
      <w:pPr>
        <w:spacing w:after="0" w:line="4"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proceeding initiated by the Commission or any person under the federal securities laws of the United States.</w:t>
      </w:r>
    </w:p>
    <w:p>
      <w:pPr>
        <w:spacing w:after="0" w:line="208" w:lineRule="exact"/>
        <w:rPr>
          <w:sz w:val="24"/>
          <w:szCs w:val="24"/>
          <w:color w:val="auto"/>
        </w:rPr>
      </w:pPr>
    </w:p>
    <w:p>
      <w:pPr>
        <w:ind w:right="3999" w:firstLine="843"/>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w:t>
      </w:r>
    </w:p>
    <w:p>
      <w:pPr>
        <w:spacing w:after="0" w:line="6" w:lineRule="exact"/>
        <w:rPr>
          <w:sz w:val="24"/>
          <w:szCs w:val="24"/>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has access to all information you provide to the staff of the Division of Corporation Finance in connection with our review of your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filing or in response to our comments on your filing.</w:t>
      </w:r>
    </w:p>
    <w:p>
      <w:pPr>
        <w:spacing w:after="0" w:line="207" w:lineRule="exact"/>
        <w:rPr>
          <w:sz w:val="24"/>
          <w:szCs w:val="24"/>
          <w:color w:val="auto"/>
        </w:rPr>
      </w:pPr>
    </w:p>
    <w:p>
      <w:pPr>
        <w:ind w:right="3259" w:firstLine="843"/>
        <w:spacing w:after="0" w:line="236" w:lineRule="auto"/>
        <w:rPr>
          <w:sz w:val="20"/>
          <w:szCs w:val="20"/>
          <w:color w:val="auto"/>
        </w:rPr>
      </w:pPr>
      <w:r>
        <w:rPr>
          <w:rFonts w:ascii="Courier New" w:cs="Courier New" w:eastAsia="Courier New" w:hAnsi="Courier New"/>
          <w:sz w:val="18"/>
          <w:szCs w:val="18"/>
          <w:color w:val="auto"/>
        </w:rPr>
        <w:t>We will consider a written request for acceleration of the effective date of the registration statement as a confirmation of the</w:t>
      </w:r>
    </w:p>
    <w:p>
      <w:pPr>
        <w:spacing w:after="0" w:line="6" w:lineRule="exact"/>
        <w:rPr>
          <w:sz w:val="24"/>
          <w:szCs w:val="24"/>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fact that those requesting acceleration are aware of their respective</w:t>
      </w:r>
    </w:p>
    <w:p>
      <w:pPr>
        <w:spacing w:after="0" w:line="6" w:lineRule="exact"/>
        <w:rPr>
          <w:sz w:val="24"/>
          <w:szCs w:val="24"/>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responsibilities under the Securities Act of 1933 and the Securities</w:t>
      </w:r>
    </w:p>
    <w:p>
      <w:pPr>
        <w:spacing w:after="0" w:line="6" w:lineRule="exact"/>
        <w:rPr>
          <w:sz w:val="24"/>
          <w:szCs w:val="24"/>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Exchange Act of 1934 as they relate to the proposed public offering</w:t>
      </w:r>
    </w:p>
    <w:p>
      <w:pPr>
        <w:spacing w:after="0"/>
        <w:rPr>
          <w:sz w:val="20"/>
          <w:szCs w:val="20"/>
          <w:color w:val="auto"/>
        </w:rPr>
      </w:pPr>
      <w:r>
        <w:rPr>
          <w:rFonts w:ascii="Courier New" w:cs="Courier New" w:eastAsia="Courier New" w:hAnsi="Courier New"/>
          <w:sz w:val="18"/>
          <w:szCs w:val="18"/>
          <w:color w:val="auto"/>
        </w:rPr>
        <w:t>of the securities specified in the above registration statement.</w:t>
      </w:r>
    </w:p>
    <w:p>
      <w:pPr>
        <w:sectPr>
          <w:pgSz w:w="11900" w:h="16855" w:orient="portrait"/>
          <w:cols w:equalWidth="0" w:num="1">
            <w:col w:w="10219"/>
          </w:cols>
          <w:pgMar w:left="240" w:top="852"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We</w:t>
      </w:r>
    </w:p>
    <w:p>
      <w:pPr>
        <w:spacing w:after="0" w:line="4"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will act on the request and, pursuant to delegated authority, grant</w:t>
      </w:r>
    </w:p>
    <w:p>
      <w:pPr>
        <w:spacing w:after="0"/>
        <w:rPr>
          <w:sz w:val="20"/>
          <w:szCs w:val="20"/>
          <w:color w:val="auto"/>
        </w:rPr>
      </w:pPr>
      <w:r>
        <w:rPr>
          <w:rFonts w:ascii="Courier New" w:cs="Courier New" w:eastAsia="Courier New" w:hAnsi="Courier New"/>
          <w:sz w:val="18"/>
          <w:szCs w:val="18"/>
          <w:color w:val="auto"/>
        </w:rPr>
        <w:t>acceleration of the effective date.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Please contact Song P. Brandon at (202) 551-3621 or me at</w:t>
      </w:r>
    </w:p>
    <w:p>
      <w:pPr>
        <w:spacing w:after="0" w:line="238" w:lineRule="auto"/>
        <w:rPr>
          <w:sz w:val="20"/>
          <w:szCs w:val="20"/>
          <w:color w:val="auto"/>
        </w:rPr>
      </w:pPr>
      <w:r>
        <w:rPr>
          <w:rFonts w:ascii="Courier New" w:cs="Courier New" w:eastAsia="Courier New" w:hAnsi="Courier New"/>
          <w:sz w:val="18"/>
          <w:szCs w:val="18"/>
          <w:color w:val="auto"/>
        </w:rPr>
        <w:t>(202)</w:t>
      </w:r>
    </w:p>
    <w:p>
      <w:pPr>
        <w:spacing w:after="0"/>
        <w:rPr>
          <w:sz w:val="20"/>
          <w:szCs w:val="20"/>
          <w:color w:val="auto"/>
        </w:rPr>
      </w:pPr>
      <w:r>
        <w:rPr>
          <w:rFonts w:ascii="Courier New" w:cs="Courier New" w:eastAsia="Courier New" w:hAnsi="Courier New"/>
          <w:sz w:val="18"/>
          <w:szCs w:val="18"/>
          <w:color w:val="auto"/>
        </w:rPr>
        <w:t>551-3710 with any questions.</w:t>
      </w:r>
    </w:p>
    <w:p>
      <w:pPr>
        <w:spacing w:after="0" w:line="200"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2419"/>
        <w:spacing w:after="0"/>
        <w:rPr>
          <w:sz w:val="20"/>
          <w:szCs w:val="20"/>
          <w:color w:val="auto"/>
        </w:rPr>
      </w:pPr>
      <w:r>
        <w:rPr>
          <w:rFonts w:ascii="Courier New" w:cs="Courier New" w:eastAsia="Courier New" w:hAnsi="Courier New"/>
          <w:sz w:val="18"/>
          <w:szCs w:val="18"/>
          <w:color w:val="auto"/>
        </w:rPr>
        <w:t>Jeffrey P. Riedler</w:t>
      </w:r>
    </w:p>
    <w:p>
      <w:pPr>
        <w:jc w:val="right"/>
        <w:ind w:right="2419"/>
        <w:spacing w:after="0" w:line="238" w:lineRule="auto"/>
        <w:rPr>
          <w:sz w:val="20"/>
          <w:szCs w:val="20"/>
          <w:color w:val="auto"/>
        </w:rPr>
      </w:pPr>
      <w:r>
        <w:rPr>
          <w:rFonts w:ascii="Courier New" w:cs="Courier New" w:eastAsia="Courier New" w:hAnsi="Courier New"/>
          <w:sz w:val="18"/>
          <w:szCs w:val="18"/>
          <w:color w:val="auto"/>
        </w:rPr>
        <w:t>Assistant Director</w:t>
      </w:r>
    </w:p>
    <w:p>
      <w:pPr>
        <w:spacing w:after="0" w:line="200" w:lineRule="exact"/>
        <w:rPr>
          <w:sz w:val="20"/>
          <w:szCs w:val="20"/>
          <w:color w:val="auto"/>
        </w:rPr>
      </w:pPr>
    </w:p>
    <w:p>
      <w:pPr>
        <w:spacing w:after="0" w:line="210" w:lineRule="exact"/>
        <w:rPr>
          <w:sz w:val="20"/>
          <w:szCs w:val="20"/>
          <w:color w:val="auto"/>
        </w:rPr>
      </w:pPr>
    </w:p>
    <w:p>
      <w:pPr>
        <w:ind w:left="860" w:right="6519" w:hanging="852"/>
        <w:spacing w:after="0" w:line="236"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 M. Hartnett, Esq. Cahill Gordon &amp; Reindel LLP 80 Pine Street</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2019-12-14T20:31:38Z</dcterms:created>
  <dcterms:modified xsi:type="dcterms:W3CDTF">2019-12-14T20:31:38Z</dcterms:modified>
</cp:coreProperties>
</file>