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29"/>
          <w:szCs w:val="29"/>
          <w:b w:val="1"/>
          <w:bCs w:val="1"/>
          <w:color w:val="auto"/>
        </w:rPr>
        <w:t>FORM 6-K</w:t>
      </w:r>
    </w:p>
    <w:p>
      <w:pPr>
        <w:spacing w:after="0" w:line="252"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SECURITIES AND EXCHANGE COMMISSION</w:t>
      </w:r>
    </w:p>
    <w:p>
      <w:pPr>
        <w:spacing w:after="0" w:line="239" w:lineRule="exact"/>
        <w:rPr>
          <w:sz w:val="24"/>
          <w:szCs w:val="24"/>
          <w:color w:val="auto"/>
        </w:rPr>
      </w:pPr>
    </w:p>
    <w:p>
      <w:pPr>
        <w:jc w:val="center"/>
        <w:ind w:right="-1100"/>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Pursuant to Rule 13a-16 under</w:t>
      </w:r>
    </w:p>
    <w:p>
      <w:pPr>
        <w:jc w:val="center"/>
        <w:ind w:right="-1100"/>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For the month of June 2023</w:t>
      </w:r>
    </w:p>
    <w:p>
      <w:pPr>
        <w:spacing w:after="0" w:line="200" w:lineRule="exact"/>
        <w:rPr>
          <w:sz w:val="24"/>
          <w:szCs w:val="24"/>
          <w:color w:val="auto"/>
        </w:rPr>
      </w:pPr>
    </w:p>
    <w:p>
      <w:pPr>
        <w:spacing w:after="0" w:line="265"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ICON plc</w:t>
      </w:r>
    </w:p>
    <w:p>
      <w:pPr>
        <w:spacing w:after="0" w:line="33" w:lineRule="exact"/>
        <w:rPr>
          <w:sz w:val="24"/>
          <w:szCs w:val="24"/>
          <w:color w:val="auto"/>
        </w:rPr>
      </w:pPr>
    </w:p>
    <w:p>
      <w:pPr>
        <w:ind w:left="3640"/>
        <w:spacing w:after="0"/>
        <w:rPr>
          <w:sz w:val="20"/>
          <w:szCs w:val="20"/>
          <w:color w:val="auto"/>
        </w:rPr>
      </w:pPr>
      <w:r>
        <w:rPr>
          <w:rFonts w:ascii="Arial" w:cs="Arial" w:eastAsia="Arial" w:hAnsi="Arial"/>
          <w:sz w:val="22"/>
          <w:szCs w:val="22"/>
          <w:color w:val="auto"/>
        </w:rPr>
        <w:t>(Translation of registrant's name into English)</w:t>
      </w:r>
    </w:p>
    <w:p>
      <w:pPr>
        <w:spacing w:after="0" w:line="200" w:lineRule="exact"/>
        <w:rPr>
          <w:sz w:val="24"/>
          <w:szCs w:val="24"/>
          <w:color w:val="auto"/>
        </w:rPr>
      </w:pPr>
    </w:p>
    <w:p>
      <w:pPr>
        <w:spacing w:after="0" w:line="252"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1160"/>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00"/>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00"/>
        <w:spacing w:after="0"/>
        <w:rPr>
          <w:sz w:val="20"/>
          <w:szCs w:val="20"/>
          <w:color w:val="auto"/>
        </w:rPr>
      </w:pPr>
      <w:r>
        <w:rPr>
          <w:rFonts w:ascii="Arial" w:cs="Arial" w:eastAsia="Arial" w:hAnsi="Arial"/>
          <w:sz w:val="22"/>
          <w:szCs w:val="22"/>
          <w:color w:val="auto"/>
        </w:rPr>
        <w:t>(Address of principal executive offices)</w:t>
      </w:r>
    </w:p>
    <w:p>
      <w:pPr>
        <w:spacing w:after="0" w:line="200" w:lineRule="exact"/>
        <w:rPr>
          <w:sz w:val="24"/>
          <w:szCs w:val="24"/>
          <w:color w:val="auto"/>
        </w:rPr>
      </w:pP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Form 20-F 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Form 40-F ______</w:t>
      </w: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101(b)(1):</w:t>
      </w:r>
    </w:p>
    <w:p>
      <w:pPr>
        <w:spacing w:after="0" w:line="46"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101(b)(7):</w:t>
      </w:r>
    </w:p>
    <w:p>
      <w:pPr>
        <w:spacing w:after="0" w:line="46"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15" w:right="1440" w:bottom="1440" w:gutter="0" w:footer="0" w:header="0"/>
        </w:sectPr>
      </w:pPr>
    </w:p>
    <w:bookmarkStart w:id="1" w:name="page2"/>
    <w:bookmarkEnd w:id="1"/>
    <w:p>
      <w:pPr>
        <w:ind w:left="4900"/>
        <w:spacing w:after="0"/>
        <w:rPr>
          <w:sz w:val="20"/>
          <w:szCs w:val="20"/>
          <w:color w:val="auto"/>
        </w:rPr>
      </w:pPr>
      <w:r>
        <w:rPr>
          <w:rFonts w:ascii="Arial" w:cs="Arial" w:eastAsia="Arial" w:hAnsi="Arial"/>
          <w:sz w:val="22"/>
          <w:szCs w:val="22"/>
          <w:b w:val="1"/>
          <w:bCs w:val="1"/>
          <w:u w:val="single" w:color="auto"/>
          <w:color w:val="auto"/>
        </w:rPr>
        <w:t>EXHIBIT LIST</w:t>
      </w:r>
    </w:p>
    <w:p>
      <w:pPr>
        <w:spacing w:after="0" w:line="24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6"/>
          <w:szCs w:val="16"/>
          <w:u w:val="single" w:color="auto"/>
          <w:color w:val="0000EE"/>
        </w:rPr>
        <w:t>ICON plc Press Release issued June 27, 2023 – ICON plc Schedules Second Quarter 2023 Earnings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1"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0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b w:val="1"/>
                <w:bCs w:val="1"/>
                <w:color w:val="auto"/>
              </w:rPr>
              <w:t>ICON plc</w:t>
            </w:r>
          </w:p>
        </w:tc>
        <w:tc>
          <w:tcPr>
            <w:tcW w:w="0" w:type="dxa"/>
            <w:vAlign w:val="bottom"/>
          </w:tcPr>
          <w:p>
            <w:pPr>
              <w:spacing w:after="0"/>
              <w:rPr>
                <w:sz w:val="1"/>
                <w:szCs w:val="1"/>
                <w:color w:val="auto"/>
              </w:rPr>
            </w:pPr>
          </w:p>
        </w:tc>
      </w:tr>
      <w:tr>
        <w:trPr>
          <w:trHeight w:val="871"/>
        </w:trPr>
        <w:tc>
          <w:tcPr>
            <w:tcW w:w="7500" w:type="dxa"/>
            <w:vAlign w:val="bottom"/>
            <w:vMerge w:val="restart"/>
          </w:tcPr>
          <w:p>
            <w:pPr>
              <w:spacing w:after="0"/>
              <w:rPr>
                <w:sz w:val="20"/>
                <w:szCs w:val="20"/>
                <w:color w:val="auto"/>
              </w:rPr>
            </w:pPr>
            <w:r>
              <w:rPr>
                <w:rFonts w:ascii="Arial" w:cs="Arial" w:eastAsia="Arial" w:hAnsi="Arial"/>
                <w:sz w:val="18"/>
                <w:szCs w:val="18"/>
                <w:color w:val="auto"/>
              </w:rPr>
              <w:t>Date: June 27, 2023</w:t>
            </w: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Brendan Brennan</w:t>
            </w:r>
          </w:p>
        </w:tc>
        <w:tc>
          <w:tcPr>
            <w:tcW w:w="0" w:type="dxa"/>
            <w:vAlign w:val="bottom"/>
          </w:tcPr>
          <w:p>
            <w:pPr>
              <w:spacing w:after="0"/>
              <w:rPr>
                <w:sz w:val="1"/>
                <w:szCs w:val="1"/>
                <w:color w:val="auto"/>
              </w:rPr>
            </w:pPr>
          </w:p>
        </w:tc>
      </w:tr>
      <w:tr>
        <w:trPr>
          <w:trHeight w:val="202"/>
        </w:trPr>
        <w:tc>
          <w:tcPr>
            <w:tcW w:w="7500" w:type="dxa"/>
            <w:vAlign w:val="bottom"/>
            <w:vMerge w:val="continue"/>
          </w:tcPr>
          <w:p>
            <w:pPr>
              <w:spacing w:after="0"/>
              <w:rPr>
                <w:sz w:val="17"/>
                <w:szCs w:val="17"/>
                <w:color w:val="auto"/>
              </w:rPr>
            </w:pPr>
          </w:p>
        </w:tc>
        <w:tc>
          <w:tcPr>
            <w:tcW w:w="3740" w:type="dxa"/>
            <w:vAlign w:val="bottom"/>
          </w:tcPr>
          <w:p>
            <w:pPr>
              <w:spacing w:after="0" w:line="201" w:lineRule="exact"/>
              <w:rPr>
                <w:sz w:val="20"/>
                <w:szCs w:val="20"/>
                <w:color w:val="auto"/>
              </w:rPr>
            </w:pPr>
            <w:r>
              <w:rPr>
                <w:rFonts w:ascii="Arial" w:cs="Arial" w:eastAsia="Arial" w:hAnsi="Arial"/>
                <w:sz w:val="18"/>
                <w:szCs w:val="18"/>
                <w:color w:val="auto"/>
              </w:rPr>
              <w:t>Brendan Brennan</w:t>
            </w:r>
          </w:p>
        </w:tc>
        <w:tc>
          <w:tcPr>
            <w:tcW w:w="0" w:type="dxa"/>
            <w:vAlign w:val="bottom"/>
          </w:tcPr>
          <w:p>
            <w:pPr>
              <w:spacing w:after="0"/>
              <w:rPr>
                <w:sz w:val="1"/>
                <w:szCs w:val="1"/>
                <w:color w:val="auto"/>
              </w:rPr>
            </w:pPr>
          </w:p>
        </w:tc>
      </w:tr>
      <w:tr>
        <w:trPr>
          <w:trHeight w:val="230"/>
        </w:trPr>
        <w:tc>
          <w:tcPr>
            <w:tcW w:w="750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ICON plc Schedules Second Quarter 2023 Earnings Conference Call</w:t>
      </w:r>
    </w:p>
    <w:p>
      <w:pPr>
        <w:spacing w:after="0" w:line="221" w:lineRule="exact"/>
        <w:rPr>
          <w:sz w:val="20"/>
          <w:szCs w:val="20"/>
          <w:color w:val="auto"/>
        </w:rPr>
      </w:pPr>
    </w:p>
    <w:p>
      <w:pPr>
        <w:ind w:right="140"/>
        <w:spacing w:after="0" w:line="239" w:lineRule="auto"/>
        <w:rPr>
          <w:sz w:val="20"/>
          <w:szCs w:val="20"/>
          <w:color w:val="auto"/>
        </w:rPr>
      </w:pPr>
      <w:r>
        <w:rPr>
          <w:rFonts w:ascii="Arial" w:cs="Arial" w:eastAsia="Arial" w:hAnsi="Arial"/>
          <w:sz w:val="22"/>
          <w:szCs w:val="22"/>
          <w:color w:val="auto"/>
        </w:rPr>
        <w:t xml:space="preserve">DUBLIN--(BUSINESS WIRE)--June 27, 2023--ICON plc </w:t>
      </w:r>
      <w:r>
        <w:rPr>
          <w:rFonts w:ascii="Arial" w:cs="Arial" w:eastAsia="Arial" w:hAnsi="Arial"/>
          <w:sz w:val="22"/>
          <w:szCs w:val="22"/>
          <w:b w:val="1"/>
          <w:bCs w:val="1"/>
          <w:color w:val="auto"/>
        </w:rPr>
        <w:t>(NASDAQ: ICLR),</w:t>
      </w:r>
      <w:r>
        <w:rPr>
          <w:rFonts w:ascii="Arial" w:cs="Arial" w:eastAsia="Arial" w:hAnsi="Arial"/>
          <w:sz w:val="22"/>
          <w:szCs w:val="22"/>
          <w:color w:val="auto"/>
        </w:rPr>
        <w:t xml:space="preserve"> a world-leading healthcare intelligence and clinical research organization, today announced that it will release its financial results for the second quarter 2023 after the market closes on Wednesday, July 26, 2023. The company will hold a conference call and webcast to discuss its financial results and performance on Thursday, July 27, 2023 at 8:00am ET.</w:t>
      </w:r>
    </w:p>
    <w:p>
      <w:pPr>
        <w:spacing w:after="0" w:line="18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Any changes to these events and links to the live webcasts (where available) will be posted on the Investor section of our website under “Events”. A webcast replay of the conference call will be available approximately one hour following the conclusion of the call.</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ICON plc</w:t>
      </w:r>
    </w:p>
    <w:p>
      <w:pPr>
        <w:spacing w:after="0" w:line="212" w:lineRule="exact"/>
        <w:rPr>
          <w:sz w:val="20"/>
          <w:szCs w:val="20"/>
          <w:color w:val="auto"/>
        </w:rPr>
      </w:pPr>
    </w:p>
    <w:p>
      <w:pPr>
        <w:ind w:right="200"/>
        <w:spacing w:after="0" w:line="249" w:lineRule="auto"/>
        <w:rPr>
          <w:sz w:val="20"/>
          <w:szCs w:val="20"/>
          <w:color w:val="auto"/>
        </w:rPr>
      </w:pPr>
      <w:r>
        <w:rPr>
          <w:rFonts w:ascii="Arial" w:cs="Arial" w:eastAsia="Arial" w:hAnsi="Arial"/>
          <w:sz w:val="21"/>
          <w:szCs w:val="21"/>
          <w:color w:val="auto"/>
        </w:rPr>
        <w:t>ICON plc is a world-leading healthcare intelligence and clinical research organization. From molecule to medicine, we advance clinical research providing outsourced services to pharmaceutical, biotechnology, medical device and government and public health organizations. We develop new innovations, drive emerging therapies forward and improve patient lives. With headquarters in Dublin, Ireland, ICON employed approximately 41,150 employees in 109 locations in 53 countries as at March 31, 2023. For further information about ICON, visit: www.iconplc.com.</w:t>
      </w:r>
    </w:p>
    <w:p>
      <w:pPr>
        <w:spacing w:after="0" w:line="178" w:lineRule="exact"/>
        <w:rPr>
          <w:sz w:val="20"/>
          <w:szCs w:val="20"/>
          <w:color w:val="auto"/>
        </w:rPr>
      </w:pPr>
    </w:p>
    <w:p>
      <w:pPr>
        <w:ind w:right="60"/>
        <w:spacing w:after="0" w:line="271" w:lineRule="auto"/>
        <w:rPr>
          <w:sz w:val="20"/>
          <w:szCs w:val="20"/>
          <w:color w:val="auto"/>
        </w:rPr>
      </w:pPr>
      <w:r>
        <w:rPr>
          <w:rFonts w:ascii="Arial" w:cs="Arial" w:eastAsia="Arial" w:hAnsi="Arial"/>
          <w:sz w:val="19"/>
          <w:szCs w:val="19"/>
          <w:color w:val="auto"/>
        </w:rPr>
        <w:t>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the impact of COVID-19 on our business,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F-3 and certain other reports, which are available on the SEC's website at http://www.sec.gov.</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Source: ICON plc</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ICON/ICLR-G</w:t>
      </w: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Kate Haven</w:t>
      </w:r>
    </w:p>
    <w:p>
      <w:pPr>
        <w:spacing w:after="0" w:line="238" w:lineRule="auto"/>
        <w:rPr>
          <w:sz w:val="20"/>
          <w:szCs w:val="20"/>
          <w:color w:val="auto"/>
        </w:rPr>
      </w:pPr>
      <w:r>
        <w:rPr>
          <w:rFonts w:ascii="Arial" w:cs="Arial" w:eastAsia="Arial" w:hAnsi="Arial"/>
          <w:sz w:val="22"/>
          <w:szCs w:val="22"/>
          <w:color w:val="auto"/>
        </w:rPr>
        <w:t>Vice President Investor Relations</w:t>
      </w:r>
    </w:p>
    <w:p>
      <w:pPr>
        <w:spacing w:after="0"/>
        <w:rPr>
          <w:sz w:val="20"/>
          <w:szCs w:val="20"/>
          <w:color w:val="auto"/>
        </w:rPr>
      </w:pPr>
      <w:r>
        <w:rPr>
          <w:rFonts w:ascii="Arial" w:cs="Arial" w:eastAsia="Arial" w:hAnsi="Arial"/>
          <w:sz w:val="22"/>
          <w:szCs w:val="22"/>
          <w:color w:val="auto"/>
        </w:rPr>
        <w:t>+1888 381 7923</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2023-06-27T15:54:45Z</dcterms:created>
  <dcterms:modified xsi:type="dcterms:W3CDTF">2023-06-27T15:54:45Z</dcterms:modified>
</cp:coreProperties>
</file>