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2009</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Icon plc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20"/>
                <w:szCs w:val="20"/>
                <w:color w:val="auto"/>
              </w:rPr>
            </w:pPr>
            <w:r>
              <w:rPr>
                <w:rFonts w:ascii="Arial" w:cs="Arial" w:eastAsia="Arial" w:hAnsi="Arial"/>
                <w:sz w:val="18"/>
                <w:szCs w:val="18"/>
                <w:color w:val="auto"/>
              </w:rPr>
              <w:t>Date:  October 21, 2009</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Ciaran Murray</w:t>
            </w:r>
          </w:p>
        </w:tc>
        <w:tc>
          <w:tcPr>
            <w:tcW w:w="400" w:type="dxa"/>
            <w:vAlign w:val="bottom"/>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Ciaran Murray</w:t>
            </w:r>
          </w:p>
        </w:tc>
      </w:tr>
      <w:tr>
        <w:trPr>
          <w:trHeight w:val="243"/>
        </w:trPr>
        <w:tc>
          <w:tcPr>
            <w:tcW w:w="6860" w:type="dxa"/>
            <w:vAlign w:val="bottom"/>
          </w:tcPr>
          <w:p>
            <w:pPr>
              <w:spacing w:after="0"/>
              <w:rPr>
                <w:sz w:val="21"/>
                <w:szCs w:val="21"/>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ind w:right="4300"/>
        <w:spacing w:after="0" w:line="435" w:lineRule="auto"/>
        <w:rPr>
          <w:sz w:val="20"/>
          <w:szCs w:val="20"/>
          <w:color w:val="auto"/>
        </w:rPr>
      </w:pPr>
      <w:r>
        <w:rPr>
          <w:rFonts w:ascii="Arial" w:cs="Arial" w:eastAsia="Arial" w:hAnsi="Arial"/>
          <w:sz w:val="22"/>
          <w:szCs w:val="22"/>
          <w:b w:val="1"/>
          <w:bCs w:val="1"/>
          <w:color w:val="auto"/>
        </w:rPr>
        <w:t>ICON Reports 14% Increase in EPS, and Raises Earnings Guidance for 2009 Highlights – Third Quarter Fiscal 2009</w:t>
      </w:r>
    </w:p>
    <w:p>
      <w:pPr>
        <w:spacing w:after="0" w:line="1"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Net revenue of $220 million.</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Income from operations increased by 12%, to $30.4 million.</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Operating margins expanded from 12% to 13.8%.</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EPS increased by 14% to 40 cents.</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Gross new business wins of $296 million in the quarter and net wins of $186 million.</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Strong cashflows with net cash now at $145 million.</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EPS Guidance for 2009 raised to $1.48 - $1.52, excluding previously booked one time net charge.</w:t>
      </w:r>
    </w:p>
    <w:p>
      <w:pPr>
        <w:spacing w:after="0" w:line="212"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DUBLIN--(BUSINESS WIRE)--October 21, 2009--ICON (NASDAQ:ICLR)(ISIN:IE0005711209), a global provider of outsourced development services to the pharmaceutical, biotechnology and medical device industries, today reported its financial results for its third quarter ended September 30, 2009.</w:t>
      </w:r>
    </w:p>
    <w:p>
      <w:pPr>
        <w:spacing w:after="0" w:line="186" w:lineRule="exact"/>
        <w:rPr>
          <w:sz w:val="20"/>
          <w:szCs w:val="20"/>
          <w:color w:val="auto"/>
        </w:rPr>
      </w:pPr>
    </w:p>
    <w:p>
      <w:pPr>
        <w:ind w:right="440"/>
        <w:spacing w:after="0" w:line="258" w:lineRule="auto"/>
        <w:rPr>
          <w:sz w:val="20"/>
          <w:szCs w:val="20"/>
          <w:color w:val="auto"/>
        </w:rPr>
      </w:pPr>
      <w:r>
        <w:rPr>
          <w:rFonts w:ascii="Arial" w:cs="Arial" w:eastAsia="Arial" w:hAnsi="Arial"/>
          <w:sz w:val="21"/>
          <w:szCs w:val="21"/>
          <w:color w:val="auto"/>
        </w:rPr>
        <w:t>Net revenues for the quarter were $220.3 million, representing a 2.3% decrease over net revenues of $225.5 million for the comparative quarter last year. On a constant organic dollar basis revenues were similar to prior year. Year-to-date, net revenues were $660.2 million, representing a 2.3% increase over the same period last year.</w:t>
      </w:r>
    </w:p>
    <w:p>
      <w:pPr>
        <w:spacing w:after="0" w:line="167"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Income from operations increased by 12% to $30.4 million, compared to $27.1 million for the same quarter last year. Operating margin increased to 13.8% from 12%. Net income was $24 million, compared with $21.4 million last year an increase of 12%. EPS of 40 cents per share on a diluted basis represented an increase of 14% over 35 cents per share last year.</w:t>
      </w:r>
    </w:p>
    <w:p>
      <w:pPr>
        <w:spacing w:after="0" w:line="134" w:lineRule="exact"/>
        <w:rPr>
          <w:sz w:val="20"/>
          <w:szCs w:val="20"/>
          <w:color w:val="auto"/>
        </w:rPr>
      </w:pPr>
    </w:p>
    <w:p>
      <w:pPr>
        <w:ind w:right="480"/>
        <w:spacing w:after="0" w:line="297" w:lineRule="auto"/>
        <w:rPr>
          <w:sz w:val="20"/>
          <w:szCs w:val="20"/>
          <w:color w:val="auto"/>
        </w:rPr>
      </w:pPr>
      <w:r>
        <w:rPr>
          <w:rFonts w:ascii="Arial" w:cs="Arial" w:eastAsia="Arial" w:hAnsi="Arial"/>
          <w:sz w:val="19"/>
          <w:szCs w:val="19"/>
          <w:color w:val="auto"/>
        </w:rPr>
        <w:t>Year-to-date income from operations, before one time net charges, was $86.6 million, compared to $73.0 million last year representing an operating margin increase to 13.1% from 11.3%. Net income before one time net charges was $67.7 million or $1.13 per share, compared with $57.1 million or 93 cents per share last year representing an increase in EPS of 22%.</w:t>
      </w:r>
    </w:p>
    <w:p>
      <w:pPr>
        <w:spacing w:after="0" w:line="134"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Days sales outstanding, comprising accounts receivable and unbilled revenue less payments on account, were 39 days at September 30, 2009, compared to 69 days at December 31, 2008.</w:t>
      </w:r>
    </w:p>
    <w:p>
      <w:pPr>
        <w:spacing w:after="0" w:line="173"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For the quarter ended September 30, 2009, cash provided by operating activities was $70 million and capital expenditure was $9.6 million. As a result, the company’s net cash amounted to $145 million at September 30, 2009, compared to net debt of $4.3 million at December 31, 2008.</w:t>
      </w:r>
    </w:p>
    <w:p>
      <w:pPr>
        <w:spacing w:after="0" w:line="18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Chairman Dr. John Climax commented “I am very pleased with ICON’s performance for the first nine months of 2009. Our growth in margins, operating income and earnings was very encouraging. Year to date earnings per share were up 22% over the first nine months of 2008.”</w:t>
      </w:r>
    </w:p>
    <w:p>
      <w:pPr>
        <w:spacing w:after="0" w:line="186" w:lineRule="exact"/>
        <w:rPr>
          <w:sz w:val="20"/>
          <w:szCs w:val="20"/>
          <w:color w:val="auto"/>
        </w:rPr>
      </w:pPr>
    </w:p>
    <w:p>
      <w:pPr>
        <w:ind w:right="100"/>
        <w:spacing w:after="0" w:line="297" w:lineRule="auto"/>
        <w:rPr>
          <w:sz w:val="20"/>
          <w:szCs w:val="20"/>
          <w:color w:val="auto"/>
        </w:rPr>
      </w:pPr>
      <w:r>
        <w:rPr>
          <w:rFonts w:ascii="Arial" w:cs="Arial" w:eastAsia="Arial" w:hAnsi="Arial"/>
          <w:sz w:val="19"/>
          <w:szCs w:val="19"/>
          <w:color w:val="auto"/>
        </w:rPr>
        <w:t>“Despite the economic and industry headwinds,” said CEO Peter Gray “ICON has continued to improve margins, grow earnings and significantly improve cashflows enabling us to again raise earnings guidance for 2009. While higher than normal cancellations held back net business awards, the levels of business opportunity continue to be strong and we remain optimistic for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52" w:lineRule="auto"/>
        <w:rPr>
          <w:sz w:val="20"/>
          <w:szCs w:val="20"/>
          <w:color w:val="auto"/>
        </w:rPr>
      </w:pPr>
      <w:r>
        <w:rPr>
          <w:rFonts w:ascii="Arial" w:cs="Arial" w:eastAsia="Arial" w:hAnsi="Arial"/>
          <w:sz w:val="21"/>
          <w:szCs w:val="21"/>
          <w:color w:val="auto"/>
        </w:rPr>
        <w:t xml:space="preserve">The company will hold its third quarter conference call today, October 21, 2009 at 9:00 EST [14:00 Ireland &amp; UK]. This call and linked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5"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68 locations in 38 countries and has approximately 7,000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ICON plc</w:t>
            </w: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080" w:type="dxa"/>
            <w:vAlign w:val="bottom"/>
          </w:tcPr>
          <w:p>
            <w:pPr>
              <w:spacing w:after="0"/>
              <w:rPr>
                <w:sz w:val="24"/>
                <w:szCs w:val="24"/>
                <w:color w:val="auto"/>
              </w:rPr>
            </w:pPr>
          </w:p>
        </w:tc>
        <w:tc>
          <w:tcPr>
            <w:tcW w:w="5020" w:type="dxa"/>
            <w:vAlign w:val="bottom"/>
            <w:gridSpan w:val="6"/>
          </w:tcPr>
          <w:p>
            <w:pPr>
              <w:jc w:val="center"/>
              <w:ind w:left="268"/>
              <w:spacing w:after="0"/>
              <w:rPr>
                <w:sz w:val="20"/>
                <w:szCs w:val="20"/>
                <w:color w:val="auto"/>
              </w:rPr>
            </w:pPr>
            <w:r>
              <w:rPr>
                <w:rFonts w:ascii="Arial" w:cs="Arial" w:eastAsia="Arial" w:hAnsi="Arial"/>
                <w:sz w:val="14"/>
                <w:szCs w:val="14"/>
                <w:b w:val="1"/>
                <w:bCs w:val="1"/>
                <w:color w:val="auto"/>
                <w:w w:val="92"/>
              </w:rPr>
              <w:t>Consolidated Income Statements (Unaudited) (Before one time net charges)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80" w:type="dxa"/>
            <w:vAlign w:val="bottom"/>
          </w:tcPr>
          <w:p>
            <w:pPr>
              <w:spacing w:after="0"/>
              <w:rPr>
                <w:sz w:val="24"/>
                <w:szCs w:val="24"/>
                <w:color w:val="auto"/>
              </w:rPr>
            </w:pPr>
          </w:p>
        </w:tc>
        <w:tc>
          <w:tcPr>
            <w:tcW w:w="5020" w:type="dxa"/>
            <w:vAlign w:val="bottom"/>
            <w:gridSpan w:val="6"/>
          </w:tcPr>
          <w:p>
            <w:pPr>
              <w:jc w:val="center"/>
              <w:ind w:left="268"/>
              <w:spacing w:after="0"/>
              <w:rPr>
                <w:sz w:val="20"/>
                <w:szCs w:val="20"/>
                <w:color w:val="auto"/>
              </w:rPr>
            </w:pPr>
            <w:r>
              <w:rPr>
                <w:rFonts w:ascii="Arial" w:cs="Arial" w:eastAsia="Arial" w:hAnsi="Arial"/>
                <w:sz w:val="14"/>
                <w:szCs w:val="14"/>
                <w:b w:val="1"/>
                <w:bCs w:val="1"/>
                <w:color w:val="auto"/>
                <w:w w:val="92"/>
              </w:rPr>
              <w:t>Three and Nine Months ended September 30, 2009 and September 30, 2008</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5020" w:type="dxa"/>
            <w:vAlign w:val="bottom"/>
            <w:gridSpan w:val="6"/>
          </w:tcPr>
          <w:p>
            <w:pPr>
              <w:jc w:val="center"/>
              <w:ind w:left="26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0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340" w:type="dxa"/>
            <w:vAlign w:val="bottom"/>
            <w:gridSpan w:val="3"/>
          </w:tcPr>
          <w:p>
            <w:pPr>
              <w:ind w:left="980"/>
              <w:spacing w:after="0"/>
              <w:rPr>
                <w:sz w:val="20"/>
                <w:szCs w:val="20"/>
                <w:color w:val="auto"/>
              </w:rPr>
            </w:pPr>
            <w:r>
              <w:rPr>
                <w:rFonts w:ascii="Arial" w:cs="Arial" w:eastAsia="Arial" w:hAnsi="Arial"/>
                <w:sz w:val="14"/>
                <w:szCs w:val="14"/>
                <w:b w:val="1"/>
                <w:bCs w:val="1"/>
                <w:color w:val="auto"/>
                <w:w w:val="96"/>
              </w:rPr>
              <w:t>Three Months Ended</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ind w:left="1040"/>
              <w:spacing w:after="0"/>
              <w:rPr>
                <w:sz w:val="20"/>
                <w:szCs w:val="20"/>
                <w:color w:val="auto"/>
              </w:rPr>
            </w:pPr>
            <w:r>
              <w:rPr>
                <w:rFonts w:ascii="Arial" w:cs="Arial" w:eastAsia="Arial" w:hAnsi="Arial"/>
                <w:sz w:val="14"/>
                <w:szCs w:val="14"/>
                <w:b w:val="1"/>
                <w:bCs w:val="1"/>
                <w:color w:val="auto"/>
                <w:w w:val="97"/>
              </w:rPr>
              <w:t>Nine Months Ended</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340" w:type="dxa"/>
            <w:vAlign w:val="bottom"/>
            <w:gridSpan w:val="3"/>
          </w:tcPr>
          <w:p>
            <w:pPr>
              <w:ind w:left="68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September 30,</w:t>
            </w:r>
          </w:p>
        </w:tc>
        <w:tc>
          <w:tcPr>
            <w:tcW w:w="2340" w:type="dxa"/>
            <w:vAlign w:val="bottom"/>
            <w:gridSpan w:val="3"/>
          </w:tcPr>
          <w:p>
            <w:pPr>
              <w:ind w:left="70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3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2008</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Gross Revenue</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317,179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313,637</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936,686</w:t>
            </w:r>
          </w:p>
        </w:tc>
        <w:tc>
          <w:tcPr>
            <w:tcW w:w="6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914,082</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Reimbursable expenses</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96,818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88,126</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276,493</w:t>
            </w:r>
          </w:p>
        </w:tc>
        <w:tc>
          <w:tcPr>
            <w:tcW w:w="6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268,927</w:t>
            </w:r>
          </w:p>
        </w:tc>
        <w:tc>
          <w:tcPr>
            <w:tcW w:w="0" w:type="dxa"/>
            <w:vAlign w:val="bottom"/>
          </w:tcPr>
          <w:p>
            <w:pPr>
              <w:spacing w:after="0"/>
              <w:rPr>
                <w:sz w:val="1"/>
                <w:szCs w:val="1"/>
                <w:color w:val="auto"/>
              </w:rPr>
            </w:pPr>
          </w:p>
        </w:tc>
      </w:tr>
      <w:tr>
        <w:trPr>
          <w:trHeight w:val="174"/>
        </w:trPr>
        <w:tc>
          <w:tcPr>
            <w:tcW w:w="3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Revenue</w:t>
            </w:r>
          </w:p>
        </w:tc>
        <w:tc>
          <w:tcPr>
            <w:tcW w:w="32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220,361</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225,511</w:t>
            </w:r>
          </w:p>
        </w:tc>
        <w:tc>
          <w:tcPr>
            <w:tcW w:w="4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660,193</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645,155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080" w:type="dxa"/>
            <w:vAlign w:val="bottom"/>
          </w:tcPr>
          <w:p>
            <w:pPr>
              <w:ind w:left="120"/>
              <w:spacing w:after="0"/>
              <w:rPr>
                <w:sz w:val="20"/>
                <w:szCs w:val="20"/>
                <w:color w:val="auto"/>
              </w:rPr>
            </w:pPr>
            <w:r>
              <w:rPr>
                <w:rFonts w:ascii="Arial" w:cs="Arial" w:eastAsia="Arial" w:hAnsi="Arial"/>
                <w:sz w:val="14"/>
                <w:szCs w:val="14"/>
                <w:b w:val="1"/>
                <w:bCs w:val="1"/>
                <w:color w:val="auto"/>
              </w:rPr>
              <w:t>Costs and expenses</w:t>
            </w:r>
          </w:p>
        </w:tc>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20"/>
              <w:spacing w:after="0"/>
              <w:rPr>
                <w:sz w:val="20"/>
                <w:szCs w:val="20"/>
                <w:color w:val="auto"/>
              </w:rPr>
            </w:pPr>
            <w:r>
              <w:rPr>
                <w:rFonts w:ascii="Arial" w:cs="Arial" w:eastAsia="Arial" w:hAnsi="Arial"/>
                <w:sz w:val="14"/>
                <w:szCs w:val="14"/>
                <w:color w:val="auto"/>
              </w:rPr>
              <w:t>Direct costs</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127,179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127,948</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376,493</w:t>
            </w:r>
          </w:p>
        </w:tc>
        <w:tc>
          <w:tcPr>
            <w:tcW w:w="6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364,113</w:t>
            </w:r>
          </w:p>
        </w:tc>
        <w:tc>
          <w:tcPr>
            <w:tcW w:w="0" w:type="dxa"/>
            <w:vAlign w:val="bottom"/>
          </w:tcPr>
          <w:p>
            <w:pPr>
              <w:spacing w:after="0"/>
              <w:rPr>
                <w:sz w:val="1"/>
                <w:szCs w:val="1"/>
                <w:color w:val="auto"/>
              </w:rPr>
            </w:pPr>
          </w:p>
        </w:tc>
      </w:tr>
      <w:tr>
        <w:trPr>
          <w:trHeight w:val="176"/>
        </w:trPr>
        <w:tc>
          <w:tcPr>
            <w:tcW w:w="308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54,369</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62,494</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173,637</w:t>
            </w:r>
          </w:p>
        </w:tc>
        <w:tc>
          <w:tcPr>
            <w:tcW w:w="6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187,328</w:t>
            </w:r>
          </w:p>
        </w:tc>
        <w:tc>
          <w:tcPr>
            <w:tcW w:w="0" w:type="dxa"/>
            <w:vAlign w:val="bottom"/>
          </w:tcPr>
          <w:p>
            <w:pPr>
              <w:spacing w:after="0"/>
              <w:rPr>
                <w:sz w:val="1"/>
                <w:szCs w:val="1"/>
                <w:color w:val="auto"/>
              </w:rPr>
            </w:pPr>
          </w:p>
        </w:tc>
      </w:tr>
      <w:tr>
        <w:trPr>
          <w:trHeight w:val="182"/>
        </w:trPr>
        <w:tc>
          <w:tcPr>
            <w:tcW w:w="30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8,404</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7,937</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23,420</w:t>
            </w:r>
          </w:p>
        </w:tc>
        <w:tc>
          <w:tcPr>
            <w:tcW w:w="6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20,676</w:t>
            </w:r>
          </w:p>
        </w:tc>
        <w:tc>
          <w:tcPr>
            <w:tcW w:w="0" w:type="dxa"/>
            <w:vAlign w:val="bottom"/>
          </w:tcPr>
          <w:p>
            <w:pPr>
              <w:spacing w:after="0"/>
              <w:rPr>
                <w:sz w:val="1"/>
                <w:szCs w:val="1"/>
                <w:color w:val="auto"/>
              </w:rPr>
            </w:pPr>
          </w:p>
        </w:tc>
      </w:tr>
      <w:tr>
        <w:trPr>
          <w:trHeight w:val="174"/>
        </w:trPr>
        <w:tc>
          <w:tcPr>
            <w:tcW w:w="3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 costs and expenses</w:t>
            </w:r>
          </w:p>
        </w:tc>
        <w:tc>
          <w:tcPr>
            <w:tcW w:w="32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7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189,952</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198,379</w:t>
            </w:r>
          </w:p>
        </w:tc>
        <w:tc>
          <w:tcPr>
            <w:tcW w:w="4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573,550</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572,117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080" w:type="dxa"/>
            <w:vAlign w:val="bottom"/>
          </w:tcPr>
          <w:p>
            <w:pPr>
              <w:ind w:left="120"/>
              <w:spacing w:after="0"/>
              <w:rPr>
                <w:sz w:val="20"/>
                <w:szCs w:val="20"/>
                <w:color w:val="auto"/>
              </w:rPr>
            </w:pPr>
            <w:r>
              <w:rPr>
                <w:rFonts w:ascii="Arial" w:cs="Arial" w:eastAsia="Arial" w:hAnsi="Arial"/>
                <w:sz w:val="14"/>
                <w:szCs w:val="14"/>
                <w:b w:val="1"/>
                <w:bCs w:val="1"/>
                <w:color w:val="auto"/>
              </w:rPr>
              <w:t>Income from operations</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30,409</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27,132</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86,643</w:t>
            </w:r>
          </w:p>
        </w:tc>
        <w:tc>
          <w:tcPr>
            <w:tcW w:w="6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73,038</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(693)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(224)</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(2,304)</w:t>
            </w:r>
          </w:p>
        </w:tc>
        <w:tc>
          <w:tcPr>
            <w:tcW w:w="6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74"/>
        </w:trPr>
        <w:tc>
          <w:tcPr>
            <w:tcW w:w="3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Income before provision for income taxes</w:t>
            </w:r>
          </w:p>
        </w:tc>
        <w:tc>
          <w:tcPr>
            <w:tcW w:w="32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17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29,716</w:t>
            </w:r>
          </w:p>
        </w:tc>
        <w:tc>
          <w:tcPr>
            <w:tcW w:w="1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26,908</w:t>
            </w:r>
          </w:p>
        </w:tc>
        <w:tc>
          <w:tcPr>
            <w:tcW w:w="4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84,339</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72,295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08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5,765</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5,355</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16,687</w:t>
            </w:r>
          </w:p>
        </w:tc>
        <w:tc>
          <w:tcPr>
            <w:tcW w:w="6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14,493</w:t>
            </w:r>
          </w:p>
        </w:tc>
        <w:tc>
          <w:tcPr>
            <w:tcW w:w="0" w:type="dxa"/>
            <w:vAlign w:val="bottom"/>
          </w:tcPr>
          <w:p>
            <w:pPr>
              <w:spacing w:after="0"/>
              <w:rPr>
                <w:sz w:val="1"/>
                <w:szCs w:val="1"/>
                <w:color w:val="auto"/>
              </w:rPr>
            </w:pPr>
          </w:p>
        </w:tc>
      </w:tr>
      <w:tr>
        <w:trPr>
          <w:trHeight w:val="181"/>
        </w:trPr>
        <w:tc>
          <w:tcPr>
            <w:tcW w:w="3080" w:type="dxa"/>
            <w:vAlign w:val="bottom"/>
          </w:tcPr>
          <w:p>
            <w:pPr>
              <w:ind w:left="120"/>
              <w:spacing w:after="0"/>
              <w:rPr>
                <w:sz w:val="20"/>
                <w:szCs w:val="20"/>
                <w:color w:val="auto"/>
              </w:rPr>
            </w:pPr>
            <w:r>
              <w:rPr>
                <w:rFonts w:ascii="Arial" w:cs="Arial" w:eastAsia="Arial" w:hAnsi="Arial"/>
                <w:sz w:val="14"/>
                <w:szCs w:val="14"/>
                <w:color w:val="auto"/>
              </w:rPr>
              <w:t>Minority interest</w:t>
            </w:r>
          </w:p>
        </w:tc>
        <w:tc>
          <w:tcPr>
            <w:tcW w:w="170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4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080" w:type="dxa"/>
            <w:vAlign w:val="bottom"/>
          </w:tcPr>
          <w:p>
            <w:pPr>
              <w:ind w:left="120"/>
              <w:spacing w:after="0"/>
              <w:rPr>
                <w:sz w:val="20"/>
                <w:szCs w:val="20"/>
                <w:color w:val="auto"/>
              </w:rPr>
            </w:pPr>
            <w:r>
              <w:rPr>
                <w:rFonts w:ascii="Arial" w:cs="Arial" w:eastAsia="Arial" w:hAnsi="Arial"/>
                <w:sz w:val="14"/>
                <w:szCs w:val="14"/>
                <w:b w:val="1"/>
                <w:bCs w:val="1"/>
                <w:color w:val="auto"/>
              </w:rPr>
              <w:t>Net income</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23,951</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21,380</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67,652</w:t>
            </w:r>
          </w:p>
        </w:tc>
        <w:tc>
          <w:tcPr>
            <w:tcW w:w="6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57,095</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120"/>
              <w:spacing w:after="0"/>
              <w:rPr>
                <w:sz w:val="20"/>
                <w:szCs w:val="20"/>
                <w:color w:val="auto"/>
              </w:rPr>
            </w:pPr>
            <w:r>
              <w:rPr>
                <w:rFonts w:ascii="Arial" w:cs="Arial" w:eastAsia="Arial" w:hAnsi="Arial"/>
                <w:sz w:val="14"/>
                <w:szCs w:val="14"/>
                <w:color w:val="auto"/>
              </w:rPr>
              <w:t>Net income per ordinary share</w:t>
            </w:r>
          </w:p>
        </w:tc>
        <w:tc>
          <w:tcPr>
            <w:tcW w:w="17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0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120"/>
              <w:spacing w:after="0"/>
              <w:rPr>
                <w:sz w:val="20"/>
                <w:szCs w:val="20"/>
                <w:color w:val="auto"/>
              </w:rPr>
            </w:pPr>
            <w:r>
              <w:rPr>
                <w:rFonts w:ascii="Arial" w:cs="Arial" w:eastAsia="Arial" w:hAnsi="Arial"/>
                <w:sz w:val="14"/>
                <w:szCs w:val="14"/>
                <w:color w:val="auto"/>
              </w:rPr>
              <w:t>Basic</w:t>
            </w:r>
          </w:p>
        </w:tc>
        <w:tc>
          <w:tcPr>
            <w:tcW w:w="170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$0.41</w:t>
            </w: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c>
          <w:tcPr>
            <w:tcW w:w="4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3080" w:type="dxa"/>
            <w:vAlign w:val="bottom"/>
          </w:tcPr>
          <w:p>
            <w:pPr>
              <w:ind w:left="120"/>
              <w:spacing w:after="0"/>
              <w:rPr>
                <w:sz w:val="20"/>
                <w:szCs w:val="20"/>
                <w:color w:val="auto"/>
              </w:rPr>
            </w:pPr>
            <w:r>
              <w:rPr>
                <w:rFonts w:ascii="Arial" w:cs="Arial" w:eastAsia="Arial" w:hAnsi="Arial"/>
                <w:sz w:val="14"/>
                <w:szCs w:val="14"/>
                <w:color w:val="auto"/>
              </w:rPr>
              <w:t>Diluted</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$0.40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$0.35</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$1.13</w:t>
            </w:r>
          </w:p>
        </w:tc>
        <w:tc>
          <w:tcPr>
            <w:tcW w:w="6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339"/>
        </w:trPr>
        <w:tc>
          <w:tcPr>
            <w:tcW w:w="3080" w:type="dxa"/>
            <w:vAlign w:val="bottom"/>
          </w:tcPr>
          <w:p>
            <w:pPr>
              <w:ind w:left="120"/>
              <w:spacing w:after="0"/>
              <w:rPr>
                <w:sz w:val="20"/>
                <w:szCs w:val="20"/>
                <w:color w:val="auto"/>
              </w:rPr>
            </w:pPr>
            <w:r>
              <w:rPr>
                <w:rFonts w:ascii="Arial" w:cs="Arial" w:eastAsia="Arial" w:hAnsi="Arial"/>
                <w:sz w:val="14"/>
                <w:szCs w:val="14"/>
                <w:color w:val="auto"/>
              </w:rPr>
              <w:t>Weighted average number of ordinary shares</w:t>
            </w:r>
          </w:p>
        </w:tc>
        <w:tc>
          <w:tcPr>
            <w:tcW w:w="170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20"/>
              <w:spacing w:after="0"/>
              <w:rPr>
                <w:sz w:val="20"/>
                <w:szCs w:val="20"/>
                <w:color w:val="auto"/>
              </w:rPr>
            </w:pPr>
            <w:r>
              <w:rPr>
                <w:rFonts w:ascii="Arial" w:cs="Arial" w:eastAsia="Arial" w:hAnsi="Arial"/>
                <w:sz w:val="14"/>
                <w:szCs w:val="14"/>
                <w:color w:val="auto"/>
              </w:rPr>
              <w:t>Basic</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58,624,028</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58,451,960</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58,579,402</w:t>
            </w:r>
          </w:p>
        </w:tc>
        <w:tc>
          <w:tcPr>
            <w:tcW w:w="6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58,156,869</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Diluted</w:t>
            </w:r>
          </w:p>
        </w:tc>
        <w:tc>
          <w:tcPr>
            <w:tcW w:w="3280" w:type="dxa"/>
            <w:vAlign w:val="bottom"/>
            <w:gridSpan w:val="2"/>
          </w:tcPr>
          <w:p>
            <w:pPr>
              <w:jc w:val="right"/>
              <w:spacing w:after="0"/>
              <w:rPr>
                <w:sz w:val="20"/>
                <w:szCs w:val="20"/>
                <w:color w:val="auto"/>
              </w:rPr>
            </w:pPr>
            <w:r>
              <w:rPr>
                <w:rFonts w:ascii="Arial" w:cs="Arial" w:eastAsia="Arial" w:hAnsi="Arial"/>
                <w:sz w:val="14"/>
                <w:szCs w:val="14"/>
                <w:color w:val="auto"/>
              </w:rPr>
              <w:t>59,953,574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61,847,265</w:t>
            </w:r>
          </w:p>
        </w:tc>
        <w:tc>
          <w:tcPr>
            <w:tcW w:w="1700" w:type="dxa"/>
            <w:vAlign w:val="bottom"/>
            <w:gridSpan w:val="2"/>
          </w:tcPr>
          <w:p>
            <w:pPr>
              <w:jc w:val="right"/>
              <w:ind w:right="100"/>
              <w:spacing w:after="0"/>
              <w:rPr>
                <w:sz w:val="20"/>
                <w:szCs w:val="20"/>
                <w:color w:val="auto"/>
              </w:rPr>
            </w:pPr>
            <w:r>
              <w:rPr>
                <w:rFonts w:ascii="Arial" w:cs="Arial" w:eastAsia="Arial" w:hAnsi="Arial"/>
                <w:sz w:val="14"/>
                <w:szCs w:val="14"/>
                <w:color w:val="auto"/>
              </w:rPr>
              <w:t>59,781,092</w:t>
            </w:r>
          </w:p>
        </w:tc>
        <w:tc>
          <w:tcPr>
            <w:tcW w:w="64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color w:val="auto"/>
              </w:rPr>
              <w:t>61,357,893</w:t>
            </w:r>
          </w:p>
        </w:tc>
        <w:tc>
          <w:tcPr>
            <w:tcW w:w="0" w:type="dxa"/>
            <w:vAlign w:val="bottom"/>
          </w:tcPr>
          <w:p>
            <w:pPr>
              <w:spacing w:after="0"/>
              <w:rPr>
                <w:sz w:val="1"/>
                <w:szCs w:val="1"/>
                <w:color w:val="auto"/>
              </w:rPr>
            </w:pPr>
          </w:p>
        </w:tc>
      </w:tr>
      <w:tr>
        <w:trPr>
          <w:trHeight w:val="134"/>
        </w:trPr>
        <w:tc>
          <w:tcPr>
            <w:tcW w:w="3080" w:type="dxa"/>
            <w:vAlign w:val="bottom"/>
            <w:tcBorders>
              <w:bottom w:val="single" w:sz="8" w:color="9A9A9A"/>
            </w:tcBorders>
          </w:tcPr>
          <w:p>
            <w:pPr>
              <w:spacing w:after="0"/>
              <w:rPr>
                <w:sz w:val="11"/>
                <w:szCs w:val="11"/>
                <w:color w:val="auto"/>
              </w:rPr>
            </w:pPr>
          </w:p>
        </w:tc>
        <w:tc>
          <w:tcPr>
            <w:tcW w:w="170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08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3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ICON plc</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3080" w:type="dxa"/>
            <w:vAlign w:val="bottom"/>
          </w:tcPr>
          <w:p>
            <w:pPr>
              <w:spacing w:after="0"/>
              <w:rPr>
                <w:sz w:val="24"/>
                <w:szCs w:val="24"/>
                <w:color w:val="auto"/>
              </w:rPr>
            </w:pPr>
          </w:p>
        </w:tc>
        <w:tc>
          <w:tcPr>
            <w:tcW w:w="5040" w:type="dxa"/>
            <w:vAlign w:val="bottom"/>
            <w:gridSpan w:val="7"/>
          </w:tcPr>
          <w:p>
            <w:pPr>
              <w:jc w:val="center"/>
              <w:ind w:left="248"/>
              <w:spacing w:after="0"/>
              <w:rPr>
                <w:sz w:val="20"/>
                <w:szCs w:val="20"/>
                <w:color w:val="auto"/>
              </w:rPr>
            </w:pPr>
            <w:r>
              <w:rPr>
                <w:rFonts w:ascii="Arial" w:cs="Arial" w:eastAsia="Arial" w:hAnsi="Arial"/>
                <w:sz w:val="14"/>
                <w:szCs w:val="14"/>
                <w:b w:val="1"/>
                <w:bCs w:val="1"/>
                <w:color w:val="auto"/>
                <w:w w:val="93"/>
              </w:rPr>
              <w:t>Consolidated Income Statements (Unaudited) (US GAAP)</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80" w:type="dxa"/>
            <w:vAlign w:val="bottom"/>
          </w:tcPr>
          <w:p>
            <w:pPr>
              <w:spacing w:after="0"/>
              <w:rPr>
                <w:sz w:val="24"/>
                <w:szCs w:val="24"/>
                <w:color w:val="auto"/>
              </w:rPr>
            </w:pPr>
          </w:p>
        </w:tc>
        <w:tc>
          <w:tcPr>
            <w:tcW w:w="5040" w:type="dxa"/>
            <w:vAlign w:val="bottom"/>
            <w:gridSpan w:val="7"/>
          </w:tcPr>
          <w:p>
            <w:pPr>
              <w:jc w:val="center"/>
              <w:ind w:left="248"/>
              <w:spacing w:after="0"/>
              <w:rPr>
                <w:sz w:val="20"/>
                <w:szCs w:val="20"/>
                <w:color w:val="auto"/>
              </w:rPr>
            </w:pPr>
            <w:r>
              <w:rPr>
                <w:rFonts w:ascii="Arial" w:cs="Arial" w:eastAsia="Arial" w:hAnsi="Arial"/>
                <w:sz w:val="14"/>
                <w:szCs w:val="14"/>
                <w:b w:val="1"/>
                <w:bCs w:val="1"/>
                <w:color w:val="auto"/>
                <w:w w:val="92"/>
              </w:rPr>
              <w:t>Three and Nine Months ended September 30, 2009 and September 30, 2008</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5040" w:type="dxa"/>
            <w:vAlign w:val="bottom"/>
            <w:gridSpan w:val="7"/>
          </w:tcPr>
          <w:p>
            <w:pPr>
              <w:jc w:val="center"/>
              <w:ind w:left="248"/>
              <w:spacing w:after="0"/>
              <w:rPr>
                <w:sz w:val="20"/>
                <w:szCs w:val="20"/>
                <w:color w:val="auto"/>
              </w:rPr>
            </w:pPr>
            <w:r>
              <w:rPr>
                <w:rFonts w:ascii="Arial" w:cs="Arial" w:eastAsia="Arial" w:hAnsi="Arial"/>
                <w:sz w:val="14"/>
                <w:szCs w:val="14"/>
                <w:b w:val="1"/>
                <w:bCs w:val="1"/>
                <w:color w:val="auto"/>
                <w:w w:val="91"/>
              </w:rPr>
              <w:t>(Dollars, in thousands, except share and per share data)</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0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gridSpan w:val="4"/>
          </w:tcPr>
          <w:p>
            <w:pPr>
              <w:ind w:left="980"/>
              <w:spacing w:after="0"/>
              <w:rPr>
                <w:sz w:val="20"/>
                <w:szCs w:val="20"/>
                <w:color w:val="auto"/>
              </w:rPr>
            </w:pPr>
            <w:r>
              <w:rPr>
                <w:rFonts w:ascii="Arial" w:cs="Arial" w:eastAsia="Arial" w:hAnsi="Arial"/>
                <w:sz w:val="14"/>
                <w:szCs w:val="14"/>
                <w:b w:val="1"/>
                <w:bCs w:val="1"/>
                <w:color w:val="auto"/>
                <w:w w:val="95"/>
              </w:rPr>
              <w:t>Three Months Ended</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3"/>
          </w:tcPr>
          <w:p>
            <w:pPr>
              <w:ind w:left="1020"/>
              <w:spacing w:after="0"/>
              <w:rPr>
                <w:sz w:val="20"/>
                <w:szCs w:val="20"/>
                <w:color w:val="auto"/>
              </w:rPr>
            </w:pPr>
            <w:r>
              <w:rPr>
                <w:rFonts w:ascii="Arial" w:cs="Arial" w:eastAsia="Arial" w:hAnsi="Arial"/>
                <w:sz w:val="14"/>
                <w:szCs w:val="14"/>
                <w:b w:val="1"/>
                <w:bCs w:val="1"/>
                <w:color w:val="auto"/>
                <w:w w:val="99"/>
              </w:rPr>
              <w:t>Nine Months Ended</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320" w:type="dxa"/>
            <w:vAlign w:val="bottom"/>
            <w:gridSpan w:val="4"/>
          </w:tcPr>
          <w:p>
            <w:pPr>
              <w:ind w:left="68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September 30,</w:t>
            </w:r>
          </w:p>
        </w:tc>
        <w:tc>
          <w:tcPr>
            <w:tcW w:w="2340" w:type="dxa"/>
            <w:vAlign w:val="bottom"/>
            <w:gridSpan w:val="3"/>
          </w:tcPr>
          <w:p>
            <w:pPr>
              <w:ind w:left="70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3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Gross Revenue</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317,179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313,637</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936,686</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914,082</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Reimbursable expenses</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96,818</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88,126</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276,493</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268,927</w:t>
            </w:r>
          </w:p>
        </w:tc>
        <w:tc>
          <w:tcPr>
            <w:tcW w:w="0" w:type="dxa"/>
            <w:vAlign w:val="bottom"/>
          </w:tcPr>
          <w:p>
            <w:pPr>
              <w:spacing w:after="0"/>
              <w:rPr>
                <w:sz w:val="1"/>
                <w:szCs w:val="1"/>
                <w:color w:val="auto"/>
              </w:rPr>
            </w:pPr>
          </w:p>
        </w:tc>
      </w:tr>
      <w:tr>
        <w:trPr>
          <w:trHeight w:val="174"/>
        </w:trPr>
        <w:tc>
          <w:tcPr>
            <w:tcW w:w="3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Revenue</w:t>
            </w:r>
          </w:p>
        </w:tc>
        <w:tc>
          <w:tcPr>
            <w:tcW w:w="3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220,361</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225,511</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660,193</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645,155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080" w:type="dxa"/>
            <w:vAlign w:val="bottom"/>
          </w:tcPr>
          <w:p>
            <w:pPr>
              <w:ind w:left="120"/>
              <w:spacing w:after="0"/>
              <w:rPr>
                <w:sz w:val="20"/>
                <w:szCs w:val="20"/>
                <w:color w:val="auto"/>
              </w:rPr>
            </w:pPr>
            <w:r>
              <w:rPr>
                <w:rFonts w:ascii="Arial" w:cs="Arial" w:eastAsia="Arial" w:hAnsi="Arial"/>
                <w:sz w:val="14"/>
                <w:szCs w:val="14"/>
                <w:b w:val="1"/>
                <w:bCs w:val="1"/>
                <w:color w:val="auto"/>
              </w:rPr>
              <w:t>Costs and expenses</w:t>
            </w: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120"/>
              <w:spacing w:after="0"/>
              <w:rPr>
                <w:sz w:val="20"/>
                <w:szCs w:val="20"/>
                <w:color w:val="auto"/>
              </w:rPr>
            </w:pPr>
            <w:r>
              <w:rPr>
                <w:rFonts w:ascii="Arial" w:cs="Arial" w:eastAsia="Arial" w:hAnsi="Arial"/>
                <w:sz w:val="14"/>
                <w:szCs w:val="14"/>
                <w:color w:val="auto"/>
              </w:rPr>
              <w:t>Direct costs</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127,179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127,948</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376,493</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364,113</w:t>
            </w:r>
          </w:p>
        </w:tc>
        <w:tc>
          <w:tcPr>
            <w:tcW w:w="0" w:type="dxa"/>
            <w:vAlign w:val="bottom"/>
          </w:tcPr>
          <w:p>
            <w:pPr>
              <w:spacing w:after="0"/>
              <w:rPr>
                <w:sz w:val="1"/>
                <w:szCs w:val="1"/>
                <w:color w:val="auto"/>
              </w:rPr>
            </w:pPr>
          </w:p>
        </w:tc>
      </w:tr>
      <w:tr>
        <w:trPr>
          <w:trHeight w:val="176"/>
        </w:trPr>
        <w:tc>
          <w:tcPr>
            <w:tcW w:w="3080" w:type="dxa"/>
            <w:vAlign w:val="bottom"/>
          </w:tcPr>
          <w:p>
            <w:pPr>
              <w:ind w:left="120"/>
              <w:spacing w:after="0"/>
              <w:rPr>
                <w:sz w:val="20"/>
                <w:szCs w:val="20"/>
                <w:color w:val="auto"/>
              </w:rPr>
            </w:pPr>
            <w:r>
              <w:rPr>
                <w:rFonts w:ascii="Arial" w:cs="Arial" w:eastAsia="Arial" w:hAnsi="Arial"/>
                <w:sz w:val="14"/>
                <w:szCs w:val="14"/>
                <w:color w:val="auto"/>
              </w:rPr>
              <w:t>Selling, general and administrative</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54,369</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62,494</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173,637</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187,328</w:t>
            </w:r>
          </w:p>
        </w:tc>
        <w:tc>
          <w:tcPr>
            <w:tcW w:w="0" w:type="dxa"/>
            <w:vAlign w:val="bottom"/>
          </w:tcPr>
          <w:p>
            <w:pPr>
              <w:spacing w:after="0"/>
              <w:rPr>
                <w:sz w:val="1"/>
                <w:szCs w:val="1"/>
                <w:color w:val="auto"/>
              </w:rPr>
            </w:pPr>
          </w:p>
        </w:tc>
      </w:tr>
      <w:tr>
        <w:trPr>
          <w:trHeight w:val="176"/>
        </w:trPr>
        <w:tc>
          <w:tcPr>
            <w:tcW w:w="308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8,404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7,937</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23,420</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20,676</w:t>
            </w:r>
          </w:p>
        </w:tc>
        <w:tc>
          <w:tcPr>
            <w:tcW w:w="0" w:type="dxa"/>
            <w:vAlign w:val="bottom"/>
          </w:tcPr>
          <w:p>
            <w:pPr>
              <w:spacing w:after="0"/>
              <w:rPr>
                <w:sz w:val="1"/>
                <w:szCs w:val="1"/>
                <w:color w:val="auto"/>
              </w:rPr>
            </w:pPr>
          </w:p>
        </w:tc>
      </w:tr>
      <w:tr>
        <w:trPr>
          <w:trHeight w:val="181"/>
        </w:trPr>
        <w:tc>
          <w:tcPr>
            <w:tcW w:w="3080" w:type="dxa"/>
            <w:vAlign w:val="bottom"/>
          </w:tcPr>
          <w:p>
            <w:pPr>
              <w:ind w:left="120"/>
              <w:spacing w:after="0"/>
              <w:rPr>
                <w:sz w:val="20"/>
                <w:szCs w:val="20"/>
                <w:color w:val="auto"/>
              </w:rPr>
            </w:pPr>
            <w:r>
              <w:rPr>
                <w:rFonts w:ascii="Arial" w:cs="Arial" w:eastAsia="Arial" w:hAnsi="Arial"/>
                <w:sz w:val="14"/>
                <w:szCs w:val="14"/>
                <w:color w:val="auto"/>
              </w:rPr>
              <w:t>One –time net charges</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8,941</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080" w:type="dxa"/>
            <w:vAlign w:val="bottom"/>
          </w:tcPr>
          <w:p>
            <w:pPr>
              <w:ind w:left="120"/>
              <w:spacing w:after="0"/>
              <w:rPr>
                <w:sz w:val="20"/>
                <w:szCs w:val="20"/>
                <w:color w:val="auto"/>
              </w:rPr>
            </w:pPr>
            <w:r>
              <w:rPr>
                <w:rFonts w:ascii="Arial" w:cs="Arial" w:eastAsia="Arial" w:hAnsi="Arial"/>
                <w:sz w:val="14"/>
                <w:szCs w:val="14"/>
                <w:b w:val="1"/>
                <w:bCs w:val="1"/>
                <w:color w:val="auto"/>
              </w:rPr>
              <w:t>Total costs and expenses</w:t>
            </w:r>
          </w:p>
        </w:tc>
        <w:tc>
          <w:tcPr>
            <w:tcW w:w="166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189,952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198,379</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582,491</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572,117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3080" w:type="dxa"/>
            <w:vAlign w:val="bottom"/>
          </w:tcPr>
          <w:p>
            <w:pPr>
              <w:ind w:left="120"/>
              <w:spacing w:after="0"/>
              <w:rPr>
                <w:sz w:val="20"/>
                <w:szCs w:val="20"/>
                <w:color w:val="auto"/>
              </w:rPr>
            </w:pPr>
            <w:r>
              <w:rPr>
                <w:rFonts w:ascii="Arial" w:cs="Arial" w:eastAsia="Arial" w:hAnsi="Arial"/>
                <w:sz w:val="14"/>
                <w:szCs w:val="14"/>
                <w:b w:val="1"/>
                <w:bCs w:val="1"/>
                <w:color w:val="auto"/>
              </w:rPr>
              <w:t>Income from operations</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30,409</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27,132</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77,702</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73,038</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(693)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(224)</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(2,304)</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74"/>
        </w:trPr>
        <w:tc>
          <w:tcPr>
            <w:tcW w:w="3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Income before provision for income taxes</w:t>
            </w:r>
          </w:p>
        </w:tc>
        <w:tc>
          <w:tcPr>
            <w:tcW w:w="32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70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29,716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26,908</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75,398</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72,295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308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3260" w:type="dxa"/>
            <w:vAlign w:val="bottom"/>
            <w:gridSpan w:val="3"/>
          </w:tcPr>
          <w:p>
            <w:pPr>
              <w:jc w:val="right"/>
              <w:ind w:right="20"/>
              <w:spacing w:after="0"/>
              <w:rPr>
                <w:sz w:val="20"/>
                <w:szCs w:val="20"/>
                <w:color w:val="auto"/>
              </w:rPr>
            </w:pPr>
            <w:r>
              <w:rPr>
                <w:rFonts w:ascii="Arial" w:cs="Arial" w:eastAsia="Arial" w:hAnsi="Arial"/>
                <w:sz w:val="14"/>
                <w:szCs w:val="14"/>
                <w:color w:val="auto"/>
              </w:rPr>
              <w:t>5,765</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5,355</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11,973</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14,493</w:t>
            </w:r>
          </w:p>
        </w:tc>
        <w:tc>
          <w:tcPr>
            <w:tcW w:w="0" w:type="dxa"/>
            <w:vAlign w:val="bottom"/>
          </w:tcPr>
          <w:p>
            <w:pPr>
              <w:spacing w:after="0"/>
              <w:rPr>
                <w:sz w:val="1"/>
                <w:szCs w:val="1"/>
                <w:color w:val="auto"/>
              </w:rPr>
            </w:pPr>
          </w:p>
        </w:tc>
      </w:tr>
      <w:tr>
        <w:trPr>
          <w:trHeight w:val="181"/>
        </w:trPr>
        <w:tc>
          <w:tcPr>
            <w:tcW w:w="3080" w:type="dxa"/>
            <w:vAlign w:val="bottom"/>
          </w:tcPr>
          <w:p>
            <w:pPr>
              <w:ind w:left="120"/>
              <w:spacing w:after="0"/>
              <w:rPr>
                <w:sz w:val="20"/>
                <w:szCs w:val="20"/>
                <w:color w:val="auto"/>
              </w:rPr>
            </w:pPr>
            <w:r>
              <w:rPr>
                <w:rFonts w:ascii="Arial" w:cs="Arial" w:eastAsia="Arial" w:hAnsi="Arial"/>
                <w:sz w:val="14"/>
                <w:szCs w:val="14"/>
                <w:color w:val="auto"/>
              </w:rPr>
              <w:t>Minority interest</w:t>
            </w:r>
          </w:p>
        </w:tc>
        <w:tc>
          <w:tcPr>
            <w:tcW w:w="166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173</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Net income</w:t>
            </w:r>
          </w:p>
        </w:tc>
        <w:tc>
          <w:tcPr>
            <w:tcW w:w="16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23,951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21,380</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63,425</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57,095</w:t>
            </w:r>
          </w:p>
        </w:tc>
        <w:tc>
          <w:tcPr>
            <w:tcW w:w="0" w:type="dxa"/>
            <w:vAlign w:val="bottom"/>
          </w:tcPr>
          <w:p>
            <w:pPr>
              <w:spacing w:after="0"/>
              <w:rPr>
                <w:sz w:val="1"/>
                <w:szCs w:val="1"/>
                <w:color w:val="auto"/>
              </w:rPr>
            </w:pPr>
          </w:p>
        </w:tc>
      </w:tr>
      <w:tr>
        <w:trPr>
          <w:trHeight w:val="20"/>
        </w:trPr>
        <w:tc>
          <w:tcPr>
            <w:tcW w:w="3080" w:type="dxa"/>
            <w:vAlign w:val="bottom"/>
            <w:vMerge w:val="restart"/>
          </w:tcPr>
          <w:p>
            <w:pPr>
              <w:ind w:left="120"/>
              <w:spacing w:after="0"/>
              <w:rPr>
                <w:sz w:val="20"/>
                <w:szCs w:val="20"/>
                <w:color w:val="auto"/>
              </w:rPr>
            </w:pPr>
            <w:r>
              <w:rPr>
                <w:rFonts w:ascii="Arial" w:cs="Arial" w:eastAsia="Arial" w:hAnsi="Arial"/>
                <w:sz w:val="14"/>
                <w:szCs w:val="14"/>
                <w:color w:val="auto"/>
              </w:rPr>
              <w:t>Net income per ordinary share</w:t>
            </w:r>
          </w:p>
        </w:tc>
        <w:tc>
          <w:tcPr>
            <w:tcW w:w="166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308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080" w:type="dxa"/>
            <w:vAlign w:val="bottom"/>
          </w:tcPr>
          <w:p>
            <w:pPr>
              <w:ind w:left="120"/>
              <w:spacing w:after="0"/>
              <w:rPr>
                <w:sz w:val="20"/>
                <w:szCs w:val="20"/>
                <w:color w:val="auto"/>
              </w:rPr>
            </w:pPr>
            <w:r>
              <w:rPr>
                <w:rFonts w:ascii="Arial" w:cs="Arial" w:eastAsia="Arial" w:hAnsi="Arial"/>
                <w:sz w:val="14"/>
                <w:szCs w:val="14"/>
                <w:color w:val="auto"/>
              </w:rPr>
              <w:t>Basic</w:t>
            </w:r>
          </w:p>
        </w:tc>
        <w:tc>
          <w:tcPr>
            <w:tcW w:w="1660" w:type="dxa"/>
            <w:vAlign w:val="bottom"/>
          </w:tcPr>
          <w:p>
            <w:pPr>
              <w:spacing w:after="0"/>
              <w:rPr>
                <w:sz w:val="15"/>
                <w:szCs w:val="15"/>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$0.41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$0.37</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$1.08</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$0.98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ind w:left="120"/>
              <w:spacing w:after="0"/>
              <w:rPr>
                <w:sz w:val="20"/>
                <w:szCs w:val="20"/>
                <w:color w:val="auto"/>
              </w:rPr>
            </w:pPr>
            <w:r>
              <w:rPr>
                <w:rFonts w:ascii="Arial" w:cs="Arial" w:eastAsia="Arial" w:hAnsi="Arial"/>
                <w:sz w:val="14"/>
                <w:szCs w:val="14"/>
                <w:color w:val="auto"/>
              </w:rPr>
              <w:t>Diluted</w:t>
            </w:r>
          </w:p>
        </w:tc>
        <w:tc>
          <w:tcPr>
            <w:tcW w:w="166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$0.40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$0.35</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339"/>
        </w:trPr>
        <w:tc>
          <w:tcPr>
            <w:tcW w:w="3080" w:type="dxa"/>
            <w:vAlign w:val="bottom"/>
          </w:tcPr>
          <w:p>
            <w:pPr>
              <w:ind w:left="120"/>
              <w:spacing w:after="0"/>
              <w:rPr>
                <w:sz w:val="20"/>
                <w:szCs w:val="20"/>
                <w:color w:val="auto"/>
              </w:rPr>
            </w:pPr>
            <w:r>
              <w:rPr>
                <w:rFonts w:ascii="Arial" w:cs="Arial" w:eastAsia="Arial" w:hAnsi="Arial"/>
                <w:sz w:val="14"/>
                <w:szCs w:val="14"/>
                <w:color w:val="auto"/>
              </w:rPr>
              <w:t>Weighted average number of ordinary shares</w:t>
            </w:r>
          </w:p>
        </w:tc>
        <w:tc>
          <w:tcPr>
            <w:tcW w:w="166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080" w:type="dxa"/>
            <w:vAlign w:val="bottom"/>
          </w:tcPr>
          <w:p>
            <w:pPr>
              <w:ind w:left="120"/>
              <w:spacing w:after="0"/>
              <w:rPr>
                <w:sz w:val="20"/>
                <w:szCs w:val="20"/>
                <w:color w:val="auto"/>
              </w:rPr>
            </w:pPr>
            <w:r>
              <w:rPr>
                <w:rFonts w:ascii="Arial" w:cs="Arial" w:eastAsia="Arial" w:hAnsi="Arial"/>
                <w:sz w:val="14"/>
                <w:szCs w:val="14"/>
                <w:color w:val="auto"/>
              </w:rPr>
              <w:t>Basic</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58,624,028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58,451,960</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58,579,402</w:t>
            </w:r>
          </w:p>
        </w:tc>
        <w:tc>
          <w:tcPr>
            <w:tcW w:w="640" w:type="dxa"/>
            <w:vAlign w:val="bottom"/>
          </w:tcPr>
          <w:p>
            <w:pPr>
              <w:spacing w:after="0"/>
              <w:rPr>
                <w:sz w:val="15"/>
                <w:szCs w:val="15"/>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58,156,869</w:t>
            </w:r>
          </w:p>
        </w:tc>
        <w:tc>
          <w:tcPr>
            <w:tcW w:w="0" w:type="dxa"/>
            <w:vAlign w:val="bottom"/>
          </w:tcPr>
          <w:p>
            <w:pPr>
              <w:spacing w:after="0"/>
              <w:rPr>
                <w:sz w:val="1"/>
                <w:szCs w:val="1"/>
                <w:color w:val="auto"/>
              </w:rPr>
            </w:pPr>
          </w:p>
        </w:tc>
      </w:tr>
      <w:tr>
        <w:trPr>
          <w:trHeight w:val="351"/>
        </w:trPr>
        <w:tc>
          <w:tcPr>
            <w:tcW w:w="3080" w:type="dxa"/>
            <w:vAlign w:val="bottom"/>
          </w:tcPr>
          <w:p>
            <w:pPr>
              <w:ind w:left="120"/>
              <w:spacing w:after="0"/>
              <w:rPr>
                <w:sz w:val="20"/>
                <w:szCs w:val="20"/>
                <w:color w:val="auto"/>
              </w:rPr>
            </w:pPr>
            <w:r>
              <w:rPr>
                <w:rFonts w:ascii="Arial" w:cs="Arial" w:eastAsia="Arial" w:hAnsi="Arial"/>
                <w:sz w:val="14"/>
                <w:szCs w:val="14"/>
                <w:color w:val="auto"/>
              </w:rPr>
              <w:t>Diluted</w:t>
            </w:r>
          </w:p>
        </w:tc>
        <w:tc>
          <w:tcPr>
            <w:tcW w:w="3240" w:type="dxa"/>
            <w:vAlign w:val="bottom"/>
            <w:gridSpan w:val="2"/>
          </w:tcPr>
          <w:p>
            <w:pPr>
              <w:jc w:val="right"/>
              <w:spacing w:after="0"/>
              <w:rPr>
                <w:sz w:val="20"/>
                <w:szCs w:val="20"/>
                <w:color w:val="auto"/>
              </w:rPr>
            </w:pPr>
            <w:r>
              <w:rPr>
                <w:rFonts w:ascii="Arial" w:cs="Arial" w:eastAsia="Arial" w:hAnsi="Arial"/>
                <w:sz w:val="14"/>
                <w:szCs w:val="14"/>
                <w:color w:val="auto"/>
              </w:rPr>
              <w:t>59,953,574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61,847,265</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color w:val="auto"/>
              </w:rPr>
              <w:t>59,781,092</w:t>
            </w:r>
          </w:p>
        </w:tc>
        <w:tc>
          <w:tcPr>
            <w:tcW w:w="6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61,357,893</w:t>
            </w:r>
          </w:p>
        </w:tc>
        <w:tc>
          <w:tcPr>
            <w:tcW w:w="0" w:type="dxa"/>
            <w:vAlign w:val="bottom"/>
          </w:tcPr>
          <w:p>
            <w:pPr>
              <w:spacing w:after="0"/>
              <w:rPr>
                <w:sz w:val="1"/>
                <w:szCs w:val="1"/>
                <w:color w:val="auto"/>
              </w:rPr>
            </w:pPr>
          </w:p>
        </w:tc>
      </w:tr>
      <w:tr>
        <w:trPr>
          <w:trHeight w:val="134"/>
        </w:trPr>
        <w:tc>
          <w:tcPr>
            <w:tcW w:w="30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5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308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5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2009 and December 31, 2008</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20" w:type="dxa"/>
            <w:vAlign w:val="bottom"/>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3880" w:type="dxa"/>
            <w:vAlign w:val="bottom"/>
          </w:tcPr>
          <w:p>
            <w:pPr>
              <w:spacing w:after="0"/>
              <w:rPr>
                <w:sz w:val="15"/>
                <w:szCs w:val="15"/>
                <w:color w:val="auto"/>
              </w:rPr>
            </w:pPr>
          </w:p>
        </w:tc>
        <w:tc>
          <w:tcPr>
            <w:tcW w:w="62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2008</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r>
      <w:tr>
        <w:trPr>
          <w:trHeight w:val="180"/>
        </w:trPr>
        <w:tc>
          <w:tcPr>
            <w:tcW w:w="38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820" w:type="dxa"/>
            <w:vAlign w:val="bottom"/>
          </w:tcPr>
          <w:p>
            <w:pPr>
              <w:jc w:val="right"/>
              <w:ind w:right="428"/>
              <w:spacing w:after="0"/>
              <w:rPr>
                <w:sz w:val="20"/>
                <w:szCs w:val="20"/>
                <w:color w:val="auto"/>
              </w:rPr>
            </w:pPr>
            <w:r>
              <w:rPr>
                <w:rFonts w:ascii="Arial" w:cs="Arial" w:eastAsia="Arial" w:hAnsi="Arial"/>
                <w:sz w:val="14"/>
                <w:szCs w:val="14"/>
                <w:b w:val="1"/>
                <w:bCs w:val="1"/>
                <w:color w:val="auto"/>
              </w:rPr>
              <w:t>(Unaudited)</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auto"/>
              </w:rPr>
              <w:t>(Audited)</w:t>
            </w:r>
          </w:p>
        </w:tc>
      </w:tr>
      <w:tr>
        <w:trPr>
          <w:trHeight w:val="176"/>
        </w:trPr>
        <w:tc>
          <w:tcPr>
            <w:tcW w:w="388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6200" w:type="dxa"/>
            <w:vAlign w:val="bottom"/>
            <w:gridSpan w:val="2"/>
          </w:tcPr>
          <w:p>
            <w:pPr>
              <w:jc w:val="right"/>
              <w:ind w:right="408"/>
              <w:spacing w:after="0"/>
              <w:rPr>
                <w:sz w:val="20"/>
                <w:szCs w:val="20"/>
                <w:color w:val="auto"/>
              </w:rPr>
            </w:pPr>
            <w:r>
              <w:rPr>
                <w:rFonts w:ascii="Arial" w:cs="Arial" w:eastAsia="Arial" w:hAnsi="Arial"/>
                <w:sz w:val="14"/>
                <w:szCs w:val="14"/>
                <w:color w:val="auto"/>
              </w:rPr>
              <w:t>172,872</w:t>
            </w:r>
          </w:p>
        </w:tc>
        <w:tc>
          <w:tcPr>
            <w:tcW w:w="1340" w:type="dxa"/>
            <w:vAlign w:val="bottom"/>
          </w:tcPr>
          <w:p>
            <w:pPr>
              <w:jc w:val="right"/>
              <w:spacing w:after="0"/>
              <w:rPr>
                <w:sz w:val="20"/>
                <w:szCs w:val="20"/>
                <w:color w:val="auto"/>
              </w:rPr>
            </w:pPr>
            <w:r>
              <w:rPr>
                <w:rFonts w:ascii="Arial" w:cs="Arial" w:eastAsia="Arial" w:hAnsi="Arial"/>
                <w:sz w:val="14"/>
                <w:szCs w:val="14"/>
                <w:color w:val="auto"/>
              </w:rPr>
              <w:t>101,104</w:t>
            </w:r>
          </w:p>
        </w:tc>
      </w:tr>
      <w:tr>
        <w:trPr>
          <w:trHeight w:val="176"/>
        </w:trPr>
        <w:tc>
          <w:tcPr>
            <w:tcW w:w="3880" w:type="dxa"/>
            <w:vAlign w:val="bottom"/>
          </w:tcPr>
          <w:p>
            <w:pPr>
              <w:spacing w:after="0"/>
              <w:rPr>
                <w:sz w:val="20"/>
                <w:szCs w:val="20"/>
                <w:color w:val="auto"/>
              </w:rPr>
            </w:pPr>
            <w:r>
              <w:rPr>
                <w:rFonts w:ascii="Arial" w:cs="Arial" w:eastAsia="Arial" w:hAnsi="Arial"/>
                <w:sz w:val="14"/>
                <w:szCs w:val="14"/>
                <w:color w:val="auto"/>
              </w:rPr>
              <w:t>Debt</w:t>
            </w:r>
          </w:p>
        </w:tc>
        <w:tc>
          <w:tcPr>
            <w:tcW w:w="6200" w:type="dxa"/>
            <w:vAlign w:val="bottom"/>
            <w:gridSpan w:val="2"/>
          </w:tcPr>
          <w:p>
            <w:pPr>
              <w:jc w:val="right"/>
              <w:ind w:right="408"/>
              <w:spacing w:after="0"/>
              <w:rPr>
                <w:sz w:val="20"/>
                <w:szCs w:val="20"/>
                <w:color w:val="auto"/>
              </w:rPr>
            </w:pPr>
            <w:r>
              <w:rPr>
                <w:rFonts w:ascii="Arial" w:cs="Arial" w:eastAsia="Arial" w:hAnsi="Arial"/>
                <w:sz w:val="14"/>
                <w:szCs w:val="14"/>
                <w:color w:val="auto"/>
              </w:rPr>
              <w:t>(28,270)</w:t>
            </w:r>
          </w:p>
        </w:tc>
        <w:tc>
          <w:tcPr>
            <w:tcW w:w="1340" w:type="dxa"/>
            <w:vAlign w:val="bottom"/>
          </w:tcPr>
          <w:p>
            <w:pPr>
              <w:jc w:val="right"/>
              <w:spacing w:after="0"/>
              <w:rPr>
                <w:sz w:val="20"/>
                <w:szCs w:val="20"/>
                <w:color w:val="auto"/>
              </w:rPr>
            </w:pPr>
            <w:r>
              <w:rPr>
                <w:rFonts w:ascii="Arial" w:cs="Arial" w:eastAsia="Arial" w:hAnsi="Arial"/>
                <w:sz w:val="14"/>
                <w:szCs w:val="14"/>
                <w:color w:val="auto"/>
              </w:rPr>
              <w:t>105,379</w:t>
            </w:r>
          </w:p>
        </w:tc>
      </w:tr>
      <w:tr>
        <w:trPr>
          <w:trHeight w:val="182"/>
        </w:trPr>
        <w:tc>
          <w:tcPr>
            <w:tcW w:w="3880" w:type="dxa"/>
            <w:vAlign w:val="bottom"/>
          </w:tcPr>
          <w:p>
            <w:pPr>
              <w:spacing w:after="0"/>
              <w:rPr>
                <w:sz w:val="20"/>
                <w:szCs w:val="20"/>
                <w:color w:val="auto"/>
              </w:rPr>
            </w:pPr>
            <w:r>
              <w:rPr>
                <w:rFonts w:ascii="Arial" w:cs="Arial" w:eastAsia="Arial" w:hAnsi="Arial"/>
                <w:sz w:val="14"/>
                <w:szCs w:val="14"/>
                <w:color w:val="auto"/>
              </w:rPr>
              <w:t>Net cash/(debt)</w:t>
            </w:r>
          </w:p>
        </w:tc>
        <w:tc>
          <w:tcPr>
            <w:tcW w:w="6200" w:type="dxa"/>
            <w:vAlign w:val="bottom"/>
            <w:gridSpan w:val="2"/>
          </w:tcPr>
          <w:p>
            <w:pPr>
              <w:jc w:val="right"/>
              <w:ind w:right="408"/>
              <w:spacing w:after="0"/>
              <w:rPr>
                <w:sz w:val="20"/>
                <w:szCs w:val="20"/>
                <w:color w:val="auto"/>
              </w:rPr>
            </w:pPr>
            <w:r>
              <w:rPr>
                <w:rFonts w:ascii="Arial" w:cs="Arial" w:eastAsia="Arial" w:hAnsi="Arial"/>
                <w:sz w:val="14"/>
                <w:szCs w:val="14"/>
                <w:color w:val="auto"/>
              </w:rPr>
              <w:t>144,602</w:t>
            </w:r>
          </w:p>
        </w:tc>
        <w:tc>
          <w:tcPr>
            <w:tcW w:w="1340" w:type="dxa"/>
            <w:vAlign w:val="bottom"/>
          </w:tcPr>
          <w:p>
            <w:pPr>
              <w:jc w:val="right"/>
              <w:spacing w:after="0"/>
              <w:rPr>
                <w:sz w:val="20"/>
                <w:szCs w:val="20"/>
                <w:color w:val="auto"/>
              </w:rPr>
            </w:pPr>
            <w:r>
              <w:rPr>
                <w:rFonts w:ascii="Arial" w:cs="Arial" w:eastAsia="Arial" w:hAnsi="Arial"/>
                <w:sz w:val="14"/>
                <w:szCs w:val="14"/>
                <w:color w:val="auto"/>
              </w:rPr>
              <w:t>(4,275)</w:t>
            </w:r>
          </w:p>
        </w:tc>
      </w:tr>
      <w:tr>
        <w:trPr>
          <w:trHeight w:val="344"/>
        </w:trPr>
        <w:tc>
          <w:tcPr>
            <w:tcW w:w="3880" w:type="dxa"/>
            <w:vAlign w:val="bottom"/>
          </w:tcPr>
          <w:p>
            <w:pPr>
              <w:spacing w:after="0"/>
              <w:rPr>
                <w:sz w:val="20"/>
                <w:szCs w:val="20"/>
                <w:color w:val="auto"/>
              </w:rPr>
            </w:pPr>
            <w:r>
              <w:rPr>
                <w:rFonts w:ascii="Arial" w:cs="Arial" w:eastAsia="Arial" w:hAnsi="Arial"/>
                <w:sz w:val="14"/>
                <w:szCs w:val="14"/>
                <w:color w:val="auto"/>
              </w:rPr>
              <w:t>Accounts receivable</w:t>
            </w:r>
          </w:p>
        </w:tc>
        <w:tc>
          <w:tcPr>
            <w:tcW w:w="6200" w:type="dxa"/>
            <w:vAlign w:val="bottom"/>
            <w:gridSpan w:val="2"/>
          </w:tcPr>
          <w:p>
            <w:pPr>
              <w:jc w:val="right"/>
              <w:ind w:right="408"/>
              <w:spacing w:after="0"/>
              <w:rPr>
                <w:sz w:val="20"/>
                <w:szCs w:val="20"/>
                <w:color w:val="auto"/>
              </w:rPr>
            </w:pPr>
            <w:r>
              <w:rPr>
                <w:rFonts w:ascii="Arial" w:cs="Arial" w:eastAsia="Arial" w:hAnsi="Arial"/>
                <w:sz w:val="14"/>
                <w:szCs w:val="14"/>
                <w:color w:val="auto"/>
              </w:rPr>
              <w:t>191,962</w:t>
            </w:r>
          </w:p>
        </w:tc>
        <w:tc>
          <w:tcPr>
            <w:tcW w:w="1340" w:type="dxa"/>
            <w:vAlign w:val="bottom"/>
          </w:tcPr>
          <w:p>
            <w:pPr>
              <w:jc w:val="right"/>
              <w:spacing w:after="0"/>
              <w:rPr>
                <w:sz w:val="20"/>
                <w:szCs w:val="20"/>
                <w:color w:val="auto"/>
              </w:rPr>
            </w:pPr>
            <w:r>
              <w:rPr>
                <w:rFonts w:ascii="Arial" w:cs="Arial" w:eastAsia="Arial" w:hAnsi="Arial"/>
                <w:sz w:val="14"/>
                <w:szCs w:val="14"/>
                <w:color w:val="auto"/>
              </w:rPr>
              <w:t>210,535</w:t>
            </w:r>
          </w:p>
        </w:tc>
      </w:tr>
      <w:tr>
        <w:trPr>
          <w:trHeight w:val="176"/>
        </w:trPr>
        <w:tc>
          <w:tcPr>
            <w:tcW w:w="3880" w:type="dxa"/>
            <w:vAlign w:val="bottom"/>
          </w:tcPr>
          <w:p>
            <w:pPr>
              <w:spacing w:after="0"/>
              <w:rPr>
                <w:sz w:val="20"/>
                <w:szCs w:val="20"/>
                <w:color w:val="auto"/>
              </w:rPr>
            </w:pPr>
            <w:r>
              <w:rPr>
                <w:rFonts w:ascii="Arial" w:cs="Arial" w:eastAsia="Arial" w:hAnsi="Arial"/>
                <w:sz w:val="14"/>
                <w:szCs w:val="14"/>
                <w:color w:val="auto"/>
              </w:rPr>
              <w:t>Unbilled revenue</w:t>
            </w:r>
          </w:p>
        </w:tc>
        <w:tc>
          <w:tcPr>
            <w:tcW w:w="6200" w:type="dxa"/>
            <w:vAlign w:val="bottom"/>
            <w:gridSpan w:val="2"/>
          </w:tcPr>
          <w:p>
            <w:pPr>
              <w:jc w:val="right"/>
              <w:ind w:right="408"/>
              <w:spacing w:after="0"/>
              <w:rPr>
                <w:sz w:val="20"/>
                <w:szCs w:val="20"/>
                <w:color w:val="auto"/>
              </w:rPr>
            </w:pPr>
            <w:r>
              <w:rPr>
                <w:rFonts w:ascii="Arial" w:cs="Arial" w:eastAsia="Arial" w:hAnsi="Arial"/>
                <w:sz w:val="14"/>
                <w:szCs w:val="14"/>
                <w:color w:val="auto"/>
              </w:rPr>
              <w:t>118,398</w:t>
            </w:r>
          </w:p>
        </w:tc>
        <w:tc>
          <w:tcPr>
            <w:tcW w:w="1340" w:type="dxa"/>
            <w:vAlign w:val="bottom"/>
          </w:tcPr>
          <w:p>
            <w:pPr>
              <w:jc w:val="right"/>
              <w:spacing w:after="0"/>
              <w:rPr>
                <w:sz w:val="20"/>
                <w:szCs w:val="20"/>
                <w:color w:val="auto"/>
              </w:rPr>
            </w:pPr>
            <w:r>
              <w:rPr>
                <w:rFonts w:ascii="Arial" w:cs="Arial" w:eastAsia="Arial" w:hAnsi="Arial"/>
                <w:sz w:val="14"/>
                <w:szCs w:val="14"/>
                <w:color w:val="auto"/>
              </w:rPr>
              <w:t>141,727</w:t>
            </w:r>
          </w:p>
        </w:tc>
      </w:tr>
      <w:tr>
        <w:trPr>
          <w:trHeight w:val="176"/>
        </w:trPr>
        <w:tc>
          <w:tcPr>
            <w:tcW w:w="3880" w:type="dxa"/>
            <w:vAlign w:val="bottom"/>
          </w:tcPr>
          <w:p>
            <w:pPr>
              <w:spacing w:after="0"/>
              <w:rPr>
                <w:sz w:val="20"/>
                <w:szCs w:val="20"/>
                <w:color w:val="auto"/>
              </w:rPr>
            </w:pPr>
            <w:r>
              <w:rPr>
                <w:rFonts w:ascii="Arial" w:cs="Arial" w:eastAsia="Arial" w:hAnsi="Arial"/>
                <w:sz w:val="14"/>
                <w:szCs w:val="14"/>
                <w:color w:val="auto"/>
              </w:rPr>
              <w:t>Payments on account</w:t>
            </w:r>
          </w:p>
        </w:tc>
        <w:tc>
          <w:tcPr>
            <w:tcW w:w="6200" w:type="dxa"/>
            <w:vAlign w:val="bottom"/>
            <w:gridSpan w:val="2"/>
          </w:tcPr>
          <w:p>
            <w:pPr>
              <w:jc w:val="right"/>
              <w:ind w:right="408"/>
              <w:spacing w:after="0"/>
              <w:rPr>
                <w:sz w:val="20"/>
                <w:szCs w:val="20"/>
                <w:color w:val="auto"/>
              </w:rPr>
            </w:pPr>
            <w:r>
              <w:rPr>
                <w:rFonts w:ascii="Arial" w:cs="Arial" w:eastAsia="Arial" w:hAnsi="Arial"/>
                <w:sz w:val="14"/>
                <w:szCs w:val="14"/>
                <w:color w:val="auto"/>
              </w:rPr>
              <w:t>(172,699)</w:t>
            </w:r>
          </w:p>
        </w:tc>
        <w:tc>
          <w:tcPr>
            <w:tcW w:w="1340" w:type="dxa"/>
            <w:vAlign w:val="bottom"/>
          </w:tcPr>
          <w:p>
            <w:pPr>
              <w:jc w:val="right"/>
              <w:spacing w:after="0"/>
              <w:rPr>
                <w:sz w:val="20"/>
                <w:szCs w:val="20"/>
                <w:color w:val="auto"/>
              </w:rPr>
            </w:pPr>
            <w:r>
              <w:rPr>
                <w:rFonts w:ascii="Arial" w:cs="Arial" w:eastAsia="Arial" w:hAnsi="Arial"/>
                <w:sz w:val="14"/>
                <w:szCs w:val="14"/>
                <w:color w:val="auto"/>
              </w:rPr>
              <w:t>(121,935)</w:t>
            </w:r>
          </w:p>
        </w:tc>
      </w:tr>
      <w:tr>
        <w:trPr>
          <w:trHeight w:val="182"/>
        </w:trPr>
        <w:tc>
          <w:tcPr>
            <w:tcW w:w="3880" w:type="dxa"/>
            <w:vAlign w:val="bottom"/>
          </w:tcPr>
          <w:p>
            <w:pPr>
              <w:spacing w:after="0"/>
              <w:rPr>
                <w:sz w:val="20"/>
                <w:szCs w:val="20"/>
                <w:color w:val="auto"/>
              </w:rPr>
            </w:pPr>
            <w:r>
              <w:rPr>
                <w:rFonts w:ascii="Arial" w:cs="Arial" w:eastAsia="Arial" w:hAnsi="Arial"/>
                <w:sz w:val="14"/>
                <w:szCs w:val="14"/>
                <w:color w:val="auto"/>
              </w:rPr>
              <w:t>Total</w:t>
            </w:r>
          </w:p>
        </w:tc>
        <w:tc>
          <w:tcPr>
            <w:tcW w:w="6200" w:type="dxa"/>
            <w:vAlign w:val="bottom"/>
            <w:gridSpan w:val="2"/>
          </w:tcPr>
          <w:p>
            <w:pPr>
              <w:jc w:val="right"/>
              <w:ind w:right="408"/>
              <w:spacing w:after="0"/>
              <w:rPr>
                <w:sz w:val="20"/>
                <w:szCs w:val="20"/>
                <w:color w:val="auto"/>
              </w:rPr>
            </w:pPr>
            <w:r>
              <w:rPr>
                <w:rFonts w:ascii="Arial" w:cs="Arial" w:eastAsia="Arial" w:hAnsi="Arial"/>
                <w:sz w:val="14"/>
                <w:szCs w:val="14"/>
                <w:color w:val="auto"/>
              </w:rPr>
              <w:t>137,661</w:t>
            </w:r>
          </w:p>
        </w:tc>
        <w:tc>
          <w:tcPr>
            <w:tcW w:w="1340" w:type="dxa"/>
            <w:vAlign w:val="bottom"/>
          </w:tcPr>
          <w:p>
            <w:pPr>
              <w:jc w:val="right"/>
              <w:spacing w:after="0"/>
              <w:rPr>
                <w:sz w:val="20"/>
                <w:szCs w:val="20"/>
                <w:color w:val="auto"/>
              </w:rPr>
            </w:pPr>
            <w:r>
              <w:rPr>
                <w:rFonts w:ascii="Arial" w:cs="Arial" w:eastAsia="Arial" w:hAnsi="Arial"/>
                <w:sz w:val="14"/>
                <w:szCs w:val="14"/>
                <w:color w:val="auto"/>
              </w:rPr>
              <w:t>230,327</w:t>
            </w:r>
          </w:p>
        </w:tc>
      </w:tr>
      <w:tr>
        <w:trPr>
          <w:trHeight w:val="351"/>
        </w:trPr>
        <w:tc>
          <w:tcPr>
            <w:tcW w:w="3880" w:type="dxa"/>
            <w:vAlign w:val="bottom"/>
          </w:tcPr>
          <w:p>
            <w:pPr>
              <w:spacing w:after="0"/>
              <w:rPr>
                <w:sz w:val="20"/>
                <w:szCs w:val="20"/>
                <w:color w:val="auto"/>
              </w:rPr>
            </w:pPr>
            <w:r>
              <w:rPr>
                <w:rFonts w:ascii="Arial" w:cs="Arial" w:eastAsia="Arial" w:hAnsi="Arial"/>
                <w:sz w:val="14"/>
                <w:szCs w:val="14"/>
                <w:color w:val="auto"/>
              </w:rPr>
              <w:t>Working Capital</w:t>
            </w:r>
          </w:p>
        </w:tc>
        <w:tc>
          <w:tcPr>
            <w:tcW w:w="6200" w:type="dxa"/>
            <w:vAlign w:val="bottom"/>
            <w:gridSpan w:val="2"/>
          </w:tcPr>
          <w:p>
            <w:pPr>
              <w:jc w:val="right"/>
              <w:ind w:right="408"/>
              <w:spacing w:after="0"/>
              <w:rPr>
                <w:sz w:val="20"/>
                <w:szCs w:val="20"/>
                <w:color w:val="auto"/>
              </w:rPr>
            </w:pPr>
            <w:r>
              <w:rPr>
                <w:rFonts w:ascii="Arial" w:cs="Arial" w:eastAsia="Arial" w:hAnsi="Arial"/>
                <w:sz w:val="14"/>
                <w:szCs w:val="14"/>
                <w:color w:val="auto"/>
              </w:rPr>
              <w:t>215,658</w:t>
            </w:r>
          </w:p>
        </w:tc>
        <w:tc>
          <w:tcPr>
            <w:tcW w:w="1340" w:type="dxa"/>
            <w:vAlign w:val="bottom"/>
          </w:tcPr>
          <w:p>
            <w:pPr>
              <w:jc w:val="right"/>
              <w:spacing w:after="0"/>
              <w:rPr>
                <w:sz w:val="20"/>
                <w:szCs w:val="20"/>
                <w:color w:val="auto"/>
              </w:rPr>
            </w:pPr>
            <w:r>
              <w:rPr>
                <w:rFonts w:ascii="Arial" w:cs="Arial" w:eastAsia="Arial" w:hAnsi="Arial"/>
                <w:sz w:val="14"/>
                <w:szCs w:val="14"/>
                <w:color w:val="auto"/>
              </w:rPr>
              <w:t>185,957</w:t>
            </w:r>
          </w:p>
        </w:tc>
      </w:tr>
      <w:tr>
        <w:trPr>
          <w:trHeight w:val="351"/>
        </w:trPr>
        <w:tc>
          <w:tcPr>
            <w:tcW w:w="3880" w:type="dxa"/>
            <w:vAlign w:val="bottom"/>
          </w:tcPr>
          <w:p>
            <w:pPr>
              <w:spacing w:after="0"/>
              <w:rPr>
                <w:sz w:val="20"/>
                <w:szCs w:val="20"/>
                <w:color w:val="auto"/>
              </w:rPr>
            </w:pPr>
            <w:r>
              <w:rPr>
                <w:rFonts w:ascii="Arial" w:cs="Arial" w:eastAsia="Arial" w:hAnsi="Arial"/>
                <w:sz w:val="14"/>
                <w:szCs w:val="14"/>
                <w:color w:val="auto"/>
              </w:rPr>
              <w:t>Total Assets</w:t>
            </w:r>
          </w:p>
        </w:tc>
        <w:tc>
          <w:tcPr>
            <w:tcW w:w="6200" w:type="dxa"/>
            <w:vAlign w:val="bottom"/>
            <w:gridSpan w:val="2"/>
          </w:tcPr>
          <w:p>
            <w:pPr>
              <w:jc w:val="right"/>
              <w:ind w:right="408"/>
              <w:spacing w:after="0"/>
              <w:rPr>
                <w:sz w:val="20"/>
                <w:szCs w:val="20"/>
                <w:color w:val="auto"/>
              </w:rPr>
            </w:pPr>
            <w:r>
              <w:rPr>
                <w:rFonts w:ascii="Arial" w:cs="Arial" w:eastAsia="Arial" w:hAnsi="Arial"/>
                <w:sz w:val="14"/>
                <w:szCs w:val="14"/>
                <w:color w:val="auto"/>
              </w:rPr>
              <w:t>922,140</w:t>
            </w:r>
          </w:p>
        </w:tc>
        <w:tc>
          <w:tcPr>
            <w:tcW w:w="1340" w:type="dxa"/>
            <w:vAlign w:val="bottom"/>
          </w:tcPr>
          <w:p>
            <w:pPr>
              <w:jc w:val="right"/>
              <w:spacing w:after="0"/>
              <w:rPr>
                <w:sz w:val="20"/>
                <w:szCs w:val="20"/>
                <w:color w:val="auto"/>
              </w:rPr>
            </w:pPr>
            <w:r>
              <w:rPr>
                <w:rFonts w:ascii="Arial" w:cs="Arial" w:eastAsia="Arial" w:hAnsi="Arial"/>
                <w:sz w:val="14"/>
                <w:szCs w:val="14"/>
                <w:color w:val="auto"/>
              </w:rPr>
              <w:t>867,285</w:t>
            </w:r>
          </w:p>
        </w:tc>
      </w:tr>
      <w:tr>
        <w:trPr>
          <w:trHeight w:val="351"/>
        </w:trPr>
        <w:tc>
          <w:tcPr>
            <w:tcW w:w="3880" w:type="dxa"/>
            <w:vAlign w:val="bottom"/>
          </w:tcPr>
          <w:p>
            <w:pPr>
              <w:spacing w:after="0"/>
              <w:rPr>
                <w:sz w:val="20"/>
                <w:szCs w:val="20"/>
                <w:color w:val="auto"/>
              </w:rPr>
            </w:pPr>
            <w:r>
              <w:rPr>
                <w:rFonts w:ascii="Arial" w:cs="Arial" w:eastAsia="Arial" w:hAnsi="Arial"/>
                <w:sz w:val="14"/>
                <w:szCs w:val="14"/>
                <w:color w:val="auto"/>
              </w:rPr>
              <w:t>Shareholder's Equity</w:t>
            </w:r>
          </w:p>
        </w:tc>
        <w:tc>
          <w:tcPr>
            <w:tcW w:w="6200" w:type="dxa"/>
            <w:vAlign w:val="bottom"/>
            <w:gridSpan w:val="2"/>
          </w:tcPr>
          <w:p>
            <w:pPr>
              <w:jc w:val="right"/>
              <w:ind w:right="408"/>
              <w:spacing w:after="0"/>
              <w:rPr>
                <w:sz w:val="20"/>
                <w:szCs w:val="20"/>
                <w:color w:val="auto"/>
              </w:rPr>
            </w:pPr>
            <w:r>
              <w:rPr>
                <w:rFonts w:ascii="Arial" w:cs="Arial" w:eastAsia="Arial" w:hAnsi="Arial"/>
                <w:sz w:val="14"/>
                <w:szCs w:val="14"/>
                <w:color w:val="auto"/>
              </w:rPr>
              <w:t>540,854</w:t>
            </w:r>
          </w:p>
        </w:tc>
        <w:tc>
          <w:tcPr>
            <w:tcW w:w="1340" w:type="dxa"/>
            <w:vAlign w:val="bottom"/>
          </w:tcPr>
          <w:p>
            <w:pPr>
              <w:jc w:val="right"/>
              <w:spacing w:after="0"/>
              <w:rPr>
                <w:sz w:val="20"/>
                <w:szCs w:val="20"/>
                <w:color w:val="auto"/>
              </w:rPr>
            </w:pPr>
            <w:r>
              <w:rPr>
                <w:rFonts w:ascii="Arial" w:cs="Arial" w:eastAsia="Arial" w:hAnsi="Arial"/>
                <w:sz w:val="14"/>
                <w:szCs w:val="14"/>
                <w:color w:val="auto"/>
              </w:rPr>
              <w:t>456,366</w:t>
            </w:r>
          </w:p>
        </w:tc>
      </w:tr>
      <w:tr>
        <w:trPr>
          <w:trHeight w:val="527"/>
        </w:trPr>
        <w:tc>
          <w:tcPr>
            <w:tcW w:w="3880" w:type="dxa"/>
            <w:vAlign w:val="bottom"/>
          </w:tcPr>
          <w:p>
            <w:pPr>
              <w:spacing w:after="0"/>
              <w:rPr>
                <w:sz w:val="20"/>
                <w:szCs w:val="20"/>
                <w:color w:val="auto"/>
              </w:rPr>
            </w:pPr>
            <w:r>
              <w:rPr>
                <w:rFonts w:ascii="Arial" w:cs="Arial" w:eastAsia="Arial" w:hAnsi="Arial"/>
                <w:sz w:val="14"/>
                <w:szCs w:val="14"/>
                <w:b w:val="1"/>
                <w:bCs w:val="1"/>
                <w:color w:val="auto"/>
              </w:rPr>
              <w:t>Source:</w:t>
            </w:r>
          </w:p>
        </w:tc>
        <w:tc>
          <w:tcPr>
            <w:tcW w:w="6200" w:type="dxa"/>
            <w:vAlign w:val="bottom"/>
            <w:gridSpan w:val="2"/>
          </w:tcPr>
          <w:p>
            <w:pPr>
              <w:spacing w:after="0"/>
              <w:rPr>
                <w:sz w:val="20"/>
                <w:szCs w:val="20"/>
                <w:color w:val="auto"/>
              </w:rPr>
            </w:pPr>
            <w:r>
              <w:rPr>
                <w:rFonts w:ascii="Arial" w:cs="Arial" w:eastAsia="Arial" w:hAnsi="Arial"/>
                <w:sz w:val="14"/>
                <w:szCs w:val="14"/>
                <w:color w:val="auto"/>
              </w:rPr>
              <w:t>ICON plc</w:t>
            </w:r>
          </w:p>
        </w:tc>
        <w:tc>
          <w:tcPr>
            <w:tcW w:w="1340" w:type="dxa"/>
            <w:vAlign w:val="bottom"/>
          </w:tcPr>
          <w:p>
            <w:pPr>
              <w:spacing w:after="0"/>
              <w:rPr>
                <w:sz w:val="24"/>
                <w:szCs w:val="24"/>
                <w:color w:val="auto"/>
              </w:rPr>
            </w:pPr>
          </w:p>
        </w:tc>
      </w:tr>
      <w:tr>
        <w:trPr>
          <w:trHeight w:val="344"/>
        </w:trPr>
        <w:tc>
          <w:tcPr>
            <w:tcW w:w="3880" w:type="dxa"/>
            <w:vAlign w:val="bottom"/>
          </w:tcPr>
          <w:p>
            <w:pPr>
              <w:spacing w:after="0"/>
              <w:rPr>
                <w:sz w:val="20"/>
                <w:szCs w:val="20"/>
                <w:color w:val="auto"/>
              </w:rPr>
            </w:pPr>
            <w:r>
              <w:rPr>
                <w:rFonts w:ascii="Arial" w:cs="Arial" w:eastAsia="Arial" w:hAnsi="Arial"/>
                <w:sz w:val="14"/>
                <w:szCs w:val="14"/>
                <w:b w:val="1"/>
                <w:bCs w:val="1"/>
                <w:color w:val="auto"/>
              </w:rPr>
              <w:t>Contact:</w:t>
            </w:r>
          </w:p>
        </w:tc>
        <w:tc>
          <w:tcPr>
            <w:tcW w:w="6200" w:type="dxa"/>
            <w:vAlign w:val="bottom"/>
            <w:gridSpan w:val="2"/>
          </w:tcPr>
          <w:p>
            <w:pPr>
              <w:spacing w:after="0"/>
              <w:rPr>
                <w:sz w:val="20"/>
                <w:szCs w:val="20"/>
                <w:color w:val="auto"/>
              </w:rPr>
            </w:pPr>
            <w:r>
              <w:rPr>
                <w:rFonts w:ascii="Arial" w:cs="Arial" w:eastAsia="Arial" w:hAnsi="Arial"/>
                <w:sz w:val="14"/>
                <w:szCs w:val="14"/>
                <w:color w:val="auto"/>
              </w:rPr>
              <w:t>Investor Relations 1-888-381-7923 or</w:t>
            </w:r>
          </w:p>
        </w:tc>
        <w:tc>
          <w:tcPr>
            <w:tcW w:w="1340" w:type="dxa"/>
            <w:vAlign w:val="bottom"/>
          </w:tcPr>
          <w:p>
            <w:pPr>
              <w:spacing w:after="0"/>
              <w:rPr>
                <w:sz w:val="24"/>
                <w:szCs w:val="24"/>
                <w:color w:val="auto"/>
              </w:rPr>
            </w:pPr>
          </w:p>
        </w:tc>
      </w:tr>
      <w:tr>
        <w:trPr>
          <w:trHeight w:val="176"/>
        </w:trPr>
        <w:tc>
          <w:tcPr>
            <w:tcW w:w="3880" w:type="dxa"/>
            <w:vAlign w:val="bottom"/>
          </w:tcPr>
          <w:p>
            <w:pPr>
              <w:spacing w:after="0"/>
              <w:rPr>
                <w:sz w:val="15"/>
                <w:szCs w:val="15"/>
                <w:color w:val="auto"/>
              </w:rPr>
            </w:pPr>
          </w:p>
        </w:tc>
        <w:tc>
          <w:tcPr>
            <w:tcW w:w="6200" w:type="dxa"/>
            <w:vAlign w:val="bottom"/>
            <w:gridSpan w:val="2"/>
          </w:tcPr>
          <w:p>
            <w:pPr>
              <w:spacing w:after="0"/>
              <w:rPr>
                <w:sz w:val="20"/>
                <w:szCs w:val="20"/>
                <w:color w:val="auto"/>
              </w:rPr>
            </w:pPr>
            <w:r>
              <w:rPr>
                <w:rFonts w:ascii="Arial" w:cs="Arial" w:eastAsia="Arial" w:hAnsi="Arial"/>
                <w:sz w:val="14"/>
                <w:szCs w:val="14"/>
                <w:color w:val="auto"/>
              </w:rPr>
              <w:t>Ciaran Murray CFO + 353 1 291 2000</w:t>
            </w:r>
          </w:p>
        </w:tc>
        <w:tc>
          <w:tcPr>
            <w:tcW w:w="1340" w:type="dxa"/>
            <w:vAlign w:val="bottom"/>
          </w:tcPr>
          <w:p>
            <w:pPr>
              <w:spacing w:after="0"/>
              <w:rPr>
                <w:sz w:val="15"/>
                <w:szCs w:val="15"/>
                <w:color w:val="auto"/>
              </w:rPr>
            </w:pPr>
          </w:p>
        </w:tc>
      </w:tr>
      <w:tr>
        <w:trPr>
          <w:trHeight w:val="176"/>
        </w:trPr>
        <w:tc>
          <w:tcPr>
            <w:tcW w:w="3880" w:type="dxa"/>
            <w:vAlign w:val="bottom"/>
          </w:tcPr>
          <w:p>
            <w:pPr>
              <w:spacing w:after="0"/>
              <w:rPr>
                <w:sz w:val="15"/>
                <w:szCs w:val="15"/>
                <w:color w:val="auto"/>
              </w:rPr>
            </w:pPr>
          </w:p>
        </w:tc>
        <w:tc>
          <w:tcPr>
            <w:tcW w:w="6200" w:type="dxa"/>
            <w:vAlign w:val="bottom"/>
            <w:gridSpan w:val="2"/>
          </w:tcPr>
          <w:p>
            <w:pPr>
              <w:spacing w:after="0"/>
              <w:rPr>
                <w:sz w:val="20"/>
                <w:szCs w:val="20"/>
                <w:color w:val="auto"/>
              </w:rPr>
            </w:pPr>
            <w:r>
              <w:rPr>
                <w:rFonts w:ascii="Arial" w:cs="Arial" w:eastAsia="Arial" w:hAnsi="Arial"/>
                <w:sz w:val="14"/>
                <w:szCs w:val="14"/>
                <w:color w:val="auto"/>
              </w:rPr>
              <w:t>Brendan Brennan Corp FP&amp;A + 353 1 291 2000</w:t>
            </w:r>
          </w:p>
        </w:tc>
        <w:tc>
          <w:tcPr>
            <w:tcW w:w="1340" w:type="dxa"/>
            <w:vAlign w:val="bottom"/>
          </w:tcPr>
          <w:p>
            <w:pPr>
              <w:spacing w:after="0"/>
              <w:rPr>
                <w:sz w:val="15"/>
                <w:szCs w:val="15"/>
                <w:color w:val="auto"/>
              </w:rPr>
            </w:pPr>
          </w:p>
        </w:tc>
      </w:tr>
      <w:tr>
        <w:trPr>
          <w:trHeight w:val="176"/>
        </w:trPr>
        <w:tc>
          <w:tcPr>
            <w:tcW w:w="3880" w:type="dxa"/>
            <w:vAlign w:val="bottom"/>
          </w:tcPr>
          <w:p>
            <w:pPr>
              <w:spacing w:after="0"/>
              <w:rPr>
                <w:sz w:val="15"/>
                <w:szCs w:val="15"/>
                <w:color w:val="auto"/>
              </w:rPr>
            </w:pPr>
          </w:p>
        </w:tc>
        <w:tc>
          <w:tcPr>
            <w:tcW w:w="6200" w:type="dxa"/>
            <w:vAlign w:val="bottom"/>
            <w:gridSpan w:val="2"/>
          </w:tcPr>
          <w:p>
            <w:pPr>
              <w:spacing w:after="0"/>
              <w:rPr>
                <w:sz w:val="20"/>
                <w:szCs w:val="20"/>
                <w:color w:val="auto"/>
              </w:rPr>
            </w:pPr>
            <w:r>
              <w:rPr>
                <w:rFonts w:ascii="Arial" w:cs="Arial" w:eastAsia="Arial" w:hAnsi="Arial"/>
                <w:sz w:val="14"/>
                <w:szCs w:val="14"/>
                <w:color w:val="auto"/>
              </w:rPr>
              <w:t>all at ICON.</w:t>
            </w:r>
          </w:p>
        </w:tc>
        <w:tc>
          <w:tcPr>
            <w:tcW w:w="1340" w:type="dxa"/>
            <w:vAlign w:val="bottom"/>
          </w:tcPr>
          <w:p>
            <w:pPr>
              <w:spacing w:after="0"/>
              <w:rPr>
                <w:sz w:val="15"/>
                <w:szCs w:val="15"/>
                <w:color w:val="auto"/>
              </w:rPr>
            </w:pPr>
          </w:p>
        </w:tc>
      </w:tr>
      <w:tr>
        <w:trPr>
          <w:trHeight w:val="154"/>
        </w:trPr>
        <w:tc>
          <w:tcPr>
            <w:tcW w:w="3880" w:type="dxa"/>
            <w:vAlign w:val="bottom"/>
          </w:tcPr>
          <w:p>
            <w:pPr>
              <w:spacing w:after="0"/>
              <w:rPr>
                <w:sz w:val="13"/>
                <w:szCs w:val="13"/>
                <w:color w:val="auto"/>
              </w:rPr>
            </w:pPr>
          </w:p>
        </w:tc>
        <w:tc>
          <w:tcPr>
            <w:tcW w:w="6200" w:type="dxa"/>
            <w:vAlign w:val="bottom"/>
            <w:gridSpan w:val="2"/>
          </w:tcPr>
          <w:p>
            <w:pPr>
              <w:spacing w:after="0" w:line="154" w:lineRule="exact"/>
              <w:rPr>
                <w:sz w:val="20"/>
                <w:szCs w:val="20"/>
                <w:color w:val="auto"/>
              </w:rPr>
            </w:pPr>
            <w:r>
              <w:rPr>
                <w:rFonts w:ascii="Arial" w:cs="Arial" w:eastAsia="Arial" w:hAnsi="Arial"/>
                <w:sz w:val="14"/>
                <w:szCs w:val="14"/>
                <w:color w:val="auto"/>
              </w:rPr>
              <w:t>http://www.iconplc.com</w:t>
            </w:r>
          </w:p>
        </w:tc>
        <w:tc>
          <w:tcPr>
            <w:tcW w:w="1340" w:type="dxa"/>
            <w:vAlign w:val="bottom"/>
          </w:tcPr>
          <w:p>
            <w:pPr>
              <w:spacing w:after="0"/>
              <w:rPr>
                <w:sz w:val="13"/>
                <w:szCs w:val="13"/>
                <w:color w:val="auto"/>
              </w:rPr>
            </w:pPr>
          </w:p>
        </w:tc>
      </w:tr>
      <w:tr>
        <w:trPr>
          <w:trHeight w:val="20"/>
        </w:trPr>
        <w:tc>
          <w:tcPr>
            <w:tcW w:w="38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Ciaran Murray, Chief Financial Officer</w:t>
      </w:r>
    </w:p>
    <w:p>
      <w:pPr>
        <w:spacing w:after="0" w:line="1" w:lineRule="exact"/>
        <w:rPr>
          <w:sz w:val="20"/>
          <w:szCs w:val="20"/>
          <w:color w:val="auto"/>
        </w:rPr>
      </w:pPr>
    </w:p>
    <w:p>
      <w:pPr>
        <w:ind w:right="974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Brendan Brennan, Corporate FP&amp;A</w:t>
      </w:r>
    </w:p>
    <w:p>
      <w:pPr>
        <w:ind w:left="180" w:hanging="172"/>
        <w:spacing w:after="0"/>
        <w:tabs>
          <w:tab w:leader="none" w:pos="180"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2019-12-10T17:39:22Z</dcterms:created>
  <dcterms:modified xsi:type="dcterms:W3CDTF">2019-12-10T17:39:22Z</dcterms:modified>
</cp:coreProperties>
</file>