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100"/>
        <w:spacing w:after="0"/>
        <w:rPr>
          <w:sz w:val="20"/>
          <w:szCs w:val="20"/>
          <w:color w:val="auto"/>
        </w:rPr>
      </w:pPr>
      <w:r>
        <w:rPr>
          <w:rFonts w:ascii="Arial" w:cs="Arial" w:eastAsia="Arial" w:hAnsi="Arial"/>
          <w:sz w:val="22"/>
          <w:szCs w:val="22"/>
          <w:color w:val="auto"/>
        </w:rPr>
        <w:t>For the month ended January,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701"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the 39th Annual JP Morgan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5620" w:type="dxa"/>
            <w:vAlign w:val="bottom"/>
            <w:vMerge w:val="restart"/>
          </w:tcPr>
          <w:p>
            <w:pPr>
              <w:spacing w:after="0"/>
              <w:rPr>
                <w:sz w:val="20"/>
                <w:szCs w:val="20"/>
                <w:color w:val="auto"/>
              </w:rPr>
            </w:pPr>
            <w:r>
              <w:rPr>
                <w:rFonts w:ascii="Arial" w:cs="Arial" w:eastAsia="Arial" w:hAnsi="Arial"/>
                <w:sz w:val="18"/>
                <w:szCs w:val="18"/>
                <w:color w:val="auto"/>
              </w:rPr>
              <w:t>Date: January 7,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56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the 39</w:t>
      </w:r>
      <w:r>
        <w:rPr>
          <w:rFonts w:ascii="Arial" w:cs="Arial" w:eastAsia="Arial" w:hAnsi="Arial"/>
          <w:sz w:val="41"/>
          <w:szCs w:val="41"/>
          <w:b w:val="1"/>
          <w:bCs w:val="1"/>
          <w:color w:val="auto"/>
          <w:vertAlign w:val="superscript"/>
        </w:rPr>
        <w:t>th</w:t>
      </w:r>
      <w:r>
        <w:rPr>
          <w:rFonts w:ascii="Arial" w:cs="Arial" w:eastAsia="Arial" w:hAnsi="Arial"/>
          <w:sz w:val="25"/>
          <w:szCs w:val="25"/>
          <w:b w:val="1"/>
          <w:bCs w:val="1"/>
          <w:color w:val="auto"/>
        </w:rPr>
        <w:t xml:space="preserve"> Annual JP Morgan Healthcare Conference</w:t>
      </w:r>
    </w:p>
    <w:p>
      <w:pPr>
        <w:spacing w:after="0" w:line="74" w:lineRule="exact"/>
        <w:rPr>
          <w:sz w:val="20"/>
          <w:szCs w:val="20"/>
          <w:color w:val="auto"/>
        </w:rPr>
      </w:pPr>
    </w:p>
    <w:p>
      <w:pPr>
        <w:jc w:val="both"/>
        <w:ind w:right="220"/>
        <w:spacing w:after="0" w:line="266" w:lineRule="auto"/>
        <w:rPr>
          <w:sz w:val="20"/>
          <w:szCs w:val="20"/>
          <w:color w:val="auto"/>
        </w:rPr>
      </w:pPr>
      <w:r>
        <w:rPr>
          <w:rFonts w:ascii="Arial" w:cs="Arial" w:eastAsia="Arial" w:hAnsi="Arial"/>
          <w:sz w:val="20"/>
          <w:szCs w:val="20"/>
          <w:color w:val="auto"/>
        </w:rPr>
        <w:t>DUBLIN, Ireland--(BUSINESS WIRE)--January 7, 2021--ICON plc, (NASDAQ: ICLR) a global provider of outsourced drug and device development and commercialisation services to pharmaceutical, biotechnology, medical device and government and public health organisations, today announced that Dr. Steve Cutler, CEO of ICON plc, &amp; Mr. Brendan Brennan, CFO of ICON plc, will present at the 39</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Annual JP Morgan Healthcare Conference on Tuesday, January 12, 2021 at 07.30am ET.</w:t>
      </w:r>
    </w:p>
    <w:p>
      <w:pPr>
        <w:spacing w:after="0" w:line="3"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15,250 employees in 94 locations in 40 countries as at September 30, 2020. Further information is available at www.iconplc.com.</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and the related presentations in connection with this press release contain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Contact: Investor Relations +1888 381 7923 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 Vice President Corporate Finance and Investor Relations +353 1 291 2000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2021-01-07T15:34:19Z</dcterms:created>
  <dcterms:modified xsi:type="dcterms:W3CDTF">2021-01-07T15:34:19Z</dcterms:modified>
</cp:coreProperties>
</file>