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 - 16 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period ended September 7, 2005</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ICON plc</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name)</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0-29714</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4"/>
          <w:szCs w:val="24"/>
          <w:color w:val="auto"/>
        </w:rPr>
      </w:pPr>
    </w:p>
    <w:p>
      <w:pPr>
        <w:ind w:left="2400"/>
        <w:spacing w:after="0"/>
        <w:tabs>
          <w:tab w:leader="none" w:pos="2800" w:val="left"/>
          <w:tab w:leader="none" w:pos="4840" w:val="left"/>
        </w:tabs>
        <w:rPr>
          <w:sz w:val="20"/>
          <w:szCs w:val="20"/>
          <w:color w:val="auto"/>
        </w:rPr>
      </w:pPr>
      <w:r>
        <w:rPr>
          <w:rFonts w:ascii="Arial" w:cs="Arial" w:eastAsia="Arial" w:hAnsi="Arial"/>
          <w:sz w:val="18"/>
          <w:szCs w:val="18"/>
          <w:color w:val="auto"/>
        </w:rPr>
        <w:t>Yes</w:t>
        <w:tab/>
        <w:t>X</w:t>
      </w:r>
      <w:r>
        <w:rPr>
          <w:sz w:val="20"/>
          <w:szCs w:val="20"/>
          <w:color w:val="auto"/>
        </w:rPr>
        <w:tab/>
      </w: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-13970</wp:posOffset>
            </wp:positionV>
            <wp:extent cx="1917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-13970</wp:posOffset>
            </wp:positionV>
            <wp:extent cx="1670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7005" cy="8890"/>
                    </a:xfrm>
                    <a:prstGeom prst="rect">
                      <a:avLst/>
                    </a:prstGeom>
                    <a:noFill/>
                  </pic:spPr>
                </pic:pic>
              </a:graphicData>
            </a:graphic>
          </wp:anchor>
        </w:drawing>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25" w:lineRule="exact"/>
        <w:rPr>
          <w:sz w:val="24"/>
          <w:szCs w:val="24"/>
          <w:color w:val="auto"/>
        </w:rPr>
      </w:pPr>
    </w:p>
    <w:p>
      <w:pPr>
        <w:ind w:left="2400"/>
        <w:spacing w:after="0"/>
        <w:tabs>
          <w:tab w:leader="none" w:pos="4860" w:val="left"/>
          <w:tab w:leader="none" w:pos="52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tab/>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1763395</wp:posOffset>
            </wp:positionH>
            <wp:positionV relativeFrom="paragraph">
              <wp:posOffset>-13970</wp:posOffset>
            </wp:positionV>
            <wp:extent cx="1670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-13970</wp:posOffset>
            </wp:positionV>
            <wp:extent cx="191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25" w:lineRule="exact"/>
        <w:rPr>
          <w:sz w:val="24"/>
          <w:szCs w:val="24"/>
          <w:color w:val="auto"/>
        </w:rPr>
      </w:pPr>
    </w:p>
    <w:p>
      <w:pPr>
        <w:ind w:left="2400"/>
        <w:spacing w:after="0"/>
        <w:tabs>
          <w:tab w:leader="none" w:pos="4860" w:val="left"/>
          <w:tab w:leader="none" w:pos="52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tab/>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1763395</wp:posOffset>
            </wp:positionH>
            <wp:positionV relativeFrom="paragraph">
              <wp:posOffset>-13970</wp:posOffset>
            </wp:positionV>
            <wp:extent cx="167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-13970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9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6" w:lineRule="exact"/>
        <w:rPr>
          <w:sz w:val="24"/>
          <w:szCs w:val="24"/>
          <w:color w:val="auto"/>
        </w:rPr>
      </w:pPr>
    </w:p>
    <w:p>
      <w:pPr>
        <w:ind w:left="2400"/>
        <w:spacing w:after="0"/>
        <w:tabs>
          <w:tab w:leader="none" w:pos="4860" w:val="left"/>
          <w:tab w:leader="none" w:pos="52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tab/>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1763395</wp:posOffset>
            </wp:positionH>
            <wp:positionV relativeFrom="paragraph">
              <wp:posOffset>-13970</wp:posOffset>
            </wp:positionV>
            <wp:extent cx="1670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-13970</wp:posOffset>
            </wp:positionV>
            <wp:extent cx="1917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9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784860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Other Events</w:t>
      </w:r>
      <w:r>
        <w:rPr>
          <w:rFonts w:ascii="Arial" w:cs="Arial" w:eastAsia="Arial" w:hAnsi="Arial"/>
          <w:sz w:val="18"/>
          <w:szCs w:val="18"/>
          <w:b w:val="1"/>
          <w:bCs w:val="1"/>
          <w:color w:val="auto"/>
        </w:rPr>
        <w:t>.</w:t>
      </w:r>
    </w:p>
    <w:p>
      <w:pPr>
        <w:spacing w:after="0" w:line="339"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registrant hereby incorporates by reference the press release attached hereto as Exhibit 99.1 into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Financial Statements and Exhibits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7" w:lineRule="exact"/>
        <w:rPr>
          <w:sz w:val="20"/>
          <w:szCs w:val="20"/>
          <w:color w:val="auto"/>
        </w:rPr>
      </w:pPr>
    </w:p>
    <w:p>
      <w:pPr>
        <w:ind w:left="1340" w:hanging="751"/>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following Exhibits are filed as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60" w:type="dxa"/>
            <w:vAlign w:val="bottom"/>
          </w:tcPr>
          <w:p>
            <w:pPr>
              <w:jc w:val="right"/>
              <w:ind w:right="1152"/>
              <w:spacing w:after="0"/>
              <w:rPr>
                <w:sz w:val="20"/>
                <w:szCs w:val="20"/>
                <w:color w:val="auto"/>
              </w:rPr>
            </w:pPr>
            <w:r>
              <w:rPr>
                <w:rFonts w:ascii="Arial" w:cs="Arial" w:eastAsia="Arial" w:hAnsi="Arial"/>
                <w:sz w:val="18"/>
                <w:szCs w:val="18"/>
                <w:color w:val="auto"/>
              </w:rPr>
              <w:t>EXHIBIT NO.</w:t>
            </w:r>
          </w:p>
        </w:tc>
        <w:tc>
          <w:tcPr>
            <w:tcW w:w="7580" w:type="dxa"/>
            <w:vAlign w:val="bottom"/>
          </w:tcPr>
          <w:p>
            <w:pPr>
              <w:jc w:val="center"/>
              <w:ind w:right="3872"/>
              <w:spacing w:after="0"/>
              <w:rPr>
                <w:sz w:val="20"/>
                <w:szCs w:val="20"/>
                <w:color w:val="auto"/>
              </w:rPr>
            </w:pPr>
            <w:r>
              <w:rPr>
                <w:rFonts w:ascii="Arial" w:cs="Arial" w:eastAsia="Arial" w:hAnsi="Arial"/>
                <w:sz w:val="18"/>
                <w:szCs w:val="18"/>
                <w:color w:val="auto"/>
                <w:w w:val="92"/>
              </w:rPr>
              <w:t>DESCRIPTION</w:t>
            </w:r>
          </w:p>
        </w:tc>
      </w:tr>
      <w:tr>
        <w:trPr>
          <w:trHeight w:val="365"/>
        </w:trPr>
        <w:tc>
          <w:tcPr>
            <w:tcW w:w="3860" w:type="dxa"/>
            <w:vAlign w:val="bottom"/>
          </w:tcPr>
          <w:p>
            <w:pPr>
              <w:jc w:val="right"/>
              <w:ind w:right="1312"/>
              <w:spacing w:after="0"/>
              <w:rPr>
                <w:sz w:val="20"/>
                <w:szCs w:val="20"/>
                <w:color w:val="auto"/>
              </w:rPr>
            </w:pPr>
            <w:r>
              <w:rPr>
                <w:rFonts w:ascii="Arial" w:cs="Arial" w:eastAsia="Arial" w:hAnsi="Arial"/>
                <w:sz w:val="18"/>
                <w:szCs w:val="18"/>
                <w:color w:val="auto"/>
              </w:rPr>
              <w:t>99.1</w:t>
            </w:r>
          </w:p>
        </w:tc>
        <w:tc>
          <w:tcPr>
            <w:tcW w:w="7580" w:type="dxa"/>
            <w:vAlign w:val="bottom"/>
          </w:tcPr>
          <w:p>
            <w:pPr>
              <w:jc w:val="center"/>
              <w:ind w:right="3892"/>
              <w:spacing w:after="0"/>
              <w:rPr>
                <w:sz w:val="20"/>
                <w:szCs w:val="20"/>
                <w:color w:val="auto"/>
              </w:rPr>
            </w:pPr>
            <w:r>
              <w:rPr>
                <w:rFonts w:ascii="Arial" w:cs="Arial" w:eastAsia="Arial" w:hAnsi="Arial"/>
                <w:sz w:val="18"/>
                <w:szCs w:val="18"/>
                <w:color w:val="auto"/>
                <w:w w:val="81"/>
              </w:rPr>
              <w:t>Press Release</w:t>
            </w:r>
          </w:p>
        </w:tc>
      </w:tr>
      <w:tr>
        <w:trPr>
          <w:trHeight w:val="2389"/>
        </w:trPr>
        <w:tc>
          <w:tcPr>
            <w:tcW w:w="3860" w:type="dxa"/>
            <w:vAlign w:val="bottom"/>
            <w:tcBorders>
              <w:bottom w:val="single" w:sz="8" w:color="808080"/>
            </w:tcBorders>
          </w:tcPr>
          <w:p>
            <w:pPr>
              <w:spacing w:after="0"/>
              <w:rPr>
                <w:sz w:val="24"/>
                <w:szCs w:val="24"/>
                <w:color w:val="auto"/>
              </w:rPr>
            </w:pPr>
          </w:p>
        </w:tc>
        <w:tc>
          <w:tcPr>
            <w:tcW w:w="7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1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500" w:type="dxa"/>
            <w:vAlign w:val="bottom"/>
            <w:gridSpan w:val="2"/>
          </w:tcPr>
          <w:p>
            <w:pPr>
              <w:ind w:left="1740"/>
              <w:spacing w:after="0"/>
              <w:rPr>
                <w:sz w:val="20"/>
                <w:szCs w:val="20"/>
                <w:color w:val="auto"/>
              </w:rPr>
            </w:pPr>
            <w:r>
              <w:rPr>
                <w:rFonts w:ascii="Arial" w:cs="Arial" w:eastAsia="Arial" w:hAnsi="Arial"/>
                <w:sz w:val="18"/>
                <w:szCs w:val="18"/>
                <w:b w:val="1"/>
                <w:bCs w:val="1"/>
                <w:color w:val="auto"/>
              </w:rPr>
              <w:t>ICON plc</w:t>
            </w:r>
          </w:p>
        </w:tc>
      </w:tr>
      <w:tr>
        <w:trPr>
          <w:trHeight w:val="826"/>
        </w:trPr>
        <w:tc>
          <w:tcPr>
            <w:tcW w:w="3040" w:type="dxa"/>
            <w:vAlign w:val="bottom"/>
            <w:gridSpan w:val="2"/>
          </w:tcPr>
          <w:p>
            <w:pPr>
              <w:spacing w:after="0"/>
              <w:rPr>
                <w:sz w:val="20"/>
                <w:szCs w:val="20"/>
                <w:color w:val="auto"/>
              </w:rPr>
            </w:pPr>
            <w:r>
              <w:rPr>
                <w:rFonts w:ascii="Arial" w:cs="Arial" w:eastAsia="Arial" w:hAnsi="Arial"/>
                <w:sz w:val="18"/>
                <w:szCs w:val="18"/>
                <w:color w:val="auto"/>
              </w:rPr>
              <w:t>September 7, 2005</w:t>
            </w:r>
          </w:p>
        </w:tc>
        <w:tc>
          <w:tcPr>
            <w:tcW w:w="178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/s/ Sean Leech</w:t>
            </w:r>
          </w:p>
        </w:tc>
      </w:tr>
      <w:tr>
        <w:trPr>
          <w:trHeight w:val="228"/>
        </w:trPr>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17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Sean Leech</w:t>
            </w:r>
          </w:p>
        </w:tc>
      </w:tr>
      <w:tr>
        <w:trPr>
          <w:trHeight w:val="222"/>
        </w:trPr>
        <w:tc>
          <w:tcPr>
            <w:tcW w:w="1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Arial" w:cs="Arial" w:eastAsia="Arial" w:hAnsi="Arial"/>
                <w:sz w:val="18"/>
                <w:szCs w:val="18"/>
                <w:color w:val="auto"/>
                <w:w w:val="95"/>
              </w:rPr>
              <w:t>Chief Financial Officer</w:t>
            </w:r>
          </w:p>
        </w:tc>
      </w:tr>
    </w:tbl>
    <w:p>
      <w:pPr>
        <w:sectPr>
          <w:pgSz w:w="11900" w:h="16838" w:orient="portrait"/>
          <w:cols w:equalWidth="0" w:num="1">
            <w:col w:w="11420"/>
          </w:cols>
          <w:pgMar w:left="240" w:top="55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333333"/>
        </w:rPr>
        <w:t>Exhibit 99.1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ICON Announces New Appointments</w:t>
      </w:r>
    </w:p>
    <w:p>
      <w:pPr>
        <w:spacing w:after="0" w:line="198"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b w:val="1"/>
          <w:bCs w:val="1"/>
          <w:color w:val="333333"/>
        </w:rPr>
        <w:t xml:space="preserve">Dublin, Ireland, Monday, August 30, 2005 – ICON plc (NASDAQ: ICLR) </w:t>
      </w:r>
      <w:r>
        <w:rPr>
          <w:rFonts w:ascii="Arial" w:cs="Arial" w:eastAsia="Arial" w:hAnsi="Arial"/>
          <w:sz w:val="18"/>
          <w:szCs w:val="18"/>
          <w:color w:val="333333"/>
        </w:rPr>
        <w:t>today announced the appointment of Mr. Sean Leech, currently Chief</w:t>
      </w:r>
      <w:r>
        <w:rPr>
          <w:rFonts w:ascii="Arial" w:cs="Arial" w:eastAsia="Arial" w:hAnsi="Arial"/>
          <w:sz w:val="18"/>
          <w:szCs w:val="18"/>
          <w:b w:val="1"/>
          <w:bCs w:val="1"/>
          <w:color w:val="333333"/>
        </w:rPr>
        <w:t xml:space="preserve"> </w:t>
      </w:r>
      <w:r>
        <w:rPr>
          <w:rFonts w:ascii="Arial" w:cs="Arial" w:eastAsia="Arial" w:hAnsi="Arial"/>
          <w:sz w:val="18"/>
          <w:szCs w:val="18"/>
          <w:color w:val="333333"/>
        </w:rPr>
        <w:t>Financial Officer, to the position of Executive Vice President – Commercial and Organisational Development. This new role will focus on identifying and supporting initiatives to enhance margins, to develop new business lines and to integrate acquisitions. The role will also oversee ICON’s investor relations’ programme.</w:t>
      </w:r>
    </w:p>
    <w:p>
      <w:pPr>
        <w:spacing w:after="0" w:line="193"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333333"/>
        </w:rPr>
        <w:t>“Sean has been an outstanding CFO for ICON” commented ICON’s Chief Executive, Peter Gray. “I am delighted to be able to appoint someone with his skills and experience to this role, which will be key to supporting ICON’s continued growth and development”.</w:t>
      </w:r>
    </w:p>
    <w:p>
      <w:pPr>
        <w:spacing w:after="0" w:line="195"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333333"/>
        </w:rPr>
        <w:t>Mr. Ciaran Murray, who will join ICON on October 3, 2005, will succeed Mr. Leech as CFO. Mr. Murray was previously CFO of Codec Systems Limited, an IT company headquartered in Ireland. He has also held Senior Financial positions with Novell Inc. and Kraft Foods and has worked in Ireland, Italy the UK and the US during his career. He qualified as a Chartered Accountant with Price Waterhouse Coopers in 1988.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333333"/>
        </w:rPr>
        <w:t>Source: ICON plc</w:t>
      </w:r>
    </w:p>
    <w:p>
      <w:pPr>
        <w:spacing w:after="0" w:line="234" w:lineRule="auto"/>
        <w:rPr>
          <w:sz w:val="20"/>
          <w:szCs w:val="20"/>
          <w:color w:val="auto"/>
        </w:rPr>
      </w:pPr>
      <w:r>
        <w:rPr>
          <w:rFonts w:ascii="Arial" w:cs="Arial" w:eastAsia="Arial" w:hAnsi="Arial"/>
          <w:sz w:val="18"/>
          <w:szCs w:val="18"/>
          <w:color w:val="333333"/>
        </w:rPr>
        <w:t>Contact: Investor Relations +1-888-381-7923 or</w:t>
      </w:r>
    </w:p>
    <w:p>
      <w:pPr>
        <w:spacing w:after="0" w:line="235" w:lineRule="auto"/>
        <w:rPr>
          <w:sz w:val="20"/>
          <w:szCs w:val="20"/>
          <w:color w:val="auto"/>
        </w:rPr>
      </w:pPr>
      <w:r>
        <w:rPr>
          <w:rFonts w:ascii="Arial" w:cs="Arial" w:eastAsia="Arial" w:hAnsi="Arial"/>
          <w:sz w:val="18"/>
          <w:szCs w:val="18"/>
          <w:color w:val="333333"/>
        </w:rPr>
        <w:t>Sean Leech CFO +353-1-291-2000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333333"/>
        </w:rPr>
        <w:t>both at ICON.</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2019-12-14T20:58:41Z</dcterms:created>
  <dcterms:modified xsi:type="dcterms:W3CDTF">2019-12-14T20:58:41Z</dcterms:modified>
</cp:coreProperties>
</file>