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announcement issued July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July 24,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 Reports second quarter 2012 revenue up 19% to $277 million and non-GAAP EPS of 21c (NASDAQ:ICLR)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(ISIN:IE0005711209)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Second Quarter Fiscal 2012</w:t>
      </w:r>
    </w:p>
    <w:p>
      <w:pPr>
        <w:spacing w:after="0" w:line="206"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$277 million, a 19% increase year on year.</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Income from operations, excluding restructuring and other non-recurring items, was $16.6 million or 6% of revenue.</w:t>
      </w:r>
    </w:p>
    <w:p>
      <w:pPr>
        <w:spacing w:after="0" w:line="240" w:lineRule="exact"/>
        <w:rPr>
          <w:rFonts w:ascii="Arial" w:cs="Arial" w:eastAsia="Arial" w:hAnsi="Arial"/>
          <w:sz w:val="19"/>
          <w:szCs w:val="19"/>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EPS, excluding restructuring and other non-recurring items, was 21 cents.</w:t>
      </w:r>
    </w:p>
    <w:p>
      <w:pPr>
        <w:spacing w:after="0" w:line="206" w:lineRule="exact"/>
        <w:rPr>
          <w:rFonts w:ascii="Arial" w:cs="Arial" w:eastAsia="Arial" w:hAnsi="Arial"/>
          <w:sz w:val="22"/>
          <w:szCs w:val="22"/>
          <w:b w:val="1"/>
          <w:bCs w:val="1"/>
          <w:color w:val="auto"/>
        </w:rPr>
      </w:pPr>
    </w:p>
    <w:p>
      <w:pPr>
        <w:ind w:right="66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Gross business wins were $477 million, representing a gross book to bill of 1.7, Net business wins were $373 million, representing a net book to bill of 1.35.</w:t>
      </w:r>
    </w:p>
    <w:p>
      <w:pPr>
        <w:spacing w:after="0" w:line="163"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color w:val="auto"/>
        </w:rPr>
        <w:t>DUBLIN--(BUSINESS WIRE)--July 24, 2012--</w:t>
      </w:r>
      <w:r>
        <w:rPr>
          <w:rFonts w:ascii="Arial" w:cs="Arial" w:eastAsia="Arial" w:hAnsi="Arial"/>
          <w:sz w:val="22"/>
          <w:szCs w:val="22"/>
          <w:b w:val="1"/>
          <w:bCs w:val="1"/>
          <w:color w:val="auto"/>
        </w:rPr>
        <w:t>ICON (NASDAQ: ICLR) (ISIN:IE0005711209)</w:t>
      </w:r>
      <w:r>
        <w:rPr>
          <w:rFonts w:ascii="Arial" w:cs="Arial" w:eastAsia="Arial" w:hAnsi="Arial"/>
          <w:sz w:val="22"/>
          <w:szCs w:val="22"/>
          <w:color w:val="auto"/>
        </w:rPr>
        <w:t>, a global provider of outsourced development services to the pharmaceutical, biotechnology and medical device industries, today reported its financial results for the second quarter ended June 30, 2012.</w:t>
      </w:r>
    </w:p>
    <w:p>
      <w:pPr>
        <w:spacing w:after="0" w:line="18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Net revenue for the quarter was $277 million, an increase of 19% on the prior year. Year to date revenue increased 15% to $529 million from $462 million in 2011.</w:t>
      </w:r>
    </w:p>
    <w:p>
      <w:pPr>
        <w:spacing w:after="0" w:line="173"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Income from operations, excluding restructuring and other non-recurring items, was $16.6 million or 6.0% of revenue, compared to $15.5 million or 6.7% for the same quarter last year. Net income, excluding restructuring and other non-recurring items, was $12.9 million or 21 cents per share on a diluted basis, compared with $13.1 million or 21 cents per share last year.</w:t>
      </w:r>
    </w:p>
    <w:p>
      <w:pPr>
        <w:spacing w:after="0" w:line="13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Year to date income from operations, excluding restructuring and other non-recurring items was $28.4 million or 5.4% of revenue, compared with $31.5m or 6.8% of revenue in the previous year. Year to date net income, excluding restructuring and other non-recurring items, was $21.9 million or 36 cents per share on a diluted basis, compared with $25.9 million or 42 cents per diluted share last year.</w:t>
      </w:r>
    </w:p>
    <w:p>
      <w:pPr>
        <w:spacing w:after="0" w:line="185" w:lineRule="exact"/>
        <w:rPr>
          <w:sz w:val="20"/>
          <w:szCs w:val="20"/>
          <w:color w:val="auto"/>
        </w:rPr>
      </w:pPr>
    </w:p>
    <w:p>
      <w:pPr>
        <w:jc w:val="both"/>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36 days at June 30, 2012, compared with 37 days at the end of March 2012.</w:t>
      </w:r>
    </w:p>
    <w:p>
      <w:pPr>
        <w:spacing w:after="0" w:line="173"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For the quarter ended June 30, 2011, cash generated from operating activities was $11.5 million and capital expenditure was $9.3 million. The company’s net cash amounted to $168 million at June 30, 2012, compared to net cash of $186 million at March 31, 2012.</w:t>
      </w:r>
    </w:p>
    <w:p>
      <w:pPr>
        <w:spacing w:after="0" w:line="18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Commenting on the results, Chief Executive Officer, Ciaran Murray, said “I am pleased with our progress in Q2. We continue to book significant levels of new business and improve our profitability.”</w:t>
      </w:r>
    </w:p>
    <w:p>
      <w:pPr>
        <w:spacing w:after="0" w:line="17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During the quarter the company recorded a charge of $5.6 million in relation to restructuring costs and other non-recurring items. US GAAP income from operations after these items amounted to $11 million or 4.0% of revenue. US GAAP net income for the quarter was $8 million or 13 cents per share.</w:t>
      </w:r>
    </w:p>
    <w:p>
      <w:pPr>
        <w:spacing w:after="0" w:line="186"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21"/>
          <w:szCs w:val="21"/>
          <w:color w:val="auto"/>
        </w:rPr>
        <w:t xml:space="preserve">The company will hold its second quarter conference call today, July 24, 2012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8,930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20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(Before restructuring and other non-recurring items)</w:t>
      </w:r>
    </w:p>
    <w:p>
      <w:pPr>
        <w:spacing w:after="0" w:line="174"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Three Months ended June 30, 2012 and June 30, 2011</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20" w:type="dxa"/>
            <w:vAlign w:val="bottom"/>
          </w:tcPr>
          <w:p>
            <w:pPr>
              <w:spacing w:after="0"/>
              <w:rPr>
                <w:sz w:val="15"/>
                <w:szCs w:val="15"/>
                <w:color w:val="auto"/>
              </w:rPr>
            </w:pPr>
          </w:p>
        </w:tc>
        <w:tc>
          <w:tcPr>
            <w:tcW w:w="2840" w:type="dxa"/>
            <w:vAlign w:val="bottom"/>
            <w:gridSpan w:val="3"/>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15"/>
                <w:szCs w:val="15"/>
                <w:color w:val="auto"/>
              </w:rPr>
            </w:pPr>
          </w:p>
        </w:tc>
        <w:tc>
          <w:tcPr>
            <w:tcW w:w="2840" w:type="dxa"/>
            <w:vAlign w:val="bottom"/>
            <w:gridSpan w:val="3"/>
          </w:tcPr>
          <w:p>
            <w:pPr>
              <w:ind w:left="1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7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Gross Revenue</w:t>
            </w:r>
          </w:p>
        </w:tc>
        <w:tc>
          <w:tcPr>
            <w:tcW w:w="1820" w:type="dxa"/>
            <w:vAlign w:val="bottom"/>
          </w:tcPr>
          <w:p>
            <w:pPr>
              <w:jc w:val="right"/>
              <w:spacing w:after="0"/>
              <w:rPr>
                <w:sz w:val="20"/>
                <w:szCs w:val="20"/>
                <w:color w:val="auto"/>
              </w:rPr>
            </w:pPr>
            <w:r>
              <w:rPr>
                <w:rFonts w:ascii="Arial" w:cs="Arial" w:eastAsia="Arial" w:hAnsi="Arial"/>
                <w:sz w:val="14"/>
                <w:szCs w:val="14"/>
                <w:color w:val="auto"/>
              </w:rPr>
              <w:t>379,620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317,696</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Reimbursable expenses</w:t>
            </w:r>
          </w:p>
        </w:tc>
        <w:tc>
          <w:tcPr>
            <w:tcW w:w="1820" w:type="dxa"/>
            <w:vAlign w:val="bottom"/>
          </w:tcPr>
          <w:p>
            <w:pPr>
              <w:jc w:val="right"/>
              <w:spacing w:after="0"/>
              <w:rPr>
                <w:sz w:val="20"/>
                <w:szCs w:val="20"/>
                <w:color w:val="auto"/>
              </w:rPr>
            </w:pPr>
            <w:r>
              <w:rPr>
                <w:rFonts w:ascii="Arial" w:cs="Arial" w:eastAsia="Arial" w:hAnsi="Arial"/>
                <w:sz w:val="14"/>
                <w:szCs w:val="14"/>
                <w:color w:val="auto"/>
              </w:rPr>
              <w:t>102,613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84,651</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277,007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233,045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4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Direct costs</w:t>
            </w:r>
          </w:p>
        </w:tc>
        <w:tc>
          <w:tcPr>
            <w:tcW w:w="1820" w:type="dxa"/>
            <w:vAlign w:val="bottom"/>
          </w:tcPr>
          <w:p>
            <w:pPr>
              <w:jc w:val="right"/>
              <w:spacing w:after="0"/>
              <w:rPr>
                <w:sz w:val="20"/>
                <w:szCs w:val="20"/>
                <w:color w:val="auto"/>
              </w:rPr>
            </w:pPr>
            <w:r>
              <w:rPr>
                <w:rFonts w:ascii="Arial" w:cs="Arial" w:eastAsia="Arial" w:hAnsi="Arial"/>
                <w:sz w:val="14"/>
                <w:szCs w:val="14"/>
                <w:color w:val="auto"/>
              </w:rPr>
              <w:t>180,127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150,866</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20" w:type="dxa"/>
            <w:vAlign w:val="bottom"/>
          </w:tcPr>
          <w:p>
            <w:pPr>
              <w:jc w:val="right"/>
              <w:spacing w:after="0"/>
              <w:rPr>
                <w:sz w:val="20"/>
                <w:szCs w:val="20"/>
                <w:color w:val="auto"/>
              </w:rPr>
            </w:pPr>
            <w:r>
              <w:rPr>
                <w:rFonts w:ascii="Arial" w:cs="Arial" w:eastAsia="Arial" w:hAnsi="Arial"/>
                <w:sz w:val="14"/>
                <w:szCs w:val="14"/>
                <w:color w:val="auto"/>
              </w:rPr>
              <w:t>69,410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57,344</w:t>
            </w:r>
          </w:p>
        </w:tc>
        <w:tc>
          <w:tcPr>
            <w:tcW w:w="0" w:type="dxa"/>
            <w:vAlign w:val="bottom"/>
          </w:tcPr>
          <w:p>
            <w:pPr>
              <w:spacing w:after="0"/>
              <w:rPr>
                <w:sz w:val="1"/>
                <w:szCs w:val="1"/>
                <w:color w:val="auto"/>
              </w:rPr>
            </w:pPr>
          </w:p>
        </w:tc>
      </w:tr>
      <w:tr>
        <w:trPr>
          <w:trHeight w:val="182"/>
        </w:trPr>
        <w:tc>
          <w:tcPr>
            <w:tcW w:w="74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20" w:type="dxa"/>
            <w:vAlign w:val="bottom"/>
          </w:tcPr>
          <w:p>
            <w:pPr>
              <w:jc w:val="right"/>
              <w:spacing w:after="0"/>
              <w:rPr>
                <w:sz w:val="20"/>
                <w:szCs w:val="20"/>
                <w:color w:val="auto"/>
              </w:rPr>
            </w:pPr>
            <w:r>
              <w:rPr>
                <w:rFonts w:ascii="Arial" w:cs="Arial" w:eastAsia="Arial" w:hAnsi="Arial"/>
                <w:sz w:val="14"/>
                <w:szCs w:val="14"/>
                <w:color w:val="auto"/>
              </w:rPr>
              <w:t>10,830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9,329</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260,367</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217,539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4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820" w:type="dxa"/>
            <w:vAlign w:val="bottom"/>
          </w:tcPr>
          <w:p>
            <w:pPr>
              <w:jc w:val="right"/>
              <w:spacing w:after="0"/>
              <w:rPr>
                <w:sz w:val="20"/>
                <w:szCs w:val="20"/>
                <w:color w:val="auto"/>
              </w:rPr>
            </w:pPr>
            <w:r>
              <w:rPr>
                <w:rFonts w:ascii="Arial" w:cs="Arial" w:eastAsia="Arial" w:hAnsi="Arial"/>
                <w:sz w:val="14"/>
                <w:szCs w:val="14"/>
                <w:color w:val="auto"/>
              </w:rPr>
              <w:t>16,640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15,506</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Net interest (expense)/income</w:t>
            </w:r>
          </w:p>
        </w:tc>
        <w:tc>
          <w:tcPr>
            <w:tcW w:w="1820" w:type="dxa"/>
            <w:vAlign w:val="bottom"/>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16,409</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4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820" w:type="dxa"/>
            <w:vAlign w:val="bottom"/>
          </w:tcPr>
          <w:p>
            <w:pPr>
              <w:jc w:val="right"/>
              <w:spacing w:after="0"/>
              <w:rPr>
                <w:sz w:val="20"/>
                <w:szCs w:val="20"/>
                <w:color w:val="auto"/>
              </w:rPr>
            </w:pPr>
            <w:r>
              <w:rPr>
                <w:rFonts w:ascii="Arial" w:cs="Arial" w:eastAsia="Arial" w:hAnsi="Arial"/>
                <w:sz w:val="14"/>
                <w:szCs w:val="14"/>
                <w:color w:val="auto"/>
              </w:rPr>
              <w:t>3,514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69"/>
        </w:trPr>
        <w:tc>
          <w:tcPr>
            <w:tcW w:w="74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12,895</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13,082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4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42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339"/>
        </w:trPr>
        <w:tc>
          <w:tcPr>
            <w:tcW w:w="74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2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Pr>
          <w:p>
            <w:pPr>
              <w:jc w:val="right"/>
              <w:spacing w:after="0"/>
              <w:rPr>
                <w:sz w:val="20"/>
                <w:szCs w:val="20"/>
                <w:color w:val="auto"/>
              </w:rPr>
            </w:pPr>
            <w:r>
              <w:rPr>
                <w:rFonts w:ascii="Arial" w:cs="Arial" w:eastAsia="Arial" w:hAnsi="Arial"/>
                <w:sz w:val="14"/>
                <w:szCs w:val="14"/>
                <w:color w:val="auto"/>
              </w:rPr>
              <w:t>59,978,509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60,390,788</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60,630,891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61,114,996</w:t>
            </w:r>
          </w:p>
        </w:tc>
        <w:tc>
          <w:tcPr>
            <w:tcW w:w="0" w:type="dxa"/>
            <w:vAlign w:val="bottom"/>
          </w:tcPr>
          <w:p>
            <w:pPr>
              <w:spacing w:after="0"/>
              <w:rPr>
                <w:sz w:val="1"/>
                <w:szCs w:val="1"/>
                <w:color w:val="auto"/>
              </w:rPr>
            </w:pPr>
          </w:p>
        </w:tc>
      </w:tr>
      <w:tr>
        <w:trPr>
          <w:trHeight w:val="134"/>
        </w:trPr>
        <w:tc>
          <w:tcPr>
            <w:tcW w:w="742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42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center"/>
        <w:ind w:right="20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Consolidated Income Statements (Unaudited) (US GAAP)</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Three Months ended June 30, 2012 and June 30, 2011</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20" w:type="dxa"/>
            <w:vAlign w:val="bottom"/>
          </w:tcPr>
          <w:p>
            <w:pPr>
              <w:spacing w:after="0"/>
              <w:rPr>
                <w:sz w:val="15"/>
                <w:szCs w:val="15"/>
                <w:color w:val="auto"/>
              </w:rPr>
            </w:pPr>
          </w:p>
        </w:tc>
        <w:tc>
          <w:tcPr>
            <w:tcW w:w="2840" w:type="dxa"/>
            <w:vAlign w:val="bottom"/>
            <w:gridSpan w:val="3"/>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15"/>
                <w:szCs w:val="15"/>
                <w:color w:val="auto"/>
              </w:rPr>
            </w:pPr>
          </w:p>
        </w:tc>
        <w:tc>
          <w:tcPr>
            <w:tcW w:w="2840" w:type="dxa"/>
            <w:vAlign w:val="bottom"/>
            <w:gridSpan w:val="3"/>
          </w:tcPr>
          <w:p>
            <w:pPr>
              <w:ind w:left="1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7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Gross Revenue</w:t>
            </w:r>
          </w:p>
        </w:tc>
        <w:tc>
          <w:tcPr>
            <w:tcW w:w="1820" w:type="dxa"/>
            <w:vAlign w:val="bottom"/>
          </w:tcPr>
          <w:p>
            <w:pPr>
              <w:jc w:val="right"/>
              <w:spacing w:after="0"/>
              <w:rPr>
                <w:sz w:val="20"/>
                <w:szCs w:val="20"/>
                <w:color w:val="auto"/>
              </w:rPr>
            </w:pPr>
            <w:r>
              <w:rPr>
                <w:rFonts w:ascii="Arial" w:cs="Arial" w:eastAsia="Arial" w:hAnsi="Arial"/>
                <w:sz w:val="14"/>
                <w:szCs w:val="14"/>
                <w:color w:val="auto"/>
              </w:rPr>
              <w:t>379,620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317,696</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Reimbursable expenses</w:t>
            </w:r>
          </w:p>
        </w:tc>
        <w:tc>
          <w:tcPr>
            <w:tcW w:w="1820" w:type="dxa"/>
            <w:vAlign w:val="bottom"/>
          </w:tcPr>
          <w:p>
            <w:pPr>
              <w:jc w:val="right"/>
              <w:spacing w:after="0"/>
              <w:rPr>
                <w:sz w:val="20"/>
                <w:szCs w:val="20"/>
                <w:color w:val="auto"/>
              </w:rPr>
            </w:pPr>
            <w:r>
              <w:rPr>
                <w:rFonts w:ascii="Arial" w:cs="Arial" w:eastAsia="Arial" w:hAnsi="Arial"/>
                <w:sz w:val="14"/>
                <w:szCs w:val="14"/>
                <w:color w:val="auto"/>
              </w:rPr>
              <w:t>102,613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84,651</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277,007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233,045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4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Direct costs</w:t>
            </w:r>
          </w:p>
        </w:tc>
        <w:tc>
          <w:tcPr>
            <w:tcW w:w="1820" w:type="dxa"/>
            <w:vAlign w:val="bottom"/>
          </w:tcPr>
          <w:p>
            <w:pPr>
              <w:jc w:val="right"/>
              <w:spacing w:after="0"/>
              <w:rPr>
                <w:sz w:val="20"/>
                <w:szCs w:val="20"/>
                <w:color w:val="auto"/>
              </w:rPr>
            </w:pPr>
            <w:r>
              <w:rPr>
                <w:rFonts w:ascii="Arial" w:cs="Arial" w:eastAsia="Arial" w:hAnsi="Arial"/>
                <w:sz w:val="14"/>
                <w:szCs w:val="14"/>
                <w:color w:val="auto"/>
              </w:rPr>
              <w:t>180,127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150,866</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20" w:type="dxa"/>
            <w:vAlign w:val="bottom"/>
          </w:tcPr>
          <w:p>
            <w:pPr>
              <w:jc w:val="right"/>
              <w:spacing w:after="0"/>
              <w:rPr>
                <w:sz w:val="20"/>
                <w:szCs w:val="20"/>
                <w:color w:val="auto"/>
              </w:rPr>
            </w:pPr>
            <w:r>
              <w:rPr>
                <w:rFonts w:ascii="Arial" w:cs="Arial" w:eastAsia="Arial" w:hAnsi="Arial"/>
                <w:sz w:val="14"/>
                <w:szCs w:val="14"/>
                <w:color w:val="auto"/>
              </w:rPr>
              <w:t>69,410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57,344</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20" w:type="dxa"/>
            <w:vAlign w:val="bottom"/>
          </w:tcPr>
          <w:p>
            <w:pPr>
              <w:jc w:val="right"/>
              <w:spacing w:after="0"/>
              <w:rPr>
                <w:sz w:val="20"/>
                <w:szCs w:val="20"/>
                <w:color w:val="auto"/>
              </w:rPr>
            </w:pPr>
            <w:r>
              <w:rPr>
                <w:rFonts w:ascii="Arial" w:cs="Arial" w:eastAsia="Arial" w:hAnsi="Arial"/>
                <w:sz w:val="14"/>
                <w:szCs w:val="14"/>
                <w:color w:val="auto"/>
              </w:rPr>
              <w:t>10,830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9,329</w:t>
            </w: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Arial" w:cs="Arial" w:eastAsia="Arial" w:hAnsi="Arial"/>
                <w:sz w:val="14"/>
                <w:szCs w:val="14"/>
                <w:color w:val="auto"/>
              </w:rPr>
              <w:t>Restructuring and other non-recurring items</w:t>
            </w:r>
          </w:p>
        </w:tc>
        <w:tc>
          <w:tcPr>
            <w:tcW w:w="1820" w:type="dxa"/>
            <w:vAlign w:val="bottom"/>
          </w:tcPr>
          <w:p>
            <w:pPr>
              <w:jc w:val="right"/>
              <w:spacing w:after="0"/>
              <w:rPr>
                <w:sz w:val="20"/>
                <w:szCs w:val="20"/>
                <w:color w:val="auto"/>
              </w:rPr>
            </w:pPr>
            <w:r>
              <w:rPr>
                <w:rFonts w:ascii="Arial" w:cs="Arial" w:eastAsia="Arial" w:hAnsi="Arial"/>
                <w:sz w:val="14"/>
                <w:szCs w:val="14"/>
                <w:color w:val="auto"/>
              </w:rPr>
              <w:t>5,636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b w:val="1"/>
                <w:bCs w:val="1"/>
                <w:color w:val="auto"/>
              </w:rPr>
              <w:t>Total costs and expenses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266,003</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217,539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4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820" w:type="dxa"/>
            <w:vAlign w:val="bottom"/>
          </w:tcPr>
          <w:p>
            <w:pPr>
              <w:jc w:val="right"/>
              <w:spacing w:after="0"/>
              <w:rPr>
                <w:sz w:val="20"/>
                <w:szCs w:val="20"/>
                <w:color w:val="auto"/>
              </w:rPr>
            </w:pPr>
            <w:r>
              <w:rPr>
                <w:rFonts w:ascii="Arial" w:cs="Arial" w:eastAsia="Arial" w:hAnsi="Arial"/>
                <w:sz w:val="14"/>
                <w:szCs w:val="14"/>
                <w:color w:val="auto"/>
              </w:rPr>
              <w:t>11,004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15,506</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Net interest (expense)/income</w:t>
            </w:r>
          </w:p>
        </w:tc>
        <w:tc>
          <w:tcPr>
            <w:tcW w:w="1820" w:type="dxa"/>
            <w:vAlign w:val="bottom"/>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10,773</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4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820" w:type="dxa"/>
            <w:vAlign w:val="bottom"/>
          </w:tcPr>
          <w:p>
            <w:pPr>
              <w:jc w:val="right"/>
              <w:spacing w:after="0"/>
              <w:rPr>
                <w:sz w:val="20"/>
                <w:szCs w:val="20"/>
                <w:color w:val="auto"/>
              </w:rPr>
            </w:pPr>
            <w:r>
              <w:rPr>
                <w:rFonts w:ascii="Arial" w:cs="Arial" w:eastAsia="Arial" w:hAnsi="Arial"/>
                <w:sz w:val="14"/>
                <w:szCs w:val="14"/>
                <w:color w:val="auto"/>
              </w:rPr>
              <w:t>2,809</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69"/>
        </w:trPr>
        <w:tc>
          <w:tcPr>
            <w:tcW w:w="74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7,964</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13,082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4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42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$0.13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339"/>
        </w:trPr>
        <w:tc>
          <w:tcPr>
            <w:tcW w:w="74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2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Pr>
          <w:p>
            <w:pPr>
              <w:jc w:val="right"/>
              <w:spacing w:after="0"/>
              <w:rPr>
                <w:sz w:val="20"/>
                <w:szCs w:val="20"/>
                <w:color w:val="auto"/>
              </w:rPr>
            </w:pPr>
            <w:r>
              <w:rPr>
                <w:rFonts w:ascii="Arial" w:cs="Arial" w:eastAsia="Arial" w:hAnsi="Arial"/>
                <w:sz w:val="14"/>
                <w:szCs w:val="14"/>
                <w:color w:val="auto"/>
              </w:rPr>
              <w:t>59,978,509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60,390,788</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60,630,891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61,114,996</w:t>
            </w:r>
          </w:p>
        </w:tc>
        <w:tc>
          <w:tcPr>
            <w:tcW w:w="0" w:type="dxa"/>
            <w:vAlign w:val="bottom"/>
          </w:tcPr>
          <w:p>
            <w:pPr>
              <w:spacing w:after="0"/>
              <w:rPr>
                <w:sz w:val="1"/>
                <w:szCs w:val="1"/>
                <w:color w:val="auto"/>
              </w:rPr>
            </w:pPr>
          </w:p>
        </w:tc>
      </w:tr>
      <w:tr>
        <w:trPr>
          <w:trHeight w:val="134"/>
        </w:trPr>
        <w:tc>
          <w:tcPr>
            <w:tcW w:w="742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42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2012 and December 31, 2011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4600" w:type="dxa"/>
            <w:vAlign w:val="bottom"/>
          </w:tcPr>
          <w:p>
            <w:pPr>
              <w:jc w:val="right"/>
              <w:ind w:right="1028"/>
              <w:spacing w:after="0"/>
              <w:rPr>
                <w:sz w:val="20"/>
                <w:szCs w:val="20"/>
                <w:color w:val="auto"/>
              </w:rPr>
            </w:pPr>
            <w:r>
              <w:rPr>
                <w:rFonts w:ascii="Arial" w:cs="Arial" w:eastAsia="Arial" w:hAnsi="Arial"/>
                <w:sz w:val="14"/>
                <w:szCs w:val="14"/>
                <w:b w:val="1"/>
                <w:bCs w:val="1"/>
                <w:color w:val="auto"/>
              </w:rPr>
              <w:t>June 30,</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660" w:type="dxa"/>
            <w:vAlign w:val="bottom"/>
          </w:tcPr>
          <w:p>
            <w:pPr>
              <w:spacing w:after="0"/>
              <w:rPr>
                <w:sz w:val="15"/>
                <w:szCs w:val="15"/>
                <w:color w:val="auto"/>
              </w:rPr>
            </w:pPr>
          </w:p>
        </w:tc>
        <w:tc>
          <w:tcPr>
            <w:tcW w:w="4600" w:type="dxa"/>
            <w:vAlign w:val="bottom"/>
          </w:tcPr>
          <w:p>
            <w:pPr>
              <w:jc w:val="right"/>
              <w:ind w:right="1028"/>
              <w:spacing w:after="0"/>
              <w:rPr>
                <w:sz w:val="20"/>
                <w:szCs w:val="20"/>
                <w:color w:val="auto"/>
              </w:rPr>
            </w:pPr>
            <w:r>
              <w:rPr>
                <w:rFonts w:ascii="Arial" w:cs="Arial" w:eastAsia="Arial" w:hAnsi="Arial"/>
                <w:sz w:val="14"/>
                <w:szCs w:val="14"/>
                <w:b w:val="1"/>
                <w:bCs w:val="1"/>
                <w:color w:val="auto"/>
              </w:rPr>
              <w:t>2012</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r>
      <w:tr>
        <w:trPr>
          <w:trHeight w:val="180"/>
        </w:trPr>
        <w:tc>
          <w:tcPr>
            <w:tcW w:w="4660" w:type="dxa"/>
            <w:vAlign w:val="bottom"/>
          </w:tcPr>
          <w:p>
            <w:pPr>
              <w:spacing w:after="0"/>
              <w:rPr>
                <w:sz w:val="15"/>
                <w:szCs w:val="15"/>
                <w:color w:val="auto"/>
              </w:rPr>
            </w:pPr>
          </w:p>
        </w:tc>
        <w:tc>
          <w:tcPr>
            <w:tcW w:w="4600" w:type="dxa"/>
            <w:vAlign w:val="bottom"/>
          </w:tcPr>
          <w:p>
            <w:pPr>
              <w:jc w:val="right"/>
              <w:ind w:right="1028"/>
              <w:spacing w:after="0"/>
              <w:rPr>
                <w:sz w:val="20"/>
                <w:szCs w:val="20"/>
                <w:color w:val="auto"/>
              </w:rPr>
            </w:pPr>
            <w:r>
              <w:rPr>
                <w:rFonts w:ascii="Arial" w:cs="Arial" w:eastAsia="Arial" w:hAnsi="Arial"/>
                <w:sz w:val="14"/>
                <w:szCs w:val="14"/>
                <w:b w:val="1"/>
                <w:bCs w:val="1"/>
                <w:color w:val="auto"/>
              </w:rPr>
              <w:t>(Unaudited)</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168,038</w:t>
            </w:r>
          </w:p>
        </w:tc>
        <w:tc>
          <w:tcPr>
            <w:tcW w:w="1960" w:type="dxa"/>
            <w:vAlign w:val="bottom"/>
          </w:tcPr>
          <w:p>
            <w:pPr>
              <w:jc w:val="right"/>
              <w:spacing w:after="0"/>
              <w:rPr>
                <w:sz w:val="20"/>
                <w:szCs w:val="20"/>
                <w:color w:val="auto"/>
              </w:rPr>
            </w:pPr>
            <w:r>
              <w:rPr>
                <w:rFonts w:ascii="Arial" w:cs="Arial" w:eastAsia="Arial" w:hAnsi="Arial"/>
                <w:sz w:val="14"/>
                <w:szCs w:val="14"/>
                <w:color w:val="auto"/>
              </w:rPr>
              <w:t>174,177</w:t>
            </w:r>
          </w:p>
        </w:tc>
      </w:tr>
      <w:tr>
        <w:trPr>
          <w:trHeight w:val="344"/>
        </w:trPr>
        <w:tc>
          <w:tcPr>
            <w:tcW w:w="4660" w:type="dxa"/>
            <w:vAlign w:val="bottom"/>
          </w:tcPr>
          <w:p>
            <w:pPr>
              <w:spacing w:after="0"/>
              <w:rPr>
                <w:sz w:val="20"/>
                <w:szCs w:val="20"/>
                <w:color w:val="auto"/>
              </w:rPr>
            </w:pPr>
            <w:r>
              <w:rPr>
                <w:rFonts w:ascii="Arial" w:cs="Arial" w:eastAsia="Arial" w:hAnsi="Arial"/>
                <w:sz w:val="14"/>
                <w:szCs w:val="14"/>
                <w:color w:val="auto"/>
              </w:rPr>
              <w:t>Accounts receivable</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228,215</w:t>
            </w:r>
          </w:p>
        </w:tc>
        <w:tc>
          <w:tcPr>
            <w:tcW w:w="1960" w:type="dxa"/>
            <w:vAlign w:val="bottom"/>
          </w:tcPr>
          <w:p>
            <w:pPr>
              <w:jc w:val="right"/>
              <w:spacing w:after="0"/>
              <w:rPr>
                <w:sz w:val="20"/>
                <w:szCs w:val="20"/>
                <w:color w:val="auto"/>
              </w:rPr>
            </w:pPr>
            <w:r>
              <w:rPr>
                <w:rFonts w:ascii="Arial" w:cs="Arial" w:eastAsia="Arial" w:hAnsi="Arial"/>
                <w:sz w:val="14"/>
                <w:szCs w:val="14"/>
                <w:color w:val="auto"/>
              </w:rPr>
              <w:t>201,338</w:t>
            </w:r>
          </w:p>
        </w:tc>
      </w:tr>
      <w:tr>
        <w:trPr>
          <w:trHeight w:val="176"/>
        </w:trPr>
        <w:tc>
          <w:tcPr>
            <w:tcW w:w="4660" w:type="dxa"/>
            <w:vAlign w:val="bottom"/>
          </w:tcPr>
          <w:p>
            <w:pPr>
              <w:spacing w:after="0"/>
              <w:rPr>
                <w:sz w:val="20"/>
                <w:szCs w:val="20"/>
                <w:color w:val="auto"/>
              </w:rPr>
            </w:pPr>
            <w:r>
              <w:rPr>
                <w:rFonts w:ascii="Arial" w:cs="Arial" w:eastAsia="Arial" w:hAnsi="Arial"/>
                <w:sz w:val="14"/>
                <w:szCs w:val="14"/>
                <w:color w:val="auto"/>
              </w:rPr>
              <w:t>Unbilled revenue</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115,407</w:t>
            </w:r>
          </w:p>
        </w:tc>
        <w:tc>
          <w:tcPr>
            <w:tcW w:w="1960" w:type="dxa"/>
            <w:vAlign w:val="bottom"/>
          </w:tcPr>
          <w:p>
            <w:pPr>
              <w:jc w:val="right"/>
              <w:spacing w:after="0"/>
              <w:rPr>
                <w:sz w:val="20"/>
                <w:szCs w:val="20"/>
                <w:color w:val="auto"/>
              </w:rPr>
            </w:pPr>
            <w:r>
              <w:rPr>
                <w:rFonts w:ascii="Arial" w:cs="Arial" w:eastAsia="Arial" w:hAnsi="Arial"/>
                <w:sz w:val="14"/>
                <w:szCs w:val="14"/>
                <w:color w:val="auto"/>
              </w:rPr>
              <w:t>126,850</w:t>
            </w:r>
          </w:p>
        </w:tc>
      </w:tr>
      <w:tr>
        <w:trPr>
          <w:trHeight w:val="176"/>
        </w:trPr>
        <w:tc>
          <w:tcPr>
            <w:tcW w:w="4660" w:type="dxa"/>
            <w:vAlign w:val="bottom"/>
          </w:tcPr>
          <w:p>
            <w:pPr>
              <w:spacing w:after="0"/>
              <w:rPr>
                <w:sz w:val="20"/>
                <w:szCs w:val="20"/>
                <w:color w:val="auto"/>
              </w:rPr>
            </w:pPr>
            <w:r>
              <w:rPr>
                <w:rFonts w:ascii="Arial" w:cs="Arial" w:eastAsia="Arial" w:hAnsi="Arial"/>
                <w:sz w:val="14"/>
                <w:szCs w:val="14"/>
                <w:color w:val="auto"/>
              </w:rPr>
              <w:t>Payments on account</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(194,514)</w:t>
            </w:r>
          </w:p>
        </w:tc>
        <w:tc>
          <w:tcPr>
            <w:tcW w:w="1960" w:type="dxa"/>
            <w:vAlign w:val="bottom"/>
          </w:tcPr>
          <w:p>
            <w:pPr>
              <w:jc w:val="right"/>
              <w:spacing w:after="0"/>
              <w:rPr>
                <w:sz w:val="20"/>
                <w:szCs w:val="20"/>
                <w:color w:val="auto"/>
              </w:rPr>
            </w:pPr>
            <w:r>
              <w:rPr>
                <w:rFonts w:ascii="Arial" w:cs="Arial" w:eastAsia="Arial" w:hAnsi="Arial"/>
                <w:sz w:val="14"/>
                <w:szCs w:val="14"/>
                <w:color w:val="auto"/>
              </w:rPr>
              <w:t>(150,792)</w:t>
            </w:r>
          </w:p>
        </w:tc>
      </w:t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Total</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149,108</w:t>
            </w:r>
          </w:p>
        </w:tc>
        <w:tc>
          <w:tcPr>
            <w:tcW w:w="1960" w:type="dxa"/>
            <w:vAlign w:val="bottom"/>
          </w:tcPr>
          <w:p>
            <w:pPr>
              <w:jc w:val="right"/>
              <w:spacing w:after="0"/>
              <w:rPr>
                <w:sz w:val="20"/>
                <w:szCs w:val="20"/>
                <w:color w:val="auto"/>
              </w:rPr>
            </w:pPr>
            <w:r>
              <w:rPr>
                <w:rFonts w:ascii="Arial" w:cs="Arial" w:eastAsia="Arial" w:hAnsi="Arial"/>
                <w:sz w:val="14"/>
                <w:szCs w:val="14"/>
                <w:color w:val="auto"/>
              </w:rPr>
              <w:t>177,396</w:t>
            </w:r>
          </w:p>
        </w:tc>
      </w:tr>
      <w:tr>
        <w:trPr>
          <w:trHeight w:val="351"/>
        </w:trPr>
        <w:tc>
          <w:tcPr>
            <w:tcW w:w="4660" w:type="dxa"/>
            <w:vAlign w:val="bottom"/>
          </w:tcPr>
          <w:p>
            <w:pPr>
              <w:spacing w:after="0"/>
              <w:rPr>
                <w:sz w:val="20"/>
                <w:szCs w:val="20"/>
                <w:color w:val="auto"/>
              </w:rPr>
            </w:pPr>
            <w:r>
              <w:rPr>
                <w:rFonts w:ascii="Arial" w:cs="Arial" w:eastAsia="Arial" w:hAnsi="Arial"/>
                <w:sz w:val="14"/>
                <w:szCs w:val="14"/>
                <w:color w:val="auto"/>
              </w:rPr>
              <w:t>Working Capital</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197,589</w:t>
            </w:r>
          </w:p>
        </w:tc>
        <w:tc>
          <w:tcPr>
            <w:tcW w:w="1960" w:type="dxa"/>
            <w:vAlign w:val="bottom"/>
          </w:tcPr>
          <w:p>
            <w:pPr>
              <w:jc w:val="right"/>
              <w:spacing w:after="0"/>
              <w:rPr>
                <w:sz w:val="20"/>
                <w:szCs w:val="20"/>
                <w:color w:val="auto"/>
              </w:rPr>
            </w:pPr>
            <w:r>
              <w:rPr>
                <w:rFonts w:ascii="Arial" w:cs="Arial" w:eastAsia="Arial" w:hAnsi="Arial"/>
                <w:sz w:val="14"/>
                <w:szCs w:val="14"/>
                <w:color w:val="auto"/>
              </w:rPr>
              <w:t>253,514</w:t>
            </w:r>
          </w:p>
        </w:tc>
      </w:tr>
      <w:tr>
        <w:trPr>
          <w:trHeight w:val="351"/>
        </w:trPr>
        <w:tc>
          <w:tcPr>
            <w:tcW w:w="4660" w:type="dxa"/>
            <w:vAlign w:val="bottom"/>
          </w:tcPr>
          <w:p>
            <w:pPr>
              <w:spacing w:after="0"/>
              <w:rPr>
                <w:sz w:val="20"/>
                <w:szCs w:val="20"/>
                <w:color w:val="auto"/>
              </w:rPr>
            </w:pPr>
            <w:r>
              <w:rPr>
                <w:rFonts w:ascii="Arial" w:cs="Arial" w:eastAsia="Arial" w:hAnsi="Arial"/>
                <w:sz w:val="14"/>
                <w:szCs w:val="14"/>
                <w:color w:val="auto"/>
              </w:rPr>
              <w:t>Total Assets</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1,104,894</w:t>
            </w:r>
          </w:p>
        </w:tc>
        <w:tc>
          <w:tcPr>
            <w:tcW w:w="1960" w:type="dxa"/>
            <w:vAlign w:val="bottom"/>
          </w:tcPr>
          <w:p>
            <w:pPr>
              <w:jc w:val="right"/>
              <w:spacing w:after="0"/>
              <w:rPr>
                <w:sz w:val="20"/>
                <w:szCs w:val="20"/>
                <w:color w:val="auto"/>
              </w:rPr>
            </w:pPr>
            <w:r>
              <w:rPr>
                <w:rFonts w:ascii="Arial" w:cs="Arial" w:eastAsia="Arial" w:hAnsi="Arial"/>
                <w:sz w:val="14"/>
                <w:szCs w:val="14"/>
                <w:color w:val="auto"/>
              </w:rPr>
              <w:t>1,035,467</w:t>
            </w:r>
          </w:p>
        </w:tc>
      </w:tr>
      <w:tr>
        <w:trPr>
          <w:trHeight w:val="351"/>
        </w:trPr>
        <w:tc>
          <w:tcPr>
            <w:tcW w:w="4660" w:type="dxa"/>
            <w:vAlign w:val="bottom"/>
          </w:tcPr>
          <w:p>
            <w:pPr>
              <w:spacing w:after="0"/>
              <w:rPr>
                <w:sz w:val="20"/>
                <w:szCs w:val="20"/>
                <w:color w:val="auto"/>
              </w:rPr>
            </w:pPr>
            <w:r>
              <w:rPr>
                <w:rFonts w:ascii="Arial" w:cs="Arial" w:eastAsia="Arial" w:hAnsi="Arial"/>
                <w:sz w:val="14"/>
                <w:szCs w:val="14"/>
                <w:color w:val="auto"/>
              </w:rPr>
              <w:t>Shareholder's Equity</w:t>
            </w:r>
          </w:p>
        </w:tc>
        <w:tc>
          <w:tcPr>
            <w:tcW w:w="4600" w:type="dxa"/>
            <w:vAlign w:val="bottom"/>
          </w:tcPr>
          <w:p>
            <w:pPr>
              <w:jc w:val="right"/>
              <w:ind w:right="1028"/>
              <w:spacing w:after="0"/>
              <w:rPr>
                <w:sz w:val="20"/>
                <w:szCs w:val="20"/>
                <w:color w:val="auto"/>
              </w:rPr>
            </w:pPr>
            <w:r>
              <w:rPr>
                <w:rFonts w:ascii="Arial" w:cs="Arial" w:eastAsia="Arial" w:hAnsi="Arial"/>
                <w:sz w:val="14"/>
                <w:szCs w:val="14"/>
                <w:color w:val="auto"/>
              </w:rPr>
              <w:t>683,601</w:t>
            </w:r>
          </w:p>
        </w:tc>
        <w:tc>
          <w:tcPr>
            <w:tcW w:w="1960" w:type="dxa"/>
            <w:vAlign w:val="bottom"/>
          </w:tcPr>
          <w:p>
            <w:pPr>
              <w:jc w:val="right"/>
              <w:spacing w:after="0"/>
              <w:rPr>
                <w:sz w:val="20"/>
                <w:szCs w:val="20"/>
                <w:color w:val="auto"/>
              </w:rPr>
            </w:pPr>
            <w:r>
              <w:rPr>
                <w:rFonts w:ascii="Arial" w:cs="Arial" w:eastAsia="Arial" w:hAnsi="Arial"/>
                <w:sz w:val="14"/>
                <w:szCs w:val="14"/>
                <w:color w:val="auto"/>
              </w:rPr>
              <w:t>681,544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Chief Financial Officer</w:t>
      </w:r>
    </w:p>
    <w:p>
      <w:pPr>
        <w:spacing w:after="0" w:line="1" w:lineRule="exact"/>
        <w:rPr>
          <w:sz w:val="20"/>
          <w:szCs w:val="20"/>
          <w:color w:val="auto"/>
        </w:rPr>
      </w:pPr>
    </w:p>
    <w:p>
      <w:pPr>
        <w:ind w:right="95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 VP Investor Relations</w:t>
      </w:r>
    </w:p>
    <w:p>
      <w:pPr>
        <w:ind w:right="9120" w:firstLine="8"/>
        <w:spacing w:after="0" w:line="308" w:lineRule="auto"/>
        <w:tabs>
          <w:tab w:leader="none" w:pos="17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353 –1-291-2000 </w:t>
      </w:r>
      <w:r>
        <w:rPr>
          <w:rFonts w:ascii="Arial" w:cs="Arial" w:eastAsia="Arial" w:hAnsi="Arial"/>
          <w:sz w:val="19"/>
          <w:szCs w:val="19"/>
          <w:u w:val="single" w:color="auto"/>
          <w:color w:val="auto"/>
        </w:rPr>
        <w:t>http://www.iconplc.com</w:t>
      </w:r>
    </w:p>
    <w:sectPr>
      <w:pgSz w:w="11900" w:h="16838" w:orient="portrait"/>
      <w:cols w:equalWidth="0" w:num="1">
        <w:col w:w="11220"/>
      </w:cols>
      <w:pgMar w:left="240" w:top="30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2019-12-09T13:02:49Z</dcterms:created>
  <dcterms:modified xsi:type="dcterms:W3CDTF">2019-12-09T13:02:49Z</dcterms:modified>
</cp:coreProperties>
</file>