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50"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July, 2023</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4"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24"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24"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619125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2"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This report on Form 6-K is hereby incorporated by reference in the registration statement on Form F-4 (Registration No. 333-254891) of ICON plc and in the prospectus contained therein,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2023 we had approximately 41,160 employees in 108 locations in 53 countries. During the six months ended June 30, 2023, we derived approximately 42.4%, 47.3% and 10.3% of our revenue in the United States, Europe and Rest of World, respectively.</w:t>
      </w: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accelerated charge associated with previously capitalized fees of $1.2 million.</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March 31, 2023, the Company repaid $250.0 million of the senior secured term loan facility and made a quarterly interest payment of $75.3 million. This repayment resulted in an accelerated charge associated with previously capitalized fees of $2.2 million.</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30, 2022, the Company repaid $200.0 million of the senior secured term loan facility and made a quarterly interest payment of $66.1 million. This repayment resulted in an accelerated charge associated with previously capitalized fees of $1.8 million.</w:t>
      </w:r>
    </w:p>
    <w:p>
      <w:pPr>
        <w:spacing w:after="0" w:line="185" w:lineRule="exact"/>
        <w:rPr>
          <w:sz w:val="20"/>
          <w:szCs w:val="20"/>
          <w:color w:val="auto"/>
        </w:rPr>
      </w:pPr>
    </w:p>
    <w:p>
      <w:pPr>
        <w:jc w:val="both"/>
        <w:ind w:right="2580" w:firstLine="648"/>
        <w:spacing w:after="0" w:line="270"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 resulted in an accelerated charge associated with previously capitalized fees of $1.9 million.</w:t>
      </w:r>
    </w:p>
    <w:p>
      <w:pPr>
        <w:spacing w:after="0" w:line="203" w:lineRule="exact"/>
        <w:rPr>
          <w:sz w:val="20"/>
          <w:szCs w:val="20"/>
          <w:color w:val="auto"/>
        </w:rPr>
      </w:pPr>
    </w:p>
    <w:p>
      <w:pPr>
        <w:ind w:right="2160" w:firstLine="648"/>
        <w:spacing w:after="0" w:line="270"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203" w:lineRule="exact"/>
        <w:rPr>
          <w:sz w:val="20"/>
          <w:szCs w:val="20"/>
          <w:color w:val="auto"/>
        </w:rPr>
      </w:pPr>
    </w:p>
    <w:p>
      <w:pPr>
        <w:ind w:right="2140" w:firstLine="648"/>
        <w:spacing w:after="0" w:line="270"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revolving loan facility</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6.17%, representing one month SOFR plus a margin of 1.25%. In April 2023, the Company drew down $50.0 million of the senior secured revolving loan facility at an interest rate of 6.25%, representing one month SOFR plus a margin of 1.25%. In May 2023, the Company agreed with its lenders to increase the aggregate principal amount of the senior secured revolving loan facility from $300.0 million to $500.0 million. The Company repaid $80.0 million of the senior secured revolving loan facility on June 30, 2023. As at June 30, 2023, interest on the senior secured revolving loan facility is at 6.51% following facility renewal, representing one month SOFR plus a margin of 1.25%.</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translation</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six</w:t>
      </w:r>
    </w:p>
    <w:p>
      <w:pPr>
        <w:spacing w:after="0"/>
        <w:rPr>
          <w:sz w:val="20"/>
          <w:szCs w:val="20"/>
          <w:color w:val="auto"/>
        </w:rPr>
      </w:pPr>
      <w:r>
        <w:rPr>
          <w:rFonts w:ascii="Arial" w:cs="Arial" w:eastAsia="Arial" w:hAnsi="Arial"/>
          <w:sz w:val="16"/>
          <w:szCs w:val="16"/>
          <w:color w:val="auto"/>
        </w:rPr>
        <w:t>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6"/>
          <w:szCs w:val="16"/>
          <w:b w:val="1"/>
          <w:bCs w:val="1"/>
          <w:color w:val="auto"/>
        </w:rPr>
        <w:t>ICON plc</w:t>
      </w:r>
    </w:p>
    <w:p>
      <w:pPr>
        <w:spacing w:after="0" w:line="3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JUNE 30, 2023 AND DECEMBER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(Unaudited)</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June 30,</w:t>
            </w:r>
          </w:p>
        </w:tc>
        <w:tc>
          <w:tcPr>
            <w:tcW w:w="16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270,176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288,768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1,653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1,759,111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1,731,388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985,034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957,655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129,101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152,774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137,094</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70,021</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3,367,870</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3,229,066</w:t>
            </w:r>
          </w:p>
        </w:tc>
        <w:tc>
          <w:tcPr>
            <w:tcW w:w="0" w:type="dxa"/>
            <w:vAlign w:val="bottom"/>
          </w:tcPr>
          <w:p>
            <w:pPr>
              <w:spacing w:after="0"/>
              <w:rPr>
                <w:sz w:val="1"/>
                <w:szCs w:val="1"/>
                <w:color w:val="auto"/>
              </w:rPr>
            </w:pPr>
          </w:p>
        </w:tc>
      </w:tr>
      <w:tr>
        <w:trPr>
          <w:trHeight w:val="165"/>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346,521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350,320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8,993,583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8,971,670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4,049,793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4,278,659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144,514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153,832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64,140</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25,169</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21,380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80,772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76,930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Investments in equity- long term</w:t>
            </w:r>
          </w:p>
        </w:tc>
        <w:tc>
          <w:tcPr>
            <w:tcW w:w="10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35,298</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17,107,660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46,920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81,194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1,573,311</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1,507,449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994,883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1,005,025</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39,885</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41,783</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105,150</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2,760,149</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2,690,601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4,206,936</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4,599,037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129,079</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131,644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39,438</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38,260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241,410</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239,188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Deferred tax liability</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934,208</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988,585</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8,311,220</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8,687,315</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82,151,049 shares issued and outstanding at June 30, 2023 and</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81,723,555 shares issued and outstanding at December 31, 2022</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6,676</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6,891,494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6,840,306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1,162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(156,528)</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(171,538)</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2,053,636</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0" w:type="dxa"/>
            <w:vAlign w:val="bottom"/>
          </w:tcPr>
          <w:p>
            <w:pPr>
              <w:spacing w:after="0"/>
              <w:rPr>
                <w:sz w:val="1"/>
                <w:szCs w:val="1"/>
                <w:color w:val="auto"/>
              </w:rPr>
            </w:pPr>
          </w:p>
        </w:tc>
      </w:tr>
      <w:tr>
        <w:trPr>
          <w:trHeight w:val="213"/>
        </w:trPr>
        <w:tc>
          <w:tcPr>
            <w:tcW w:w="7140" w:type="dxa"/>
            <w:vAlign w:val="bottom"/>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8,796,440</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41"/>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17,107,660</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 AND JUNE 30,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tcPr>
          <w:p>
            <w:pPr>
              <w:spacing w:after="0"/>
              <w:rPr>
                <w:sz w:val="19"/>
                <w:szCs w:val="19"/>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2023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5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20" w:type="dxa"/>
            <w:vAlign w:val="bottom"/>
            <w:gridSpan w:val="6"/>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180" w:type="dxa"/>
            <w:vAlign w:val="bottom"/>
            <w:shd w:val="clear" w:color="auto" w:fill="CCEEFF"/>
          </w:tcPr>
          <w:p>
            <w:pPr>
              <w:spacing w:after="0"/>
              <w:rPr>
                <w:sz w:val="18"/>
                <w:szCs w:val="18"/>
                <w:color w:val="auto"/>
              </w:rPr>
            </w:pPr>
          </w:p>
        </w:tc>
      </w:tr>
      <w:tr>
        <w:trPr>
          <w:trHeight w:val="270"/>
        </w:trPr>
        <w:tc>
          <w:tcPr>
            <w:tcW w:w="5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2,020,251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1,935,193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3,998,829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3,836,957</w:t>
            </w:r>
          </w:p>
        </w:tc>
      </w:tr>
      <w:tr>
        <w:trPr>
          <w:trHeight w:val="270"/>
        </w:trPr>
        <w:tc>
          <w:tcPr>
            <w:tcW w:w="5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000" w:type="dxa"/>
            <w:vAlign w:val="bottom"/>
          </w:tcPr>
          <w:p>
            <w:pPr>
              <w:ind w:left="360"/>
              <w:spacing w:after="0"/>
              <w:rPr>
                <w:sz w:val="20"/>
                <w:szCs w:val="20"/>
                <w:color w:val="auto"/>
              </w:rPr>
            </w:pPr>
            <w:r>
              <w:rPr>
                <w:rFonts w:ascii="Arial" w:cs="Arial" w:eastAsia="Arial" w:hAnsi="Arial"/>
                <w:sz w:val="16"/>
                <w:szCs w:val="16"/>
                <w:color w:val="auto"/>
              </w:rPr>
              <w:t>Direct costs (excluding depreciation and amortization)</w:t>
            </w:r>
          </w:p>
        </w:tc>
        <w:tc>
          <w:tcPr>
            <w:tcW w:w="2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1,429,540</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1,392,062</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2,825,086</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2,770,529</w:t>
            </w:r>
          </w:p>
        </w:tc>
      </w:tr>
      <w:tr>
        <w:trPr>
          <w:trHeight w:val="219"/>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187,806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189,953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387,812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385,214</w:t>
            </w:r>
          </w:p>
        </w:tc>
      </w:tr>
      <w:tr>
        <w:trPr>
          <w:trHeight w:val="213"/>
        </w:trPr>
        <w:tc>
          <w:tcPr>
            <w:tcW w:w="50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145,059</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144,019</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290,185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285,424</w:t>
            </w:r>
          </w:p>
        </w:tc>
      </w:tr>
      <w:tr>
        <w:trPr>
          <w:trHeight w:val="219"/>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and integration-related expenses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12,701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8,884</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24,083</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w:t>
            </w:r>
          </w:p>
        </w:tc>
      </w:tr>
      <w:tr>
        <w:trPr>
          <w:trHeight w:val="210"/>
        </w:trPr>
        <w:tc>
          <w:tcPr>
            <w:tcW w:w="50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35,661</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22,486</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45,390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26,693</w:t>
            </w:r>
          </w:p>
        </w:tc>
      </w:tr>
      <w:tr>
        <w:trPr>
          <w:trHeight w:val="223"/>
        </w:trPr>
        <w:tc>
          <w:tcPr>
            <w:tcW w:w="50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1,810,767</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1,757,404</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3,572,556</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3,488,829</w:t>
            </w:r>
          </w:p>
        </w:tc>
      </w:tr>
      <w:tr>
        <w:trPr>
          <w:trHeight w:val="95"/>
        </w:trPr>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209,484</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177,789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426,273</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348,128</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949</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26"/>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(85,206)</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(47,111)</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(171,757)</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(91,536)</w:t>
            </w:r>
          </w:p>
        </w:tc>
      </w:tr>
      <w:tr>
        <w:trPr>
          <w:trHeight w:val="256"/>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125,227</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130,844</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256,537</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256,885</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(9,629)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(27,540)</w:t>
            </w:r>
          </w:p>
        </w:tc>
      </w:tr>
      <w:tr>
        <w:trPr>
          <w:trHeight w:val="257"/>
        </w:trPr>
        <w:tc>
          <w:tcPr>
            <w:tcW w:w="5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26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115,598</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116,590</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232,635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229,345</w:t>
            </w:r>
          </w:p>
        </w:tc>
      </w:tr>
      <w:tr>
        <w:trPr>
          <w:trHeight w:val="226"/>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of losses in 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50"/>
        </w:trPr>
        <w:tc>
          <w:tcPr>
            <w:tcW w:w="5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38"/>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115,598</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115,734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232,252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227,704</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 attributable to the Group (note 13):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5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8"/>
        </w:trPr>
        <w:tc>
          <w:tcPr>
            <w:tcW w:w="5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1.41</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0"/>
        </w:trPr>
        <w:tc>
          <w:tcPr>
            <w:tcW w:w="5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65"/>
        </w:trPr>
        <w:tc>
          <w:tcPr>
            <w:tcW w:w="5000" w:type="dxa"/>
            <w:vAlign w:val="bottom"/>
          </w:tcPr>
          <w:p>
            <w:pPr>
              <w:ind w:left="20"/>
              <w:spacing w:after="0" w:line="165" w:lineRule="exact"/>
              <w:rPr>
                <w:sz w:val="20"/>
                <w:szCs w:val="20"/>
                <w:color w:val="auto"/>
              </w:rPr>
            </w:pPr>
            <w:r>
              <w:rPr>
                <w:rFonts w:ascii="Arial" w:cs="Arial" w:eastAsia="Arial" w:hAnsi="Arial"/>
                <w:sz w:val="16"/>
                <w:szCs w:val="16"/>
                <w:color w:val="auto"/>
              </w:rPr>
              <w:t>Weighted average number of Ordinary Shares outstanding (note</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3"/>
        </w:trPr>
        <w:tc>
          <w:tcPr>
            <w:tcW w:w="5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13"/>
        </w:trPr>
        <w:tc>
          <w:tcPr>
            <w:tcW w:w="50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81,999,746</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81,398,071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81,892,662</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81,430,507</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0"/>
        </w:trPr>
        <w:tc>
          <w:tcPr>
            <w:tcW w:w="5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3"/>
        </w:trPr>
        <w:tc>
          <w:tcPr>
            <w:tcW w:w="50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82,627,933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82,312,946</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82,617,391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82,462,842</w:t>
            </w:r>
          </w:p>
        </w:tc>
      </w:tr>
      <w:tr>
        <w:trPr>
          <w:trHeight w:val="23"/>
        </w:trPr>
        <w:tc>
          <w:tcPr>
            <w:tcW w:w="5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445"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 AND JUNE 30,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ind w:left="200"/>
              <w:spacing w:after="0"/>
              <w:rPr>
                <w:sz w:val="20"/>
                <w:szCs w:val="20"/>
                <w:color w:val="auto"/>
              </w:rPr>
            </w:pPr>
            <w:r>
              <w:rPr>
                <w:rFonts w:ascii="Arial" w:cs="Arial" w:eastAsia="Arial" w:hAnsi="Arial"/>
                <w:sz w:val="16"/>
                <w:szCs w:val="16"/>
                <w:b w:val="1"/>
                <w:bCs w:val="1"/>
                <w:color w:val="auto"/>
              </w:rPr>
              <w:t>(UNAUDITED)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4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4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Three Months Ended</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40" w:type="dxa"/>
            <w:vAlign w:val="bottom"/>
            <w:gridSpan w:val="7"/>
            <w:shd w:val="clear" w:color="auto" w:fill="CCEEFF"/>
          </w:tcPr>
          <w:p>
            <w:pPr>
              <w:ind w:left="480"/>
              <w:spacing w:after="0" w:line="175" w:lineRule="exact"/>
              <w:rPr>
                <w:sz w:val="20"/>
                <w:szCs w:val="20"/>
                <w:color w:val="auto"/>
              </w:rPr>
            </w:pPr>
            <w:r>
              <w:rPr>
                <w:rFonts w:ascii="Arial" w:cs="Arial" w:eastAsia="Arial" w:hAnsi="Arial"/>
                <w:sz w:val="16"/>
                <w:szCs w:val="16"/>
                <w:b w:val="1"/>
                <w:bCs w:val="1"/>
                <w:color w:val="auto"/>
              </w:rPr>
              <w:t>Six Months Ended</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4"/>
          </w:tcPr>
          <w:p>
            <w:pPr>
              <w:ind w:left="200"/>
              <w:spacing w:after="0" w:line="175" w:lineRule="exact"/>
              <w:rPr>
                <w:sz w:val="20"/>
                <w:szCs w:val="20"/>
                <w:color w:val="auto"/>
              </w:rPr>
            </w:pPr>
            <w:r>
              <w:rPr>
                <w:rFonts w:ascii="Arial" w:cs="Arial" w:eastAsia="Arial" w:hAnsi="Arial"/>
                <w:sz w:val="16"/>
                <w:szCs w:val="16"/>
                <w:b w:val="1"/>
                <w:bCs w:val="1"/>
                <w:color w:val="auto"/>
              </w:rPr>
              <w:t>June 30, 2023</w:t>
            </w:r>
          </w:p>
        </w:tc>
        <w:tc>
          <w:tcPr>
            <w:tcW w:w="480" w:type="dxa"/>
            <w:vAlign w:val="bottom"/>
          </w:tcPr>
          <w:p>
            <w:pPr>
              <w:spacing w:after="0"/>
              <w:rPr>
                <w:sz w:val="15"/>
                <w:szCs w:val="15"/>
                <w:color w:val="auto"/>
              </w:rPr>
            </w:pP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w w:val="99"/>
              </w:rPr>
              <w:t>June 30, 2022</w:t>
            </w:r>
          </w:p>
        </w:tc>
        <w:tc>
          <w:tcPr>
            <w:tcW w:w="460" w:type="dxa"/>
            <w:vAlign w:val="bottom"/>
          </w:tcPr>
          <w:p>
            <w:pPr>
              <w:spacing w:after="0"/>
              <w:rPr>
                <w:sz w:val="15"/>
                <w:szCs w:val="15"/>
                <w:color w:val="auto"/>
              </w:rPr>
            </w:pPr>
          </w:p>
        </w:tc>
        <w:tc>
          <w:tcPr>
            <w:tcW w:w="126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rPr>
              <w:t>June 30, 2023</w:t>
            </w:r>
          </w:p>
        </w:tc>
        <w:tc>
          <w:tcPr>
            <w:tcW w:w="660" w:type="dxa"/>
            <w:vAlign w:val="bottom"/>
          </w:tcPr>
          <w:p>
            <w:pPr>
              <w:spacing w:after="0"/>
              <w:rPr>
                <w:sz w:val="15"/>
                <w:szCs w:val="15"/>
                <w:color w:val="auto"/>
              </w:rPr>
            </w:pPr>
          </w:p>
        </w:tc>
        <w:tc>
          <w:tcPr>
            <w:tcW w:w="1120" w:type="dxa"/>
            <w:vAlign w:val="bottom"/>
            <w:gridSpan w:val="4"/>
          </w:tcPr>
          <w:p>
            <w:pPr>
              <w:ind w:left="40"/>
              <w:spacing w:after="0" w:line="175" w:lineRule="exact"/>
              <w:rPr>
                <w:sz w:val="20"/>
                <w:szCs w:val="20"/>
                <w:color w:val="auto"/>
              </w:rPr>
            </w:pPr>
            <w:r>
              <w:rPr>
                <w:rFonts w:ascii="Arial" w:cs="Arial" w:eastAsia="Arial" w:hAnsi="Arial"/>
                <w:sz w:val="16"/>
                <w:szCs w:val="16"/>
                <w:b w:val="1"/>
                <w:bCs w:val="1"/>
                <w:color w:val="auto"/>
              </w:rPr>
              <w:t>June 30, 2022</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(in thousands)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(in thousands)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115,598</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115,734</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232,252</w:t>
            </w:r>
          </w:p>
        </w:tc>
        <w:tc>
          <w:tcPr>
            <w:tcW w:w="6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227,704</w:t>
            </w:r>
          </w:p>
        </w:tc>
        <w:tc>
          <w:tcPr>
            <w:tcW w:w="20" w:type="dxa"/>
            <w:vAlign w:val="bottom"/>
            <w:shd w:val="clear" w:color="auto" w:fill="CCEEFF"/>
          </w:tcPr>
          <w:p>
            <w:pPr>
              <w:spacing w:after="0"/>
              <w:rPr>
                <w:sz w:val="19"/>
                <w:szCs w:val="19"/>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(10,638)</w:t>
            </w:r>
          </w:p>
        </w:tc>
        <w:tc>
          <w:tcPr>
            <w:tcW w:w="2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(66,180)</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4,862</w:t>
            </w:r>
          </w:p>
        </w:tc>
        <w:tc>
          <w:tcPr>
            <w:tcW w:w="6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(101,998)</w:t>
            </w:r>
          </w:p>
        </w:tc>
        <w:tc>
          <w:tcPr>
            <w:tcW w:w="20" w:type="dxa"/>
            <w:vAlign w:val="bottom"/>
          </w:tcPr>
          <w:p>
            <w:pPr>
              <w:spacing w:after="0"/>
              <w:rPr>
                <w:sz w:val="18"/>
                <w:szCs w:val="18"/>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cash flow hedge</w:t>
            </w: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attributable to the Group</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118,966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49,554</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247,262</w:t>
            </w:r>
          </w:p>
        </w:tc>
        <w:tc>
          <w:tcPr>
            <w:tcW w:w="6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125,706</w:t>
            </w:r>
          </w:p>
        </w:tc>
        <w:tc>
          <w:tcPr>
            <w:tcW w:w="20" w:type="dxa"/>
            <w:vAlign w:val="bottom"/>
            <w:tcBorders>
              <w:bottom w:val="single" w:sz="8" w:color="auto"/>
            </w:tcBorders>
          </w:tcPr>
          <w:p>
            <w:pPr>
              <w:spacing w:after="0"/>
              <w:rPr>
                <w:sz w:val="18"/>
                <w:szCs w:val="18"/>
                <w:color w:val="auto"/>
              </w:rPr>
            </w:pPr>
          </w:p>
        </w:tc>
      </w:tr>
      <w:tr>
        <w:trPr>
          <w:trHeight w:val="23"/>
        </w:trPr>
        <w:tc>
          <w:tcPr>
            <w:tcW w:w="4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4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81,723,555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1,821,384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136,649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12,927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68,218</w:t>
            </w: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14,658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81,928,422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6,867,887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(159,896)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1,938,038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8,653,853</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115,598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115,598</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93,304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165"/>
        </w:trPr>
        <w:tc>
          <w:tcPr>
            <w:tcW w:w="3360" w:type="dxa"/>
            <w:vAlign w:val="bottom"/>
          </w:tcPr>
          <w:p>
            <w:pPr>
              <w:ind w:left="20"/>
              <w:spacing w:after="0" w:line="165"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129,323</w:t>
            </w: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82,151,049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6,891,494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(156,528)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2,053,636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8,796,440</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3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4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84,090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74,769</w:t>
            </w: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18,840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40" w:type="dxa"/>
            <w:vAlign w:val="bottom"/>
          </w:tcPr>
          <w:p>
            <w:pPr>
              <w:jc w:val="right"/>
              <w:spacing w:after="0"/>
              <w:rPr>
                <w:sz w:val="20"/>
                <w:szCs w:val="20"/>
                <w:color w:val="auto"/>
              </w:rPr>
            </w:pPr>
            <w:r>
              <w:rPr>
                <w:rFonts w:ascii="Arial" w:cs="Arial" w:eastAsia="Arial" w:hAnsi="Arial"/>
                <w:sz w:val="16"/>
                <w:szCs w:val="16"/>
                <w:color w:val="auto"/>
              </w:rPr>
              <w:t>(420,530)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81,293,012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6,760,238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(126,755)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1,428,050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8,069,317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115,734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115,734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165"/>
        </w:trPr>
        <w:tc>
          <w:tcPr>
            <w:tcW w:w="3360" w:type="dxa"/>
            <w:vAlign w:val="bottom"/>
          </w:tcPr>
          <w:p>
            <w:pPr>
              <w:ind w:left="20"/>
              <w:spacing w:after="0" w:line="165"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157,924</w:t>
            </w: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0" w:type="dxa"/>
            <w:vAlign w:val="bottom"/>
          </w:tcPr>
          <w:p>
            <w:pPr>
              <w:spacing w:after="0"/>
              <w:rPr>
                <w:sz w:val="1"/>
                <w:szCs w:val="1"/>
                <w:color w:val="auto"/>
              </w:rPr>
            </w:pPr>
          </w:p>
        </w:tc>
      </w:tr>
      <w:tr>
        <w:trPr>
          <w:trHeight w:val="212"/>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81,526,607</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6,787,365</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(192,935)</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1,543,784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8,146,013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7500" w:type="dxa"/>
            <w:vAlign w:val="bottom"/>
          </w:tcPr>
          <w:p>
            <w:pPr>
              <w:jc w:val="center"/>
              <w:ind w:left="3339"/>
              <w:spacing w:after="0"/>
              <w:rPr>
                <w:sz w:val="20"/>
                <w:szCs w:val="20"/>
                <w:color w:val="auto"/>
              </w:rPr>
            </w:pPr>
            <w:r>
              <w:rPr>
                <w:rFonts w:ascii="Arial" w:cs="Arial" w:eastAsia="Arial" w:hAnsi="Arial"/>
                <w:sz w:val="16"/>
                <w:szCs w:val="16"/>
                <w:b w:val="1"/>
                <w:bCs w:val="1"/>
                <w:color w:val="auto"/>
              </w:rPr>
              <w:t>ICON plc</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8000" w:type="dxa"/>
            <w:vAlign w:val="bottom"/>
            <w:gridSpan w:val="2"/>
          </w:tcPr>
          <w:p>
            <w:pPr>
              <w:jc w:val="center"/>
              <w:ind w:left="283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9200" w:type="dxa"/>
            <w:vAlign w:val="bottom"/>
            <w:gridSpan w:val="3"/>
          </w:tcPr>
          <w:p>
            <w:pPr>
              <w:jc w:val="center"/>
              <w:ind w:left="1659"/>
              <w:spacing w:after="0"/>
              <w:rPr>
                <w:sz w:val="20"/>
                <w:szCs w:val="20"/>
                <w:color w:val="auto"/>
              </w:rPr>
            </w:pPr>
            <w:r>
              <w:rPr>
                <w:rFonts w:ascii="Arial" w:cs="Arial" w:eastAsia="Arial" w:hAnsi="Arial"/>
                <w:sz w:val="16"/>
                <w:szCs w:val="16"/>
                <w:b w:val="1"/>
                <w:bCs w:val="1"/>
                <w:color w:val="auto"/>
              </w:rPr>
              <w:t>FOR THE SIX MONTHS ENDED JUNE 30, 2023 AND JUNE 30, 2022 (UNAUDITED)</w:t>
            </w: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7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gridSpan w:val="3"/>
            <w:shd w:val="clear" w:color="auto" w:fill="CCEEFF"/>
          </w:tcPr>
          <w:p>
            <w:pPr>
              <w:jc w:val="center"/>
              <w:ind w:right="418"/>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7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b w:val="1"/>
                <w:bCs w:val="1"/>
                <w:color w:val="auto"/>
                <w:w w:val="99"/>
              </w:rPr>
              <w:t>(in thousands)</w:t>
            </w:r>
          </w:p>
        </w:tc>
        <w:tc>
          <w:tcPr>
            <w:tcW w:w="1120" w:type="dxa"/>
            <w:vAlign w:val="bottom"/>
            <w:shd w:val="clear" w:color="auto" w:fill="CCEEFF"/>
          </w:tcPr>
          <w:p>
            <w:pPr>
              <w:spacing w:after="0"/>
              <w:rPr>
                <w:sz w:val="18"/>
                <w:szCs w:val="18"/>
                <w:color w:val="auto"/>
              </w:rPr>
            </w:pPr>
          </w:p>
        </w:tc>
      </w:tr>
      <w:tr>
        <w:trPr>
          <w:trHeight w:val="216"/>
        </w:trPr>
        <w:tc>
          <w:tcPr>
            <w:tcW w:w="7500" w:type="dxa"/>
            <w:vAlign w:val="bottom"/>
          </w:tcPr>
          <w:p>
            <w:pPr>
              <w:ind w:left="160"/>
              <w:spacing w:after="0"/>
              <w:rPr>
                <w:sz w:val="20"/>
                <w:szCs w:val="20"/>
                <w:color w:val="auto"/>
              </w:rPr>
            </w:pPr>
            <w:r>
              <w:rPr>
                <w:rFonts w:ascii="Arial" w:cs="Arial" w:eastAsia="Arial" w:hAnsi="Arial"/>
                <w:sz w:val="16"/>
                <w:szCs w:val="16"/>
                <w:b w:val="1"/>
                <w:bCs w:val="1"/>
                <w:color w:val="auto"/>
              </w:rPr>
              <w:t>Cash flows from operating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232,252</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227,704</w:t>
            </w:r>
          </w:p>
        </w:tc>
      </w:tr>
      <w:tr>
        <w:trPr>
          <w:trHeight w:val="216"/>
        </w:trPr>
        <w:tc>
          <w:tcPr>
            <w:tcW w:w="7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290,185</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285,424</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long lived assets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8,613</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20,749</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Reduction in carrying value of operating right-of-use assets</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23,607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23,570</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equity method investments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Acquisition-related gain</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(6,160)</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 on cash flow hedge</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3,646</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Amortization of financing costs and debt discount</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7,899</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9,188</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 compensation expense</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31,357</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38,186</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Deferred taxes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(59,177)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(75,265)</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exchange movements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(37,421)</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Other non-cash items</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18,202</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9,159</w:t>
            </w:r>
          </w:p>
        </w:tc>
      </w:tr>
      <w:tr>
        <w:trPr>
          <w:trHeight w:val="219"/>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(40,675)</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(41,032)</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Unbilled revenue</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(27,210)</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(33,187)</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Unearned revenue</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65,266</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(176,904)</w:t>
            </w:r>
          </w:p>
        </w:tc>
      </w:tr>
      <w:tr>
        <w:trPr>
          <w:trHeight w:val="216"/>
        </w:trPr>
        <w:tc>
          <w:tcPr>
            <w:tcW w:w="7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net assets</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(165,462)</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157,154</w:t>
            </w:r>
          </w:p>
        </w:tc>
      </w:tr>
      <w:tr>
        <w:trPr>
          <w:trHeight w:val="209"/>
        </w:trPr>
        <w:tc>
          <w:tcPr>
            <w:tcW w:w="7500" w:type="dxa"/>
            <w:vAlign w:val="bottom"/>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5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379,381</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408,966</w:t>
            </w:r>
          </w:p>
        </w:tc>
      </w:tr>
      <w:tr>
        <w:trPr>
          <w:trHeight w:val="219"/>
        </w:trPr>
        <w:tc>
          <w:tcPr>
            <w:tcW w:w="7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7500" w:type="dxa"/>
            <w:vAlign w:val="bottom"/>
          </w:tcPr>
          <w:p>
            <w:pPr>
              <w:ind w:left="160"/>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plant and equipment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(47,840)</w:t>
            </w:r>
          </w:p>
        </w:tc>
      </w:tr>
      <w:tr>
        <w:trPr>
          <w:trHeight w:val="240"/>
        </w:trPr>
        <w:tc>
          <w:tcPr>
            <w:tcW w:w="7500" w:type="dxa"/>
            <w:vAlign w:val="bottom"/>
          </w:tcPr>
          <w:p>
            <w:pPr>
              <w:ind w:left="240"/>
              <w:spacing w:after="0"/>
              <w:rPr>
                <w:sz w:val="20"/>
                <w:szCs w:val="20"/>
                <w:color w:val="auto"/>
              </w:rPr>
            </w:pPr>
            <w:r>
              <w:rPr>
                <w:rFonts w:ascii="Arial" w:cs="Arial" w:eastAsia="Arial" w:hAnsi="Arial"/>
                <w:sz w:val="16"/>
                <w:szCs w:val="16"/>
                <w:color w:val="auto"/>
              </w:rPr>
              <w:t>Purchase of subsidiary undertakings</w:t>
            </w: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(5,100)</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 of available for sale investments</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Purchase of available for sale investments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Purchase of investments in equity - long term</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09"/>
        </w:trPr>
        <w:tc>
          <w:tcPr>
            <w:tcW w:w="7500" w:type="dxa"/>
            <w:vAlign w:val="bottom"/>
          </w:tcPr>
          <w:p>
            <w:pPr>
              <w:ind w:left="16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(68,653)</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(48,639)</w:t>
            </w:r>
          </w:p>
        </w:tc>
      </w:tr>
      <w:tr>
        <w:trPr>
          <w:trHeight w:val="219"/>
        </w:trPr>
        <w:tc>
          <w:tcPr>
            <w:tcW w:w="7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7500" w:type="dxa"/>
            <w:vAlign w:val="bottom"/>
          </w:tcPr>
          <w:p>
            <w:pPr>
              <w:ind w:left="160"/>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Drawdown of bank credit lines and loan facilities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230,000</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Repayment of bank credit lines and loan facilities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(580,000)</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(425,000)</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equity compensation</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20,177</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15,140</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Share issue costs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ordinary shares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r>
      <w:tr>
        <w:trPr>
          <w:trHeight w:val="213"/>
        </w:trPr>
        <w:tc>
          <w:tcPr>
            <w:tcW w:w="75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Share repurchase costs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7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(329,832)</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(484,863)</w:t>
            </w:r>
          </w:p>
        </w:tc>
      </w:tr>
      <w:tr>
        <w:trPr>
          <w:trHeight w:val="216"/>
        </w:trPr>
        <w:tc>
          <w:tcPr>
            <w:tcW w:w="7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(12,759)</w:t>
            </w:r>
          </w:p>
        </w:tc>
      </w:tr>
      <w:tr>
        <w:trPr>
          <w:trHeight w:val="216"/>
        </w:trPr>
        <w:tc>
          <w:tcPr>
            <w:tcW w:w="750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(18,592)</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(137,295)</w:t>
            </w:r>
          </w:p>
        </w:tc>
      </w:tr>
      <w:tr>
        <w:trPr>
          <w:trHeight w:val="223"/>
        </w:trPr>
        <w:tc>
          <w:tcPr>
            <w:tcW w:w="7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288,768</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752,213</w:t>
            </w:r>
          </w:p>
        </w:tc>
      </w:tr>
      <w:tr>
        <w:trPr>
          <w:trHeight w:val="216"/>
        </w:trPr>
        <w:tc>
          <w:tcPr>
            <w:tcW w:w="7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270,176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614,918</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445"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June 30, 2023</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1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2022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Operating results for the six months ended June 30, 2023 are not necessarily indicative of the results that may be expected for the fiscal period ending December 31, 2023.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5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Consulting services revenue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Intangible assets are measured at their fair value when acquired and amortized on the straight line basis over their respective useful lives. The Company has no indefinite life intangibles other than goodwill. The Company evaluates its intangibles for impairment when indicators of impairment exist.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 expected useful life, as set forth in the table below:</w:t>
            </w:r>
          </w:p>
        </w:tc>
        <w:tc>
          <w:tcPr>
            <w:tcW w:w="2000" w:type="dxa"/>
            <w:vAlign w:val="bottom"/>
          </w:tcPr>
          <w:p>
            <w:pPr>
              <w:spacing w:after="0"/>
              <w:rPr>
                <w:sz w:val="17"/>
                <w:szCs w:val="17"/>
                <w:color w:val="auto"/>
              </w:rPr>
            </w:pPr>
          </w:p>
        </w:tc>
      </w:tr>
      <w:tr>
        <w:trPr>
          <w:trHeight w:val="276"/>
        </w:trPr>
        <w:tc>
          <w:tcPr>
            <w:tcW w:w="9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9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20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14"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The Company periodically assesses the useful lives of intangible assets to evaluate whether what was established at acquisition continues to be appropriate.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in the period it arises and has therefore not provided for deferred taxes in respect of this item.</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concentration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4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529,792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525,938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1,092,220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1,065,641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284,382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260,689</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563,908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553,350</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420,880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368,675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829,047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726,985</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785,197</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779,891</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1,513,654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1,490,981</w:t>
            </w:r>
          </w:p>
        </w:tc>
      </w:tr>
      <w:tr>
        <w:trPr>
          <w:trHeight w:val="256"/>
        </w:trPr>
        <w:tc>
          <w:tcPr>
            <w:tcW w:w="49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2,020,251</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1,935,193</w:t>
            </w: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3,998,829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3,836,957</w:t>
            </w:r>
          </w:p>
        </w:tc>
      </w:tr>
      <w:tr>
        <w:trPr>
          <w:trHeight w:val="24"/>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0" w:type="dxa"/>
            <w:vAlign w:val="bottom"/>
          </w:tcPr>
          <w:p>
            <w:pPr>
              <w:ind w:left="640"/>
              <w:spacing w:after="0"/>
              <w:rPr>
                <w:sz w:val="20"/>
                <w:szCs w:val="20"/>
                <w:color w:val="auto"/>
              </w:rPr>
            </w:pPr>
            <w:r>
              <w:rPr>
                <w:rFonts w:ascii="Arial" w:cs="Arial" w:eastAsia="Arial" w:hAnsi="Arial"/>
                <w:sz w:val="16"/>
                <w:szCs w:val="16"/>
                <w:color w:val="auto"/>
              </w:rPr>
              <w:t>Accounts receivables and unbilled revenue are as follows: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2023</w:t>
            </w:r>
          </w:p>
        </w:tc>
        <w:tc>
          <w:tcPr>
            <w:tcW w:w="4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2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Contract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6"/>
                <w:szCs w:val="16"/>
                <w:color w:val="auto"/>
              </w:rPr>
              <w:t>Billed services (accounts receivable)</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1,788,140</w:t>
            </w:r>
          </w:p>
        </w:tc>
        <w:tc>
          <w:tcPr>
            <w:tcW w:w="4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1,751,950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985,034</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957,655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6"/>
                <w:szCs w:val="16"/>
                <w:color w:val="auto"/>
              </w:rPr>
              <w:t>Accounts receivable and unbilled revenue, gross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2,773,174</w:t>
            </w: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2,709,605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(29,029)</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Accounts receivable and unbilled revenue, net</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2,744,145</w:t>
            </w:r>
          </w:p>
        </w:tc>
        <w:tc>
          <w:tcPr>
            <w:tcW w:w="4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2,689,043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9280" w:type="dxa"/>
            <w:vAlign w:val="bottom"/>
            <w:tcBorders>
              <w:bottom w:val="single" w:sz="8" w:color="auto"/>
            </w:tcBorders>
            <w:gridSpan w:val="7"/>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280" w:type="dxa"/>
            <w:vAlign w:val="bottom"/>
            <w:gridSpan w:val="7"/>
          </w:tcPr>
          <w:p>
            <w:pPr>
              <w:ind w:left="64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4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2023</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 Change</w:t>
            </w:r>
          </w:p>
        </w:tc>
        <w:tc>
          <w:tcPr>
            <w:tcW w:w="15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vMerge w:val="continue"/>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services (unbilled revenue)</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985,034</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957,655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27,379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Unearned revenue (payments on account)</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(1,573,311)</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(1,507,449)</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6"/>
                <w:szCs w:val="16"/>
                <w:color w:val="auto"/>
              </w:rPr>
              <w:t>(65,862)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balance</w:t>
            </w: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(588,277)</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color w:val="auto"/>
              </w:rPr>
              <w:t>(38,483)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Unbilled services as at June 30, 2023 increased by $27.4 million compared to December 31, 2022. Unearned revenue increased by $65.9 million over the same period resulting in a decrease of $38.5 million in the net balance of unbilled services and unearned revenue or payments on account between December 31, 2022 and June 30, 2023.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 of June 30, 2023 approximately $13.9 billion (June 30, 2022: $13.9 billion) of revenue is expected to be recognized in the future in respect of unsatisfied performance obligations. The Company expects to recognize revenue on approximately 51% of the unsatisfied performance obligations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4"/>
        </w:trPr>
        <w:tc>
          <w:tcPr>
            <w:tcW w:w="7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7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7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jc w:val="right"/>
              <w:ind w:right="11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8,971,670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9,037,931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13,379</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Prior period acquisition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(35,692)</w:t>
            </w:r>
          </w:p>
        </w:tc>
      </w:tr>
      <w:tr>
        <w:trPr>
          <w:trHeight w:val="216"/>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(30,569)</w:t>
            </w:r>
          </w:p>
        </w:tc>
      </w:tr>
      <w:tr>
        <w:trPr>
          <w:trHeight w:val="239"/>
        </w:trPr>
        <w:tc>
          <w:tcPr>
            <w:tcW w:w="7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8,993,583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8,971,670</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On April 20, 2023, the Company completed the purchase of the majority investor's 51% majority voting share capital of Oncacare Limited ("Oncacare"), such that Oncacare and its subsidiaries became wholly-owned subsidiaries of the ICON Group. The Oncacare acquisition resulted in goodwill of $13.4 million and also gave rise to an acquisition-related gain of $6.2 million.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 charges for the six months ended June 30, 2023 or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43"/>
        </w:trPr>
        <w:tc>
          <w:tcPr>
            <w:tcW w:w="772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6"/>
        </w:trPr>
        <w:tc>
          <w:tcPr>
            <w:tcW w:w="7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6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4,077,225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4,076,435</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537,182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536,934</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204,636</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204,621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170,238</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121,110</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120,984</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5,110,495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5,109,212</w:t>
            </w:r>
          </w:p>
        </w:tc>
      </w:tr>
      <w:tr>
        <w:trPr>
          <w:trHeight w:val="203"/>
        </w:trPr>
        <w:tc>
          <w:tcPr>
            <w:tcW w:w="77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(1,060,702)</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(830,553)</w:t>
            </w:r>
          </w:p>
        </w:tc>
      </w:tr>
      <w:tr>
        <w:trPr>
          <w:trHeight w:val="232"/>
        </w:trPr>
        <w:tc>
          <w:tcPr>
            <w:tcW w:w="7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4,049,793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4,278,659</w:t>
            </w:r>
          </w:p>
        </w:tc>
      </w:tr>
      <w:tr>
        <w:trPr>
          <w:trHeight w:val="20"/>
        </w:trPr>
        <w:tc>
          <w:tcPr>
            <w:tcW w:w="7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Arial" w:cs="Arial" w:eastAsia="Arial" w:hAnsi="Arial"/>
          <w:sz w:val="17"/>
          <w:szCs w:val="17"/>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2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7"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7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firstLine="648"/>
        <w:spacing w:after="0" w:line="276"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As of June 30, 2023, the fair value of the major classes of the Company's assets and liabilities measured at fair value on a recurring basis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ind w:right="59"/>
              <w:spacing w:after="0" w:line="175" w:lineRule="exact"/>
              <w:rPr>
                <w:sz w:val="20"/>
                <w:szCs w:val="20"/>
                <w:color w:val="auto"/>
              </w:rPr>
            </w:pPr>
            <w:r>
              <w:rPr>
                <w:rFonts w:ascii="Arial" w:cs="Arial" w:eastAsia="Arial" w:hAnsi="Arial"/>
                <w:sz w:val="16"/>
                <w:szCs w:val="16"/>
                <w:b w:val="1"/>
                <w:bCs w:val="1"/>
                <w:color w:val="auto"/>
              </w:rPr>
              <w:t>Investments</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Level 2</w:t>
            </w:r>
          </w:p>
        </w:tc>
        <w:tc>
          <w:tcPr>
            <w:tcW w:w="1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jc w:val="center"/>
              <w:ind w:left="999"/>
              <w:spacing w:after="0" w:line="162" w:lineRule="exact"/>
              <w:rPr>
                <w:sz w:val="20"/>
                <w:szCs w:val="20"/>
                <w:color w:val="auto"/>
              </w:rPr>
            </w:pPr>
            <w:r>
              <w:rPr>
                <w:rFonts w:ascii="Arial" w:cs="Arial" w:eastAsia="Arial" w:hAnsi="Arial"/>
                <w:sz w:val="16"/>
                <w:szCs w:val="16"/>
                <w:b w:val="1"/>
                <w:bCs w:val="1"/>
                <w:color w:val="auto"/>
              </w:rPr>
              <w:t>Measured at Net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Level 3</w:t>
            </w:r>
          </w:p>
        </w:tc>
        <w:tc>
          <w:tcPr>
            <w:tcW w:w="11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Asset Value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35,298</w:t>
            </w:r>
          </w:p>
        </w:tc>
        <w:tc>
          <w:tcPr>
            <w:tcW w:w="0" w:type="dxa"/>
            <w:vAlign w:val="bottom"/>
          </w:tcPr>
          <w:p>
            <w:pPr>
              <w:spacing w:after="0"/>
              <w:rPr>
                <w:sz w:val="1"/>
                <w:szCs w:val="1"/>
                <w:color w:val="auto"/>
              </w:rPr>
            </w:pP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7,433</w:t>
            </w:r>
          </w:p>
        </w:tc>
        <w:tc>
          <w:tcPr>
            <w:tcW w:w="0" w:type="dxa"/>
            <w:vAlign w:val="bottom"/>
          </w:tcPr>
          <w:p>
            <w:pPr>
              <w:spacing w:after="0"/>
              <w:rPr>
                <w:sz w:val="1"/>
                <w:szCs w:val="1"/>
                <w:color w:val="auto"/>
              </w:rPr>
            </w:pPr>
          </w:p>
        </w:tc>
      </w:tr>
      <w:tr>
        <w:trPr>
          <w:trHeight w:val="27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44,384</w:t>
            </w:r>
          </w:p>
        </w:tc>
        <w:tc>
          <w:tcPr>
            <w:tcW w:w="0" w:type="dxa"/>
            <w:vAlign w:val="bottom"/>
          </w:tcPr>
          <w:p>
            <w:pPr>
              <w:spacing w:after="0"/>
              <w:rPr>
                <w:sz w:val="1"/>
                <w:szCs w:val="1"/>
                <w:color w:val="auto"/>
              </w:rPr>
            </w:pPr>
          </w:p>
        </w:tc>
      </w:tr>
      <w:tr>
        <w:trPr>
          <w:trHeight w:val="217"/>
        </w:trPr>
        <w:tc>
          <w:tcPr>
            <w:tcW w:w="5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As of December 31, 2022, the fair value of the major classes of the Company's assets and liabilities measured at fair value on a recurring basis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ind w:right="59"/>
              <w:spacing w:after="0" w:line="175" w:lineRule="exact"/>
              <w:rPr>
                <w:sz w:val="20"/>
                <w:szCs w:val="20"/>
                <w:color w:val="auto"/>
              </w:rPr>
            </w:pPr>
            <w:r>
              <w:rPr>
                <w:rFonts w:ascii="Arial" w:cs="Arial" w:eastAsia="Arial" w:hAnsi="Arial"/>
                <w:sz w:val="16"/>
                <w:szCs w:val="16"/>
                <w:b w:val="1"/>
                <w:bCs w:val="1"/>
                <w:color w:val="auto"/>
              </w:rPr>
              <w:t>Investments</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Level 2</w:t>
            </w:r>
          </w:p>
        </w:tc>
        <w:tc>
          <w:tcPr>
            <w:tcW w:w="1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jc w:val="center"/>
              <w:ind w:left="999"/>
              <w:spacing w:after="0" w:line="162" w:lineRule="exact"/>
              <w:rPr>
                <w:sz w:val="20"/>
                <w:szCs w:val="20"/>
                <w:color w:val="auto"/>
              </w:rPr>
            </w:pPr>
            <w:r>
              <w:rPr>
                <w:rFonts w:ascii="Arial" w:cs="Arial" w:eastAsia="Arial" w:hAnsi="Arial"/>
                <w:sz w:val="16"/>
                <w:szCs w:val="16"/>
                <w:b w:val="1"/>
                <w:bCs w:val="1"/>
                <w:color w:val="auto"/>
              </w:rPr>
              <w:t>Measured at Net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Level 3</w:t>
            </w:r>
          </w:p>
        </w:tc>
        <w:tc>
          <w:tcPr>
            <w:tcW w:w="11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Asset Value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0" w:type="dxa"/>
            <w:vAlign w:val="bottom"/>
          </w:tcPr>
          <w:p>
            <w:pPr>
              <w:spacing w:after="0"/>
              <w:rPr>
                <w:sz w:val="1"/>
                <w:szCs w:val="1"/>
                <w:color w:val="auto"/>
              </w:rPr>
            </w:pPr>
          </w:p>
        </w:tc>
      </w:tr>
      <w:tr>
        <w:trPr>
          <w:trHeight w:val="22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c>
          <w:tcPr>
            <w:tcW w:w="0" w:type="dxa"/>
            <w:vAlign w:val="bottom"/>
          </w:tcPr>
          <w:p>
            <w:pPr>
              <w:spacing w:after="0"/>
              <w:rPr>
                <w:sz w:val="1"/>
                <w:szCs w:val="1"/>
                <w:color w:val="auto"/>
              </w:rPr>
            </w:pPr>
          </w:p>
        </w:tc>
      </w:tr>
      <w:tr>
        <w:trPr>
          <w:trHeight w:val="217"/>
        </w:trPr>
        <w:tc>
          <w:tcPr>
            <w:tcW w:w="5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0"/>
        </w:trPr>
        <w:tc>
          <w:tcPr>
            <w:tcW w:w="5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firstLine="8"/>
        <w:spacing w:after="0" w:line="293" w:lineRule="auto"/>
        <w:tabs>
          <w:tab w:leader="none" w:pos="256"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fair value of investments in highly liquid investments with maturities of greater than three months and a minimum "A-" rated fixed term deposits and are based on quoted market prices.</w:t>
      </w:r>
    </w:p>
    <w:p>
      <w:pPr>
        <w:spacing w:after="0" w:line="185" w:lineRule="exact"/>
        <w:rPr>
          <w:rFonts w:ascii="Arial" w:cs="Arial" w:eastAsia="Arial" w:hAnsi="Arial"/>
          <w:sz w:val="16"/>
          <w:szCs w:val="16"/>
          <w:color w:val="auto"/>
        </w:rPr>
      </w:pPr>
    </w:p>
    <w:p>
      <w:pPr>
        <w:jc w:val="both"/>
        <w:ind w:firstLine="8"/>
        <w:spacing w:after="0" w:line="262" w:lineRule="auto"/>
        <w:tabs>
          <w:tab w:leader="none" w:pos="242"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meet the definition of equity securities without readily determinable fair values, which qualify for the Net Asset Value (NAV) practical expedient in ASC 820 'Fair value measurements and disclosures'. Any increases or decreases in fair value are recognized in net income in the period.</w:t>
      </w:r>
    </w:p>
    <w:p>
      <w:pPr>
        <w:spacing w:after="0" w:line="222" w:lineRule="exact"/>
        <w:rPr>
          <w:rFonts w:ascii="Arial" w:cs="Arial" w:eastAsia="Arial" w:hAnsi="Arial"/>
          <w:sz w:val="16"/>
          <w:szCs w:val="16"/>
          <w:color w:val="auto"/>
        </w:rPr>
      </w:pPr>
    </w:p>
    <w:p>
      <w:pPr>
        <w:jc w:val="both"/>
        <w:ind w:firstLine="8"/>
        <w:spacing w:after="0" w:line="270"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fair value of interest rate cap and interest rate swap agreements. The fair value of the agreements are the estimated amount that the Company would receive or pay to terminate such agreements, taking into account market interest rates and the remaining time to maturities or using market inputs with mid-market pricing as a practical expedient for bid-ask spread.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6"/>
          <w:szCs w:val="16"/>
          <w:color w:val="auto"/>
        </w:rPr>
        <w:t>impairment when a triggering event occurs and goodwill that is tested for impairment annually or when a triggering event occurs. As of June 30, 2023, assets carried on the balance sheet at cost and not re-measured to fair value on a recurring basis totaled approximately $13,043.4 million and are identified as Level 3 assets. These assets are comprised of goodwill of $8,993.6 million and net identifiable intangible assets of $4,049.8 million.</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estimated fair value of the Company’s debt was $4,310.1 million at June 30,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Restructuring</w:t>
      </w:r>
    </w:p>
    <w:p>
      <w:pPr>
        <w:spacing w:after="0" w:line="2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six months ended June 30, 2023, a restructuring charge of $45.4 million was recorded in the Condensed Consolidated Statement of Operations under a restructuring plan adopted following a review of operations. The restructuring plan reflected a workforce reduction of $34.1 million and an office consolidation program to optimize the Company's office footprint of $11.3 million.</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ind w:left="5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8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w w:val="99"/>
              </w:rPr>
              <w:t>June 30, 2023</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660"/>
              <w:spacing w:after="0"/>
              <w:rPr>
                <w:sz w:val="20"/>
                <w:szCs w:val="20"/>
                <w:color w:val="auto"/>
              </w:rPr>
            </w:pPr>
            <w:r>
              <w:rPr>
                <w:rFonts w:ascii="Arial" w:cs="Arial" w:eastAsia="Arial" w:hAnsi="Arial"/>
                <w:sz w:val="16"/>
                <w:szCs w:val="16"/>
                <w:b w:val="1"/>
                <w:bCs w:val="1"/>
                <w:color w:val="auto"/>
              </w:rPr>
              <w:t>(in thousands)</w:t>
            </w:r>
          </w:p>
        </w:tc>
      </w:t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45,390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26,693</w:t>
            </w:r>
          </w:p>
        </w:tc>
      </w:tr>
      <w:tr>
        <w:trPr>
          <w:trHeight w:val="238"/>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45,390</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26,693</w:t>
            </w: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At June 30, 2023, a total liability of $35.2 million was recorded on the Consolidated Balance Sheet relating to restructuring activities. The total liability included $29.4 million of personnel related liabilities as a result of the workforce reduction; all of which have been classified as short-term. The total liability also included $5.8 million of facilities related liabilities of which $3.2 million is included within other liabilities and $2.6 million is included within non-current other liabilities.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6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70"/>
        </w:trPr>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6,022</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39,338</w:t>
            </w: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4,364</w:t>
            </w:r>
          </w:p>
        </w:tc>
      </w:tr>
      <w:tr>
        <w:trPr>
          <w:trHeight w:val="216"/>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4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(10,188)</w:t>
            </w:r>
          </w:p>
        </w:tc>
        <w:tc>
          <w:tcPr>
            <w:tcW w:w="6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(8,653)</w:t>
            </w:r>
          </w:p>
        </w:tc>
      </w:tr>
      <w:tr>
        <w:trPr>
          <w:trHeight w:val="20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35,172</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r>
      <w:tr>
        <w:trPr>
          <w:trHeight w:val="24"/>
        </w:trPr>
        <w:tc>
          <w:tcPr>
            <w:tcW w:w="6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tcPr>
          <w:p>
            <w:pPr>
              <w:spacing w:after="0"/>
              <w:rPr>
                <w:sz w:val="20"/>
                <w:szCs w:val="20"/>
                <w:color w:val="auto"/>
              </w:rPr>
            </w:pPr>
            <w:r>
              <w:rPr>
                <w:rFonts w:ascii="Arial" w:cs="Arial" w:eastAsia="Arial" w:hAnsi="Arial"/>
                <w:sz w:val="16"/>
                <w:szCs w:val="16"/>
                <w:b w:val="1"/>
                <w:bCs w:val="1"/>
                <w:color w:val="auto"/>
              </w:rPr>
              <w:t>9. Operating leases</w:t>
            </w:r>
          </w:p>
        </w:tc>
        <w:tc>
          <w:tcPr>
            <w:tcW w:w="2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53"/>
        </w:trPr>
        <w:tc>
          <w:tcPr>
            <w:tcW w:w="9580" w:type="dxa"/>
            <w:vAlign w:val="bottom"/>
            <w:gridSpan w:val="5"/>
          </w:tcPr>
          <w:p>
            <w:pPr>
              <w:ind w:left="660"/>
              <w:spacing w:after="0"/>
              <w:rPr>
                <w:sz w:val="20"/>
                <w:szCs w:val="20"/>
                <w:color w:val="auto"/>
              </w:rPr>
            </w:pPr>
            <w:r>
              <w:rPr>
                <w:rFonts w:ascii="Arial" w:cs="Arial" w:eastAsia="Arial" w:hAnsi="Arial"/>
                <w:sz w:val="16"/>
                <w:szCs w:val="16"/>
                <w:color w:val="auto"/>
              </w:rPr>
              <w:t>Lease costs recorded under operating leases for the six months ended June 30, 2023 and June 30, 2022 were as follows: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4660" w:type="dxa"/>
            <w:vAlign w:val="bottom"/>
          </w:tcPr>
          <w:p>
            <w:pPr>
              <w:spacing w:after="0"/>
              <w:rPr>
                <w:sz w:val="22"/>
                <w:szCs w:val="22"/>
                <w:color w:val="auto"/>
              </w:rPr>
            </w:pPr>
          </w:p>
        </w:tc>
        <w:tc>
          <w:tcPr>
            <w:tcW w:w="326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2980" w:type="dxa"/>
            <w:vAlign w:val="bottom"/>
            <w:gridSpan w:val="3"/>
          </w:tcPr>
          <w:p>
            <w:pPr>
              <w:spacing w:after="0"/>
              <w:rPr>
                <w:sz w:val="22"/>
                <w:szCs w:val="22"/>
                <w:color w:val="auto"/>
              </w:rPr>
            </w:pPr>
          </w:p>
        </w:tc>
      </w:tr>
      <w:tr>
        <w:trPr>
          <w:trHeight w:val="216"/>
        </w:trPr>
        <w:tc>
          <w:tcPr>
            <w:tcW w:w="466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auto"/>
            </w:tcBorders>
            <w:gridSpan w:val="2"/>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6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June 30,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2022</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June 30, 2023</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2022</w:t>
            </w:r>
          </w:p>
        </w:tc>
      </w:tr>
      <w:tr>
        <w:trPr>
          <w:trHeight w:val="210"/>
        </w:trPr>
        <w:tc>
          <w:tcPr>
            <w:tcW w:w="466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6"/>
                <w:szCs w:val="16"/>
                <w:b w:val="1"/>
                <w:bCs w:val="1"/>
                <w:color w:val="auto"/>
                <w:w w:val="99"/>
              </w:rPr>
              <w:t>(in thousands)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18"/>
                <w:szCs w:val="18"/>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2200" w:type="dxa"/>
            <w:vAlign w:val="bottom"/>
          </w:tcPr>
          <w:p>
            <w:pPr>
              <w:ind w:left="1060"/>
              <w:spacing w:after="0"/>
              <w:rPr>
                <w:sz w:val="20"/>
                <w:szCs w:val="20"/>
                <w:color w:val="auto"/>
              </w:rPr>
            </w:pPr>
            <w:r>
              <w:rPr>
                <w:rFonts w:ascii="Arial" w:cs="Arial" w:eastAsia="Arial" w:hAnsi="Arial"/>
                <w:sz w:val="16"/>
                <w:szCs w:val="16"/>
                <w:color w:val="auto"/>
              </w:rPr>
              <w:t>12,818</w:t>
            </w:r>
          </w:p>
        </w:tc>
        <w:tc>
          <w:tcPr>
            <w:tcW w:w="1060" w:type="dxa"/>
            <w:vAlign w:val="bottom"/>
          </w:tcPr>
          <w:p>
            <w:pPr>
              <w:jc w:val="right"/>
              <w:spacing w:after="0"/>
              <w:rPr>
                <w:sz w:val="20"/>
                <w:szCs w:val="20"/>
                <w:color w:val="auto"/>
              </w:rPr>
            </w:pPr>
            <w:r>
              <w:rPr>
                <w:rFonts w:ascii="Arial" w:cs="Arial" w:eastAsia="Arial" w:hAnsi="Arial"/>
                <w:sz w:val="16"/>
                <w:szCs w:val="16"/>
                <w:color w:val="auto"/>
              </w:rPr>
              <w:t>13,548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ind w:left="740"/>
              <w:spacing w:after="0"/>
              <w:rPr>
                <w:sz w:val="20"/>
                <w:szCs w:val="20"/>
                <w:color w:val="auto"/>
              </w:rPr>
            </w:pPr>
            <w:r>
              <w:rPr>
                <w:rFonts w:ascii="Arial" w:cs="Arial" w:eastAsia="Arial" w:hAnsi="Arial"/>
                <w:sz w:val="16"/>
                <w:szCs w:val="16"/>
                <w:color w:val="auto"/>
              </w:rPr>
              <w:t>25,689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28,812</w:t>
            </w:r>
          </w:p>
        </w:tc>
      </w:tr>
      <w:tr>
        <w:trPr>
          <w:trHeight w:val="21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22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(283)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(561)</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22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12,535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25,128</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28,182</w:t>
            </w:r>
          </w:p>
        </w:tc>
      </w:tr>
      <w:tr>
        <w:trPr>
          <w:trHeight w:val="23"/>
        </w:trPr>
        <w:tc>
          <w:tcPr>
            <w:tcW w:w="4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Of the total cost of $25.1 million incurred in the six months ended June 30, 2023 (June 30, 2022: $28.2 million), $19.3 million (June 30, 2022:</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$27.1 million) is recorded within selling, general and administration costs and $5.8 million (June 30, 2022: $1.1 million) is recorded within direct costs.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2023 and June 30, 2022, costs incurred by the Group related to variable lease payments was de minimis.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Right-of-use assets obtained, in exchange for lease obligations during the three months ended June 30, 2023, totaled $10.2 million (June 30, 2022: $29.0 million). Right-of-use assets obtained, in exchange for lease obligations during the six months ended June 30, 2023, totaled $22.5 million (June 30, 2022: $35.8 million).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June 30, 2023 were 7.01 years and 2.66%, respectively.</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leases as of June 30, 2023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9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6"/>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44,466</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Year 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33,902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26,909</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Year 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22,801</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16,924</w:t>
            </w:r>
          </w:p>
        </w:tc>
      </w:tr>
      <w:tr>
        <w:trPr>
          <w:trHeight w:val="223"/>
        </w:trPr>
        <w:tc>
          <w:tcPr>
            <w:tcW w:w="9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38,952</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183,954</w:t>
            </w:r>
          </w:p>
        </w:tc>
      </w:tr>
      <w:tr>
        <w:trPr>
          <w:trHeight w:val="223"/>
        </w:trPr>
        <w:tc>
          <w:tcPr>
            <w:tcW w:w="9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(14,729)</w:t>
            </w:r>
          </w:p>
        </w:tc>
      </w:tr>
      <w:tr>
        <w:trPr>
          <w:trHeight w:val="238"/>
        </w:trPr>
        <w:tc>
          <w:tcPr>
            <w:tcW w:w="9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169,225</w:t>
            </w:r>
          </w:p>
        </w:tc>
      </w:tr>
      <w:tr>
        <w:trPr>
          <w:trHeight w:val="20"/>
        </w:trPr>
        <w:tc>
          <w:tcPr>
            <w:tcW w:w="9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$40.1 million have been included in other liabilities as at June 30, 2023 (June 30, 2022: $47.0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Bank credit lines and loan facilities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June 30, 2023 and December 31,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3"/>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560" w:type="dxa"/>
            <w:vAlign w:val="bottom"/>
          </w:tcPr>
          <w:p>
            <w:pPr>
              <w:jc w:val="center"/>
              <w:ind w:left="119"/>
              <w:spacing w:after="0" w:line="155" w:lineRule="exact"/>
              <w:rPr>
                <w:sz w:val="20"/>
                <w:szCs w:val="20"/>
                <w:color w:val="auto"/>
              </w:rPr>
            </w:pPr>
            <w:r>
              <w:rPr>
                <w:rFonts w:ascii="Arial" w:cs="Arial" w:eastAsia="Arial" w:hAnsi="Arial"/>
                <w:sz w:val="16"/>
                <w:szCs w:val="16"/>
                <w:b w:val="1"/>
                <w:bCs w:val="1"/>
                <w:color w:val="auto"/>
              </w:rPr>
              <w:t>Interest rate as</w:t>
            </w: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Interest rate as of</w:t>
            </w: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3"/>
                <w:szCs w:val="13"/>
                <w:color w:val="auto"/>
              </w:rPr>
            </w:pPr>
          </w:p>
        </w:tc>
        <w:tc>
          <w:tcPr>
            <w:tcW w:w="14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560" w:type="dxa"/>
            <w:vAlign w:val="bottom"/>
          </w:tcPr>
          <w:p>
            <w:pPr>
              <w:jc w:val="center"/>
              <w:ind w:left="119"/>
              <w:spacing w:after="0"/>
              <w:rPr>
                <w:sz w:val="20"/>
                <w:szCs w:val="20"/>
                <w:color w:val="auto"/>
              </w:rPr>
            </w:pPr>
            <w:r>
              <w:rPr>
                <w:rFonts w:ascii="Arial" w:cs="Arial" w:eastAsia="Arial" w:hAnsi="Arial"/>
                <w:sz w:val="16"/>
                <w:szCs w:val="16"/>
                <w:b w:val="1"/>
                <w:bCs w:val="1"/>
                <w:color w:val="auto"/>
              </w:rPr>
              <w:t>of</w:t>
            </w:r>
          </w:p>
        </w:tc>
        <w:tc>
          <w:tcPr>
            <w:tcW w:w="170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56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b w:val="1"/>
                <w:bCs w:val="1"/>
                <w:color w:val="auto"/>
              </w:rPr>
              <w:t>June 30, 2023</w:t>
            </w:r>
          </w:p>
        </w:tc>
        <w:tc>
          <w:tcPr>
            <w:tcW w:w="17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30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8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7.41 %</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7.09 %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4,201,213</w:t>
            </w:r>
          </w:p>
        </w:tc>
        <w:tc>
          <w:tcPr>
            <w:tcW w:w="1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July 2028</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560" w:type="dxa"/>
            <w:vAlign w:val="bottom"/>
          </w:tcPr>
          <w:p>
            <w:pPr>
              <w:jc w:val="right"/>
              <w:spacing w:after="0"/>
              <w:rPr>
                <w:sz w:val="20"/>
                <w:szCs w:val="20"/>
                <w:color w:val="auto"/>
              </w:rPr>
            </w:pPr>
            <w:r>
              <w:rPr>
                <w:rFonts w:ascii="Arial" w:cs="Arial" w:eastAsia="Arial" w:hAnsi="Arial"/>
                <w:sz w:val="16"/>
                <w:szCs w:val="16"/>
                <w:color w:val="auto"/>
              </w:rPr>
              <w:t>2.88 %</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2.88 % $</w:t>
            </w:r>
          </w:p>
        </w:tc>
        <w:tc>
          <w:tcPr>
            <w:tcW w:w="130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500,000</w:t>
            </w:r>
          </w:p>
        </w:tc>
        <w:tc>
          <w:tcPr>
            <w:tcW w:w="1280" w:type="dxa"/>
            <w:vAlign w:val="bottom"/>
          </w:tcPr>
          <w:p>
            <w:pPr>
              <w:ind w:left="560"/>
              <w:spacing w:after="0"/>
              <w:rPr>
                <w:sz w:val="20"/>
                <w:szCs w:val="20"/>
                <w:color w:val="auto"/>
              </w:rPr>
            </w:pPr>
            <w:r>
              <w:rPr>
                <w:rFonts w:ascii="Arial" w:cs="Arial" w:eastAsia="Arial" w:hAnsi="Arial"/>
                <w:sz w:val="16"/>
                <w:szCs w:val="16"/>
                <w:color w:val="auto"/>
              </w:rPr>
              <w:t>July 2026</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Revolving Loan Facility</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6.51 %</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July 2023</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debt</w:t>
            </w:r>
          </w:p>
        </w:tc>
        <w:tc>
          <w:tcPr>
            <w:tcW w:w="15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4,351,213</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4,701,213</w:t>
            </w: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5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(105,150)</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4,246,063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4,646,063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5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(39,127)</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(47,026)</w:t>
            </w: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long-term debt, net</w:t>
            </w:r>
          </w:p>
        </w:tc>
        <w:tc>
          <w:tcPr>
            <w:tcW w:w="1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4,206,936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4,599,037</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 on July 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ind w:left="660"/>
              <w:spacing w:after="0"/>
              <w:rPr>
                <w:sz w:val="20"/>
                <w:szCs w:val="20"/>
                <w:color w:val="auto"/>
              </w:rPr>
            </w:pPr>
            <w:r>
              <w:rPr>
                <w:rFonts w:ascii="Arial" w:cs="Arial" w:eastAsia="Arial" w:hAnsi="Arial"/>
                <w:sz w:val="16"/>
                <w:szCs w:val="16"/>
                <w:color w:val="auto"/>
              </w:rPr>
              <w:t>As of June 30, 2023, the contractual maturities of the Company's debt obligations were as follows:</w:t>
            </w:r>
          </w:p>
        </w:tc>
        <w:tc>
          <w:tcPr>
            <w:tcW w:w="1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76"/>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long-term debt:</w:t>
            </w: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2023 (remaining)</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77,575</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2027 and thereafter</w:t>
            </w:r>
          </w:p>
        </w:tc>
        <w:tc>
          <w:tcPr>
            <w:tcW w:w="1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4,108,188</w:t>
            </w:r>
          </w:p>
        </w:tc>
      </w:tr>
      <w:tr>
        <w:trPr>
          <w:trHeight w:val="234"/>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4,351,213</w:t>
            </w:r>
          </w:p>
        </w:tc>
      </w:tr>
      <w:tr>
        <w:trPr>
          <w:trHeight w:val="20"/>
        </w:trPr>
        <w:tc>
          <w:tcPr>
            <w:tcW w:w="8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June 30, 2023, the applicable margin is 2.25%. The senior secured term loan facility is subject to a floor of 0.50%.</w:t>
      </w:r>
    </w:p>
    <w:p>
      <w:pPr>
        <w:spacing w:after="0" w:line="209"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January 2023, $100.0 million of the senior secured revolving loan facility was drawn down, in the aggregate, at interest rates of 5.89% and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5.80%, representing one month SOFR plus a margin of 1.25%. This was repaid in full in March 2023. On March 31, 2023, $80.0 million of the senior secured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revolving loan facility was drawn down at an interest rate of 6.17%, representing one month SOFR plus a margin of 1.25%. In April 2023, the Company drew</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down $50.0 million of the senior secured revolving loan facility at an interest rate of 6.25%, representing one month SOFR plus a margin of 1.25%. The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Company repaid $80.0 million of the senior secured revolving loan facility on June 30, 2023. As at June 30, 2023, interest on the senior secured revolving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loan facility is at 6.51% following facility renewal, representing one month SOFR plus a margin of 1.25%.</w:t>
      </w:r>
    </w:p>
    <w:p>
      <w:pPr>
        <w:spacing w:after="0" w:line="2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226" w:lineRule="exact"/>
        <w:rPr>
          <w:sz w:val="20"/>
          <w:szCs w:val="20"/>
          <w:color w:val="auto"/>
        </w:rPr>
      </w:pPr>
    </w:p>
    <w:p>
      <w:pPr>
        <w:ind w:right="2140" w:firstLine="648"/>
        <w:spacing w:after="0" w:line="270" w:lineRule="auto"/>
        <w:rPr>
          <w:sz w:val="20"/>
          <w:szCs w:val="20"/>
          <w:color w:val="auto"/>
        </w:rPr>
      </w:pPr>
      <w:r>
        <w:rPr>
          <w:rFonts w:ascii="Arial" w:cs="Arial" w:eastAsia="Arial" w:hAnsi="Arial"/>
          <w:sz w:val="16"/>
          <w:szCs w:val="16"/>
          <w:color w:val="auto"/>
        </w:rPr>
        <w:t>On March 31, 2023 the Company repaid $250.0 million of the senior secured term loan facility and made a quarterly interest payment of $75.3 million. This repayment resulted in an additional charge associated with previously capitalized fees of $2.2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9" w:name="page20"/>
    <w:bookmarkEnd w:id="19"/>
    <w:p>
      <w:pPr>
        <w:jc w:val="both"/>
        <w:ind w:firstLine="648"/>
        <w:spacing w:after="0" w:line="276"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additional charge associated with previously capitalized fees of $1.2 million.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estimated fair value of the Company’s debt was $4,310.1 million at June 30,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Derivatives</w:t>
      </w:r>
    </w:p>
    <w:p>
      <w:pPr>
        <w:spacing w:after="0" w:line="243"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 expires on December 31, 2024. The Company pays a fixed rate of 0.42% and receives a variable rate equal to the amount that the three-month SOFR rate exceeds 4.75%.</w:t>
      </w:r>
    </w:p>
    <w:p>
      <w:pPr>
        <w:spacing w:after="0" w:line="205"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Swaps begins accruing on December 31, 2024 and the interest rate swap expires on December 31, 2026. The Company pays a fixed rate of 3.4% and receives a variable rate of interest equal to the three-month SOFR on the 2022 Swap.</w:t>
      </w:r>
    </w:p>
    <w:p>
      <w:pPr>
        <w:spacing w:after="0" w:line="205" w:lineRule="exact"/>
        <w:rPr>
          <w:sz w:val="20"/>
          <w:szCs w:val="20"/>
          <w:color w:val="auto"/>
        </w:rPr>
      </w:pPr>
    </w:p>
    <w:p>
      <w:pPr>
        <w:jc w:val="both"/>
        <w:ind w:firstLine="256"/>
        <w:spacing w:after="0" w:line="258" w:lineRule="auto"/>
        <w:rPr>
          <w:sz w:val="20"/>
          <w:szCs w:val="20"/>
          <w:color w:val="auto"/>
        </w:rPr>
      </w:pPr>
      <w:r>
        <w:rPr>
          <w:rFonts w:ascii="Arial" w:cs="Arial" w:eastAsia="Arial" w:hAnsi="Arial"/>
          <w:sz w:val="16"/>
          <w:szCs w:val="16"/>
          <w:color w:val="auto"/>
        </w:rPr>
        <w:t>The fair value of the Company’s derivative financial instruments, on a gross basis, and the line items on the accompanying consolidated balance sheets to which they were recorded are summarized in the following table:</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b w:val="1"/>
                <w:bCs w:val="1"/>
                <w:color w:val="auto"/>
              </w:rPr>
              <w:t>June 30, 2023</w:t>
            </w: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2"/>
            <w:shd w:val="clear" w:color="auto" w:fill="CCEEFF"/>
          </w:tcPr>
          <w:p>
            <w:pPr>
              <w:jc w:val="center"/>
              <w:ind w:right="73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17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Asset</w:t>
            </w: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Liability</w:t>
            </w: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Notional</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Asset</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Liability</w:t>
            </w: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Notional</w:t>
            </w:r>
          </w:p>
        </w:tc>
      </w:tr>
      <w:tr>
        <w:trPr>
          <w:trHeight w:val="210"/>
        </w:trPr>
        <w:tc>
          <w:tcPr>
            <w:tcW w:w="1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5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18"/>
                <w:szCs w:val="18"/>
                <w:color w:val="auto"/>
              </w:rPr>
            </w:pPr>
          </w:p>
        </w:tc>
      </w:tr>
      <w:tr>
        <w:trPr>
          <w:trHeight w:val="213"/>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17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9"/>
        </w:trPr>
        <w:tc>
          <w:tcPr>
            <w:tcW w:w="1740" w:type="dxa"/>
            <w:vAlign w:val="bottom"/>
          </w:tcPr>
          <w:p>
            <w:pPr>
              <w:ind w:left="20"/>
              <w:spacing w:after="0" w:line="179" w:lineRule="exact"/>
              <w:rPr>
                <w:sz w:val="20"/>
                <w:szCs w:val="20"/>
                <w:color w:val="auto"/>
              </w:rPr>
            </w:pPr>
            <w:r>
              <w:rPr>
                <w:rFonts w:ascii="Arial" w:cs="Arial" w:eastAsia="Arial" w:hAnsi="Arial"/>
                <w:sz w:val="16"/>
                <w:szCs w:val="16"/>
                <w:color w:val="auto"/>
              </w:rPr>
              <w:t>Interest Rate Caps</w:t>
            </w:r>
          </w:p>
        </w:tc>
        <w:tc>
          <w:tcPr>
            <w:tcW w:w="2500" w:type="dxa"/>
            <w:vAlign w:val="bottom"/>
            <w:gridSpan w:val="2"/>
          </w:tcPr>
          <w:p>
            <w:pPr>
              <w:ind w:left="340"/>
              <w:spacing w:after="0" w:line="179" w:lineRule="exact"/>
              <w:rPr>
                <w:sz w:val="20"/>
                <w:szCs w:val="20"/>
                <w:color w:val="auto"/>
              </w:rPr>
            </w:pPr>
            <w:r>
              <w:rPr>
                <w:rFonts w:ascii="Arial" w:cs="Arial" w:eastAsia="Arial" w:hAnsi="Arial"/>
                <w:sz w:val="16"/>
                <w:szCs w:val="16"/>
                <w:color w:val="auto"/>
              </w:rPr>
              <w:t>Other Current Liabilities,</w:t>
            </w:r>
          </w:p>
        </w:tc>
        <w:tc>
          <w:tcPr>
            <w:tcW w:w="920" w:type="dxa"/>
            <w:vAlign w:val="bottom"/>
          </w:tcPr>
          <w:p>
            <w:pPr>
              <w:jc w:val="center"/>
              <w:spacing w:after="0" w:line="179" w:lineRule="exact"/>
              <w:rPr>
                <w:sz w:val="20"/>
                <w:szCs w:val="20"/>
                <w:color w:val="auto"/>
              </w:rPr>
            </w:pPr>
            <w:r>
              <w:rPr>
                <w:rFonts w:ascii="Arial" w:cs="Arial" w:eastAsia="Arial" w:hAnsi="Arial"/>
                <w:sz w:val="16"/>
                <w:szCs w:val="16"/>
                <w:color w:val="auto"/>
              </w:rPr>
              <w:t>$4,461</w:t>
            </w:r>
          </w:p>
        </w:tc>
        <w:tc>
          <w:tcPr>
            <w:tcW w:w="1300" w:type="dxa"/>
            <w:vAlign w:val="bottom"/>
          </w:tcPr>
          <w:p>
            <w:pPr>
              <w:jc w:val="center"/>
              <w:ind w:right="99"/>
              <w:spacing w:after="0" w:line="179" w:lineRule="exact"/>
              <w:rPr>
                <w:sz w:val="20"/>
                <w:szCs w:val="20"/>
                <w:color w:val="auto"/>
              </w:rPr>
            </w:pPr>
            <w:r>
              <w:rPr>
                <w:rFonts w:ascii="Arial" w:cs="Arial" w:eastAsia="Arial" w:hAnsi="Arial"/>
                <w:sz w:val="16"/>
                <w:szCs w:val="16"/>
                <w:color w:val="auto"/>
                <w:w w:val="96"/>
              </w:rPr>
              <w:t>$—</w:t>
            </w:r>
          </w:p>
        </w:tc>
        <w:tc>
          <w:tcPr>
            <w:tcW w:w="1080" w:type="dxa"/>
            <w:vAlign w:val="bottom"/>
          </w:tcPr>
          <w:p>
            <w:pPr>
              <w:jc w:val="center"/>
              <w:ind w:right="179"/>
              <w:spacing w:after="0" w:line="179" w:lineRule="exact"/>
              <w:rPr>
                <w:sz w:val="20"/>
                <w:szCs w:val="20"/>
                <w:color w:val="auto"/>
              </w:rPr>
            </w:pPr>
            <w:r>
              <w:rPr>
                <w:rFonts w:ascii="Arial" w:cs="Arial" w:eastAsia="Arial" w:hAnsi="Arial"/>
                <w:sz w:val="16"/>
                <w:szCs w:val="16"/>
                <w:color w:val="auto"/>
              </w:rPr>
              <w:t>$1,900,606</w:t>
            </w:r>
          </w:p>
        </w:tc>
        <w:tc>
          <w:tcPr>
            <w:tcW w:w="900" w:type="dxa"/>
            <w:vAlign w:val="bottom"/>
            <w:gridSpan w:val="2"/>
          </w:tcPr>
          <w:p>
            <w:pPr>
              <w:jc w:val="center"/>
              <w:ind w:left="179"/>
              <w:spacing w:after="0" w:line="179" w:lineRule="exact"/>
              <w:rPr>
                <w:sz w:val="20"/>
                <w:szCs w:val="20"/>
                <w:color w:val="auto"/>
              </w:rPr>
            </w:pPr>
            <w:r>
              <w:rPr>
                <w:rFonts w:ascii="Arial" w:cs="Arial" w:eastAsia="Arial" w:hAnsi="Arial"/>
                <w:sz w:val="16"/>
                <w:szCs w:val="16"/>
                <w:color w:val="auto"/>
              </w:rPr>
              <w:t>$12</w:t>
            </w:r>
          </w:p>
        </w:tc>
        <w:tc>
          <w:tcPr>
            <w:tcW w:w="1400" w:type="dxa"/>
            <w:vAlign w:val="bottom"/>
          </w:tcPr>
          <w:p>
            <w:pPr>
              <w:jc w:val="center"/>
              <w:spacing w:after="0" w:line="179" w:lineRule="exact"/>
              <w:rPr>
                <w:sz w:val="20"/>
                <w:szCs w:val="20"/>
                <w:color w:val="auto"/>
              </w:rPr>
            </w:pPr>
            <w:r>
              <w:rPr>
                <w:rFonts w:ascii="Arial" w:cs="Arial" w:eastAsia="Arial" w:hAnsi="Arial"/>
                <w:sz w:val="16"/>
                <w:szCs w:val="16"/>
                <w:color w:val="auto"/>
              </w:rPr>
              <w:t>$3,363</w:t>
            </w:r>
          </w:p>
        </w:tc>
        <w:tc>
          <w:tcPr>
            <w:tcW w:w="1080" w:type="dxa"/>
            <w:vAlign w:val="bottom"/>
          </w:tcPr>
          <w:p>
            <w:pPr>
              <w:jc w:val="center"/>
              <w:ind w:right="139"/>
              <w:spacing w:after="0" w:line="179" w:lineRule="exact"/>
              <w:rPr>
                <w:sz w:val="20"/>
                <w:szCs w:val="20"/>
                <w:color w:val="auto"/>
              </w:rPr>
            </w:pPr>
            <w:r>
              <w:rPr>
                <w:rFonts w:ascii="Arial" w:cs="Arial" w:eastAsia="Arial" w:hAnsi="Arial"/>
                <w:sz w:val="16"/>
                <w:szCs w:val="16"/>
                <w:color w:val="auto"/>
              </w:rPr>
              <w:t>$2,100,606</w:t>
            </w:r>
          </w:p>
        </w:tc>
      </w:tr>
      <w:tr>
        <w:trPr>
          <w:trHeight w:val="207"/>
        </w:trPr>
        <w:tc>
          <w:tcPr>
            <w:tcW w:w="1740" w:type="dxa"/>
            <w:vAlign w:val="bottom"/>
          </w:tcPr>
          <w:p>
            <w:pPr>
              <w:spacing w:after="0"/>
              <w:rPr>
                <w:sz w:val="17"/>
                <w:szCs w:val="17"/>
                <w:color w:val="auto"/>
              </w:rPr>
            </w:pPr>
          </w:p>
        </w:tc>
        <w:tc>
          <w:tcPr>
            <w:tcW w:w="2500" w:type="dxa"/>
            <w:vAlign w:val="bottom"/>
            <w:gridSpan w:val="2"/>
          </w:tcPr>
          <w:p>
            <w:pPr>
              <w:ind w:left="340"/>
              <w:spacing w:after="0"/>
              <w:rPr>
                <w:sz w:val="20"/>
                <w:szCs w:val="20"/>
                <w:color w:val="auto"/>
              </w:rPr>
            </w:pPr>
            <w:r>
              <w:rPr>
                <w:rFonts w:ascii="Arial" w:cs="Arial" w:eastAsia="Arial" w:hAnsi="Arial"/>
                <w:sz w:val="16"/>
                <w:szCs w:val="16"/>
                <w:color w:val="auto"/>
              </w:rPr>
              <w:t>Other Assets and Liabilities</w:t>
            </w: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
        </w:trPr>
        <w:tc>
          <w:tcPr>
            <w:tcW w:w="17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Assets and Liabilities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$2,972</w:t>
            </w:r>
          </w:p>
        </w:tc>
        <w:tc>
          <w:tcPr>
            <w:tcW w:w="13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$1,100,606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6"/>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$307</w:t>
            </w:r>
          </w:p>
        </w:tc>
        <w:tc>
          <w:tcPr>
            <w:tcW w:w="108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$1,100,606</w:t>
            </w:r>
          </w:p>
        </w:tc>
      </w:tr>
      <w:tr>
        <w:trPr>
          <w:trHeight w:val="270"/>
        </w:trPr>
        <w:tc>
          <w:tcPr>
            <w:tcW w:w="4140" w:type="dxa"/>
            <w:vAlign w:val="bottom"/>
            <w:tcBorders>
              <w:top w:val="single" w:sz="8" w:color="auto"/>
            </w:tcBorders>
            <w:gridSpan w:val="2"/>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43"/>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hedging instruments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$7,433</w:t>
            </w:r>
          </w:p>
        </w:tc>
        <w:tc>
          <w:tcPr>
            <w:tcW w:w="13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$3,001,212</w:t>
            </w:r>
          </w:p>
        </w:tc>
        <w:tc>
          <w:tcPr>
            <w:tcW w:w="900" w:type="dxa"/>
            <w:vAlign w:val="bottom"/>
            <w:gridSpan w:val="2"/>
            <w:shd w:val="clear" w:color="auto" w:fill="CCEEFF"/>
          </w:tcPr>
          <w:p>
            <w:pPr>
              <w:jc w:val="center"/>
              <w:ind w:left="179"/>
              <w:spacing w:after="0"/>
              <w:rPr>
                <w:sz w:val="20"/>
                <w:szCs w:val="20"/>
                <w:color w:val="auto"/>
              </w:rPr>
            </w:pPr>
            <w:r>
              <w:rPr>
                <w:rFonts w:ascii="Arial" w:cs="Arial" w:eastAsia="Arial" w:hAnsi="Arial"/>
                <w:sz w:val="16"/>
                <w:szCs w:val="16"/>
                <w:color w:val="auto"/>
              </w:rPr>
              <w:t>$12</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$3,670</w:t>
            </w:r>
          </w:p>
        </w:tc>
        <w:tc>
          <w:tcPr>
            <w:tcW w:w="108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$3,201,212</w:t>
            </w: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During the next 12 months, the Company estimates that an additional $1.2 million will be reflected as interest income in the consolidated statements.</w:t>
      </w:r>
    </w:p>
    <w:p>
      <w:pPr>
        <w:spacing w:after="0" w:line="235" w:lineRule="exact"/>
        <w:rPr>
          <w:sz w:val="20"/>
          <w:szCs w:val="20"/>
          <w:color w:val="auto"/>
        </w:rPr>
      </w:pPr>
    </w:p>
    <w:p>
      <w:pPr>
        <w:ind w:right="120" w:firstLine="259"/>
        <w:spacing w:after="0" w:line="244" w:lineRule="auto"/>
        <w:rPr>
          <w:sz w:val="20"/>
          <w:szCs w:val="20"/>
          <w:color w:val="auto"/>
        </w:rPr>
      </w:pPr>
      <w:r>
        <w:rPr>
          <w:rFonts w:ascii="Arial" w:cs="Arial" w:eastAsia="Arial" w:hAnsi="Arial"/>
          <w:sz w:val="16"/>
          <w:szCs w:val="16"/>
          <w:color w:val="auto"/>
        </w:rPr>
        <w:t>The Company recognized $14.9 million of a gain within other comprehensive income ("OCI") for the three months ended June 30, 2023 (June 30, 2022: $nil) after a reclassification of $1.4 million of a loss from OCI to the income statement (June 30, 2022: $nil). The Company recognized $10.1 million of a net gain within OCI for the six months ended June 30, 2023 (June 30, 2022: $nil) after a reclassification of $3.6 million of a loss from OCI to the income statement (June 30, 2022: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12. 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6"/>
          </w:tcPr>
          <w:p>
            <w:pPr>
              <w:jc w:val="right"/>
              <w:spacing w:after="0"/>
              <w:rPr>
                <w:sz w:val="20"/>
                <w:szCs w:val="20"/>
                <w:color w:val="auto"/>
              </w:rPr>
            </w:pPr>
            <w:r>
              <w:rPr>
                <w:rFonts w:ascii="Arial" w:cs="Arial" w:eastAsia="Arial" w:hAnsi="Arial"/>
                <w:sz w:val="16"/>
                <w:szCs w:val="16"/>
                <w:color w:val="auto"/>
              </w:rPr>
              <w:t>Income taxes recognized during the three and six months ended June 30, 2023 and June 30, 2022, comprise: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76"/>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3"/>
          </w:tcPr>
          <w:p>
            <w:pPr>
              <w:spacing w:after="0"/>
              <w:rPr>
                <w:sz w:val="24"/>
                <w:szCs w:val="24"/>
                <w:color w:val="auto"/>
              </w:rPr>
            </w:pPr>
          </w:p>
        </w:tc>
      </w:tr>
      <w:tr>
        <w:trPr>
          <w:trHeight w:val="216"/>
        </w:trPr>
        <w:tc>
          <w:tcPr>
            <w:tcW w:w="50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3"/>
            <w:shd w:val="clear" w:color="auto" w:fill="CCEEFF"/>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3"/>
            <w:shd w:val="clear" w:color="auto" w:fill="CCEEFF"/>
          </w:tcPr>
          <w:p>
            <w:pPr>
              <w:jc w:val="center"/>
              <w:ind w:right="1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June 30, 2023</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5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7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9,629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14,254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27,540</w:t>
            </w:r>
          </w:p>
        </w:tc>
      </w:tr>
      <w:tr>
        <w:trPr>
          <w:trHeight w:val="23"/>
        </w:trPr>
        <w:tc>
          <w:tcPr>
            <w:tcW w:w="5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As at June 30, 2023 the Company maintains a $249.6 million liability (December 31, 2022: $240.2 million) for unrecognized tax benefit, which is comprised of $220.4 million (December 31, 2022: $217.6 million) related to items generating unrecognized tax benefits and $29.2 million (December 31, 2022: $22.6 million) for interest and penalties related to such items. The Company recognizes interest accrued on unrecognized tax benefits as an additional income tax expense.</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2022 tax years. During such audits, local tax authorities may challenge the positions taken by us in our tax returns.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income per ordinary share</w:t>
      </w:r>
    </w:p>
    <w:p>
      <w:pPr>
        <w:spacing w:after="0" w:line="2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18"/>
                <w:szCs w:val="18"/>
                <w:color w:val="auto"/>
              </w:rPr>
            </w:pPr>
          </w:p>
        </w:tc>
        <w:tc>
          <w:tcPr>
            <w:tcW w:w="3900" w:type="dxa"/>
            <w:vAlign w:val="bottom"/>
            <w:tcBorders>
              <w:bottom w:val="single" w:sz="8" w:color="auto"/>
            </w:tcBorders>
            <w:gridSpan w:val="2"/>
            <w:shd w:val="clear" w:color="auto" w:fill="CCEEFF"/>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c>
          <w:tcPr>
            <w:tcW w:w="2900" w:type="dxa"/>
            <w:vAlign w:val="bottom"/>
            <w:tcBorders>
              <w:bottom w:val="single" w:sz="8" w:color="auto"/>
            </w:tcBorders>
            <w:gridSpan w:val="2"/>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2022</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159"/>
        </w:trPr>
        <w:tc>
          <w:tcPr>
            <w:tcW w:w="44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Weighted average number of ordinary shares outstanding for</w:t>
            </w:r>
          </w:p>
        </w:tc>
        <w:tc>
          <w:tcPr>
            <w:tcW w:w="216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81,999,746</w:t>
            </w:r>
          </w:p>
        </w:tc>
        <w:tc>
          <w:tcPr>
            <w:tcW w:w="17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81,398,071</w:t>
            </w:r>
          </w:p>
        </w:tc>
        <w:tc>
          <w:tcPr>
            <w:tcW w:w="15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81,892,662</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81,430,507</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per ordinary share</w:t>
            </w:r>
          </w:p>
        </w:tc>
        <w:tc>
          <w:tcPr>
            <w:tcW w:w="216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440" w:type="dxa"/>
            <w:vAlign w:val="bottom"/>
          </w:tcPr>
          <w:p>
            <w:pPr>
              <w:ind w:left="20"/>
              <w:spacing w:after="0" w:line="165" w:lineRule="exact"/>
              <w:rPr>
                <w:sz w:val="20"/>
                <w:szCs w:val="20"/>
                <w:color w:val="auto"/>
              </w:rPr>
            </w:pPr>
            <w:r>
              <w:rPr>
                <w:rFonts w:ascii="Arial" w:cs="Arial" w:eastAsia="Arial" w:hAnsi="Arial"/>
                <w:sz w:val="16"/>
                <w:szCs w:val="16"/>
                <w:color w:val="auto"/>
              </w:rPr>
              <w:t>Effect of dilutive share options and other awards outstanding</w:t>
            </w:r>
          </w:p>
        </w:tc>
        <w:tc>
          <w:tcPr>
            <w:tcW w:w="2160" w:type="dxa"/>
            <w:vAlign w:val="bottom"/>
            <w:vMerge w:val="restart"/>
          </w:tcPr>
          <w:p>
            <w:pPr>
              <w:jc w:val="right"/>
              <w:ind w:right="399"/>
              <w:spacing w:after="0"/>
              <w:rPr>
                <w:sz w:val="20"/>
                <w:szCs w:val="20"/>
                <w:color w:val="auto"/>
              </w:rPr>
            </w:pPr>
            <w:r>
              <w:rPr>
                <w:rFonts w:ascii="Arial" w:cs="Arial" w:eastAsia="Arial" w:hAnsi="Arial"/>
                <w:sz w:val="16"/>
                <w:szCs w:val="16"/>
                <w:color w:val="auto"/>
              </w:rPr>
              <w:t>628,187</w:t>
            </w:r>
          </w:p>
        </w:tc>
        <w:tc>
          <w:tcPr>
            <w:tcW w:w="1740" w:type="dxa"/>
            <w:vAlign w:val="bottom"/>
            <w:vMerge w:val="restart"/>
          </w:tcPr>
          <w:p>
            <w:pPr>
              <w:jc w:val="right"/>
              <w:ind w:right="239"/>
              <w:spacing w:after="0"/>
              <w:rPr>
                <w:sz w:val="20"/>
                <w:szCs w:val="20"/>
                <w:color w:val="auto"/>
              </w:rPr>
            </w:pPr>
            <w:r>
              <w:rPr>
                <w:rFonts w:ascii="Arial" w:cs="Arial" w:eastAsia="Arial" w:hAnsi="Arial"/>
                <w:sz w:val="16"/>
                <w:szCs w:val="16"/>
                <w:color w:val="auto"/>
              </w:rPr>
              <w:t>914,875</w:t>
            </w:r>
          </w:p>
        </w:tc>
        <w:tc>
          <w:tcPr>
            <w:tcW w:w="1560" w:type="dxa"/>
            <w:vAlign w:val="bottom"/>
            <w:vMerge w:val="restart"/>
          </w:tcPr>
          <w:p>
            <w:pPr>
              <w:jc w:val="right"/>
              <w:ind w:right="219"/>
              <w:spacing w:after="0"/>
              <w:rPr>
                <w:sz w:val="20"/>
                <w:szCs w:val="20"/>
                <w:color w:val="auto"/>
              </w:rPr>
            </w:pPr>
            <w:r>
              <w:rPr>
                <w:rFonts w:ascii="Arial" w:cs="Arial" w:eastAsia="Arial" w:hAnsi="Arial"/>
                <w:sz w:val="16"/>
                <w:szCs w:val="16"/>
                <w:color w:val="auto"/>
              </w:rPr>
              <w:t>724,729</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1,032,335</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under share based compensation programs</w:t>
            </w:r>
          </w:p>
        </w:tc>
        <w:tc>
          <w:tcPr>
            <w:tcW w:w="21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Weighted average number of ordinary shares outstanding for</w:t>
            </w:r>
          </w:p>
        </w:tc>
        <w:tc>
          <w:tcPr>
            <w:tcW w:w="216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82,627,933</w:t>
            </w:r>
          </w:p>
        </w:tc>
        <w:tc>
          <w:tcPr>
            <w:tcW w:w="17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82,312,946</w:t>
            </w:r>
          </w:p>
        </w:tc>
        <w:tc>
          <w:tcPr>
            <w:tcW w:w="15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82,617,391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82,462,842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net income per ordinary share</w:t>
            </w:r>
          </w:p>
        </w:tc>
        <w:tc>
          <w:tcPr>
            <w:tcW w:w="2160" w:type="dxa"/>
            <w:vAlign w:val="bottom"/>
            <w:tcBorders>
              <w:bottom w:val="single" w:sz="8" w:color="auto"/>
            </w:tcBorders>
            <w:vMerge w:val="continue"/>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auto"/>
            </w:tcBorders>
            <w:gridSpan w:val="2"/>
            <w:shd w:val="clear" w:color="auto" w:fill="CCEEFF"/>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c>
          <w:tcPr>
            <w:tcW w:w="2880" w:type="dxa"/>
            <w:vAlign w:val="bottom"/>
            <w:tcBorders>
              <w:bottom w:val="single" w:sz="8" w:color="auto"/>
            </w:tcBorders>
            <w:gridSpan w:val="2"/>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2022</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w:t>
            </w:r>
          </w:p>
        </w:tc>
        <w:tc>
          <w:tcPr>
            <w:tcW w:w="2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Basic</w:t>
            </w:r>
          </w:p>
        </w:tc>
        <w:tc>
          <w:tcPr>
            <w:tcW w:w="2140" w:type="dxa"/>
            <w:vAlign w:val="bottom"/>
          </w:tcPr>
          <w:p>
            <w:pPr>
              <w:jc w:val="right"/>
              <w:ind w:right="379"/>
              <w:spacing w:after="0"/>
              <w:rPr>
                <w:sz w:val="20"/>
                <w:szCs w:val="20"/>
                <w:color w:val="auto"/>
              </w:rPr>
            </w:pPr>
            <w:r>
              <w:rPr>
                <w:rFonts w:ascii="Arial" w:cs="Arial" w:eastAsia="Arial" w:hAnsi="Arial"/>
                <w:sz w:val="16"/>
                <w:szCs w:val="16"/>
                <w:color w:val="auto"/>
              </w:rPr>
              <w:t>1.41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1.42</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2.84</w:t>
            </w:r>
          </w:p>
        </w:tc>
        <w:tc>
          <w:tcPr>
            <w:tcW w:w="13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41"/>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1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1.40</w:t>
            </w:r>
          </w:p>
        </w:tc>
        <w:tc>
          <w:tcPr>
            <w:tcW w:w="17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w:t>
            </w:r>
          </w:p>
        </w:tc>
        <w:tc>
          <w:tcPr>
            <w:tcW w:w="1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2.81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0"/>
        </w:trPr>
        <w:tc>
          <w:tcPr>
            <w:tcW w:w="44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14.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six months ended June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Weighted</w:t>
            </w:r>
          </w:p>
        </w:tc>
        <w:tc>
          <w:tcPr>
            <w:tcW w:w="184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6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84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244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Average</w:t>
            </w:r>
          </w:p>
        </w:tc>
        <w:tc>
          <w:tcPr>
            <w:tcW w:w="184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 Grant</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2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4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Exercise</w:t>
            </w:r>
          </w:p>
        </w:tc>
        <w:tc>
          <w:tcPr>
            <w:tcW w:w="184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Date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Price</w:t>
            </w:r>
          </w:p>
        </w:tc>
        <w:tc>
          <w:tcPr>
            <w:tcW w:w="18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Fair Value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1,378,119</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119.86</w:t>
            </w:r>
          </w:p>
        </w:tc>
        <w:tc>
          <w:tcPr>
            <w:tcW w:w="1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Granted</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82,472</w:t>
            </w: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232.48</w:t>
            </w: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(229,953)</w:t>
            </w: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87.69</w:t>
            </w: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Canceled/expired</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(6,885)</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116.33</w:t>
            </w:r>
          </w:p>
        </w:tc>
        <w:tc>
          <w:tcPr>
            <w:tcW w:w="1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2023</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1,223,753</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133.51</w:t>
            </w:r>
          </w:p>
        </w:tc>
        <w:tc>
          <w:tcPr>
            <w:tcW w:w="1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June 30, 2023</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952,614</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113.27</w:t>
            </w:r>
          </w:p>
        </w:tc>
        <w:tc>
          <w:tcPr>
            <w:tcW w:w="1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June 30, 2023 was 952,614. Fully vested share options at June 30, 2023 have an average remaining contractual term of 4.20 years and an average exercise price of $113.27.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six months ended June 30, 2023 and June 30, 2022 was calculated using the Black-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7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85.12</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68.40</w:t>
            </w:r>
          </w:p>
        </w:tc>
      </w:tr>
      <w:tr>
        <w:trPr>
          <w:trHeight w:val="175"/>
        </w:trPr>
        <w:tc>
          <w:tcPr>
            <w:tcW w:w="20" w:type="dxa"/>
            <w:vAlign w:val="bottom"/>
          </w:tcPr>
          <w:p>
            <w:pPr>
              <w:spacing w:after="0"/>
              <w:rPr>
                <w:sz w:val="15"/>
                <w:szCs w:val="15"/>
                <w:color w:val="auto"/>
              </w:rPr>
            </w:pPr>
          </w:p>
        </w:tc>
        <w:tc>
          <w:tcPr>
            <w:tcW w:w="774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3.98 %</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13"/>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4"/>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2" w:name="page23"/>
    <w:bookmarkEnd w:id="22"/>
    <w:p>
      <w:pPr>
        <w:jc w:val="both"/>
        <w:ind w:firstLine="648"/>
        <w:spacing w:after="0" w:line="262"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2021 and 2022 vest in twelve months.</w:t>
      </w:r>
    </w:p>
    <w:p>
      <w:pPr>
        <w:spacing w:after="0" w:line="211" w:lineRule="exact"/>
        <w:rPr>
          <w:sz w:val="20"/>
          <w:szCs w:val="20"/>
          <w:color w:val="auto"/>
        </w:rPr>
      </w:pPr>
    </w:p>
    <w:p>
      <w:pPr>
        <w:ind w:right="340" w:firstLine="180"/>
        <w:spacing w:after="0" w:line="27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six months ended June 30,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66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5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PSU</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66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54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Weighted</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66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200" w:type="dxa"/>
            <w:vAlign w:val="bottom"/>
            <w:gridSpan w:val="2"/>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Average Grant Date</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 Date</w:t>
            </w:r>
          </w:p>
        </w:tc>
      </w:tr>
      <w:tr>
        <w:trPr>
          <w:trHeight w:val="216"/>
        </w:trPr>
        <w:tc>
          <w:tcPr>
            <w:tcW w:w="366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5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Fair Value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152,420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192.29</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582,612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207.73</w:t>
            </w:r>
          </w:p>
        </w:tc>
      </w:tr>
      <w:tr>
        <w:trPr>
          <w:trHeight w:val="243"/>
        </w:trPr>
        <w:tc>
          <w:tcPr>
            <w:tcW w:w="366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Granted</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60,374</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19"/>
              <w:spacing w:after="0"/>
              <w:rPr>
                <w:sz w:val="20"/>
                <w:szCs w:val="20"/>
                <w:color w:val="auto"/>
              </w:rPr>
            </w:pPr>
            <w:r>
              <w:rPr>
                <w:rFonts w:ascii="Arial" w:cs="Arial" w:eastAsia="Arial" w:hAnsi="Arial"/>
                <w:sz w:val="16"/>
                <w:szCs w:val="16"/>
                <w:color w:val="auto"/>
              </w:rPr>
              <w:t>232.51</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294,683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217.52</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159.57</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(150,515)</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187.96</w:t>
            </w:r>
          </w:p>
        </w:tc>
      </w:tr>
      <w:tr>
        <w:trPr>
          <w:trHeight w:val="22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209.13</w:t>
            </w:r>
          </w:p>
        </w:tc>
      </w:tr>
      <w:tr>
        <w:trPr>
          <w:trHeight w:val="243"/>
        </w:trPr>
        <w:tc>
          <w:tcPr>
            <w:tcW w:w="366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2023</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165,768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216.22</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695,384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216.09</w:t>
            </w:r>
          </w:p>
        </w:tc>
      </w:tr>
      <w:tr>
        <w:trPr>
          <w:trHeight w:val="23"/>
        </w:trPr>
        <w:tc>
          <w:tcPr>
            <w:tcW w:w="36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six months ended June 30, 2023 totaled $7.5 million (full year 2022: $6.5 million).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six months ended June 30, 2023 totaled $28.3 million (full year 2022: $34.1 million).</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PSUs vest based on service and specified EPS targets over the periods 2021 - 2023, 2022 - 2024, and 2023 - 2025. Depending on the amount of EPS from 2021 to 2025, up to an additional 82,884 PSUs may also be granted.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Non-cash stock compensation expense for the three and six months ended June 30, 2023 and June 30, 2022 has been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08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2023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4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6,420</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5,833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12,088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10,832</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10,178</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19,269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w:t>
            </w:r>
          </w:p>
        </w:tc>
      </w:tr>
      <w:tr>
        <w:trPr>
          <w:trHeight w:val="243"/>
        </w:trPr>
        <w:tc>
          <w:tcPr>
            <w:tcW w:w="46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8"/>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16,598</w:t>
            </w:r>
          </w:p>
        </w:tc>
        <w:tc>
          <w:tcPr>
            <w:tcW w:w="6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19,283</w:t>
            </w:r>
          </w:p>
        </w:tc>
        <w:tc>
          <w:tcPr>
            <w:tcW w:w="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31,357</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38,186</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and the Company’s constitutional documents through open market share acquisitions.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 operates as one reporting segment, which is the provision of outsourced development services on a global basis to the pharmaceutical, biotechnology and medical devices industries.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Ireland remunerates other operating entities in the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The geographical distribution of the Company’s segment measures for the three and six months ended June 30, 2023 and June 30, 2022 and at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June 30, 2023 and December 31, 2022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1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2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gridSpan w:val="3"/>
          </w:tcPr>
          <w:p>
            <w:pPr>
              <w:spacing w:after="0"/>
              <w:rPr>
                <w:sz w:val="9"/>
                <w:szCs w:val="9"/>
                <w:color w:val="auto"/>
              </w:rPr>
            </w:pPr>
          </w:p>
        </w:tc>
      </w:tr>
      <w:tr>
        <w:trPr>
          <w:trHeight w:val="216"/>
        </w:trPr>
        <w:tc>
          <w:tcPr>
            <w:tcW w:w="50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5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Ireland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593,407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500,972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1,105,241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868,330</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373,810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428,393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788,033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884,458</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848,019</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894,016</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1,692,423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1,864,645</w:t>
            </w:r>
          </w:p>
        </w:tc>
      </w:tr>
      <w:tr>
        <w:trPr>
          <w:trHeight w:val="22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205,015</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111,812</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413,132</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219,524</w:t>
            </w:r>
          </w:p>
        </w:tc>
      </w:tr>
      <w:tr>
        <w:trPr>
          <w:trHeight w:val="229"/>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2,020,251</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1,935,193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3,998,829</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3,836,957</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Ireland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125,896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55,544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177,223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65,418</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22,489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59,173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82,255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118,682</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55,744</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53,321</w:t>
            </w:r>
          </w:p>
        </w:tc>
        <w:tc>
          <w:tcPr>
            <w:tcW w:w="3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143,833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113,789</w:t>
            </w:r>
          </w:p>
        </w:tc>
      </w:tr>
      <w:tr>
        <w:trPr>
          <w:trHeight w:val="22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5,355</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9,751</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22,962</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50,239</w:t>
            </w:r>
          </w:p>
        </w:tc>
      </w:tr>
      <w:tr>
        <w:trPr>
          <w:trHeight w:val="243"/>
        </w:trPr>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8"/>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209,484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177,789</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426,273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348,128</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4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420" w:type="dxa"/>
            <w:vAlign w:val="bottom"/>
            <w:gridSpan w:val="3"/>
          </w:tcPr>
          <w:p>
            <w:pPr>
              <w:jc w:val="right"/>
              <w:ind w:right="12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148,242</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143,025</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5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95,048</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99,721</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5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195,407</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213,311</w:t>
            </w:r>
          </w:p>
        </w:tc>
      </w:tr>
      <w:tr>
        <w:trPr>
          <w:trHeight w:val="22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5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52,338</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48,095</w:t>
            </w:r>
          </w:p>
        </w:tc>
      </w:tr>
      <w:tr>
        <w:trPr>
          <w:trHeight w:val="243"/>
        </w:trPr>
        <w:tc>
          <w:tcPr>
            <w:tcW w:w="42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491,035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504,152</w:t>
            </w:r>
          </w:p>
        </w:tc>
      </w:tr>
      <w:tr>
        <w:trPr>
          <w:trHeight w:val="23"/>
        </w:trPr>
        <w:tc>
          <w:tcPr>
            <w:tcW w:w="4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 statements were available to be issued. The Company has determined that there are no items to disclose.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2022. The consolidated financial statements have been prepared in accordance with accounting principles generally accepted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2023, we employed approximately 41,160 employees in 108 locations in 53 countries. During the three months ended June 30, 2023 we derived approximately 42.0%, 47.9% and 10.1% of our revenue in the United States, Europe and Rest of World, respectively.</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June 30, 2023 we had unsatisfied performance obligations of approximately $13.9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6"/>
          <w:szCs w:val="16"/>
          <w:color w:val="auto"/>
        </w:rPr>
        <w:t>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June 30, 2023</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3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3320" w:type="dxa"/>
            <w:vAlign w:val="bottom"/>
            <w:tcBorders>
              <w:bottom w:val="single" w:sz="8" w:color="auto"/>
            </w:tcBorders>
            <w:gridSpan w:val="2"/>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to 2023</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320" w:type="dxa"/>
            <w:vAlign w:val="bottom"/>
            <w:gridSpan w:val="2"/>
          </w:tcPr>
          <w:p>
            <w:pPr>
              <w:jc w:val="right"/>
              <w:ind w:right="699"/>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100.0 %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30"/>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6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70.8 %</w:t>
            </w:r>
          </w:p>
        </w:tc>
        <w:tc>
          <w:tcPr>
            <w:tcW w:w="1420" w:type="dxa"/>
            <w:vAlign w:val="bottom"/>
          </w:tcPr>
          <w:p>
            <w:pPr>
              <w:jc w:val="right"/>
              <w:spacing w:after="0"/>
              <w:rPr>
                <w:sz w:val="20"/>
                <w:szCs w:val="20"/>
                <w:color w:val="auto"/>
              </w:rPr>
            </w:pPr>
            <w:r>
              <w:rPr>
                <w:rFonts w:ascii="Arial" w:cs="Arial" w:eastAsia="Arial" w:hAnsi="Arial"/>
                <w:sz w:val="16"/>
                <w:szCs w:val="16"/>
                <w:color w:val="auto"/>
              </w:rPr>
              <w:t>71.9 %</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1.5 %</w:t>
            </w:r>
          </w:p>
        </w:tc>
        <w:tc>
          <w:tcPr>
            <w:tcW w:w="1420" w:type="dxa"/>
            <w:vAlign w:val="bottom"/>
          </w:tcPr>
          <w:p>
            <w:pPr>
              <w:jc w:val="right"/>
              <w:spacing w:after="0"/>
              <w:rPr>
                <w:sz w:val="20"/>
                <w:szCs w:val="20"/>
                <w:color w:val="auto"/>
              </w:rPr>
            </w:pPr>
            <w:r>
              <w:rPr>
                <w:rFonts w:ascii="Arial" w:cs="Arial" w:eastAsia="Arial" w:hAnsi="Arial"/>
                <w:sz w:val="16"/>
                <w:szCs w:val="16"/>
                <w:color w:val="auto"/>
              </w:rPr>
              <w:t>1.3 %</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18.5 %</w:t>
            </w:r>
          </w:p>
        </w:tc>
      </w:tr>
      <w:tr>
        <w:trPr>
          <w:trHeight w:val="21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Transaction and integration-related</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0.6 %</w:t>
            </w:r>
          </w:p>
        </w:tc>
        <w:tc>
          <w:tcPr>
            <w:tcW w:w="1420" w:type="dxa"/>
            <w:vAlign w:val="bottom"/>
          </w:tcPr>
          <w:p>
            <w:pPr>
              <w:jc w:val="right"/>
              <w:spacing w:after="0"/>
              <w:rPr>
                <w:sz w:val="20"/>
                <w:szCs w:val="20"/>
                <w:color w:val="auto"/>
              </w:rPr>
            </w:pPr>
            <w:r>
              <w:rPr>
                <w:rFonts w:ascii="Arial" w:cs="Arial" w:eastAsia="Arial" w:hAnsi="Arial"/>
                <w:sz w:val="16"/>
                <w:szCs w:val="16"/>
                <w:color w:val="auto"/>
              </w:rPr>
              <w:t>0.5 %</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43.0 %</w:t>
            </w: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6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9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58.6 %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9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10.4 %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7"/>
        </w:trPr>
        <w:tc>
          <w:tcPr>
            <w:tcW w:w="3700" w:type="dxa"/>
            <w:vAlign w:val="bottom"/>
            <w:gridSpan w:val="3"/>
          </w:tcPr>
          <w:p>
            <w:pPr>
              <w:spacing w:after="0"/>
              <w:rPr>
                <w:sz w:val="20"/>
                <w:szCs w:val="20"/>
                <w:color w:val="auto"/>
              </w:rPr>
            </w:pPr>
            <w:r>
              <w:rPr>
                <w:rFonts w:ascii="Arial" w:cs="Arial" w:eastAsia="Arial" w:hAnsi="Arial"/>
                <w:sz w:val="16"/>
                <w:szCs w:val="16"/>
                <w:b w:val="1"/>
                <w:bCs w:val="1"/>
                <w:color w:val="auto"/>
              </w:rPr>
              <w:t>Six Months Ended June 30, 2023</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gridSpan w:val="2"/>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2023</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June 30, 2022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to 2023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Percentage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100.0 %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2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70.6 %</w:t>
            </w:r>
          </w:p>
        </w:tc>
        <w:tc>
          <w:tcPr>
            <w:tcW w:w="1420" w:type="dxa"/>
            <w:vAlign w:val="bottom"/>
          </w:tcPr>
          <w:p>
            <w:pPr>
              <w:jc w:val="right"/>
              <w:spacing w:after="0"/>
              <w:rPr>
                <w:sz w:val="20"/>
                <w:szCs w:val="20"/>
                <w:color w:val="auto"/>
              </w:rPr>
            </w:pPr>
            <w:r>
              <w:rPr>
                <w:rFonts w:ascii="Arial" w:cs="Arial" w:eastAsia="Arial" w:hAnsi="Arial"/>
                <w:sz w:val="16"/>
                <w:szCs w:val="16"/>
                <w:color w:val="auto"/>
              </w:rPr>
              <w:t>72.2 %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1.5 %</w:t>
            </w:r>
          </w:p>
        </w:tc>
        <w:tc>
          <w:tcPr>
            <w:tcW w:w="14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Transaction and integration-related</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0.6 %</w:t>
            </w:r>
          </w:p>
        </w:tc>
        <w:tc>
          <w:tcPr>
            <w:tcW w:w="14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5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3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54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10.7 %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37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60" w:type="dxa"/>
            <w:vAlign w:val="bottom"/>
            <w:gridSpan w:val="2"/>
          </w:tcPr>
          <w:p>
            <w:pPr>
              <w:spacing w:after="0"/>
              <w:rPr>
                <w:sz w:val="10"/>
                <w:szCs w:val="10"/>
                <w:color w:val="auto"/>
              </w:rPr>
            </w:pPr>
          </w:p>
        </w:tc>
        <w:tc>
          <w:tcPr>
            <w:tcW w:w="1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6"/>
                <w:szCs w:val="16"/>
                <w:b w:val="1"/>
                <w:bCs w:val="1"/>
                <w:color w:val="auto"/>
              </w:rPr>
              <w:t>Three Months Ended</w:t>
            </w:r>
          </w:p>
        </w:tc>
        <w:tc>
          <w:tcPr>
            <w:tcW w:w="170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b w:val="1"/>
                <w:bCs w:val="1"/>
                <w:color w:val="auto"/>
              </w:rPr>
              <w:t>Change</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June 30,</w:t>
            </w:r>
          </w:p>
        </w:tc>
        <w:tc>
          <w:tcPr>
            <w:tcW w:w="17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vMerge w:val="continue"/>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2,020,251 $</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1,935,193 $</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85,058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Revenue for the three months ended June 30, 2023 increased by $85.1 million, or 4.4%, to $2,020.3 million, compared to $1,935.2 million for the three months ended June 30, 2022. Revenue increased by 4.3% in constant currency terms. The increase in revenue for the three months ended June 30, 2023 is due to continued organic growth across the Company's markets.</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During the three months ended June 30, 2023, we derived approximately 42.0%, 47.9% and 10.1% of our revenue in the United States, Europe and Rest of World respectively. During the three months ended June 30, 2023, $529.8 million or 26.2% of our revenues were derived from our top 5 customers. New customer accounts are continually added across the full portfolio of large pharma customers, mid-tier pharma customers and biotech customers.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Revenue in Ireland for the three months ended June 30, 2023 increased to $593.4 million compared to $501.0 million for the three months ended June 30, 2022. Regional revenue is principally a function of the Company’s global transfer pricing model (see </w:t>
      </w:r>
      <w:r>
        <w:rPr>
          <w:rFonts w:ascii="Arial" w:cs="Arial" w:eastAsia="Arial" w:hAnsi="Arial"/>
          <w:sz w:val="16"/>
          <w:szCs w:val="16"/>
          <w:i w:val="1"/>
          <w:iCs w:val="1"/>
          <w:color w:val="auto"/>
        </w:rPr>
        <w:t>note 16 - Business Segment and Geographical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decreased to $373.8 million compared to $428.4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2022. Revenue in the Rest of World region increased to $205.0 million compared to $111.8 million for the three months ended June 30, 2022. Revenue in the U.S. region decreased to $848.0 million from $894.0 million for the three months ended June 30, 2022.</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3"/>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3,998,829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3,836,957</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161,872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20" w:type="dxa"/>
            <w:vAlign w:val="bottom"/>
            <w:shd w:val="clear" w:color="auto" w:fill="000000"/>
          </w:tcPr>
          <w:p>
            <w:pPr>
              <w:spacing w:after="0"/>
              <w:rPr>
                <w:sz w:val="18"/>
                <w:szCs w:val="18"/>
                <w:color w:val="auto"/>
              </w:rPr>
            </w:pPr>
          </w:p>
        </w:tc>
      </w:tr>
    </w:tbl>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Revenue for the six months ended June 30, 2023 increased by $161.9 million, or 4.2%, to $3,998.8 million, compared to $3,837.0 million for the six months ended June 30, 2022. Revenue increased by 4.7% in constant currency terms. The increase in revenue for the six months ended June 30, 2023 is due to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6"/>
          <w:szCs w:val="16"/>
          <w:color w:val="auto"/>
        </w:rPr>
        <w:t>During the six months ended June 30, 2023 we derived approximately 42.4%, 47.3% and 10.3% of our revenue in the United States, Europe and Rest of World, respectively. During the six months ended June 30, 2023, $1,092.2 million or 27.3% of our revenues were derived from our top 5 customers. New customer accounts are continually added across the full portfolio of large pharma customers, mid-tier pharma customers and biotech customers.</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Revenue in Ireland for the six months ended June 30, 2023 increased to $1,105.2 million compared to $868.3 million for the six months ended June 30, 2022. Revenue in Ireland is principally a function of the Company’s global transfer pricing model (see </w:t>
      </w:r>
      <w:r>
        <w:rPr>
          <w:rFonts w:ascii="Arial" w:cs="Arial" w:eastAsia="Arial" w:hAnsi="Arial"/>
          <w:sz w:val="16"/>
          <w:szCs w:val="16"/>
          <w:i w:val="1"/>
          <w:iCs w:val="1"/>
          <w:color w:val="auto"/>
        </w:rPr>
        <w:t>note 17 - Business segment information</w:t>
      </w:r>
      <w:r>
        <w:rPr>
          <w:rFonts w:ascii="Arial" w:cs="Arial" w:eastAsia="Arial" w:hAnsi="Arial"/>
          <w:sz w:val="16"/>
          <w:szCs w:val="16"/>
          <w:color w:val="auto"/>
        </w:rPr>
        <w:t xml:space="preserve"> for further details). Revenue in our Rest of Europe region decreased to $788.0 million compared to $884.5 million for the six months ended June 30, 2022. Revenue in the Rest of World region increased to $413.1 million compared to $219.5 million for the six months ended June 30, 2022. Revenue in the U.S. region decreased to $1,692.4 million compared to $1,864.6 million for the six months ended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8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5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0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1,429,540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1,392,062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37,478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2,825,086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2,770,529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54,557</w:t>
            </w: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70.8 %</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71.9 %</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72.2 %</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2.0 %</w:t>
            </w:r>
          </w:p>
        </w:tc>
      </w:tr>
    </w:tbl>
    <w:p>
      <w:pPr>
        <w:spacing w:after="0" w:line="3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Direct costs for the three months ended June 30, 2023 increased by $37.5 million, or 2.7%, to $1,429.5 million compared to $1,392.1 million for the three months ended June 30, 2022. Direct costs consist primarily of investigator and other reimbursable costs, compensation, associated fringe benefits and share based compensation expense for project-related employees and other direct project driven costs. The increase in direct costs arose due to an increase in third party investigator and other reimbursable costs in the period to June 30, 2023 combined with an increase in other direct project related costs, an increase in travel related costs and an increase in laboratory costs.</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Direct costs for the six months ended June 30, 2023 increased by $54.6 million, or 2.0%, to $2,825.1 million compared to $2,770.5 million for the six months ended June 30, 2022. The increase in direct costs relates to an increase in third party investigator and other reimbursable costs, an increase in other direct project related costs, an increase in travel related cost and an increase in laboratory costs during the period. As a percentage of revenue, direct costs have decreased to 70.6% compared to 72.2% for the six months ended June 30, 2022.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6"/>
        </w:trPr>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 $</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187,806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189,953</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387,812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385,214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2,598</w:t>
            </w:r>
          </w:p>
        </w:tc>
      </w:tr>
      <w:tr>
        <w:trPr>
          <w:trHeight w:val="210"/>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9.3 %</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9.8 %</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9.7 %</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10.0 %</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0.7 %</w:t>
            </w:r>
          </w:p>
        </w:tc>
      </w:tr>
    </w:tbl>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Selling, general and administrative expenses for the three months ended June 30, 2023 decreased by $2.1 million, or 1.1%, to $187.8 million, compared to $190.0 million for the three months ended June 30, 2022.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decreased to 9.3% compared to 9.8% for the three months ended June 30, 2022. The decrease in selling, general and administrative expenses relates to decreases in general overhead costs, facility related costs, marketing costs, professional fees and a gain of $6.2 million related to the Oncacare acquisition. These decreases were offset by increases in personnel related expenditures and foreign exchange movements.</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Selling, general and administrative expenses for the six months ended June 30, 2023 increased by $2.6 million, or 0.7%, to $387.8 million compared to $385.2 million for the six months ended June 30, 2022. As a percentage of revenue, selling, general and administrative expenses have decreased to 9.7% compared to 10.0% for the six months ended June 30, 2022. The increase in costs for the six months ended June 30, 2023 is primarily due to an increase in foreign exchange losses driven mainly by the movement in the Euro to U.S. dollar exchange rate over the six month period compared to the six month period ended June 30, 2022, partially offset by a gain of $6.2 million related to the Oncacare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30,442</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25,694</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4,748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60,890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52,297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8,593</w:t>
            </w: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1.5 %</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1.3 %</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18.5 %</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114,617</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118,325</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229,295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233,127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(3,832)</w:t>
            </w: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5.7 %</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6.1 %</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6.1 %</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3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depreciation charge reflects investments in facilities, information systems and equipment to support the Company’s continued growth. The depreciation expense for the three months ended June 30, 2023 increased by $4.7 million, or 18.5%, to $30.4 million compared to $25.7 million for the three months ended June 30, 2022. As a percentage of revenue the depreciation expense was 1.5%, which increased from 1.3% for the three months ended June 30, 2022. The depreciation expense for the six months ended June 30, 2023 increased by $8.6 million, or 16.4%, to $60.9 million compared to $52.3 million for the six months ended June 30, 2022. As a percentage of revenue the depreciation expense was 1.5%, which increased from 1.4% for the six months ended June 30, 2022. The depreciation charge, from a value perspective, for the three and six months ended June 30, 2022 has increased mainly due to an increase in our depreciable asset base and additional spend related to computer hardware and software.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amortization expense represents the amortization of intangible assets acquired in business combinations. Amortization of intangibles for the three months ended June 30, 2023 decreased by $3.7 million, or 3.1%, to $114.6 million compared to $118.3 million for the three months ended June 30, 2022. As a percentage of revenue, the amortization expense decreased to 5.7%, compared to 6.1% for the three months ended June 30, 2022. The amortization expense for the six months ended June 30, 2023 decreased by $3.8 million, or 1.6%, to $229.3 million compared to $233.1 million for the six months ended June 30, 2022. As a percentage of revenue, the amortization expense was 5.7%, which decreased from 6.1% for the six months ended June 30, 2022.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Transaction and integration-</w:t>
            </w:r>
          </w:p>
        </w:tc>
        <w:tc>
          <w:tcPr>
            <w:tcW w:w="5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12,701</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8,884</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3,817</w:t>
            </w: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24,083</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20,969</w:t>
            </w: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3,114</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expenses</w:t>
            </w:r>
          </w:p>
        </w:tc>
        <w:tc>
          <w:tcPr>
            <w:tcW w:w="5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0.6 %</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0.5 %</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43.0 %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35,661</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22,486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13,175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45,390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26,693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18,697</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1.8 %</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1.2 %</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58.6 %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During the three and six months ended June 30, 2023, the Company incurred $48.4 million and $69.5 million, respectively, for restructuring, transaction and integration-related expenses. The charge includes transaction and integration costs of $12.7 million and costs amounting to $24.1 million comprising professional fees, severance arrangements, retention agreements and ongoing integration activities.</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During the three and six months ended June 30, 2023 the Company has undertaken a restructuring program aimed at realigning its workforce as well as reviewing its global office footprint and optimizing its locations to best fit the requirements of the Company. This program has resulted in a restructuring charge of $35.7 million in the three months ended June 30, 2023 and $45.4 million in the six months ended June 30, 2023.</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209,484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177,789</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31,695</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9.2 %</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17.8 %</w:t>
            </w:r>
          </w:p>
        </w:tc>
      </w:tr>
    </w:tbl>
    <w:p>
      <w:pPr>
        <w:spacing w:after="0" w:line="200" w:lineRule="exact"/>
        <w:rPr>
          <w:sz w:val="20"/>
          <w:szCs w:val="20"/>
          <w:color w:val="auto"/>
        </w:rPr>
      </w:pP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Income from operations for the three months ended June 30, 2023 increased by $31.7 million or 17.8% to $209.5 million compared to $177.8 million for the three months ended June 30, 2022. As a percentage of revenue, income from operations increased to 10.4% compared to 9.2% of revenue for the three months ended June 30,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increased to $125.9 million compared to $55.5 million for the three months ended June 30, 2022.</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Rest of Europe region, income from operations decreased to $22.5 million compared to $59.2 million for the three months ended June 30, 2022. As a percentage of revenues in the Rest of Europe region, income from operations in the Rest of Europe region decreased to 6.0% compared to 13.8% for the period ended June 30, 2022.</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U.S. region, income from operations increased by $2.4 million, to $55.7 million, compared to $53.3 million for the period ended June 30, 2022. As a percentage of revenues in the U.S. region, income from operations in the U.S. region increased to 6.6% compared to 6.0% for the period ended June 30, 2022.</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the Rest of World region, income from operations decreased by $4.4 million to $5.4 million compared to $9.8 million for the three months ended June 30, 2022. As percentage of revenues in other regions, income from operations in other regions decreased to 2.6% compared to 8.7% for the period ended June 30, 2022.</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5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426,273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348,128</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78,145</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10.7 %</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9.1 %</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22.4 %</w:t>
            </w:r>
          </w:p>
        </w:tc>
      </w:tr>
    </w:tbl>
    <w:p>
      <w:pPr>
        <w:spacing w:after="0" w:line="200" w:lineRule="exact"/>
        <w:rPr>
          <w:sz w:val="20"/>
          <w:szCs w:val="20"/>
          <w:color w:val="auto"/>
        </w:rPr>
      </w:pPr>
    </w:p>
    <w:p>
      <w:pPr>
        <w:spacing w:after="0" w:line="3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Income from operations for the six months ended June 30, 2023 increased by $78.1 million or 22.4% to $426.3 million compared to $348.1 million for the six months ended June 30, 2022. As a percentage of revenue, income from operations increased to 10.7% compared to 9.1% of revenue for the six months ended June 30, 2022.</w:t>
      </w:r>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Income from operations in Ireland increased to $177.2 million compared to $65.4 million for the six months ended June 30, 2022. Income from operations in Ireland and other geographic regions are reflective of the Company’s global transfer pricing model.</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Rest of Europe region, income from operations decreased to $82.3 million compared to $118.7 million for the six months ended June 30, 2022. As a percentage of revenues in the Rest of Europe region, income from operations in the Rest of Europe region decreased to 10.4% compared to 13.4% for the six months ended June 30, 2022.</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the U.S. region, income from operations increased by $30.0 million, to $143.8 million compared to $113.8 million, for the six months ended June 30, 2022. As a percentage of revenues in the US region, income from operations in the U.S. region increased to 8.5% compared to 6.1% for the six months ended June 30, 2022.</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other regions, income from operations decreased by $27.2 million to $23.0 million compared to $50.2 million for the six months ended June 30, 2022. As percentage of revenues in other regions, income from operations in other regions decreased to 5.6% compared to 22.9% for the six months ended June 30,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0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783</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1,728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589.8 %</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(85,206)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(47,111)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(38,095)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80.9 % $</w:t>
            </w:r>
          </w:p>
        </w:tc>
        <w:tc>
          <w:tcPr>
            <w:tcW w:w="880" w:type="dxa"/>
            <w:vAlign w:val="bottom"/>
          </w:tcPr>
          <w:p>
            <w:pPr>
              <w:jc w:val="right"/>
              <w:spacing w:after="0"/>
              <w:rPr>
                <w:sz w:val="20"/>
                <w:szCs w:val="20"/>
                <w:color w:val="auto"/>
              </w:rPr>
            </w:pPr>
            <w:r>
              <w:rPr>
                <w:rFonts w:ascii="Arial" w:cs="Arial" w:eastAsia="Arial" w:hAnsi="Arial"/>
                <w:sz w:val="16"/>
                <w:szCs w:val="16"/>
                <w:color w:val="auto"/>
              </w:rPr>
              <w:t>(171,757)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(91,536)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(80,221)</w:t>
            </w:r>
          </w:p>
        </w:tc>
        <w:tc>
          <w:tcPr>
            <w:tcW w:w="640" w:type="dxa"/>
            <w:vAlign w:val="bottom"/>
          </w:tcPr>
          <w:p>
            <w:pPr>
              <w:jc w:val="right"/>
              <w:spacing w:after="0"/>
              <w:rPr>
                <w:sz w:val="20"/>
                <w:szCs w:val="20"/>
                <w:color w:val="auto"/>
              </w:rPr>
            </w:pPr>
            <w:r>
              <w:rPr>
                <w:rFonts w:ascii="Arial" w:cs="Arial" w:eastAsia="Arial" w:hAnsi="Arial"/>
                <w:sz w:val="16"/>
                <w:szCs w:val="16"/>
                <w:color w:val="auto"/>
              </w:rPr>
              <w:t>87.6 %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for the three months ended June 30, 2023 increased to $85.2 million, compared to $47.1 million for the three months ended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June 30, 2022. The increase during the period reflects the impact of financing costs associated with the Merger and the impact of rising interest rates.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three months ended June 30, 2023 increased to $0.9 million, compared to $0.2 million for the three months ended June 30, 2022.</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Interest expense for the six months ended June 30, 2023 increased to $171.8 million, compared to $91.5 million for the six months ended June 30, 2022 due to the impact of financing costs associated with the Merger. Interest income for the six months ended June 30, 2023 increased to $2.0 million, compared to $0.3 million for the six months ended June 30, 2022. The increase in interest income can be attributed to rising interest rates over the last six months.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400" w:type="dxa"/>
            <w:vAlign w:val="bottom"/>
            <w:shd w:val="clear" w:color="auto" w:fill="CCEEFF"/>
          </w:tcPr>
          <w:p>
            <w:pPr>
              <w:spacing w:after="0"/>
              <w:rPr>
                <w:sz w:val="16"/>
                <w:szCs w:val="16"/>
                <w:color w:val="auto"/>
              </w:rPr>
            </w:pPr>
          </w:p>
        </w:tc>
        <w:tc>
          <w:tcPr>
            <w:tcW w:w="2560" w:type="dxa"/>
            <w:vAlign w:val="bottom"/>
            <w:gridSpan w:val="3"/>
            <w:shd w:val="clear" w:color="auto" w:fill="CCEEFF"/>
          </w:tcPr>
          <w:p>
            <w:pPr>
              <w:jc w:val="center"/>
              <w:ind w:right="519"/>
              <w:spacing w:after="0"/>
              <w:rPr>
                <w:sz w:val="20"/>
                <w:szCs w:val="20"/>
                <w:color w:val="auto"/>
              </w:rPr>
            </w:pPr>
            <w:r>
              <w:rPr>
                <w:rFonts w:ascii="Arial" w:cs="Arial" w:eastAsia="Arial" w:hAnsi="Arial"/>
                <w:sz w:val="16"/>
                <w:szCs w:val="16"/>
                <w:b w:val="1"/>
                <w:bCs w:val="1"/>
                <w:color w:val="auto"/>
              </w:rPr>
              <w:t>Six Months Ended</w:t>
            </w:r>
          </w:p>
        </w:tc>
        <w:tc>
          <w:tcPr>
            <w:tcW w:w="12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w w:val="99"/>
              </w:rPr>
              <w:t>June 30,</w:t>
            </w:r>
          </w:p>
        </w:tc>
        <w:tc>
          <w:tcPr>
            <w:tcW w:w="10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9,629</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14,254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(4,625)</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23,902</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27,540</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7.7 %</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10.9 %</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9.3 %</w:t>
            </w:r>
          </w:p>
        </w:tc>
        <w:tc>
          <w:tcPr>
            <w:tcW w:w="5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10.7 %</w:t>
            </w: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Provision for income taxes decreased to a $9.6 million charge for the three months ended June 30, 2023, compared to a $14.3 million charge for the three months ended June 30, 2022. The Company’s effective tax rate for the three months ended June 30, 2023 was 7.7% compared with 10.9% for the three months ended June 30, 2022.</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Provision for income taxes decreased to a $23.9 million charge for the six months ended June 30, 2023, compared to $27.5 million for the six months ended June 30, 2022. The Company’s effective tax rate for the six months ended June 30, 2023 was 9.3% compared with 10.7% for the six months ended June 30,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Net cash</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Other non-</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Effect of</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w:t>
            </w:r>
          </w:p>
        </w:tc>
        <w:tc>
          <w:tcPr>
            <w:tcW w:w="840" w:type="dxa"/>
            <w:vAlign w:val="bottom"/>
            <w:vMerge w:val="continue"/>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9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inflow/</w:t>
            </w:r>
          </w:p>
        </w:tc>
        <w:tc>
          <w:tcPr>
            <w:tcW w:w="11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cash</w:t>
            </w:r>
          </w:p>
        </w:tc>
        <w:tc>
          <w:tcPr>
            <w:tcW w:w="9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exchange</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Down)</w:t>
            </w: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(outflow)</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adjustments</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rates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 (in thousands)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288,768</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(19,104)</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270,176</w:t>
            </w:r>
          </w:p>
        </w:tc>
        <w:tc>
          <w:tcPr>
            <w:tcW w:w="0" w:type="dxa"/>
            <w:vAlign w:val="bottom"/>
          </w:tcPr>
          <w:p>
            <w:pPr>
              <w:spacing w:after="0"/>
              <w:rPr>
                <w:sz w:val="1"/>
                <w:szCs w:val="1"/>
                <w:color w:val="auto"/>
              </w:rPr>
            </w:pPr>
          </w:p>
        </w:tc>
      </w:tr>
      <w:tr>
        <w:trPr>
          <w:trHeight w:val="165"/>
        </w:trPr>
        <w:tc>
          <w:tcPr>
            <w:tcW w:w="1000" w:type="dxa"/>
            <w:vAlign w:val="bottom"/>
          </w:tcPr>
          <w:p>
            <w:pPr>
              <w:ind w:left="20"/>
              <w:spacing w:after="0" w:line="165" w:lineRule="exact"/>
              <w:rPr>
                <w:sz w:val="20"/>
                <w:szCs w:val="20"/>
                <w:color w:val="auto"/>
              </w:rPr>
            </w:pPr>
            <w:r>
              <w:rPr>
                <w:rFonts w:ascii="Arial" w:cs="Arial" w:eastAsia="Arial" w:hAnsi="Arial"/>
                <w:sz w:val="16"/>
                <w:szCs w:val="16"/>
                <w:color w:val="auto"/>
              </w:rPr>
              <w:t>Available</w:t>
            </w:r>
          </w:p>
        </w:tc>
        <w:tc>
          <w:tcPr>
            <w:tcW w:w="680" w:type="dxa"/>
            <w:vAlign w:val="bottom"/>
          </w:tcPr>
          <w:p>
            <w:pPr>
              <w:ind w:left="120"/>
              <w:spacing w:after="0" w:line="165" w:lineRule="exact"/>
              <w:rPr>
                <w:sz w:val="20"/>
                <w:szCs w:val="20"/>
                <w:color w:val="auto"/>
              </w:rPr>
            </w:pPr>
            <w:r>
              <w:rPr>
                <w:rFonts w:ascii="Arial" w:cs="Arial" w:eastAsia="Arial" w:hAnsi="Arial"/>
                <w:sz w:val="16"/>
                <w:szCs w:val="16"/>
                <w:color w:val="auto"/>
              </w:rPr>
              <w:t>for</w:t>
            </w:r>
          </w:p>
        </w:tc>
        <w:tc>
          <w:tcPr>
            <w:tcW w:w="560" w:type="dxa"/>
            <w:vAlign w:val="bottom"/>
          </w:tcPr>
          <w:p>
            <w:pPr>
              <w:ind w:left="60"/>
              <w:spacing w:after="0" w:line="165" w:lineRule="exact"/>
              <w:rPr>
                <w:sz w:val="20"/>
                <w:szCs w:val="20"/>
                <w:color w:val="auto"/>
              </w:rPr>
            </w:pPr>
            <w:r>
              <w:rPr>
                <w:rFonts w:ascii="Arial" w:cs="Arial" w:eastAsia="Arial" w:hAnsi="Arial"/>
                <w:sz w:val="16"/>
                <w:szCs w:val="16"/>
                <w:color w:val="auto"/>
              </w:rPr>
              <w:t>sale</w:t>
            </w: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color w:val="auto"/>
              </w:rPr>
              <w:t>1,713</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(60)</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Senior Secured Credit</w:t>
            </w: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Facilities &amp; Senior Secured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(4,654,187)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9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(7,899)</w:t>
            </w: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(4,312,086)</w:t>
            </w:r>
          </w:p>
        </w:tc>
        <w:tc>
          <w:tcPr>
            <w:tcW w:w="0" w:type="dxa"/>
            <w:vAlign w:val="bottom"/>
          </w:tcPr>
          <w:p>
            <w:pPr>
              <w:spacing w:after="0"/>
              <w:rPr>
                <w:sz w:val="1"/>
                <w:szCs w:val="1"/>
                <w:color w:val="auto"/>
              </w:rPr>
            </w:pPr>
          </w:p>
        </w:tc>
      </w:tr>
      <w:tr>
        <w:trPr>
          <w:trHeight w:val="215"/>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(4,363,706)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580,000</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(19,164)</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(7,899)</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(4,040,257)</w:t>
            </w:r>
          </w:p>
        </w:tc>
        <w:tc>
          <w:tcPr>
            <w:tcW w:w="0" w:type="dxa"/>
            <w:vAlign w:val="bottom"/>
          </w:tcPr>
          <w:p>
            <w:pPr>
              <w:spacing w:after="0"/>
              <w:rPr>
                <w:sz w:val="1"/>
                <w:szCs w:val="1"/>
                <w:color w:val="auto"/>
              </w:rPr>
            </w:pPr>
          </w:p>
        </w:tc>
      </w:tr>
      <w:tr>
        <w:trPr>
          <w:trHeight w:val="24"/>
        </w:trPr>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cash and short term investment balances at June 30, 2023 amounted to $271.8 million compared with cash and short term investment balances of $290.5 million at December 31, 2022.</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term loan facility will mature in July 2028 and the revolving loan facility will mature in July 2026. 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6.51%, representing one month SOFR plus a margin of 1.25%. In April 2023, the Company drew down $50.0 million of the senior secured revolving loan facility at an interest rate of 6.25%, representing one month SOFR plus a margin of 1.25%. In May 2023, the Company agreed with its lenders to increase the aggregate principal amount of the senior secured revolving loan facility from $300.0 million to $500.0 million. The Company repaid $80.0 million of the senior secured revolving loan facility on June 30, 2023.</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31, 2023 the Company repaid $250.0 million of the senior secured term loan facility and made a quarterly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of $75.3 million. This repayment resulted in an additional charge associated with previously capitalized fees of $2.2 million.</w:t>
      </w:r>
    </w:p>
    <w:p>
      <w:pPr>
        <w:spacing w:after="0" w:line="23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additional charge associated with previously capitalized fees of $1.2 million.</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senior secured notes will mature on July 15, 2026.</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Net cash provided by operating activities decreased by $29.6 million to $379.4 million for the six months ended June 30, 2023 as compared to net cash provided by operating activities of $409.0 million for the six months ended June 30, 2022. The decrease in net cash provided by operating activities of $29.6 million is due to changes in other assets and liabilities of $322.6 million, offset by changes in working capital of $248.5 million.</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The change in working capital is primarily attributable to an increase in accounts receivable of $0.3 million, an increase in unbilled revenue of $6.0 million and an increase in unearned revenue of $242.2 million. These changes result from differences in timing of revenue recognition and billing on clinical trials. The number of days’ revenue outstanding at June 30, 2023 was 52 days compared to 54 days at December 31, 2022 and 41 days at June 30, 2022. 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A decrease in the number of days’ revenue outstanding during a period will result in cash inflows to the Company while an increase in days revenue outstanding will lead to cash outflows.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Net cash used in investing activities was $68.7 million for the six months ended June 30, 2023 compared to net cash used in investing activities of $48.6 million for the six months ended June 30, 2022. Net cash used in investing activities during the six months ended June 30, 2023 was primarily related to cash outflows of $58.9 million for capital expenditures made mainly relating to investment in facilities and IT infrastructure, $5.1 million in relation to purchase of subsidiary undertakings, and $4.7 million in relation to investments in long-term 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Net cash used in financing activities during the six months ended June 30, 2023 amounted to $329.8 million compared to net cash used in financing activities of $484.9 million for the six months ended June 30, 2022. During the six months ended June 30, 2023, the Company made a net repayment of $350.0 million on external financing. This was offset by $20.2 million that was received by the Company from the exercise of share options.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As a result of these cash flows, cash and cash equivalents decreased by $18.6 million for the six months ended June 30, 2023 compared to a decrease of $137.3 million for the six months ended June 30,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an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the challenges associated with the integration of the PRA, competition and the continuing consolidation of the industry, the dependence on certain key executives, changes in the regulatory environment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February 24, 2023 for risks and uncertainties facing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680" w:type="dxa"/>
            <w:vAlign w:val="bottom"/>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7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1140" w:type="dxa"/>
            <w:vAlign w:val="bottom"/>
            <w:shd w:val="clear" w:color="auto" w:fill="CCEEFF"/>
          </w:tcPr>
          <w:p>
            <w:pPr>
              <w:spacing w:after="0"/>
              <w:rPr>
                <w:sz w:val="15"/>
                <w:szCs w:val="15"/>
                <w:color w:val="auto"/>
              </w:rPr>
            </w:pPr>
          </w:p>
        </w:tc>
        <w:tc>
          <w:tcPr>
            <w:tcW w:w="9680" w:type="dxa"/>
            <w:vAlign w:val="bottom"/>
            <w:shd w:val="clear" w:color="auto" w:fill="CCEEFF"/>
          </w:tcPr>
          <w:p>
            <w:pPr>
              <w:ind w:left="440"/>
              <w:spacing w:after="0" w:line="175" w:lineRule="exact"/>
              <w:rPr>
                <w:sz w:val="20"/>
                <w:szCs w:val="20"/>
                <w:color w:val="auto"/>
              </w:rPr>
            </w:pPr>
            <w:r>
              <w:rPr>
                <w:rFonts w:ascii="Arial" w:cs="Arial" w:eastAsia="Arial" w:hAnsi="Arial"/>
                <w:sz w:val="16"/>
                <w:szCs w:val="16"/>
                <w:color w:val="auto"/>
              </w:rPr>
              <w:t>Second Amendment to Credit Agreement, dated as of May 2, 2023, by and among various subsidiaries of ICON plc, Citibank,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N.A., as administrative agent and swingline lender, and various revolving lenders.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1"/>
        </w:trPr>
        <w:tc>
          <w:tcPr>
            <w:tcW w:w="1540" w:type="dxa"/>
            <w:vAlign w:val="bottom"/>
            <w:gridSpan w:val="3"/>
          </w:tcPr>
          <w:p>
            <w:pPr>
              <w:spacing w:after="0"/>
              <w:rPr>
                <w:sz w:val="20"/>
                <w:szCs w:val="20"/>
                <w:color w:val="auto"/>
              </w:rPr>
            </w:pPr>
            <w:r>
              <w:rPr>
                <w:rFonts w:ascii="Arial" w:cs="Arial" w:eastAsia="Arial" w:hAnsi="Arial"/>
                <w:sz w:val="16"/>
                <w:szCs w:val="16"/>
                <w:color w:val="auto"/>
              </w:rPr>
              <w:t>* Filed herewith</w:t>
            </w:r>
          </w:p>
        </w:tc>
        <w:tc>
          <w:tcPr>
            <w:tcW w:w="9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80" w:type="dxa"/>
            <w:vAlign w:val="bottom"/>
          </w:tcPr>
          <w:p>
            <w:pPr>
              <w:jc w:val="right"/>
              <w:ind w:right="541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SIGNATURES</w:t>
      </w:r>
    </w:p>
    <w:p>
      <w:pPr>
        <w:spacing w:after="0" w:line="256" w:lineRule="exact"/>
        <w:rPr>
          <w:sz w:val="20"/>
          <w:szCs w:val="20"/>
          <w:color w:val="auto"/>
        </w:rPr>
      </w:pPr>
    </w:p>
    <w:p>
      <w:pPr>
        <w:ind w:firstLine="2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0"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6403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6" w:lineRule="exact"/>
        <w:rPr>
          <w:sz w:val="20"/>
          <w:szCs w:val="20"/>
          <w:color w:val="auto"/>
        </w:rPr>
      </w:pPr>
    </w:p>
    <w:p>
      <w:pPr>
        <w:ind w:left="700" w:right="1720" w:hanging="7893"/>
        <w:spacing w:after="0" w:line="275" w:lineRule="auto"/>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28, 2023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134"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This SECOND AMENDMENT to the Credit Agreement referred to below, dated as of May 2, 2023 (this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by and among ICON LUXEMBOURG S.À R.L., a </w:t>
      </w:r>
      <w:r>
        <w:rPr>
          <w:rFonts w:ascii="Arial" w:cs="Arial" w:eastAsia="Arial" w:hAnsi="Arial"/>
          <w:sz w:val="21"/>
          <w:szCs w:val="21"/>
          <w:i w:val="1"/>
          <w:iCs w:val="1"/>
          <w:color w:val="auto"/>
        </w:rPr>
        <w:t>société à responsabilité limitée</w:t>
      </w:r>
      <w:r>
        <w:rPr>
          <w:rFonts w:ascii="Arial" w:cs="Arial" w:eastAsia="Arial" w:hAnsi="Arial"/>
          <w:sz w:val="21"/>
          <w:szCs w:val="21"/>
          <w:color w:val="auto"/>
        </w:rPr>
        <w:t xml:space="preserve"> incorporated and existing under Luxembourg law, having its registered office at 61, rue de Rollingergrund, L-2440, Luxembourg and registered with the Luxembourg register of commerce and companies (</w:t>
      </w:r>
      <w:r>
        <w:rPr>
          <w:rFonts w:ascii="Arial" w:cs="Arial" w:eastAsia="Arial" w:hAnsi="Arial"/>
          <w:sz w:val="21"/>
          <w:szCs w:val="21"/>
          <w:i w:val="1"/>
          <w:iCs w:val="1"/>
          <w:color w:val="auto"/>
        </w:rPr>
        <w:t>R.C.S. Luxembourg</w:t>
      </w:r>
      <w:r>
        <w:rPr>
          <w:rFonts w:ascii="Arial" w:cs="Arial" w:eastAsia="Arial" w:hAnsi="Arial"/>
          <w:sz w:val="21"/>
          <w:szCs w:val="21"/>
          <w:color w:val="auto"/>
        </w:rPr>
        <w:t>) under number B66588 (the “</w:t>
      </w:r>
      <w:r>
        <w:rPr>
          <w:rFonts w:ascii="Arial" w:cs="Arial" w:eastAsia="Arial" w:hAnsi="Arial"/>
          <w:sz w:val="21"/>
          <w:szCs w:val="21"/>
          <w:u w:val="single" w:color="auto"/>
          <w:color w:val="auto"/>
        </w:rPr>
        <w:t>Lux Borrower</w:t>
      </w:r>
      <w:r>
        <w:rPr>
          <w:rFonts w:ascii="Arial" w:cs="Arial" w:eastAsia="Arial" w:hAnsi="Arial"/>
          <w:sz w:val="21"/>
          <w:szCs w:val="21"/>
          <w:color w:val="auto"/>
        </w:rPr>
        <w:t>”), PRA HEALTH SCIENCES, INC., a Delaware corporation (the “</w:t>
      </w:r>
      <w:r>
        <w:rPr>
          <w:rFonts w:ascii="Arial" w:cs="Arial" w:eastAsia="Arial" w:hAnsi="Arial"/>
          <w:sz w:val="21"/>
          <w:szCs w:val="21"/>
          <w:u w:val="single" w:color="auto"/>
          <w:color w:val="auto"/>
        </w:rPr>
        <w:t>U.S. Borrower</w:t>
      </w:r>
      <w:r>
        <w:rPr>
          <w:rFonts w:ascii="Arial" w:cs="Arial" w:eastAsia="Arial" w:hAnsi="Arial"/>
          <w:sz w:val="21"/>
          <w:szCs w:val="21"/>
          <w:color w:val="auto"/>
        </w:rPr>
        <w:t>”), ICON CLINICAL RESEARCH LIMITED, a limited liability company incorporated under the laws of Ireland with registration number 201978 and with registered address at South County Business Park, Leopardstown, Dublin 18, Ireland (“</w:t>
      </w:r>
      <w:r>
        <w:rPr>
          <w:rFonts w:ascii="Arial" w:cs="Arial" w:eastAsia="Arial" w:hAnsi="Arial"/>
          <w:sz w:val="21"/>
          <w:szCs w:val="21"/>
          <w:u w:val="single" w:color="auto"/>
          <w:color w:val="auto"/>
        </w:rPr>
        <w:t>Icon Clinical</w:t>
      </w:r>
      <w:r>
        <w:rPr>
          <w:rFonts w:ascii="Arial" w:cs="Arial" w:eastAsia="Arial" w:hAnsi="Arial"/>
          <w:sz w:val="21"/>
          <w:szCs w:val="21"/>
          <w:color w:val="auto"/>
        </w:rPr>
        <w:t>”), ICON GLOBAL TREASURY UNLIMITED COMPANY, an unlimited liability company incorporated under the laws of Ireland with registration number 649443 and with registered address at South Country Business Park, Leopardstown, Dublin 18, Ireland (“</w:t>
      </w:r>
      <w:r>
        <w:rPr>
          <w:rFonts w:ascii="Arial" w:cs="Arial" w:eastAsia="Arial" w:hAnsi="Arial"/>
          <w:sz w:val="21"/>
          <w:szCs w:val="21"/>
          <w:u w:val="single" w:color="auto"/>
          <w:color w:val="auto"/>
        </w:rPr>
        <w:t>Icon Global</w:t>
      </w:r>
      <w:r>
        <w:rPr>
          <w:rFonts w:ascii="Arial" w:cs="Arial" w:eastAsia="Arial" w:hAnsi="Arial"/>
          <w:sz w:val="21"/>
          <w:szCs w:val="21"/>
          <w:color w:val="auto"/>
        </w:rPr>
        <w:t>”), ICON US HOLDINGS INC., a Delaware corporation (“</w:t>
      </w:r>
      <w:r>
        <w:rPr>
          <w:rFonts w:ascii="Arial" w:cs="Arial" w:eastAsia="Arial" w:hAnsi="Arial"/>
          <w:sz w:val="21"/>
          <w:szCs w:val="21"/>
          <w:u w:val="single" w:color="auto"/>
          <w:color w:val="auto"/>
        </w:rPr>
        <w:t>U.S. Holdco</w:t>
      </w:r>
      <w:r>
        <w:rPr>
          <w:rFonts w:ascii="Arial" w:cs="Arial" w:eastAsia="Arial" w:hAnsi="Arial"/>
          <w:sz w:val="21"/>
          <w:szCs w:val="21"/>
          <w:color w:val="auto"/>
        </w:rPr>
        <w:t>”, and collectively with Lux Borrower, U.S. Borrower, Icon Clinical and Icon Global, the “</w:t>
      </w:r>
      <w:r>
        <w:rPr>
          <w:rFonts w:ascii="Arial" w:cs="Arial" w:eastAsia="Arial" w:hAnsi="Arial"/>
          <w:sz w:val="21"/>
          <w:szCs w:val="21"/>
          <w:u w:val="single" w:color="auto"/>
          <w:color w:val="auto"/>
        </w:rPr>
        <w:t>Revolving Borrowers</w:t>
      </w:r>
      <w:r>
        <w:rPr>
          <w:rFonts w:ascii="Arial" w:cs="Arial" w:eastAsia="Arial" w:hAnsi="Arial"/>
          <w:sz w:val="21"/>
          <w:szCs w:val="21"/>
          <w:color w:val="auto"/>
        </w:rPr>
        <w:t xml:space="preserve">”), the other Loan Parties party hereto, CITIBANK, N.A. (“ </w:t>
      </w:r>
      <w:r>
        <w:rPr>
          <w:rFonts w:ascii="Arial" w:cs="Arial" w:eastAsia="Arial" w:hAnsi="Arial"/>
          <w:sz w:val="21"/>
          <w:szCs w:val="21"/>
          <w:u w:val="single" w:color="auto"/>
          <w:color w:val="auto"/>
        </w:rPr>
        <w:t>Citibank</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CITIBANK, N.A., as Swingline Lender (“</w:t>
      </w:r>
      <w:r>
        <w:rPr>
          <w:rFonts w:ascii="Arial" w:cs="Arial" w:eastAsia="Arial" w:hAnsi="Arial"/>
          <w:sz w:val="21"/>
          <w:szCs w:val="21"/>
          <w:u w:val="single" w:color="auto"/>
          <w:color w:val="auto"/>
        </w:rPr>
        <w:t>Swingline Lender</w:t>
      </w:r>
      <w:r>
        <w:rPr>
          <w:rFonts w:ascii="Arial" w:cs="Arial" w:eastAsia="Arial" w:hAnsi="Arial"/>
          <w:sz w:val="21"/>
          <w:szCs w:val="21"/>
          <w:color w:val="auto"/>
        </w:rPr>
        <w:t>”), the 2023 Incremental Revolving Lenders (as defined below), which include all of the Revolving Lenders both before and after giving effect to this Second Amendment and, thus, constitute the Required Revolving Lenders. Capitalized terms not otherwise defined in this Second Amendment have the same meanings as specified in the Credit Agreement (as defined below), as amended by this Second Amendment.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WHEREAS, the Revolving Borrowers, ICON PUBLIC LIMITED COMPANY, an Irish public limited company (“</w:t>
      </w:r>
      <w:r>
        <w:rPr>
          <w:rFonts w:ascii="Arial" w:cs="Arial" w:eastAsia="Arial" w:hAnsi="Arial"/>
          <w:sz w:val="19"/>
          <w:szCs w:val="19"/>
          <w:u w:val="single" w:color="auto"/>
          <w:color w:val="auto"/>
        </w:rPr>
        <w:t>Holdings</w:t>
      </w:r>
      <w:r>
        <w:rPr>
          <w:rFonts w:ascii="Arial" w:cs="Arial" w:eastAsia="Arial" w:hAnsi="Arial"/>
          <w:sz w:val="19"/>
          <w:szCs w:val="19"/>
          <w:color w:val="auto"/>
        </w:rPr>
        <w:t>”), the other parties party thereto, and the several Lenders (as defined in the Credit Agreement) from time to time party thereto and the Administrative Agent, have entered into that certain Credit Agreement, dated as of July 1, 2021 (together with all exhibits and schedules attached thereto, and as amended by that certain First Amendment to Credit Agreement, dated as of November 29, 2022,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as amended by this Second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of the Credit Agreement, the Revolving Borrowers have requested an increase to the existing Revolving Commitments in an aggregate principal amount of $200,000,000 (the “</w:t>
      </w:r>
      <w:r>
        <w:rPr>
          <w:rFonts w:ascii="Arial" w:cs="Arial" w:eastAsia="Arial" w:hAnsi="Arial"/>
          <w:sz w:val="19"/>
          <w:szCs w:val="19"/>
          <w:u w:val="single" w:color="auto"/>
          <w:color w:val="auto"/>
        </w:rPr>
        <w:t>2023 Incremental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and the loans made pursuant thereto, the “</w:t>
      </w:r>
      <w:r>
        <w:rPr>
          <w:rFonts w:ascii="Arial" w:cs="Arial" w:eastAsia="Arial" w:hAnsi="Arial"/>
          <w:sz w:val="19"/>
          <w:szCs w:val="19"/>
          <w:u w:val="single" w:color="auto"/>
          <w:color w:val="auto"/>
        </w:rPr>
        <w:t>2023 Incremental Revolving Loans</w:t>
      </w:r>
      <w:r>
        <w:rPr>
          <w:rFonts w:ascii="Arial" w:cs="Arial" w:eastAsia="Arial" w:hAnsi="Arial"/>
          <w:sz w:val="19"/>
          <w:szCs w:val="19"/>
          <w:color w:val="auto"/>
        </w:rPr>
        <w:t xml:space="preserve">”), to be provided by each lender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Second Amendment and party hereto (each, a “</w:t>
      </w:r>
      <w:r>
        <w:rPr>
          <w:rFonts w:ascii="Arial" w:cs="Arial" w:eastAsia="Arial" w:hAnsi="Arial"/>
          <w:sz w:val="19"/>
          <w:szCs w:val="19"/>
          <w:u w:val="single" w:color="auto"/>
          <w:color w:val="auto"/>
        </w:rPr>
        <w:t>2023 Incremental Revolving Lender</w:t>
      </w:r>
      <w:r>
        <w:rPr>
          <w:rFonts w:ascii="Arial" w:cs="Arial" w:eastAsia="Arial" w:hAnsi="Arial"/>
          <w:sz w:val="19"/>
          <w:szCs w:val="19"/>
          <w:color w:val="auto"/>
        </w:rPr>
        <w:t>”) and effective on the Second Amendment Effective Date (as defined below) pursuant to the terms hereof;</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of the Credit Agreement, the Revolving Borrowers have requested an increase of $75,000,000 to the maximum aggregate principal amount of Swingline Loans (the “</w:t>
      </w:r>
      <w:r>
        <w:rPr>
          <w:rFonts w:ascii="Arial" w:cs="Arial" w:eastAsia="Arial" w:hAnsi="Arial"/>
          <w:sz w:val="22"/>
          <w:szCs w:val="22"/>
          <w:u w:val="single" w:color="auto"/>
          <w:color w:val="auto"/>
        </w:rPr>
        <w:t>Swingline Increase</w:t>
      </w:r>
      <w:r>
        <w:rPr>
          <w:rFonts w:ascii="Arial" w:cs="Arial" w:eastAsia="Arial" w:hAnsi="Arial"/>
          <w:sz w:val="22"/>
          <w:szCs w:val="22"/>
          <w:color w:val="auto"/>
        </w:rPr>
        <w:t>”), to be effective on the Second Amendment Effective Date pursuant to the terms hereof;</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WHEREAS, as contemplated by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of the Credit Agreement, subject to the satisfaction of the conditions precedent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each of the Revolving Borrowers and the 2023 Incremental Revolving Lenders have determined, in their reasonable judgment and pursuant to its authority under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of the Credit Agreement, that it is necessary or appropriate to amend certain terms of the Credit Agreement as provided herein to give effect to the 2023 Incremental Revolving Commitments;</w:t>
      </w:r>
    </w:p>
    <w:p>
      <w:pPr>
        <w:sectPr>
          <w:pgSz w:w="11900" w:h="16838" w:orient="portrait"/>
          <w:cols w:equalWidth="0" w:num="1">
            <w:col w:w="11240"/>
          </w:cols>
          <w:pgMar w:left="320" w:top="98" w:right="339" w:bottom="1440" w:gutter="0" w:footer="0" w:header="0"/>
        </w:sectPr>
      </w:pPr>
    </w:p>
    <w:bookmarkStart w:id="37" w:name="page38"/>
    <w:bookmarkEnd w:id="37"/>
    <w:p>
      <w:pPr>
        <w:jc w:val="both"/>
        <w:ind w:firstLine="648"/>
        <w:spacing w:after="0" w:line="218" w:lineRule="auto"/>
        <w:rPr>
          <w:sz w:val="20"/>
          <w:szCs w:val="20"/>
          <w:color w:val="auto"/>
        </w:rPr>
      </w:pPr>
      <w:r>
        <w:rPr>
          <w:rFonts w:ascii="Arial" w:cs="Arial" w:eastAsia="Arial" w:hAnsi="Arial"/>
          <w:sz w:val="22"/>
          <w:szCs w:val="22"/>
          <w:color w:val="auto"/>
        </w:rPr>
        <w:t xml:space="preserve">WHEREAS, as contemplated by </w:t>
      </w:r>
      <w:r>
        <w:rPr>
          <w:rFonts w:ascii="Arial" w:cs="Arial" w:eastAsia="Arial" w:hAnsi="Arial"/>
          <w:sz w:val="22"/>
          <w:szCs w:val="22"/>
          <w:u w:val="single" w:color="auto"/>
          <w:color w:val="auto"/>
        </w:rPr>
        <w:t>Section 9.02(b)(viii)</w:t>
      </w:r>
      <w:r>
        <w:rPr>
          <w:rFonts w:ascii="Arial" w:cs="Arial" w:eastAsia="Arial" w:hAnsi="Arial"/>
          <w:sz w:val="22"/>
          <w:szCs w:val="22"/>
          <w:color w:val="auto"/>
        </w:rPr>
        <w:t xml:space="preserve"> of the Credit Agreement, subject to the satisfaction of the conditions precedent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each of the Revolving Borrowers, the Revolving Lenders party hereto (constituting the Required Revolving Lenders) and the Swingline Lender desire to amend the Credit Agreement to give effect to the Swingline Increase;</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each 2023 Incremental Revolving Lender is prepared to provide the 2023 Incremental Revolving Loans up to an amount equal to its 2023 Incremental Revolving Commitment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subject to the terms and conditions set forth herein and in the Amended Credit Agreement;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Swingline Lender is prepared to provide the Swingline Increase, subject to the terms and conditions set forth herein and in the Amended Credit Agreement; and</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each Loan Party party hereto (collectively, the “</w:t>
      </w:r>
      <w:r>
        <w:rPr>
          <w:rFonts w:ascii="Arial" w:cs="Arial" w:eastAsia="Arial" w:hAnsi="Arial"/>
          <w:sz w:val="22"/>
          <w:szCs w:val="22"/>
          <w:u w:val="single" w:color="auto"/>
          <w:color w:val="auto"/>
        </w:rPr>
        <w:t>Reaffirming Parties</w:t>
      </w:r>
      <w:r>
        <w:rPr>
          <w:rFonts w:ascii="Arial" w:cs="Arial" w:eastAsia="Arial" w:hAnsi="Arial"/>
          <w:sz w:val="22"/>
          <w:szCs w:val="22"/>
          <w:color w:val="auto"/>
        </w:rPr>
        <w:t>”, and each, a “</w:t>
      </w:r>
      <w:r>
        <w:rPr>
          <w:rFonts w:ascii="Arial" w:cs="Arial" w:eastAsia="Arial" w:hAnsi="Arial"/>
          <w:sz w:val="22"/>
          <w:szCs w:val="22"/>
          <w:u w:val="single" w:color="auto"/>
          <w:color w:val="auto"/>
        </w:rPr>
        <w:t>Reaffirming Party</w:t>
      </w:r>
      <w:r>
        <w:rPr>
          <w:rFonts w:ascii="Arial" w:cs="Arial" w:eastAsia="Arial" w:hAnsi="Arial"/>
          <w:sz w:val="22"/>
          <w:szCs w:val="22"/>
          <w:color w:val="auto"/>
        </w:rPr>
        <w:t>”) expects to realize substantial direct and indirect benefits as a result of this Second Amendment becoming effective and the consummation of the transactions contemplated hereby and agrees to reaffirm its obligations pursuant to the Credit Agreement, the Collateral Documents, and the other Loan Documents to which it is a party;</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NOW, THEREFORE, in consideration of the covenants and agreements contained herein, as well as other good and valuable consideration, the receipt and sufficiency of which are hereby acknowledged, the parties hereto agree as follows:</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2023 Incremental Revolving Commitments</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of the Credit Agreement, and subject solely to the satisfaction of the conditions precedent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on and as of the Second Amendment Effective Date:</w:t>
      </w:r>
    </w:p>
    <w:p>
      <w:pPr>
        <w:spacing w:after="0" w:line="159" w:lineRule="exact"/>
        <w:rPr>
          <w:sz w:val="20"/>
          <w:szCs w:val="20"/>
          <w:color w:val="auto"/>
        </w:rPr>
      </w:pPr>
    </w:p>
    <w:p>
      <w:pPr>
        <w:ind w:firstLine="656"/>
        <w:spacing w:after="0" w:line="232" w:lineRule="auto"/>
        <w:tabs>
          <w:tab w:leader="none" w:pos="1296"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Each 2023 Incremental Revolving Lender hereby severally and not jointly agrees to provide its respective 2023 Incremental Revolving Commitment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656"/>
        <w:spacing w:after="0" w:line="232" w:lineRule="auto"/>
        <w:tabs>
          <w:tab w:leader="none" w:pos="129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parties hereto agree that this Second Amendment shall constitute a “Loan Document” for all purposes of the Credit Agreement and the other Loan Documents.</w:t>
      </w:r>
    </w:p>
    <w:p>
      <w:pPr>
        <w:spacing w:after="0" w:line="158" w:lineRule="exact"/>
        <w:rPr>
          <w:rFonts w:ascii="Arial" w:cs="Arial" w:eastAsia="Arial" w:hAnsi="Arial"/>
          <w:sz w:val="22"/>
          <w:szCs w:val="22"/>
          <w:color w:val="auto"/>
        </w:rPr>
      </w:pPr>
    </w:p>
    <w:p>
      <w:pPr>
        <w:jc w:val="both"/>
        <w:ind w:firstLine="656"/>
        <w:spacing w:after="0" w:line="221" w:lineRule="auto"/>
        <w:tabs>
          <w:tab w:leader="none" w:pos="1296"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2023 Incremental Revolving Commitments shall constitute a Revolving Commitment Increase of each 2023 Incremental Revolving Lender under the Credit Agreement and the terms of the 2023 Incremental Revolving Loans and the 2023 Incremental Revolving Commitments shall have the same terms, including, without limitation, with respect to maturity, interest rate, margin and commitment fees, and shall be treated as the same Class as the existing Revolving Loans and the existing Revolving Commitment. Each reference to (i) the “Revolving Commitment,” (ii) the “Revolving Loans,” and (iii) the “Revolving Lenders” in the Amended Credit Agreement shall be deemed to include the 2023 Incremental Revolving Commitments, the 2023 Incremental Revolving Loans and each 2023 Incremental Revolving Lender, as applicable, and all related terms shall be deemed to have correlative meanings.</w:t>
      </w:r>
    </w:p>
    <w:p>
      <w:pPr>
        <w:spacing w:after="0" w:line="165" w:lineRule="exact"/>
        <w:rPr>
          <w:rFonts w:ascii="Arial" w:cs="Arial" w:eastAsia="Arial" w:hAnsi="Arial"/>
          <w:sz w:val="21"/>
          <w:szCs w:val="21"/>
          <w:color w:val="auto"/>
        </w:rPr>
      </w:pPr>
    </w:p>
    <w:p>
      <w:pPr>
        <w:ind w:firstLine="656"/>
        <w:spacing w:after="0" w:line="232" w:lineRule="auto"/>
        <w:tabs>
          <w:tab w:leader="none" w:pos="1296"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notice requirement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 xml:space="preserve"> of the Credit Agreement is hereby waived by the Administrative Agent and each 2023 Incremental Revolving Lender.</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296" w:val="left"/>
        </w:tabs>
        <w:numPr>
          <w:ilvl w:val="0"/>
          <w:numId w:val="3"/>
        </w:numPr>
        <w:rPr>
          <w:rFonts w:ascii="Arial" w:cs="Arial" w:eastAsia="Arial" w:hAnsi="Arial"/>
          <w:sz w:val="22"/>
          <w:szCs w:val="22"/>
          <w:color w:val="auto"/>
        </w:rPr>
      </w:pPr>
      <w:r>
        <w:rPr>
          <w:rFonts w:ascii="Arial" w:cs="Arial" w:eastAsia="Arial" w:hAnsi="Arial"/>
          <w:sz w:val="22"/>
          <w:szCs w:val="22"/>
          <w:color w:val="auto"/>
        </w:rPr>
        <w:t>On the Second Amendment Effective Date, (i) each Revolving Lender immediately prior to giving effect to the 2023 Incremental Revolving Commitments hereunder (the “</w:t>
      </w:r>
      <w:r>
        <w:rPr>
          <w:rFonts w:ascii="Arial" w:cs="Arial" w:eastAsia="Arial" w:hAnsi="Arial"/>
          <w:sz w:val="22"/>
          <w:szCs w:val="22"/>
          <w:u w:val="single" w:color="auto"/>
          <w:color w:val="auto"/>
        </w:rPr>
        <w:t>Existing Revolving Lenders</w:t>
      </w:r>
      <w:r>
        <w:rPr>
          <w:rFonts w:ascii="Arial" w:cs="Arial" w:eastAsia="Arial" w:hAnsi="Arial"/>
          <w:sz w:val="22"/>
          <w:szCs w:val="22"/>
          <w:color w:val="auto"/>
        </w:rPr>
        <w:t>”) will automatically and without further act be deemed to have assigned to the 2023 Incremental Revolving Lenders, and the 2023 Incremental Revolving Lenders will automatically and without further act be deemed to have assumed a portion of such Existing Revolving Lenders’ participations under the Amended Credit Agreement 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8" w:name="page39"/>
    <w:bookmarkEnd w:id="38"/>
    <w:p>
      <w:pPr>
        <w:jc w:val="both"/>
        <w:spacing w:after="0" w:line="242" w:lineRule="auto"/>
        <w:rPr>
          <w:sz w:val="20"/>
          <w:szCs w:val="20"/>
          <w:color w:val="auto"/>
        </w:rPr>
      </w:pPr>
      <w:r>
        <w:rPr>
          <w:rFonts w:ascii="Arial" w:cs="Arial" w:eastAsia="Arial" w:hAnsi="Arial"/>
          <w:sz w:val="19"/>
          <w:szCs w:val="19"/>
          <w:color w:val="auto"/>
        </w:rPr>
        <w:t xml:space="preserve">Swingline Loans and Letters of Credit, if applicable, such that, after giving effect to each deemed assignment and assumption of participations, all of the Revolving Lenders’ (including the 2023 Incremental Revolving Lenders) participations under the Amended Credit Agreement in Swingline Loans and Letters of Credit, if applicable, shall be held on a pro rata basis on the basis of their respective Revolving Credit Exposure (after giving effect to any increase in the Revolving Commitment pursuant to this Agreement), and (ii) if any Revolving Loans are outstanding on such date, the Existing Revolving Lenders will automatically and without further act be deemed to have assigned Revolving Loans to the 2023 Incremental Revolving Lender, and the 2023 Incremental Revolving Lender will automatically and without further act be deemed to have purchased such Revolving Loans, in each case to the extent necessary so that all of the Revolving Lenders participate in each outstanding Borrowing of Revolving Loans pro rata on the basis of their respective Revolving Credit Exposure (after giving effect to any increase in the Revolving Commitments pursuant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is understood and agreed that the minimum borrowing, pro rata borrowing and pro rata payment requirements contained elsewhere in the Credit Agreement shall not apply to the transactions effected pursuant to this clause (e).</w:t>
      </w:r>
    </w:p>
    <w:p>
      <w:pPr>
        <w:spacing w:after="0" w:line="385" w:lineRule="exact"/>
        <w:rPr>
          <w:sz w:val="20"/>
          <w:szCs w:val="20"/>
          <w:color w:val="auto"/>
        </w:rPr>
      </w:pPr>
    </w:p>
    <w:p>
      <w:pPr>
        <w:jc w:val="both"/>
        <w:ind w:firstLine="656"/>
        <w:spacing w:after="0" w:line="223"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In order to give effect to the provisions of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of the Credit Agreement, each of the Revolving Borrowers and the 2023 Incremental Revolving Lenders hereby acknowledge and agree that it is necessary and appropriate to amend the Credit Agreement pursuant to the terms of this Second Amendment.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Sections 2.20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9.02</w:t>
      </w:r>
      <w:r>
        <w:rPr>
          <w:rFonts w:ascii="Arial" w:cs="Arial" w:eastAsia="Arial" w:hAnsi="Arial"/>
          <w:sz w:val="22"/>
          <w:szCs w:val="22"/>
          <w:color w:val="auto"/>
        </w:rPr>
        <w:t xml:space="preserve"> of the Credit Agreement, the Amended Credit Agreement is, effective as of the Second Amendment Effective Date (as defined below), and subject to the satisfaction of the conditions precedent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the Credit Agreement shall be amended to reflect the Revolving Commitment Increase and the Swingline Increase as follows:</w:t>
      </w:r>
    </w:p>
    <w:p>
      <w:pPr>
        <w:spacing w:after="0" w:line="161" w:lineRule="exact"/>
        <w:rPr>
          <w:sz w:val="20"/>
          <w:szCs w:val="20"/>
          <w:color w:val="auto"/>
        </w:rPr>
      </w:pPr>
    </w:p>
    <w:p>
      <w:pPr>
        <w:ind w:firstLine="656"/>
        <w:spacing w:after="0" w:line="232" w:lineRule="auto"/>
        <w:tabs>
          <w:tab w:leader="none" w:pos="1296"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table setting forth the Initial Revolving Commitments on Schedule 2.01 of the Credit Agreement is hereby replaced with the table setting forth the Initial Revolving Commitments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ind w:firstLine="656"/>
        <w:spacing w:after="0" w:line="232" w:lineRule="auto"/>
        <w:tabs>
          <w:tab w:leader="none" w:pos="1296"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new definitions thereto in proper alphabetical order:</w:t>
      </w:r>
    </w:p>
    <w:p>
      <w:pPr>
        <w:spacing w:after="0" w:line="159"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shall mean that certain Second Amendment to Credit Agreement, dated as of May 2, 2023, by and among the Revolving Borrowers, the other Loan Parties party thereto, the Administrative Agent, the Swingline Lender, the 2023 Incremental Revolving Lenders party thereto and the Revolving Lenders constituting the Required Revolving Lenders.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means May 2, 2023.</w:t>
      </w:r>
    </w:p>
    <w:p>
      <w:pPr>
        <w:spacing w:after="0" w:line="179" w:lineRule="exact"/>
        <w:rPr>
          <w:sz w:val="20"/>
          <w:szCs w:val="20"/>
          <w:color w:val="auto"/>
        </w:rPr>
      </w:pPr>
    </w:p>
    <w:p>
      <w:pPr>
        <w:ind w:firstLine="656"/>
        <w:spacing w:after="0" w:line="232"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amending and restating the definition of “Initial Revolving Commitment” in its entirety as follows:</w:t>
      </w:r>
    </w:p>
    <w:p>
      <w:pPr>
        <w:spacing w:after="0" w:line="159"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Commitment</w:t>
      </w:r>
      <w:r>
        <w:rPr>
          <w:rFonts w:ascii="Arial" w:cs="Arial" w:eastAsia="Arial" w:hAnsi="Arial"/>
          <w:sz w:val="19"/>
          <w:szCs w:val="19"/>
          <w:color w:val="auto"/>
        </w:rPr>
        <w:t xml:space="preserve">” means, with respect to each Revolving Lender, its Revolving Commitment as of the Closing Date, as may be increased or decreased from time to time in accordance with this Agreement. The amount of each Revolving Lender’s Initial Revolving Commitment as of the Closing Date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The aggregate principal Dollar Amount of the Initial Revolving Commitments on the Closing Date was $300,000,000. After giving effect to the Revolving Commitment Increase contemplated by the Second Amendment, the aggregate Initial Revolving Commitments of all Lenders as of the Second Amendment Effective Date is $500,000,000,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22"/>
          <w:szCs w:val="22"/>
          <w:color w:val="auto"/>
        </w:rPr>
        <w:t>amount may be adjusted from time to time in accordance with the terms of this Agreement.</w:t>
      </w:r>
    </w:p>
    <w:p>
      <w:pPr>
        <w:spacing w:after="0" w:line="179" w:lineRule="exact"/>
        <w:rPr>
          <w:sz w:val="20"/>
          <w:szCs w:val="20"/>
          <w:color w:val="auto"/>
        </w:rPr>
      </w:pPr>
    </w:p>
    <w:p>
      <w:pPr>
        <w:ind w:firstLine="656"/>
        <w:spacing w:after="0" w:line="232" w:lineRule="auto"/>
        <w:tabs>
          <w:tab w:leader="none" w:pos="1296"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Section 2.05(a)(i) of the Credit Agreement is hereby amended by replacing the reference to “$25,000,000” therein with “$100,000,000”.</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The effectiveness of this Second Amendment is subject to the satisfaction (or written waiver) of the following conditions (the date of satisfaction of such conditions being referred to herein as the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59" w:lineRule="exact"/>
        <w:rPr>
          <w:sz w:val="20"/>
          <w:szCs w:val="20"/>
          <w:color w:val="auto"/>
        </w:rPr>
      </w:pPr>
    </w:p>
    <w:p>
      <w:pPr>
        <w:jc w:val="both"/>
        <w:ind w:firstLine="656"/>
        <w:spacing w:after="0" w:line="223"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Second Amendment shall have been duly executed by the Revolving Borrowers, the Loan Parties, the Administrative Agent, the Swingline Lender, the 2023 Incremental Revolving Lenders and the Revolving Lenders constituting the Required Revolving Lenders, and delivered to the Administrative Agent;</w:t>
      </w:r>
    </w:p>
    <w:p>
      <w:pPr>
        <w:spacing w:after="0" w:line="158"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Administrative Agent shall have received (i) a customary written opinion of Cahill Gordon &amp; Reindel LLP,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LLP, Irish counsel for the Administrative Agent and the Lenders, in form and substance reasonably acceptable to the Administrative Agent, (iv) a capacity opinion of Loyens &amp; Loeff Luxembourg S.à r.l., Luxembourg counsel for the Loan Parties, in form and substance reasonably acceptable to the Administrative Agent, (v) an enforceability opinion of NautaDutilh Avocats Luxembourg S.à r.l., Luxembourg counsel for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Second Amendment Effective Date, (B) addressed to the Administrative Agent and the Lenders, and, in each case, each of their permitted assigns, and (C) each Revolving Borrower and each other Loan Party and the Administrative Agent hereby request such counsel to deliver such opinions;</w:t>
      </w:r>
    </w:p>
    <w:p>
      <w:pPr>
        <w:spacing w:after="0" w:line="164"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dated the Second Amendment Effective Date executed by a Responsible Officer of Holdings confirming compliance with the conditions set forth in clauses (e), (f) and (g) of this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Administrative Agent shall have received (i) a copy of the certificate of incorporation, memorandum of association or articles of incorporation or association and all applicable, if any, certificates of incorporation on a change of name or certificates of re-registration or other formation documents, including all amendments thereto, of each Loan Party as of the Second Amendment Effective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 (ii) a certificate of the secretary or assistant secretary, manager or director of each Loan Party as of the Second Amendment Effective Date dated the Second Amendment Effective Date and certifying (A) that attached thereto is a true and complete copy of the by-laws (or similar governing documentation) of such Loan Party as in effect on the Second Amendment Effective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Second Amendment and other agreement related to or contemplated hereby to which such Person is a party, and that such resolutions have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0" w:name="page41"/>
    <w:bookmarkEnd w:id="40"/>
    <w:p>
      <w:pPr>
        <w:jc w:val="both"/>
        <w:spacing w:after="0" w:line="233" w:lineRule="auto"/>
        <w:rPr>
          <w:sz w:val="20"/>
          <w:szCs w:val="20"/>
          <w:color w:val="auto"/>
        </w:rPr>
      </w:pPr>
      <w:r>
        <w:rPr>
          <w:rFonts w:ascii="Arial" w:cs="Arial" w:eastAsia="Arial" w:hAnsi="Arial"/>
          <w:sz w:val="20"/>
          <w:szCs w:val="20"/>
          <w:color w:val="auto"/>
        </w:rPr>
        <w:t>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(iii) a certificate of another officer as to the incumbency and specimen signature of the secretary or assistant secretary (or manager or director, if applicable) executing the certificate pursuant to clause (ii) above; and (iv) with respect to any Loan Party incorporated in Luxembourg (A) an electronic copy of an excerpt (</w:t>
      </w:r>
      <w:r>
        <w:rPr>
          <w:rFonts w:ascii="Arial" w:cs="Arial" w:eastAsia="Arial" w:hAnsi="Arial"/>
          <w:sz w:val="20"/>
          <w:szCs w:val="20"/>
          <w:i w:val="1"/>
          <w:iCs w:val="1"/>
          <w:color w:val="auto"/>
        </w:rPr>
        <w:t>extrait</w:t>
      </w:r>
      <w:r>
        <w:rPr>
          <w:rFonts w:ascii="Arial" w:cs="Arial" w:eastAsia="Arial" w:hAnsi="Arial"/>
          <w:sz w:val="20"/>
          <w:szCs w:val="20"/>
          <w:color w:val="auto"/>
        </w:rPr>
        <w:t xml:space="preserve">) issued by the Luxembourg Register of Commerce and Companies dated as of the Second Amendment Effective Date; (B) an electronic copy of a certificate of non-registration of a judicial decision or of an administrative dissolution without liquidation </w:t>
      </w:r>
      <w:r>
        <w:rPr>
          <w:rFonts w:ascii="Arial" w:cs="Arial" w:eastAsia="Arial" w:hAnsi="Arial"/>
          <w:sz w:val="17"/>
          <w:szCs w:val="17"/>
          <w:color w:val="auto"/>
        </w:rPr>
        <w:t>(</w:t>
      </w:r>
      <w:r>
        <w:rPr>
          <w:rFonts w:ascii="Arial" w:cs="Arial" w:eastAsia="Arial" w:hAnsi="Arial"/>
          <w:sz w:val="17"/>
          <w:szCs w:val="17"/>
          <w:i w:val="1"/>
          <w:iCs w:val="1"/>
          <w:color w:val="auto"/>
        </w:rPr>
        <w:t>certificat de non-inscription d'une</w:t>
      </w:r>
      <w:r>
        <w:rPr>
          <w:rFonts w:ascii="Arial" w:cs="Arial" w:eastAsia="Arial" w:hAnsi="Arial"/>
          <w:sz w:val="20"/>
          <w:szCs w:val="20"/>
          <w:color w:val="auto"/>
        </w:rPr>
        <w:t xml:space="preserve"> </w:t>
      </w:r>
      <w:r>
        <w:rPr>
          <w:rFonts w:ascii="Arial" w:cs="Arial" w:eastAsia="Arial" w:hAnsi="Arial"/>
          <w:sz w:val="17"/>
          <w:szCs w:val="17"/>
          <w:i w:val="1"/>
          <w:iCs w:val="1"/>
          <w:color w:val="auto"/>
        </w:rPr>
        <w:t>décision judiciare ou de dissolution administrative sans liquidation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9"/>
          <w:szCs w:val="19"/>
          <w:color w:val="auto"/>
        </w:rPr>
        <w:t>issued by the Luxembourg Register of Commerce and Companies</w:t>
      </w:r>
      <w:r>
        <w:rPr>
          <w:rFonts w:ascii="Arial" w:cs="Arial" w:eastAsia="Arial" w:hAnsi="Arial"/>
          <w:sz w:val="17"/>
          <w:szCs w:val="17"/>
          <w:i w:val="1"/>
          <w:iCs w:val="1"/>
          <w:color w:val="auto"/>
        </w:rPr>
        <w:t xml:space="preserve"> </w:t>
      </w:r>
      <w:r>
        <w:rPr>
          <w:rFonts w:ascii="Arial" w:cs="Arial" w:eastAsia="Arial" w:hAnsi="Arial"/>
          <w:sz w:val="19"/>
          <w:szCs w:val="19"/>
          <w:color w:val="auto"/>
        </w:rPr>
        <w:t>on the Second Amendment Effective Date, stating that as of the date prior to the Second Amendment Effective Date, no judicial decision pursuant to which the Company would be subject to one of the judicial proceedings referred to therein including, but not limited to, bankruptcy (</w:t>
      </w:r>
      <w:r>
        <w:rPr>
          <w:rFonts w:ascii="Arial" w:cs="Arial" w:eastAsia="Arial" w:hAnsi="Arial"/>
          <w:sz w:val="19"/>
          <w:szCs w:val="19"/>
          <w:i w:val="1"/>
          <w:iCs w:val="1"/>
          <w:color w:val="auto"/>
        </w:rPr>
        <w:t>faillite</w:t>
      </w:r>
      <w:r>
        <w:rPr>
          <w:rFonts w:ascii="Arial" w:cs="Arial" w:eastAsia="Arial" w:hAnsi="Arial"/>
          <w:sz w:val="19"/>
          <w:szCs w:val="19"/>
          <w:color w:val="auto"/>
        </w:rPr>
        <w:t>),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reprieve from payments (</w:t>
      </w:r>
      <w:r>
        <w:rPr>
          <w:rFonts w:ascii="Arial" w:cs="Arial" w:eastAsia="Arial" w:hAnsi="Arial"/>
          <w:sz w:val="19"/>
          <w:szCs w:val="19"/>
          <w:i w:val="1"/>
          <w:iCs w:val="1"/>
          <w:color w:val="auto"/>
        </w:rPr>
        <w:t>sursis de paiement</w:t>
      </w:r>
      <w:r>
        <w:rPr>
          <w:rFonts w:ascii="Arial" w:cs="Arial" w:eastAsia="Arial" w:hAnsi="Arial"/>
          <w:sz w:val="19"/>
          <w:szCs w:val="19"/>
          <w:color w:val="auto"/>
        </w:rPr>
        <w:t>), composition with creditors (</w:t>
      </w:r>
      <w:r>
        <w:rPr>
          <w:rFonts w:ascii="Arial" w:cs="Arial" w:eastAsia="Arial" w:hAnsi="Arial"/>
          <w:sz w:val="19"/>
          <w:szCs w:val="19"/>
          <w:i w:val="1"/>
          <w:iCs w:val="1"/>
          <w:color w:val="auto"/>
        </w:rPr>
        <w:t>concordat préventif de la faillite</w:t>
      </w:r>
      <w:r>
        <w:rPr>
          <w:rFonts w:ascii="Arial" w:cs="Arial" w:eastAsia="Arial" w:hAnsi="Arial"/>
          <w:sz w:val="19"/>
          <w:szCs w:val="19"/>
          <w:color w:val="auto"/>
        </w:rPr>
        <w:t>) or judicial liquidation (</w:t>
      </w:r>
      <w:r>
        <w:rPr>
          <w:rFonts w:ascii="Arial" w:cs="Arial" w:eastAsia="Arial" w:hAnsi="Arial"/>
          <w:sz w:val="19"/>
          <w:szCs w:val="19"/>
          <w:i w:val="1"/>
          <w:iCs w:val="1"/>
          <w:color w:val="auto"/>
        </w:rPr>
        <w:t>liquidation judiciaire</w:t>
      </w:r>
      <w:r>
        <w:rPr>
          <w:rFonts w:ascii="Arial" w:cs="Arial" w:eastAsia="Arial" w:hAnsi="Arial"/>
          <w:sz w:val="19"/>
          <w:szCs w:val="19"/>
          <w:color w:val="auto"/>
        </w:rPr>
        <w:t>), has been registered with the Luxembourg register of commerce and companies by application of article 13, items 4 to 12 and items 16 and 17 of the Luxembourg law of 19 December 2002 on the Luxembourg register of commerce and companies and on the accounting and annual accounts of undertakings, as amended; (C) a confirmation that such Loan Party is renting its premises; (D) confirmation that borrowing or guaranteeing or securing, as appropriate, by the entry by the Loan Party into the Loan Documents would not cause any borrowing, guarantee, security or similar limit binding on such Loan Party to be exceeded and (E) a confirmation that each copy document relating to such Loan Party is correct, complete and in full force and effect as at the date no earlier than the Second Amendment Effective Date;</w:t>
      </w:r>
    </w:p>
    <w:p>
      <w:pPr>
        <w:spacing w:after="0" w:line="171" w:lineRule="exact"/>
        <w:rPr>
          <w:sz w:val="20"/>
          <w:szCs w:val="20"/>
          <w:color w:val="auto"/>
        </w:rPr>
      </w:pPr>
    </w:p>
    <w:p>
      <w:pPr>
        <w:ind w:firstLine="656"/>
        <w:spacing w:after="0" w:line="232"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color w:val="auto"/>
        </w:rPr>
        <w:t>No Event of Default shall exist on the Second Amendment Effective Date both immediately before and after giving effect to the 2023 Incremental Revolving Commitments and the transactions contemplated hereby;</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the Loan Parties set forth in this Second Amendment shall be true and correct in all material respects (or, if qualified as to “materiality” or “Material Adverse Effect”, in all respects) on and as of the Second Amendment Effective Date both immediately before and after giving effect to the 2023 Incremental Revolving Commitments and the transactions contemplated 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 representation and warranty expressly relates to an earlier date, it shall be true and correct in all material respects (or, if qualified by materiality or “Material Adverse Effect”, in all respects) on such earlier date;</w:t>
      </w:r>
    </w:p>
    <w:p>
      <w:pPr>
        <w:spacing w:after="0" w:line="158" w:lineRule="exact"/>
        <w:rPr>
          <w:rFonts w:ascii="Arial" w:cs="Arial" w:eastAsia="Arial" w:hAnsi="Arial"/>
          <w:sz w:val="22"/>
          <w:szCs w:val="22"/>
          <w:color w:val="auto"/>
        </w:rPr>
      </w:pPr>
    </w:p>
    <w:p>
      <w:pPr>
        <w:ind w:firstLine="656"/>
        <w:spacing w:after="0" w:line="298"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 Revolving Commitment Increase does not exceed the maximum amount of Incremental Commitments permitted to be established pursuant to </w:t>
      </w:r>
      <w:r>
        <w:rPr>
          <w:rFonts w:ascii="Arial" w:cs="Arial" w:eastAsia="Arial" w:hAnsi="Arial"/>
          <w:sz w:val="19"/>
          <w:szCs w:val="19"/>
          <w:u w:val="single" w:color="auto"/>
          <w:color w:val="auto"/>
        </w:rPr>
        <w:t>Section 2.20(d)</w:t>
      </w:r>
      <w:r>
        <w:rPr>
          <w:rFonts w:ascii="Arial" w:cs="Arial" w:eastAsia="Arial" w:hAnsi="Arial"/>
          <w:sz w:val="19"/>
          <w:szCs w:val="19"/>
          <w:color w:val="auto"/>
        </w:rPr>
        <w:t xml:space="preserve"> of the Credit Agreement on the Second Amendment Effective Date;</w:t>
      </w:r>
    </w:p>
    <w:p>
      <w:pPr>
        <w:spacing w:after="0" w:line="105" w:lineRule="exact"/>
        <w:rPr>
          <w:rFonts w:ascii="Arial" w:cs="Arial" w:eastAsia="Arial" w:hAnsi="Arial"/>
          <w:sz w:val="19"/>
          <w:szCs w:val="19"/>
          <w:color w:val="auto"/>
        </w:rPr>
      </w:pPr>
    </w:p>
    <w:p>
      <w:pPr>
        <w:jc w:val="both"/>
        <w:ind w:firstLine="656"/>
        <w:spacing w:after="0" w:line="268"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the extent requested at least 10 business days prior to the Second Amendment Effective Date, the Lenders shall have received all documentation and other information required by bank regulatory authorities under applicable “know-your-customer” and anti-money laundering rules and regulations, including the Patriot Act and, if applicable,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31 C.F.R. § 1010.230, at least three business days prior to the Second Amendment Effective Date; and</w:t>
      </w:r>
    </w:p>
    <w:p>
      <w:pPr>
        <w:spacing w:after="0" w:line="179" w:lineRule="exact"/>
        <w:rPr>
          <w:sz w:val="20"/>
          <w:szCs w:val="20"/>
          <w:color w:val="auto"/>
        </w:rPr>
      </w:pPr>
    </w:p>
    <w:p>
      <w:pPr>
        <w:jc w:val="both"/>
        <w:ind w:firstLine="656"/>
        <w:spacing w:after="0" w:line="212"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Substantially concurrently with the consummation of the transactions contemplated hereby, (i) the Revolving Borrowers shall have paid all accrued and unpaid expenses of the Administrative Agent (including the reasonable and documented accrued and unpaid fees and out-of-pocket expenses of counsel thereto) in connection with this Second Amendment, and (ii) the Revolving Borrowers shall have paid all fees as the Revolving Borrowers shall have agreed in writing to pay to the 2023 Incremental Revolving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the case of expenses to be paid pursuant to clause (i) that the Revolving Borrowers shall have received invoices in respect of the payment thereof at least three (3) Business Days in advance of the Second Amendment Effective Date.</w:t>
      </w:r>
    </w:p>
    <w:p>
      <w:pPr>
        <w:spacing w:after="0" w:line="16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other parties hereto to enter into this Second Amendment, each Revolving Borrower represents and warrants that, as of the Second Amendment Effective Date:</w:t>
      </w:r>
    </w:p>
    <w:p>
      <w:pPr>
        <w:spacing w:after="0" w:line="159" w:lineRule="exact"/>
        <w:rPr>
          <w:sz w:val="20"/>
          <w:szCs w:val="20"/>
          <w:color w:val="auto"/>
        </w:rPr>
      </w:pPr>
    </w:p>
    <w:p>
      <w:pPr>
        <w:jc w:val="both"/>
        <w:ind w:firstLine="656"/>
        <w:spacing w:after="0" w:line="243" w:lineRule="auto"/>
        <w:tabs>
          <w:tab w:leader="none" w:pos="1296"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This Second Amendment has been duly authorized, executed and delivered by each Loan Party and constitutes, and the Credit Agreement, as amended by this Second Amendment constitutes, its legal, valid and binding obligation, enforceable against each such Loan Party in accordance with its respective terms, except as such enforceability may be limited by</w:t>
      </w:r>
    </w:p>
    <w:p>
      <w:pPr>
        <w:spacing w:after="0" w:line="2" w:lineRule="exact"/>
        <w:rPr>
          <w:rFonts w:ascii="Arial" w:cs="Arial" w:eastAsia="Arial" w:hAnsi="Arial"/>
          <w:sz w:val="19"/>
          <w:szCs w:val="19"/>
          <w:color w:val="auto"/>
        </w:rPr>
      </w:pPr>
    </w:p>
    <w:p>
      <w:pPr>
        <w:jc w:val="both"/>
        <w:ind w:firstLine="8"/>
        <w:spacing w:after="0" w:line="217"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 and</w:t>
      </w:r>
    </w:p>
    <w:p>
      <w:pPr>
        <w:spacing w:after="0" w:line="159" w:lineRule="exact"/>
        <w:rPr>
          <w:rFonts w:ascii="Arial" w:cs="Arial" w:eastAsia="Arial" w:hAnsi="Arial"/>
          <w:sz w:val="22"/>
          <w:szCs w:val="22"/>
          <w:color w:val="auto"/>
        </w:rPr>
      </w:pPr>
    </w:p>
    <w:p>
      <w:pPr>
        <w:jc w:val="both"/>
        <w:ind w:firstLine="656"/>
        <w:spacing w:after="0" w:line="214" w:lineRule="auto"/>
        <w:tabs>
          <w:tab w:leader="none" w:pos="1296"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each Loan Party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the Credit Agreement are true and correct in all material respects on and as of the Second Amendment Effective Date (immediately after giving effect to this Second Amendment);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to the extent that a representation and warranty specifically refers to an earlier date, it shall be true and correct in all material respects as of such earlier date and (ii) any representation and warranty that is qualified as to “Material Adverse Effect” shall be true and correct in all respects on and as of the Second Amendment Effective Date or on such earlier date, as the case may be.</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Effects on Loan Documents</w:t>
      </w:r>
      <w:r>
        <w:rPr>
          <w:rFonts w:ascii="Arial" w:cs="Arial" w:eastAsia="Arial" w:hAnsi="Arial"/>
          <w:sz w:val="19"/>
          <w:szCs w:val="19"/>
          <w:color w:val="auto"/>
        </w:rPr>
        <w:t>. Except as specifically amended herein or contemplated hereby, all Loan Documents shall continue to be in full force and effect and are hereby in all respects ratified and confirmed. The execution, delivery and effectiveness of this Second Amendment shall not operate as a waiver of any right, power or remedy of any Lender or the Administrative Agent under any of the Loan Documents, nor constitute a waiver of any provision of the Loan Documents or in any way limit, impair or otherwise affect the rights and remedies of the Lenders or the Administrative Agent under the Loan Documents. Each Revolving Borrower and each other Loan Party acknowledges and agrees that, on and after the Second Amendment Effective Date, this Second Amendment shall constitute a Loan Document for all purposes of the Amended Credit Agreement. On and after the Second Amendment Effective Date, each reference in the Amended Credit Agreement to “this Agreement”, “hereunder”, “hereof”, “herein” or words of like import referring to the Credit Agreement, and each reference in the other Loan Documents to “Credit Agreement”, “thereunder”, “thereof” or words of like import referring to the Credit Agreement shall mean and be a reference to the Credit Agreement as amended by this Second Amendment, and this Second Amendment and the Credit Agreement as amended by this Second Amendment shall be read together and construed as a single instrument. Nothing herein shall be deemed to entitle the Revolving Borrowers or any other Loan Party to a further consent to, or a further waiver, amendment, modification or other change of, any of the terms, conditions, obligations, covenants or agreements contained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the Credit Agreement as amended by this Second Amendment or any other Loan Document in similar or different circumstances.</w:t>
      </w:r>
    </w:p>
    <w:p>
      <w:pPr>
        <w:spacing w:after="0" w:line="2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Holdings and the Borrowers hereby confirm that the indemnification provisions set forth in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of the Credit Agreement as amended by this Second Amendment shall apply to this Second Amendment and the transactions contemplated hereby.</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Amendments; Severability</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32"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This Second Amendment may not be amended nor may any provision hereof be waived except pursuant to a writing signed by each of the parties hereto; and</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To the extent any provision of this Second Amendment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Second Amendment in any jurisdiction.</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Reaffirmation</w:t>
      </w:r>
      <w:r>
        <w:rPr>
          <w:rFonts w:ascii="Arial" w:cs="Arial" w:eastAsia="Arial" w:hAnsi="Arial"/>
          <w:sz w:val="19"/>
          <w:szCs w:val="19"/>
          <w:color w:val="auto"/>
        </w:rPr>
        <w:t>. Each of the Reaffirming Parties, as party to the Credit Agreement and certain of the Collateral Documents and the other Loan Documents, in each case as amended, supplemented or otherwise modified from time to time, hereby (i) acknowledges and agrees that all of its obligations under the Credit Agreement, the Collateral Documents and the other Loan Documents to which it is a party are reaffirmed and remain in full force and effect on a continuous basis, (ii) reaffirms</w:t>
      </w:r>
    </w:p>
    <w:p>
      <w:pPr>
        <w:spacing w:after="0" w:line="1" w:lineRule="exact"/>
        <w:rPr>
          <w:sz w:val="20"/>
          <w:szCs w:val="20"/>
          <w:color w:val="auto"/>
        </w:rPr>
      </w:pPr>
    </w:p>
    <w:p>
      <w:pPr>
        <w:jc w:val="both"/>
        <w:ind w:firstLine="8"/>
        <w:spacing w:after="0" w:line="242" w:lineRule="auto"/>
        <w:tabs>
          <w:tab w:leader="none" w:pos="359" w:val="left"/>
        </w:tabs>
        <w:numPr>
          <w:ilvl w:val="0"/>
          <w:numId w:val="14"/>
        </w:numPr>
        <w:rPr>
          <w:rFonts w:ascii="Arial" w:cs="Arial" w:eastAsia="Arial" w:hAnsi="Arial"/>
          <w:sz w:val="19"/>
          <w:szCs w:val="19"/>
          <w:color w:val="auto"/>
        </w:rPr>
      </w:pPr>
      <w:r>
        <w:rPr>
          <w:rFonts w:ascii="Arial" w:cs="Arial" w:eastAsia="Arial" w:hAnsi="Arial"/>
          <w:sz w:val="19"/>
          <w:szCs w:val="19"/>
          <w:color w:val="auto"/>
        </w:rPr>
        <w:t>each Lien granted by it to the Administrative Agent or the Collateral Agent for the benefit of the Secured Parties and (B) any guaranties made by it pursuant to the Credit Agreement, (iii) acknowledges and agrees that the grants of security interests by it contained in the Collateral Documents shall remain, in full force and effect after giving effect to the Second Amendment, and (iv) agrees that the Obligations include, among other things and without limitation, the prompt and complete payment and performance by the Revolving Borrowers when due and payable (whether at the stated maturity, by acceleration or otherwise) of principal and interest on, and premium (if any) on, the Initial Revolving Loans, including for the avoidance of doubt the 2023 Incremental Revolving Loans, under the Credit Agreement as amended by this Second Amendment. Nothing contained in this Second Amendment shall be construed as substitution or novation of the obligations outstanding under the Credit Agreement or the other Loan Documents, which shall remain in full force and effect, except to any extent modified hereby.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Collateral Agent</w:t>
      </w:r>
      <w:r>
        <w:rPr>
          <w:rFonts w:ascii="Arial" w:cs="Arial" w:eastAsia="Arial" w:hAnsi="Arial"/>
          <w:sz w:val="22"/>
          <w:szCs w:val="22"/>
          <w:color w:val="auto"/>
        </w:rPr>
        <w:t>. Each of the parties hereto acknowledges and agrees that Citibank., N.A., London Branch, in its capacity as collateral agent under the Credit Agreement (i) will serve as Collateral Agent under the Amended Credit Agreement and (ii) is a third party beneficiary with respect to this Second Amendment.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Governing Law; Waiver of Jury Trial; Jurisdiction</w:t>
      </w:r>
      <w:r>
        <w:rPr>
          <w:rFonts w:ascii="Arial" w:cs="Arial" w:eastAsia="Arial" w:hAnsi="Arial"/>
          <w:sz w:val="21"/>
          <w:szCs w:val="21"/>
          <w:color w:val="auto"/>
        </w:rPr>
        <w:t>. This Second Amendment shall be governed by, and construed in accordance with, the law of the State of New York. EACH PARTY HERETO HEREBY IRREVOCABLY WAIVES, TO THE FULLEST EXTENT PERMITTED BY APPLICABLE LAW, ANY RIGHT IT MAY HAVE TO A TRIAL BY JURY IN ANY LEGAL PROCEEDING DIRECTLY OR INDIRECTLY ARISING OUT OF OR RELATING TO THIS SECOND AMENDMENT, THE AMENDED CREDIT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43" w:name="page44"/>
    <w:bookmarkEnd w:id="43"/>
    <w:p>
      <w:pPr>
        <w:jc w:val="both"/>
        <w:spacing w:after="0" w:line="216" w:lineRule="auto"/>
        <w:rPr>
          <w:sz w:val="20"/>
          <w:szCs w:val="20"/>
          <w:color w:val="auto"/>
        </w:rPr>
      </w:pPr>
      <w:r>
        <w:rPr>
          <w:rFonts w:ascii="Arial" w:cs="Arial" w:eastAsia="Arial" w:hAnsi="Arial"/>
          <w:sz w:val="22"/>
          <w:szCs w:val="22"/>
          <w:color w:val="auto"/>
        </w:rPr>
        <w:t xml:space="preserve">NOT, IN THE EVENT OF LITIGATION, SEEK TO ENFORCE THE FOREGOING WAIVER AND (B) ACKNOWLEDGES THAT IT AND THE OTHER PARTIES HERETO HAVE BEEN INDUCED TO ENTER INTO THIS SECOND AMENDMENT AND THE OTHER LOAN DOCUMENTS BY, AMONG OTHER THINGS, THE MUTUAL WAIVERS AND CERTIFICATIONS IN THIS SECTION. The other provisions of </w:t>
      </w:r>
      <w:r>
        <w:rPr>
          <w:rFonts w:ascii="Arial" w:cs="Arial" w:eastAsia="Arial" w:hAnsi="Arial"/>
          <w:sz w:val="22"/>
          <w:szCs w:val="22"/>
          <w:u w:val="single" w:color="auto"/>
          <w:color w:val="auto"/>
        </w:rPr>
        <w:t>Sections 9.09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9.10</w:t>
      </w:r>
      <w:r>
        <w:rPr>
          <w:rFonts w:ascii="Arial" w:cs="Arial" w:eastAsia="Arial" w:hAnsi="Arial"/>
          <w:sz w:val="22"/>
          <w:szCs w:val="22"/>
          <w:color w:val="auto"/>
        </w:rPr>
        <w:t xml:space="preserve"> of the Credit Agreement are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Second Amendment are for convenience of reference only, are not part of this Second Amendment and shall not affect the construction of, or be taken into consideration in interpreting, this Second Amendment.</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Counterparts</w:t>
      </w:r>
      <w:r>
        <w:rPr>
          <w:rFonts w:ascii="Arial" w:cs="Arial" w:eastAsia="Arial" w:hAnsi="Arial"/>
          <w:sz w:val="19"/>
          <w:szCs w:val="19"/>
          <w:color w:val="auto"/>
        </w:rPr>
        <w:t>. This Second Amendment may be executed by one or more of the parties hereto on any number of separate counterparts, and all of said counterparts taken together shall be deemed to constitute one and the same instrument. Delivery of an executed counterpart of a signature page of this Second Amendment by facsimile or in electronic (i.e., “pdf” or “tif”) format shall be effective as delivery of a manually executed counterpart of this Second Amendment. The words “execution,” “signed,”, “delivery”, “signature,” and words of like import in this Second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4" w:name="page45"/>
    <w:bookmarkEnd w:id="44"/>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Second Amendment to be duly executed and delivered by their respective proper and duly authorized officers as of the day and year first above written.</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Revolving Borrowers: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spacing w:after="0"/>
        <w:tabs>
          <w:tab w:leader="none" w:pos="8200" w:val="left"/>
        </w:tabs>
        <w:rPr>
          <w:sz w:val="20"/>
          <w:szCs w:val="20"/>
          <w:color w:val="auto"/>
        </w:rPr>
      </w:pPr>
      <w:r>
        <w:rPr>
          <w:rFonts w:ascii="Arial" w:cs="Arial" w:eastAsia="Arial" w:hAnsi="Arial"/>
          <w:sz w:val="22"/>
          <w:szCs w:val="22"/>
          <w:b w:val="1"/>
          <w:bCs w:val="1"/>
          <w:color w:val="auto"/>
        </w:rPr>
        <w:t xml:space="preserve">ICON LUXEMBOURG S.À R.L., </w:t>
      </w:r>
      <w:r>
        <w:rPr>
          <w:rFonts w:ascii="Arial" w:cs="Arial" w:eastAsia="Arial" w:hAnsi="Arial"/>
          <w:sz w:val="22"/>
          <w:szCs w:val="22"/>
          <w:color w:val="auto"/>
        </w:rPr>
        <w:t>as the Lux Borrower</w:t>
      </w:r>
      <w:r>
        <w:rPr>
          <w:sz w:val="20"/>
          <w:szCs w:val="20"/>
          <w:color w:val="auto"/>
        </w:rPr>
        <w:tab/>
      </w:r>
      <w:r>
        <w:rPr>
          <w:rFonts w:ascii="Arial" w:cs="Arial" w:eastAsia="Arial" w:hAnsi="Arial"/>
          <w:sz w:val="19"/>
          <w:szCs w:val="19"/>
          <w:color w:val="auto"/>
        </w:rPr>
        <w:t>and as a Revolving Borrower</w:t>
      </w:r>
    </w:p>
    <w:p>
      <w:pPr>
        <w:spacing w:after="0" w:line="200" w:lineRule="exact"/>
        <w:rPr>
          <w:sz w:val="20"/>
          <w:szCs w:val="20"/>
          <w:color w:val="auto"/>
        </w:rPr>
      </w:pPr>
    </w:p>
    <w:p>
      <w:pPr>
        <w:spacing w:after="0" w:line="209" w:lineRule="exact"/>
        <w:rPr>
          <w:sz w:val="20"/>
          <w:szCs w:val="20"/>
          <w:color w:val="auto"/>
        </w:rPr>
      </w:pPr>
    </w:p>
    <w:p>
      <w:pPr>
        <w:ind w:left="3000"/>
        <w:spacing w:after="0"/>
        <w:tabs>
          <w:tab w:leader="none" w:pos="3560" w:val="left"/>
        </w:tabs>
        <w:rPr>
          <w:sz w:val="20"/>
          <w:szCs w:val="20"/>
          <w:color w:val="auto"/>
        </w:rPr>
      </w:pPr>
      <w:r>
        <w:rPr>
          <w:rFonts w:ascii="Arial" w:cs="Arial" w:eastAsia="Arial" w:hAnsi="Arial"/>
          <w:sz w:val="22"/>
          <w:szCs w:val="22"/>
          <w:color w:val="auto"/>
        </w:rPr>
        <w:t>By:</w:t>
        <w:tab/>
        <w:t>/s/ Emer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-5715</wp:posOffset>
            </wp:positionV>
            <wp:extent cx="864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3000"/>
        <w:spacing w:after="0" w:line="237" w:lineRule="auto"/>
        <w:tabs>
          <w:tab w:leader="none" w:pos="3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Emer Lyons</w:t>
      </w:r>
    </w:p>
    <w:p>
      <w:pPr>
        <w:ind w:left="3000"/>
        <w:spacing w:after="0"/>
        <w:tabs>
          <w:tab w:leader="none" w:pos="3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7940" w:val="left"/>
        </w:tabs>
        <w:rPr>
          <w:sz w:val="20"/>
          <w:szCs w:val="20"/>
          <w:color w:val="auto"/>
        </w:rPr>
      </w:pPr>
      <w:r>
        <w:rPr>
          <w:rFonts w:ascii="Arial" w:cs="Arial" w:eastAsia="Arial" w:hAnsi="Arial"/>
          <w:sz w:val="22"/>
          <w:szCs w:val="22"/>
          <w:b w:val="1"/>
          <w:bCs w:val="1"/>
          <w:color w:val="auto"/>
        </w:rPr>
        <w:t xml:space="preserve">PRA HEALTH SCIENCES, INC., </w:t>
      </w:r>
      <w:r>
        <w:rPr>
          <w:rFonts w:ascii="Arial" w:cs="Arial" w:eastAsia="Arial" w:hAnsi="Arial"/>
          <w:sz w:val="22"/>
          <w:szCs w:val="22"/>
          <w:color w:val="auto"/>
        </w:rPr>
        <w:t>as U.S. Borrower</w:t>
      </w:r>
      <w:r>
        <w:rPr>
          <w:sz w:val="20"/>
          <w:szCs w:val="20"/>
          <w:color w:val="auto"/>
        </w:rPr>
        <w:tab/>
      </w:r>
      <w:r>
        <w:rPr>
          <w:rFonts w:ascii="Arial" w:cs="Arial" w:eastAsia="Arial" w:hAnsi="Arial"/>
          <w:sz w:val="19"/>
          <w:szCs w:val="19"/>
          <w:color w:val="auto"/>
        </w:rPr>
        <w:t>and as a Revolving Borrower</w:t>
      </w:r>
    </w:p>
    <w:p>
      <w:pPr>
        <w:spacing w:after="0" w:line="200" w:lineRule="exact"/>
        <w:rPr>
          <w:sz w:val="20"/>
          <w:szCs w:val="20"/>
          <w:color w:val="auto"/>
        </w:rPr>
      </w:pPr>
    </w:p>
    <w:p>
      <w:pPr>
        <w:spacing w:after="0" w:line="236" w:lineRule="exact"/>
        <w:rPr>
          <w:sz w:val="20"/>
          <w:szCs w:val="20"/>
          <w:color w:val="auto"/>
        </w:rPr>
      </w:pPr>
    </w:p>
    <w:p>
      <w:pPr>
        <w:ind w:left="3000"/>
        <w:spacing w:after="0"/>
        <w:tabs>
          <w:tab w:leader="none" w:pos="356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-5715</wp:posOffset>
            </wp:positionV>
            <wp:extent cx="1459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3000"/>
        <w:spacing w:after="0" w:line="237" w:lineRule="auto"/>
        <w:tabs>
          <w:tab w:leader="none" w:pos="3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3000"/>
        <w:spacing w:after="0"/>
        <w:tabs>
          <w:tab w:leader="none" w:pos="3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16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3000" w:right="660"/>
        <w:spacing w:after="0" w:line="224" w:lineRule="auto"/>
        <w:rPr>
          <w:sz w:val="20"/>
          <w:szCs w:val="20"/>
          <w:color w:val="auto"/>
        </w:rPr>
      </w:pPr>
      <w:r>
        <w:rPr>
          <w:rFonts w:ascii="Arial" w:cs="Arial" w:eastAsia="Arial" w:hAnsi="Arial"/>
          <w:sz w:val="22"/>
          <w:szCs w:val="22"/>
          <w:b w:val="1"/>
          <w:bCs w:val="1"/>
          <w:color w:val="auto"/>
        </w:rPr>
        <w:t xml:space="preserve">ICON CLINICAL RESEARCH LIMITED, </w:t>
      </w:r>
      <w:r>
        <w:rPr>
          <w:rFonts w:ascii="Arial" w:cs="Arial" w:eastAsia="Arial" w:hAnsi="Arial"/>
          <w:sz w:val="22"/>
          <w:szCs w:val="22"/>
          <w:color w:val="auto"/>
        </w:rPr>
        <w:t>as a Revolving Borrower, by its lawfully</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attorney</w:t>
      </w:r>
    </w:p>
    <w:p>
      <w:pPr>
        <w:spacing w:after="0" w:line="200" w:lineRule="exact"/>
        <w:rPr>
          <w:sz w:val="20"/>
          <w:szCs w:val="20"/>
          <w:color w:val="auto"/>
        </w:rPr>
      </w:pPr>
    </w:p>
    <w:p>
      <w:pPr>
        <w:spacing w:after="0" w:line="209" w:lineRule="exact"/>
        <w:rPr>
          <w:sz w:val="20"/>
          <w:szCs w:val="20"/>
          <w:color w:val="auto"/>
        </w:rPr>
      </w:pPr>
    </w:p>
    <w:p>
      <w:pPr>
        <w:ind w:left="3000"/>
        <w:spacing w:after="0"/>
        <w:tabs>
          <w:tab w:leader="none" w:pos="356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-5715</wp:posOffset>
            </wp:positionV>
            <wp:extent cx="1459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3000"/>
        <w:spacing w:after="0"/>
        <w:tabs>
          <w:tab w:leader="none" w:pos="3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3000" w:right="160"/>
        <w:spacing w:after="0" w:line="224" w:lineRule="auto"/>
        <w:rPr>
          <w:sz w:val="20"/>
          <w:szCs w:val="20"/>
          <w:color w:val="auto"/>
        </w:rPr>
      </w:pPr>
      <w:r>
        <w:rPr>
          <w:rFonts w:ascii="Arial" w:cs="Arial" w:eastAsia="Arial" w:hAnsi="Arial"/>
          <w:sz w:val="22"/>
          <w:szCs w:val="22"/>
          <w:b w:val="1"/>
          <w:bCs w:val="1"/>
          <w:color w:val="auto"/>
        </w:rPr>
        <w:t xml:space="preserve">ICON GLOBAL TREASURY UNLIMITED COMPANY, </w:t>
      </w:r>
      <w:r>
        <w:rPr>
          <w:rFonts w:ascii="Arial" w:cs="Arial" w:eastAsia="Arial" w:hAnsi="Arial"/>
          <w:sz w:val="22"/>
          <w:szCs w:val="22"/>
          <w:color w:val="auto"/>
        </w:rPr>
        <w:t>as a Revolving Borrower, by its</w:t>
      </w:r>
      <w:r>
        <w:rPr>
          <w:rFonts w:ascii="Arial" w:cs="Arial" w:eastAsia="Arial" w:hAnsi="Arial"/>
          <w:sz w:val="22"/>
          <w:szCs w:val="22"/>
          <w:b w:val="1"/>
          <w:bCs w:val="1"/>
          <w:color w:val="auto"/>
        </w:rPr>
        <w:t xml:space="preserve"> </w:t>
      </w:r>
      <w:r>
        <w:rPr>
          <w:rFonts w:ascii="Arial" w:cs="Arial" w:eastAsia="Arial" w:hAnsi="Arial"/>
          <w:sz w:val="22"/>
          <w:szCs w:val="22"/>
          <w:color w:val="auto"/>
        </w:rPr>
        <w:t>lawfully appointed attorney</w:t>
      </w:r>
    </w:p>
    <w:p>
      <w:pPr>
        <w:spacing w:after="0" w:line="200" w:lineRule="exact"/>
        <w:rPr>
          <w:sz w:val="20"/>
          <w:szCs w:val="20"/>
          <w:color w:val="auto"/>
        </w:rPr>
      </w:pPr>
    </w:p>
    <w:p>
      <w:pPr>
        <w:spacing w:after="0" w:line="209" w:lineRule="exact"/>
        <w:rPr>
          <w:sz w:val="20"/>
          <w:szCs w:val="20"/>
          <w:color w:val="auto"/>
        </w:rPr>
      </w:pPr>
    </w:p>
    <w:p>
      <w:pPr>
        <w:ind w:left="3000"/>
        <w:spacing w:after="0"/>
        <w:tabs>
          <w:tab w:leader="none" w:pos="356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-5715</wp:posOffset>
            </wp:positionV>
            <wp:extent cx="1459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3000"/>
        <w:spacing w:after="0"/>
        <w:tabs>
          <w:tab w:leader="none" w:pos="3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1240"/>
          </w:cols>
          <w:pgMar w:left="320" w:top="1401" w:right="339" w:bottom="1440" w:gutter="0" w:footer="0" w:header="0"/>
        </w:sectPr>
      </w:pPr>
    </w:p>
    <w:bookmarkStart w:id="45" w:name="page46"/>
    <w:bookmarkEnd w:id="45"/>
    <w:p>
      <w:pPr>
        <w:ind w:left="1880"/>
        <w:spacing w:after="0"/>
        <w:rPr>
          <w:sz w:val="20"/>
          <w:szCs w:val="20"/>
          <w:color w:val="auto"/>
        </w:rPr>
      </w:pPr>
      <w:r>
        <w:rPr>
          <w:rFonts w:ascii="Arial" w:cs="Arial" w:eastAsia="Arial" w:hAnsi="Arial"/>
          <w:sz w:val="22"/>
          <w:szCs w:val="22"/>
          <w:b w:val="1"/>
          <w:bCs w:val="1"/>
          <w:color w:val="auto"/>
        </w:rPr>
        <w:t xml:space="preserve">ICON US HOLDINGS INC., </w:t>
      </w:r>
      <w:r>
        <w:rPr>
          <w:rFonts w:ascii="Arial" w:cs="Arial" w:eastAsia="Arial" w:hAnsi="Arial"/>
          <w:sz w:val="22"/>
          <w:szCs w:val="22"/>
          <w:color w:val="auto"/>
        </w:rPr>
        <w:t>as a Revolving Borrower</w:t>
      </w:r>
    </w:p>
    <w:p>
      <w:pPr>
        <w:spacing w:after="0" w:line="200" w:lineRule="exact"/>
        <w:rPr>
          <w:sz w:val="20"/>
          <w:szCs w:val="20"/>
          <w:color w:val="auto"/>
        </w:rPr>
      </w:pPr>
    </w:p>
    <w:p>
      <w:pPr>
        <w:spacing w:after="0" w:line="236"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Loan Parties:</w:t>
      </w:r>
    </w:p>
    <w:p>
      <w:pPr>
        <w:spacing w:after="0" w:line="193"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spacing w:after="0" w:line="204" w:lineRule="auto"/>
        <w:rPr>
          <w:sz w:val="20"/>
          <w:szCs w:val="20"/>
          <w:color w:val="auto"/>
        </w:rPr>
      </w:pPr>
      <w:r>
        <w:rPr>
          <w:rFonts w:ascii="Arial" w:cs="Arial" w:eastAsia="Arial" w:hAnsi="Arial"/>
          <w:sz w:val="22"/>
          <w:szCs w:val="22"/>
          <w:b w:val="1"/>
          <w:bCs w:val="1"/>
          <w:color w:val="auto"/>
        </w:rPr>
        <w:t>ICON PUBLIC LIMITED COMPANY</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1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ICON CLINICAL INVESTMENTS, LLC, </w:t>
      </w:r>
      <w:r>
        <w:rPr>
          <w:rFonts w:ascii="Arial" w:cs="Arial" w:eastAsia="Arial" w:hAnsi="Arial"/>
          <w:sz w:val="22"/>
          <w:szCs w:val="22"/>
          <w:color w:val="auto"/>
        </w:rPr>
        <w:t>as the Lux U.S. Subsidiary Borrower</w:t>
      </w:r>
    </w:p>
    <w:p>
      <w:pPr>
        <w:spacing w:after="0" w:line="200" w:lineRule="exact"/>
        <w:rPr>
          <w:sz w:val="20"/>
          <w:szCs w:val="20"/>
          <w:color w:val="auto"/>
        </w:rPr>
      </w:pPr>
    </w:p>
    <w:p>
      <w:pPr>
        <w:spacing w:after="0" w:line="236"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spacing w:after="0" w:line="204" w:lineRule="auto"/>
        <w:rPr>
          <w:sz w:val="20"/>
          <w:szCs w:val="20"/>
          <w:color w:val="auto"/>
        </w:rPr>
      </w:pPr>
      <w:r>
        <w:rPr>
          <w:rFonts w:ascii="Arial" w:cs="Arial" w:eastAsia="Arial" w:hAnsi="Arial"/>
          <w:sz w:val="22"/>
          <w:szCs w:val="22"/>
          <w:b w:val="1"/>
          <w:bCs w:val="1"/>
          <w:color w:val="auto"/>
        </w:rPr>
        <w:t>ICON HOLDINGS UNLIMITED COMPANY</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spacing w:after="0" w:line="204" w:lineRule="auto"/>
        <w:rPr>
          <w:sz w:val="20"/>
          <w:szCs w:val="20"/>
          <w:color w:val="auto"/>
        </w:rPr>
      </w:pPr>
      <w:r>
        <w:rPr>
          <w:rFonts w:ascii="Arial" w:cs="Arial" w:eastAsia="Arial" w:hAnsi="Arial"/>
          <w:sz w:val="22"/>
          <w:szCs w:val="22"/>
          <w:b w:val="1"/>
          <w:bCs w:val="1"/>
          <w:color w:val="auto"/>
        </w:rPr>
        <w:t>DOCS RESOURCING LIMITED</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its lawfully appointed attorney</w:t>
      </w:r>
    </w:p>
    <w:p>
      <w:pPr>
        <w:spacing w:after="0" w:line="169"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ectPr>
          <w:pgSz w:w="11900" w:h="16838" w:orient="portrait"/>
          <w:cols w:equalWidth="0" w:num="1">
            <w:col w:w="9060"/>
          </w:cols>
          <w:pgMar w:left="1440" w:top="1395"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Second Amendment]</w:t>
      </w:r>
    </w:p>
    <w:p>
      <w:pPr>
        <w:sectPr>
          <w:pgSz w:w="11900" w:h="16838" w:orient="portrait"/>
          <w:cols w:equalWidth="0" w:num="1">
            <w:col w:w="9060"/>
          </w:cols>
          <w:pgMar w:left="1440" w:top="1395" w:right="1399" w:bottom="1440" w:gutter="0" w:footer="0" w:header="0"/>
          <w:type w:val="continuous"/>
        </w:sectPr>
      </w:pPr>
    </w:p>
    <w:bookmarkStart w:id="46" w:name="page47"/>
    <w:bookmarkEnd w:id="46"/>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right="2180"/>
        <w:spacing w:after="0" w:line="224" w:lineRule="auto"/>
        <w:rPr>
          <w:sz w:val="20"/>
          <w:szCs w:val="20"/>
          <w:color w:val="auto"/>
        </w:rPr>
      </w:pPr>
      <w:r>
        <w:rPr>
          <w:rFonts w:ascii="Arial" w:cs="Arial" w:eastAsia="Arial" w:hAnsi="Arial"/>
          <w:sz w:val="22"/>
          <w:szCs w:val="22"/>
          <w:b w:val="1"/>
          <w:bCs w:val="1"/>
          <w:color w:val="auto"/>
        </w:rPr>
        <w:t xml:space="preserve">ICON CLINICAL INTERNATIONAL UNLIMITED COMPANY </w:t>
      </w: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09"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right="120"/>
        <w:spacing w:after="0" w:line="224" w:lineRule="auto"/>
        <w:rPr>
          <w:sz w:val="20"/>
          <w:szCs w:val="20"/>
          <w:color w:val="auto"/>
        </w:rPr>
      </w:pPr>
      <w:r>
        <w:rPr>
          <w:rFonts w:ascii="Arial" w:cs="Arial" w:eastAsia="Arial" w:hAnsi="Arial"/>
          <w:sz w:val="22"/>
          <w:szCs w:val="22"/>
          <w:b w:val="1"/>
          <w:bCs w:val="1"/>
          <w:color w:val="auto"/>
        </w:rPr>
        <w:t xml:space="preserve">ICON CLINICAL RESEARCH PROPERTY DEVELOPMENT (IRELAND) LIMITED </w:t>
      </w: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09"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spacing w:after="0"/>
        <w:rPr>
          <w:sz w:val="20"/>
          <w:szCs w:val="20"/>
          <w:color w:val="auto"/>
        </w:rPr>
      </w:pPr>
      <w:r>
        <w:rPr>
          <w:rFonts w:ascii="Arial" w:cs="Arial" w:eastAsia="Arial" w:hAnsi="Arial"/>
          <w:sz w:val="22"/>
          <w:szCs w:val="22"/>
          <w:b w:val="1"/>
          <w:bCs w:val="1"/>
          <w:color w:val="auto"/>
        </w:rPr>
        <w:t xml:space="preserve">ACCELLACARE LIMITED, </w:t>
      </w: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1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right="80"/>
        <w:spacing w:after="0" w:line="224" w:lineRule="auto"/>
        <w:rPr>
          <w:sz w:val="20"/>
          <w:szCs w:val="20"/>
          <w:color w:val="auto"/>
        </w:rPr>
      </w:pPr>
      <w:r>
        <w:rPr>
          <w:rFonts w:ascii="Arial" w:cs="Arial" w:eastAsia="Arial" w:hAnsi="Arial"/>
          <w:sz w:val="22"/>
          <w:szCs w:val="22"/>
          <w:b w:val="1"/>
          <w:bCs w:val="1"/>
          <w:color w:val="auto"/>
        </w:rPr>
        <w:t xml:space="preserve">ICON OPERATIONAL HOLDINGS UNLIMITED COMPANY, </w:t>
      </w:r>
      <w:r>
        <w:rPr>
          <w:rFonts w:ascii="Arial" w:cs="Arial" w:eastAsia="Arial" w:hAnsi="Arial"/>
          <w:sz w:val="22"/>
          <w:szCs w:val="22"/>
          <w:color w:val="auto"/>
        </w:rPr>
        <w:t>by its lawfully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w:t>
      </w:r>
    </w:p>
    <w:p>
      <w:pPr>
        <w:spacing w:after="0" w:line="200" w:lineRule="exact"/>
        <w:rPr>
          <w:sz w:val="20"/>
          <w:szCs w:val="20"/>
          <w:color w:val="auto"/>
        </w:rPr>
      </w:pPr>
    </w:p>
    <w:p>
      <w:pPr>
        <w:spacing w:after="0" w:line="209"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spacing w:after="0" w:line="224" w:lineRule="auto"/>
        <w:rPr>
          <w:sz w:val="20"/>
          <w:szCs w:val="20"/>
          <w:color w:val="auto"/>
        </w:rPr>
      </w:pPr>
      <w:r>
        <w:rPr>
          <w:rFonts w:ascii="Arial" w:cs="Arial" w:eastAsia="Arial" w:hAnsi="Arial"/>
          <w:sz w:val="22"/>
          <w:szCs w:val="22"/>
          <w:b w:val="1"/>
          <w:bCs w:val="1"/>
          <w:color w:val="auto"/>
        </w:rPr>
        <w:t xml:space="preserve">ICON OPERATIONAL FINANCING UNLIMITED COMPANY, </w:t>
      </w:r>
      <w:r>
        <w:rPr>
          <w:rFonts w:ascii="Arial" w:cs="Arial" w:eastAsia="Arial" w:hAnsi="Arial"/>
          <w:sz w:val="22"/>
          <w:szCs w:val="22"/>
          <w:color w:val="auto"/>
        </w:rPr>
        <w:t>by its lawfully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ectPr>
          <w:pgSz w:w="11900" w:h="16838" w:orient="portrait"/>
          <w:cols w:equalWidth="0" w:num="1">
            <w:col w:w="10120"/>
          </w:cols>
          <w:pgMar w:left="1440" w:top="1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[Signature Page to Second Amendment]</w:t>
      </w:r>
    </w:p>
    <w:p>
      <w:pPr>
        <w:sectPr>
          <w:pgSz w:w="11900" w:h="16838" w:orient="portrait"/>
          <w:cols w:equalWidth="0" w:num="1">
            <w:col w:w="10120"/>
          </w:cols>
          <w:pgMar w:left="1440" w:top="1382" w:right="339" w:bottom="1440" w:gutter="0" w:footer="0" w:header="0"/>
          <w:type w:val="continuous"/>
        </w:sectPr>
      </w:pPr>
    </w:p>
    <w:bookmarkStart w:id="47" w:name="page48"/>
    <w:bookmarkEnd w:id="47"/>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right="1779"/>
        <w:spacing w:after="0" w:line="224" w:lineRule="auto"/>
        <w:rPr>
          <w:sz w:val="20"/>
          <w:szCs w:val="20"/>
          <w:color w:val="auto"/>
        </w:rPr>
      </w:pPr>
      <w:r>
        <w:rPr>
          <w:rFonts w:ascii="Arial" w:cs="Arial" w:eastAsia="Arial" w:hAnsi="Arial"/>
          <w:sz w:val="22"/>
          <w:szCs w:val="22"/>
          <w:b w:val="1"/>
          <w:bCs w:val="1"/>
          <w:color w:val="auto"/>
        </w:rPr>
        <w:t xml:space="preserve">ICON INVESTMENTS FOUR UNLIMITED COMPANY </w:t>
      </w: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for and on behalf of</w:t>
      </w:r>
    </w:p>
    <w:p>
      <w:pPr>
        <w:ind w:left="1880" w:right="779"/>
        <w:spacing w:after="0" w:line="224" w:lineRule="auto"/>
        <w:rPr>
          <w:sz w:val="20"/>
          <w:szCs w:val="20"/>
          <w:color w:val="auto"/>
        </w:rPr>
      </w:pPr>
      <w:r>
        <w:rPr>
          <w:rFonts w:ascii="Arial" w:cs="Arial" w:eastAsia="Arial" w:hAnsi="Arial"/>
          <w:sz w:val="22"/>
          <w:szCs w:val="22"/>
          <w:b w:val="1"/>
          <w:bCs w:val="1"/>
          <w:color w:val="auto"/>
        </w:rPr>
        <w:t xml:space="preserve">ICON CLINICAL GLOBAL HOLDINGS UNLIMITED COMPANY </w:t>
      </w:r>
      <w:r>
        <w:rPr>
          <w:rFonts w:ascii="Arial" w:cs="Arial" w:eastAsia="Arial" w:hAnsi="Arial"/>
          <w:sz w:val="22"/>
          <w:szCs w:val="22"/>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BEACON BIOSCIENCE, INC.</w:t>
      </w:r>
    </w:p>
    <w:p>
      <w:pPr>
        <w:ind w:left="1880"/>
        <w:spacing w:after="0" w:line="204" w:lineRule="auto"/>
        <w:rPr>
          <w:sz w:val="20"/>
          <w:szCs w:val="20"/>
          <w:color w:val="auto"/>
        </w:rPr>
      </w:pPr>
      <w:r>
        <w:rPr>
          <w:rFonts w:ascii="Arial" w:cs="Arial" w:eastAsia="Arial" w:hAnsi="Arial"/>
          <w:sz w:val="22"/>
          <w:szCs w:val="22"/>
          <w:b w:val="1"/>
          <w:bCs w:val="1"/>
          <w:color w:val="auto"/>
        </w:rPr>
        <w:t>ICON CLINICAL RESEARCH LLC</w:t>
      </w:r>
    </w:p>
    <w:p>
      <w:pPr>
        <w:ind w:left="1880"/>
        <w:spacing w:after="0" w:line="205" w:lineRule="auto"/>
        <w:rPr>
          <w:sz w:val="20"/>
          <w:szCs w:val="20"/>
          <w:color w:val="auto"/>
        </w:rPr>
      </w:pPr>
      <w:r>
        <w:rPr>
          <w:rFonts w:ascii="Arial" w:cs="Arial" w:eastAsia="Arial" w:hAnsi="Arial"/>
          <w:sz w:val="22"/>
          <w:szCs w:val="22"/>
          <w:b w:val="1"/>
          <w:bCs w:val="1"/>
          <w:color w:val="auto"/>
        </w:rPr>
        <w:t>ICON LABORATORY SERVICES, INC.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PRICESPECTIVE LLC</w:t>
      </w:r>
    </w:p>
    <w:p>
      <w:pPr>
        <w:spacing w:after="0" w:line="200" w:lineRule="exact"/>
        <w:rPr>
          <w:sz w:val="20"/>
          <w:szCs w:val="20"/>
          <w:color w:val="auto"/>
        </w:rPr>
      </w:pPr>
    </w:p>
    <w:p>
      <w:pPr>
        <w:spacing w:after="0" w:line="212"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ICON EARLY PHASE SERVICES, LLC</w:t>
      </w:r>
    </w:p>
    <w:p>
      <w:pPr>
        <w:ind w:left="1880"/>
        <w:spacing w:after="0" w:line="204" w:lineRule="auto"/>
        <w:rPr>
          <w:sz w:val="20"/>
          <w:szCs w:val="20"/>
          <w:color w:val="auto"/>
        </w:rPr>
      </w:pPr>
      <w:r>
        <w:rPr>
          <w:rFonts w:ascii="Arial" w:cs="Arial" w:eastAsia="Arial" w:hAnsi="Arial"/>
          <w:sz w:val="22"/>
          <w:szCs w:val="22"/>
          <w:b w:val="1"/>
          <w:bCs w:val="1"/>
          <w:color w:val="auto"/>
        </w:rPr>
        <w:t>MOLECULARMD CORP.</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DOCS GLOBAL,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Person</w:t>
      </w:r>
    </w:p>
    <w:p>
      <w:pPr>
        <w:spacing w:after="0" w:line="18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ACCELLACARE US INC.</w:t>
      </w:r>
    </w:p>
    <w:p>
      <w:pPr>
        <w:spacing w:after="0" w:line="200" w:lineRule="exact"/>
        <w:rPr>
          <w:sz w:val="20"/>
          <w:szCs w:val="20"/>
          <w:color w:val="auto"/>
        </w:rPr>
      </w:pPr>
    </w:p>
    <w:p>
      <w:pPr>
        <w:spacing w:after="0" w:line="236"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9019"/>
          </w:cols>
          <w:pgMar w:left="1440" w:top="1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w:t>
      </w:r>
    </w:p>
    <w:p>
      <w:pPr>
        <w:sectPr>
          <w:pgSz w:w="11900" w:h="16838" w:orient="portrait"/>
          <w:cols w:equalWidth="0" w:num="1">
            <w:col w:w="9019"/>
          </w:cols>
          <w:pgMar w:left="1440" w:top="1382" w:right="1440" w:bottom="1440" w:gutter="0" w:footer="0" w:header="0"/>
          <w:type w:val="continuous"/>
        </w:sectPr>
      </w:pPr>
    </w:p>
    <w:bookmarkStart w:id="48" w:name="page49"/>
    <w:bookmarkEnd w:id="48"/>
    <w:p>
      <w:pPr>
        <w:ind w:left="1880"/>
        <w:spacing w:after="0"/>
        <w:rPr>
          <w:sz w:val="20"/>
          <w:szCs w:val="20"/>
          <w:color w:val="auto"/>
        </w:rPr>
      </w:pPr>
      <w:r>
        <w:rPr>
          <w:rFonts w:ascii="Arial" w:cs="Arial" w:eastAsia="Arial" w:hAnsi="Arial"/>
          <w:sz w:val="22"/>
          <w:szCs w:val="22"/>
          <w:b w:val="1"/>
          <w:bCs w:val="1"/>
          <w:color w:val="auto"/>
        </w:rPr>
        <w:t>CLINICAL RESOURCE NETWORK, LLC</w:t>
      </w:r>
    </w:p>
    <w:p>
      <w:pPr>
        <w:ind w:left="1880"/>
        <w:spacing w:after="0"/>
        <w:rPr>
          <w:sz w:val="20"/>
          <w:szCs w:val="20"/>
          <w:color w:val="auto"/>
        </w:rPr>
      </w:pPr>
      <w:r>
        <w:rPr>
          <w:rFonts w:ascii="Arial" w:cs="Arial" w:eastAsia="Arial" w:hAnsi="Arial"/>
          <w:sz w:val="22"/>
          <w:szCs w:val="22"/>
          <w:b w:val="1"/>
          <w:bCs w:val="1"/>
          <w:color w:val="auto"/>
        </w:rPr>
        <w:t>CRN HOLDINGS, LLC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2077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Simon Hollywood</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80" w:right="1819"/>
        <w:spacing w:after="0" w:line="209" w:lineRule="auto"/>
        <w:rPr>
          <w:sz w:val="20"/>
          <w:szCs w:val="20"/>
          <w:color w:val="auto"/>
        </w:rPr>
      </w:pPr>
      <w:r>
        <w:rPr>
          <w:rFonts w:ascii="Arial" w:cs="Arial" w:eastAsia="Arial" w:hAnsi="Arial"/>
          <w:sz w:val="22"/>
          <w:szCs w:val="22"/>
          <w:b w:val="1"/>
          <w:bCs w:val="1"/>
          <w:color w:val="auto"/>
        </w:rPr>
        <w:t>RESEARCH PHARMACEUTICAL SERVICES, INC. SOURCE HEALTHCARE ANALYTICS, LLC SYMPHONY HEALTH SOLUTIONS CORPORATION PHARMACEUTICAL RESEARCH ASSOCIATES, INC. PRA HOLDINGS, INC.</w:t>
      </w:r>
    </w:p>
    <w:p>
      <w:pPr>
        <w:ind w:left="1880"/>
        <w:spacing w:after="0" w:line="207" w:lineRule="auto"/>
        <w:rPr>
          <w:sz w:val="20"/>
          <w:szCs w:val="20"/>
          <w:color w:val="auto"/>
        </w:rPr>
      </w:pPr>
      <w:r>
        <w:rPr>
          <w:rFonts w:ascii="Arial" w:cs="Arial" w:eastAsia="Arial" w:hAnsi="Arial"/>
          <w:sz w:val="22"/>
          <w:szCs w:val="22"/>
          <w:b w:val="1"/>
          <w:bCs w:val="1"/>
          <w:color w:val="auto"/>
        </w:rPr>
        <w:t>PRA INTERNATIONAL, LLC</w:t>
      </w:r>
    </w:p>
    <w:p>
      <w:pPr>
        <w:ind w:left="1880"/>
        <w:spacing w:after="0" w:line="205" w:lineRule="auto"/>
        <w:rPr>
          <w:sz w:val="20"/>
          <w:szCs w:val="20"/>
          <w:color w:val="auto"/>
        </w:rPr>
      </w:pPr>
      <w:r>
        <w:rPr>
          <w:rFonts w:ascii="Arial" w:cs="Arial" w:eastAsia="Arial" w:hAnsi="Arial"/>
          <w:sz w:val="22"/>
          <w:szCs w:val="22"/>
          <w:b w:val="1"/>
          <w:bCs w:val="1"/>
          <w:color w:val="auto"/>
        </w:rPr>
        <w:t>RPS GLOBAL HOLDINGS, LLC</w:t>
      </w:r>
    </w:p>
    <w:p>
      <w:pPr>
        <w:ind w:left="1880"/>
        <w:spacing w:after="0" w:line="205" w:lineRule="auto"/>
        <w:rPr>
          <w:sz w:val="20"/>
          <w:szCs w:val="20"/>
          <w:color w:val="auto"/>
        </w:rPr>
      </w:pPr>
      <w:r>
        <w:rPr>
          <w:rFonts w:ascii="Arial" w:cs="Arial" w:eastAsia="Arial" w:hAnsi="Arial"/>
          <w:sz w:val="22"/>
          <w:szCs w:val="22"/>
          <w:b w:val="1"/>
          <w:bCs w:val="1"/>
          <w:color w:val="auto"/>
        </w:rPr>
        <w:t>RPS PARENT HOLDINGS LLC</w:t>
      </w:r>
    </w:p>
    <w:p>
      <w:pPr>
        <w:ind w:left="1880"/>
        <w:spacing w:after="0"/>
        <w:rPr>
          <w:sz w:val="20"/>
          <w:szCs w:val="20"/>
          <w:color w:val="auto"/>
        </w:rPr>
      </w:pPr>
      <w:r>
        <w:rPr>
          <w:rFonts w:ascii="Arial" w:cs="Arial" w:eastAsia="Arial" w:hAnsi="Arial"/>
          <w:sz w:val="22"/>
          <w:szCs w:val="22"/>
          <w:b w:val="1"/>
          <w:bCs w:val="1"/>
          <w:color w:val="auto"/>
        </w:rPr>
        <w:t>ROY RPS HOLDINGS LLC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459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Diarmaid Cunningham</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9019"/>
          </w:cols>
          <w:pgMar w:left="1440" w:top="1382" w:right="1440" w:bottom="1440" w:gutter="0" w:footer="0" w:header="0"/>
        </w:sectPr>
      </w:pPr>
    </w:p>
    <w:bookmarkStart w:id="49" w:name="page50"/>
    <w:bookmarkEnd w:id="49"/>
    <w:p>
      <w:pPr>
        <w:ind w:left="2700" w:hanging="890"/>
        <w:spacing w:after="0" w:line="235" w:lineRule="auto"/>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Administrative Agent, Swingline Lender, a 2023 Incremental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and a Revolving Lender</w:t>
      </w:r>
    </w:p>
    <w:p>
      <w:pPr>
        <w:spacing w:after="0" w:line="167"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Adrian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864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Adrian Bain</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182" w:lineRule="exact"/>
        <w:rPr>
          <w:sz w:val="20"/>
          <w:szCs w:val="20"/>
          <w:color w:val="auto"/>
        </w:rPr>
      </w:pPr>
    </w:p>
    <w:p>
      <w:pPr>
        <w:ind w:left="2700" w:hanging="890"/>
        <w:spacing w:after="0" w:line="235" w:lineRule="auto"/>
        <w:rPr>
          <w:sz w:val="20"/>
          <w:szCs w:val="20"/>
          <w:color w:val="auto"/>
        </w:rPr>
      </w:pPr>
      <w:r>
        <w:rPr>
          <w:rFonts w:ascii="Arial" w:cs="Arial" w:eastAsia="Arial" w:hAnsi="Arial"/>
          <w:sz w:val="22"/>
          <w:szCs w:val="22"/>
          <w:b w:val="1"/>
          <w:bCs w:val="1"/>
          <w:color w:val="auto"/>
        </w:rPr>
        <w:t>BANCO SANTANDER, S.A.</w:t>
      </w:r>
      <w:r>
        <w:rPr>
          <w:rFonts w:ascii="Arial" w:cs="Arial" w:eastAsia="Arial" w:hAnsi="Arial"/>
          <w:sz w:val="22"/>
          <w:szCs w:val="22"/>
          <w:color w:val="auto"/>
        </w:rPr>
        <w:t>, PARIS BRANCH, as 2023 Incremental Revolving Lender and a</w:t>
      </w:r>
      <w:r>
        <w:rPr>
          <w:rFonts w:ascii="Arial" w:cs="Arial" w:eastAsia="Arial" w:hAnsi="Arial"/>
          <w:sz w:val="22"/>
          <w:szCs w:val="22"/>
          <w:b w:val="1"/>
          <w:bCs w:val="1"/>
          <w:color w:val="auto"/>
        </w:rPr>
        <w:t xml:space="preserve"> </w:t>
      </w:r>
      <w:r>
        <w:rPr>
          <w:rFonts w:ascii="Arial" w:cs="Arial" w:eastAsia="Arial" w:hAnsi="Arial"/>
          <w:sz w:val="22"/>
          <w:szCs w:val="22"/>
          <w:color w:val="auto"/>
        </w:rPr>
        <w:t>Revolving Lender</w:t>
      </w:r>
    </w:p>
    <w:p>
      <w:pPr>
        <w:spacing w:after="0" w:line="167"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Louis L'Heureux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125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Louis L'Heureux</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169"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Matthew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11595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Matthew Thomas</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182" w:lineRule="exact"/>
        <w:rPr>
          <w:sz w:val="20"/>
          <w:szCs w:val="20"/>
          <w:color w:val="auto"/>
        </w:rPr>
      </w:pPr>
    </w:p>
    <w:p>
      <w:pPr>
        <w:ind w:left="2700" w:right="180" w:hanging="890"/>
        <w:spacing w:after="0" w:line="235" w:lineRule="auto"/>
        <w:rPr>
          <w:sz w:val="20"/>
          <w:szCs w:val="20"/>
          <w:color w:val="auto"/>
        </w:rPr>
      </w:pPr>
      <w:r>
        <w:rPr>
          <w:rFonts w:ascii="Arial" w:cs="Arial" w:eastAsia="Arial" w:hAnsi="Arial"/>
          <w:sz w:val="22"/>
          <w:szCs w:val="22"/>
          <w:b w:val="1"/>
          <w:bCs w:val="1"/>
          <w:color w:val="auto"/>
        </w:rPr>
        <w:t xml:space="preserve">HSBC CONTINENTAL EUROPE, </w:t>
      </w:r>
      <w:r>
        <w:rPr>
          <w:rFonts w:ascii="Arial" w:cs="Arial" w:eastAsia="Arial" w:hAnsi="Arial"/>
          <w:sz w:val="22"/>
          <w:szCs w:val="22"/>
          <w:color w:val="auto"/>
        </w:rPr>
        <w:t>as 2023 Incremental Revolving Lender and a Revolving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157" w:lineRule="exact"/>
        <w:rPr>
          <w:sz w:val="20"/>
          <w:szCs w:val="20"/>
          <w:color w:val="auto"/>
        </w:rPr>
      </w:pPr>
    </w:p>
    <w:tbl>
      <w:tblPr>
        <w:tblLayout w:type="fixed"/>
        <w:tblInd w:w="1800" w:type="dxa"/>
        <w:tblCellMar>
          <w:top w:w="0" w:type="dxa"/>
          <w:left w:w="0" w:type="dxa"/>
          <w:bottom w:w="0" w:type="dxa"/>
          <w:right w:w="0" w:type="dxa"/>
        </w:tblCellMar>
      </w:tblPr>
      <w:tr>
        <w:trPr>
          <w:trHeight w:val="253"/>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By:</w:t>
            </w:r>
          </w:p>
        </w:tc>
        <w:tc>
          <w:tcPr>
            <w:tcW w:w="4340" w:type="dxa"/>
            <w:vAlign w:val="bottom"/>
            <w:gridSpan w:val="4"/>
          </w:tcPr>
          <w:p>
            <w:pPr>
              <w:spacing w:after="0"/>
              <w:rPr>
                <w:sz w:val="20"/>
                <w:szCs w:val="20"/>
                <w:color w:val="auto"/>
              </w:rPr>
            </w:pPr>
            <w:r>
              <w:rPr>
                <w:rFonts w:ascii="Arial" w:cs="Arial" w:eastAsia="Arial" w:hAnsi="Arial"/>
                <w:sz w:val="22"/>
                <w:szCs w:val="22"/>
                <w:color w:val="auto"/>
              </w:rPr>
              <w:t>/s/ Thomas McDonagh</w:t>
            </w:r>
          </w:p>
        </w:tc>
        <w:tc>
          <w:tcPr>
            <w:tcW w:w="3320" w:type="dxa"/>
            <w:vAlign w:val="bottom"/>
          </w:tcPr>
          <w:p>
            <w:pPr>
              <w:spacing w:after="0"/>
              <w:rPr>
                <w:sz w:val="21"/>
                <w:szCs w:val="21"/>
                <w:color w:val="auto"/>
              </w:rPr>
            </w:pPr>
          </w:p>
        </w:tc>
      </w:tr>
      <w:tr>
        <w:trPr>
          <w:trHeight w:val="188"/>
        </w:trPr>
        <w:tc>
          <w:tcPr>
            <w:tcW w:w="620" w:type="dxa"/>
            <w:vAlign w:val="bottom"/>
          </w:tcPr>
          <w:p>
            <w:pPr>
              <w:ind w:left="80"/>
              <w:spacing w:after="0" w:line="188" w:lineRule="exact"/>
              <w:rPr>
                <w:sz w:val="20"/>
                <w:szCs w:val="20"/>
                <w:color w:val="auto"/>
              </w:rPr>
            </w:pPr>
            <w:r>
              <w:rPr>
                <w:rFonts w:ascii="Arial" w:cs="Arial" w:eastAsia="Arial" w:hAnsi="Arial"/>
                <w:sz w:val="21"/>
                <w:szCs w:val="21"/>
                <w:color w:val="auto"/>
                <w:w w:val="84"/>
              </w:rPr>
              <w:t>Name:</w:t>
            </w:r>
          </w:p>
        </w:tc>
        <w:tc>
          <w:tcPr>
            <w:tcW w:w="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3"/>
          </w:tcPr>
          <w:p>
            <w:pPr>
              <w:ind w:left="220"/>
              <w:spacing w:after="0" w:line="188" w:lineRule="exact"/>
              <w:rPr>
                <w:sz w:val="20"/>
                <w:szCs w:val="20"/>
                <w:color w:val="auto"/>
              </w:rPr>
            </w:pPr>
            <w:r>
              <w:rPr>
                <w:rFonts w:ascii="Arial" w:cs="Arial" w:eastAsia="Arial" w:hAnsi="Arial"/>
                <w:sz w:val="21"/>
                <w:szCs w:val="21"/>
                <w:color w:val="auto"/>
                <w:w w:val="94"/>
              </w:rPr>
              <w:t>Thomas McDonagh</w:t>
            </w:r>
          </w:p>
        </w:tc>
        <w:tc>
          <w:tcPr>
            <w:tcW w:w="236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74"/>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Title:</w:t>
            </w:r>
          </w:p>
        </w:tc>
        <w:tc>
          <w:tcPr>
            <w:tcW w:w="4340" w:type="dxa"/>
            <w:vAlign w:val="bottom"/>
            <w:gridSpan w:val="4"/>
          </w:tcPr>
          <w:p>
            <w:pPr>
              <w:ind w:left="100"/>
              <w:spacing w:after="0"/>
              <w:rPr>
                <w:sz w:val="20"/>
                <w:szCs w:val="20"/>
                <w:color w:val="auto"/>
              </w:rPr>
            </w:pPr>
            <w:r>
              <w:rPr>
                <w:rFonts w:ascii="Arial" w:cs="Arial" w:eastAsia="Arial" w:hAnsi="Arial"/>
                <w:sz w:val="22"/>
                <w:szCs w:val="22"/>
                <w:color w:val="auto"/>
              </w:rPr>
              <w:t>Director</w:t>
            </w:r>
          </w:p>
        </w:tc>
        <w:tc>
          <w:tcPr>
            <w:tcW w:w="3320" w:type="dxa"/>
            <w:vAlign w:val="bottom"/>
          </w:tcPr>
          <w:p>
            <w:pPr>
              <w:spacing w:after="0"/>
              <w:rPr>
                <w:sz w:val="23"/>
                <w:szCs w:val="23"/>
                <w:color w:val="auto"/>
              </w:rPr>
            </w:pPr>
          </w:p>
        </w:tc>
      </w:tr>
      <w:tr>
        <w:trPr>
          <w:trHeight w:val="408"/>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By:</w:t>
            </w:r>
          </w:p>
        </w:tc>
        <w:tc>
          <w:tcPr>
            <w:tcW w:w="4340" w:type="dxa"/>
            <w:vAlign w:val="bottom"/>
            <w:gridSpan w:val="4"/>
          </w:tcPr>
          <w:p>
            <w:pPr>
              <w:spacing w:after="0"/>
              <w:rPr>
                <w:sz w:val="20"/>
                <w:szCs w:val="20"/>
                <w:color w:val="auto"/>
              </w:rPr>
            </w:pPr>
            <w:r>
              <w:rPr>
                <w:rFonts w:ascii="Arial" w:cs="Arial" w:eastAsia="Arial" w:hAnsi="Arial"/>
                <w:sz w:val="22"/>
                <w:szCs w:val="22"/>
                <w:color w:val="auto"/>
              </w:rPr>
              <w:t>/s/ Nigel Fallon</w:t>
            </w:r>
          </w:p>
        </w:tc>
        <w:tc>
          <w:tcPr>
            <w:tcW w:w="3320" w:type="dxa"/>
            <w:vAlign w:val="bottom"/>
          </w:tcPr>
          <w:p>
            <w:pPr>
              <w:spacing w:after="0"/>
              <w:rPr>
                <w:sz w:val="24"/>
                <w:szCs w:val="24"/>
                <w:color w:val="auto"/>
              </w:rPr>
            </w:pPr>
          </w:p>
        </w:tc>
      </w:tr>
      <w:tr>
        <w:trPr>
          <w:trHeight w:val="188"/>
        </w:trPr>
        <w:tc>
          <w:tcPr>
            <w:tcW w:w="620" w:type="dxa"/>
            <w:vAlign w:val="bottom"/>
          </w:tcPr>
          <w:p>
            <w:pPr>
              <w:ind w:left="80"/>
              <w:spacing w:after="0" w:line="188" w:lineRule="exact"/>
              <w:rPr>
                <w:sz w:val="20"/>
                <w:szCs w:val="20"/>
                <w:color w:val="auto"/>
              </w:rPr>
            </w:pPr>
            <w:r>
              <w:rPr>
                <w:rFonts w:ascii="Arial" w:cs="Arial" w:eastAsia="Arial" w:hAnsi="Arial"/>
                <w:sz w:val="21"/>
                <w:szCs w:val="21"/>
                <w:color w:val="auto"/>
                <w:w w:val="84"/>
              </w:rPr>
              <w:t>Name:</w:t>
            </w:r>
          </w:p>
        </w:tc>
        <w:tc>
          <w:tcPr>
            <w:tcW w:w="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ind w:left="220"/>
              <w:spacing w:after="0" w:line="188" w:lineRule="exact"/>
              <w:rPr>
                <w:sz w:val="20"/>
                <w:szCs w:val="20"/>
                <w:color w:val="auto"/>
              </w:rPr>
            </w:pPr>
            <w:r>
              <w:rPr>
                <w:rFonts w:ascii="Arial" w:cs="Arial" w:eastAsia="Arial" w:hAnsi="Arial"/>
                <w:sz w:val="21"/>
                <w:szCs w:val="21"/>
                <w:color w:val="auto"/>
              </w:rPr>
              <w:t>Nigel Fallon</w:t>
            </w:r>
          </w:p>
        </w:tc>
        <w:tc>
          <w:tcPr>
            <w:tcW w:w="240" w:type="dxa"/>
            <w:vAlign w:val="bottom"/>
          </w:tcPr>
          <w:p>
            <w:pPr>
              <w:spacing w:after="0"/>
              <w:rPr>
                <w:sz w:val="16"/>
                <w:szCs w:val="16"/>
                <w:color w:val="auto"/>
              </w:rPr>
            </w:pPr>
          </w:p>
        </w:tc>
        <w:tc>
          <w:tcPr>
            <w:tcW w:w="2740" w:type="dxa"/>
            <w:vAlign w:val="bottom"/>
            <w:gridSpan w:val="2"/>
          </w:tcPr>
          <w:p>
            <w:pPr>
              <w:spacing w:after="0"/>
              <w:rPr>
                <w:sz w:val="16"/>
                <w:szCs w:val="16"/>
                <w:color w:val="auto"/>
              </w:rPr>
            </w:pPr>
          </w:p>
        </w:tc>
        <w:tc>
          <w:tcPr>
            <w:tcW w:w="3320" w:type="dxa"/>
            <w:vAlign w:val="bottom"/>
          </w:tcPr>
          <w:p>
            <w:pPr>
              <w:spacing w:after="0"/>
              <w:rPr>
                <w:sz w:val="16"/>
                <w:szCs w:val="16"/>
                <w:color w:val="auto"/>
              </w:rPr>
            </w:pPr>
          </w:p>
        </w:tc>
      </w:tr>
      <w:tr>
        <w:trPr>
          <w:trHeight w:val="274"/>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Title:</w:t>
            </w:r>
          </w:p>
        </w:tc>
        <w:tc>
          <w:tcPr>
            <w:tcW w:w="4340" w:type="dxa"/>
            <w:vAlign w:val="bottom"/>
            <w:gridSpan w:val="4"/>
          </w:tcPr>
          <w:p>
            <w:pPr>
              <w:ind w:left="100"/>
              <w:spacing w:after="0"/>
              <w:rPr>
                <w:sz w:val="20"/>
                <w:szCs w:val="20"/>
                <w:color w:val="auto"/>
              </w:rPr>
            </w:pPr>
            <w:r>
              <w:rPr>
                <w:rFonts w:ascii="Arial" w:cs="Arial" w:eastAsia="Arial" w:hAnsi="Arial"/>
                <w:sz w:val="22"/>
                <w:szCs w:val="22"/>
                <w:color w:val="auto"/>
              </w:rPr>
              <w:t>Director</w:t>
            </w:r>
          </w:p>
        </w:tc>
        <w:tc>
          <w:tcPr>
            <w:tcW w:w="3320" w:type="dxa"/>
            <w:vAlign w:val="bottom"/>
          </w:tcPr>
          <w:p>
            <w:pPr>
              <w:spacing w:after="0"/>
              <w:rPr>
                <w:sz w:val="23"/>
                <w:szCs w:val="23"/>
                <w:color w:val="auto"/>
              </w:rPr>
            </w:pPr>
          </w:p>
        </w:tc>
      </w:tr>
      <w:tr>
        <w:trPr>
          <w:trHeight w:val="401"/>
        </w:trPr>
        <w:tc>
          <w:tcPr>
            <w:tcW w:w="5000" w:type="dxa"/>
            <w:vAlign w:val="bottom"/>
            <w:gridSpan w:val="6"/>
          </w:tcPr>
          <w:p>
            <w:pPr>
              <w:spacing w:after="0"/>
              <w:rPr>
                <w:sz w:val="20"/>
                <w:szCs w:val="20"/>
                <w:color w:val="auto"/>
              </w:rPr>
            </w:pPr>
            <w:r>
              <w:rPr>
                <w:rFonts w:ascii="Arial" w:cs="Arial" w:eastAsia="Arial" w:hAnsi="Arial"/>
                <w:sz w:val="22"/>
                <w:szCs w:val="22"/>
                <w:b w:val="1"/>
                <w:bCs w:val="1"/>
                <w:color w:val="auto"/>
              </w:rPr>
              <w:t xml:space="preserve">JPMORGAN CHASE BANK, N.A., </w:t>
            </w:r>
            <w:r>
              <w:rPr>
                <w:rFonts w:ascii="Arial" w:cs="Arial" w:eastAsia="Arial" w:hAnsi="Arial"/>
                <w:sz w:val="22"/>
                <w:szCs w:val="22"/>
                <w:color w:val="auto"/>
              </w:rPr>
              <w:t>LONDON</w:t>
            </w:r>
          </w:p>
        </w:tc>
        <w:tc>
          <w:tcPr>
            <w:tcW w:w="3320" w:type="dxa"/>
            <w:vAlign w:val="bottom"/>
          </w:tcPr>
          <w:p>
            <w:pPr>
              <w:ind w:left="400"/>
              <w:spacing w:after="0"/>
              <w:rPr>
                <w:sz w:val="20"/>
                <w:szCs w:val="20"/>
                <w:color w:val="auto"/>
              </w:rPr>
            </w:pPr>
            <w:r>
              <w:rPr>
                <w:rFonts w:ascii="Arial" w:cs="Arial" w:eastAsia="Arial" w:hAnsi="Arial"/>
                <w:sz w:val="22"/>
                <w:szCs w:val="22"/>
                <w:color w:val="auto"/>
                <w:w w:val="95"/>
              </w:rPr>
              <w:t>BRANCH</w:t>
            </w:r>
            <w:r>
              <w:rPr>
                <w:rFonts w:ascii="Arial" w:cs="Arial" w:eastAsia="Arial" w:hAnsi="Arial"/>
                <w:sz w:val="22"/>
                <w:szCs w:val="22"/>
                <w:b w:val="1"/>
                <w:bCs w:val="1"/>
                <w:color w:val="auto"/>
                <w:w w:val="95"/>
              </w:rPr>
              <w:t>,</w:t>
            </w:r>
            <w:r>
              <w:rPr>
                <w:rFonts w:ascii="Arial" w:cs="Arial" w:eastAsia="Arial" w:hAnsi="Arial"/>
                <w:sz w:val="22"/>
                <w:szCs w:val="22"/>
                <w:color w:val="auto"/>
                <w:w w:val="95"/>
              </w:rPr>
              <w:t xml:space="preserve"> as 2023 Incremental</w:t>
            </w:r>
          </w:p>
        </w:tc>
      </w:tr>
      <w:tr>
        <w:trPr>
          <w:trHeight w:val="274"/>
        </w:trPr>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340" w:type="dxa"/>
            <w:vAlign w:val="bottom"/>
            <w:gridSpan w:val="4"/>
          </w:tcPr>
          <w:p>
            <w:pPr>
              <w:ind w:left="240"/>
              <w:spacing w:after="0"/>
              <w:rPr>
                <w:sz w:val="20"/>
                <w:szCs w:val="20"/>
                <w:color w:val="auto"/>
              </w:rPr>
            </w:pPr>
            <w:r>
              <w:rPr>
                <w:rFonts w:ascii="Arial" w:cs="Arial" w:eastAsia="Arial" w:hAnsi="Arial"/>
                <w:sz w:val="22"/>
                <w:szCs w:val="22"/>
                <w:color w:val="auto"/>
                <w:w w:val="99"/>
              </w:rPr>
              <w:t>Revolving Lender and a Revolving Lender</w:t>
            </w:r>
          </w:p>
        </w:tc>
        <w:tc>
          <w:tcPr>
            <w:tcW w:w="3320" w:type="dxa"/>
            <w:vAlign w:val="bottom"/>
          </w:tcPr>
          <w:p>
            <w:pPr>
              <w:spacing w:after="0"/>
              <w:rPr>
                <w:sz w:val="23"/>
                <w:szCs w:val="23"/>
                <w:color w:val="auto"/>
              </w:rPr>
            </w:pPr>
          </w:p>
        </w:tc>
      </w:tr>
      <w:tr>
        <w:trPr>
          <w:trHeight w:val="408"/>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By:</w:t>
            </w:r>
          </w:p>
        </w:tc>
        <w:tc>
          <w:tcPr>
            <w:tcW w:w="4340" w:type="dxa"/>
            <w:vAlign w:val="bottom"/>
            <w:gridSpan w:val="4"/>
          </w:tcPr>
          <w:p>
            <w:pPr>
              <w:spacing w:after="0"/>
              <w:rPr>
                <w:sz w:val="20"/>
                <w:szCs w:val="20"/>
                <w:color w:val="auto"/>
              </w:rPr>
            </w:pPr>
            <w:r>
              <w:rPr>
                <w:rFonts w:ascii="Arial" w:cs="Arial" w:eastAsia="Arial" w:hAnsi="Arial"/>
                <w:sz w:val="22"/>
                <w:szCs w:val="22"/>
                <w:color w:val="auto"/>
              </w:rPr>
              <w:t>/s/ Ursula Murphy</w:t>
            </w:r>
          </w:p>
        </w:tc>
        <w:tc>
          <w:tcPr>
            <w:tcW w:w="3320" w:type="dxa"/>
            <w:vAlign w:val="bottom"/>
          </w:tcPr>
          <w:p>
            <w:pPr>
              <w:spacing w:after="0"/>
              <w:rPr>
                <w:sz w:val="24"/>
                <w:szCs w:val="24"/>
                <w:color w:val="auto"/>
              </w:rPr>
            </w:pPr>
          </w:p>
        </w:tc>
      </w:tr>
      <w:tr>
        <w:trPr>
          <w:trHeight w:val="188"/>
        </w:trPr>
        <w:tc>
          <w:tcPr>
            <w:tcW w:w="620" w:type="dxa"/>
            <w:vAlign w:val="bottom"/>
          </w:tcPr>
          <w:p>
            <w:pPr>
              <w:ind w:left="80"/>
              <w:spacing w:after="0" w:line="188" w:lineRule="exact"/>
              <w:rPr>
                <w:sz w:val="20"/>
                <w:szCs w:val="20"/>
                <w:color w:val="auto"/>
              </w:rPr>
            </w:pPr>
            <w:r>
              <w:rPr>
                <w:rFonts w:ascii="Arial" w:cs="Arial" w:eastAsia="Arial" w:hAnsi="Arial"/>
                <w:sz w:val="21"/>
                <w:szCs w:val="21"/>
                <w:color w:val="auto"/>
                <w:w w:val="84"/>
              </w:rPr>
              <w:t>Name:</w:t>
            </w:r>
          </w:p>
        </w:tc>
        <w:tc>
          <w:tcPr>
            <w:tcW w:w="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220"/>
              <w:spacing w:after="0" w:line="188" w:lineRule="exact"/>
              <w:rPr>
                <w:sz w:val="20"/>
                <w:szCs w:val="20"/>
                <w:color w:val="auto"/>
              </w:rPr>
            </w:pPr>
            <w:r>
              <w:rPr>
                <w:rFonts w:ascii="Arial" w:cs="Arial" w:eastAsia="Arial" w:hAnsi="Arial"/>
                <w:sz w:val="21"/>
                <w:szCs w:val="21"/>
                <w:color w:val="auto"/>
                <w:w w:val="99"/>
              </w:rPr>
              <w:t>Ursula Murphy</w:t>
            </w:r>
          </w:p>
        </w:tc>
        <w:tc>
          <w:tcPr>
            <w:tcW w:w="2740" w:type="dxa"/>
            <w:vAlign w:val="bottom"/>
            <w:gridSpan w:val="2"/>
          </w:tcPr>
          <w:p>
            <w:pPr>
              <w:spacing w:after="0"/>
              <w:rPr>
                <w:sz w:val="16"/>
                <w:szCs w:val="16"/>
                <w:color w:val="auto"/>
              </w:rPr>
            </w:pPr>
          </w:p>
        </w:tc>
        <w:tc>
          <w:tcPr>
            <w:tcW w:w="3320" w:type="dxa"/>
            <w:vAlign w:val="bottom"/>
          </w:tcPr>
          <w:p>
            <w:pPr>
              <w:spacing w:after="0"/>
              <w:rPr>
                <w:sz w:val="16"/>
                <w:szCs w:val="16"/>
                <w:color w:val="auto"/>
              </w:rPr>
            </w:pPr>
          </w:p>
        </w:tc>
      </w:tr>
      <w:tr>
        <w:trPr>
          <w:trHeight w:val="274"/>
        </w:trPr>
        <w:tc>
          <w:tcPr>
            <w:tcW w:w="660" w:type="dxa"/>
            <w:vAlign w:val="bottom"/>
            <w:gridSpan w:val="2"/>
          </w:tcPr>
          <w:p>
            <w:pPr>
              <w:ind w:left="80"/>
              <w:spacing w:after="0"/>
              <w:rPr>
                <w:sz w:val="20"/>
                <w:szCs w:val="20"/>
                <w:color w:val="auto"/>
              </w:rPr>
            </w:pPr>
            <w:r>
              <w:rPr>
                <w:rFonts w:ascii="Arial" w:cs="Arial" w:eastAsia="Arial" w:hAnsi="Arial"/>
                <w:sz w:val="22"/>
                <w:szCs w:val="22"/>
                <w:color w:val="auto"/>
              </w:rPr>
              <w:t>Title:</w:t>
            </w:r>
          </w:p>
        </w:tc>
        <w:tc>
          <w:tcPr>
            <w:tcW w:w="4340" w:type="dxa"/>
            <w:vAlign w:val="bottom"/>
            <w:gridSpan w:val="4"/>
          </w:tcPr>
          <w:p>
            <w:pPr>
              <w:ind w:left="100"/>
              <w:spacing w:after="0"/>
              <w:rPr>
                <w:sz w:val="20"/>
                <w:szCs w:val="20"/>
                <w:color w:val="auto"/>
              </w:rPr>
            </w:pPr>
            <w:r>
              <w:rPr>
                <w:rFonts w:ascii="Arial" w:cs="Arial" w:eastAsia="Arial" w:hAnsi="Arial"/>
                <w:sz w:val="22"/>
                <w:szCs w:val="22"/>
                <w:color w:val="auto"/>
              </w:rPr>
              <w:t>Executive Director</w:t>
            </w:r>
          </w:p>
        </w:tc>
        <w:tc>
          <w:tcPr>
            <w:tcW w:w="3320" w:type="dxa"/>
            <w:vAlign w:val="bottom"/>
          </w:tcPr>
          <w:p>
            <w:pPr>
              <w:spacing w:after="0"/>
              <w:rPr>
                <w:sz w:val="23"/>
                <w:szCs w:val="23"/>
                <w:color w:val="auto"/>
              </w:rPr>
            </w:pPr>
          </w:p>
        </w:tc>
      </w:tr>
    </w:tbl>
    <w:p>
      <w:pPr>
        <w:spacing w:after="0" w:line="179" w:lineRule="exact"/>
        <w:rPr>
          <w:sz w:val="20"/>
          <w:szCs w:val="20"/>
          <w:color w:val="auto"/>
        </w:rPr>
      </w:pPr>
    </w:p>
    <w:p>
      <w:pPr>
        <w:ind w:left="2700" w:right="280" w:hanging="890"/>
        <w:spacing w:after="0" w:line="235" w:lineRule="auto"/>
        <w:rPr>
          <w:sz w:val="20"/>
          <w:szCs w:val="20"/>
          <w:color w:val="auto"/>
        </w:rPr>
      </w:pPr>
      <w:r>
        <w:rPr>
          <w:rFonts w:ascii="Arial" w:cs="Arial" w:eastAsia="Arial" w:hAnsi="Arial"/>
          <w:sz w:val="22"/>
          <w:szCs w:val="22"/>
          <w:b w:val="1"/>
          <w:bCs w:val="1"/>
          <w:color w:val="auto"/>
        </w:rPr>
        <w:t xml:space="preserve">MORGAN STANLEY SENIOR FUNDING, INC., </w:t>
      </w:r>
      <w:r>
        <w:rPr>
          <w:rFonts w:ascii="Arial" w:cs="Arial" w:eastAsia="Arial" w:hAnsi="Arial"/>
          <w:sz w:val="22"/>
          <w:szCs w:val="22"/>
          <w:color w:val="auto"/>
        </w:rPr>
        <w:t>as 2023 Incremental Revolving Lender</w:t>
      </w:r>
      <w:r>
        <w:rPr>
          <w:rFonts w:ascii="Arial" w:cs="Arial" w:eastAsia="Arial" w:hAnsi="Arial"/>
          <w:sz w:val="22"/>
          <w:szCs w:val="22"/>
          <w:b w:val="1"/>
          <w:bCs w:val="1"/>
          <w:color w:val="auto"/>
        </w:rPr>
        <w:t xml:space="preserve"> </w:t>
      </w:r>
      <w:r>
        <w:rPr>
          <w:rFonts w:ascii="Arial" w:cs="Arial" w:eastAsia="Arial" w:hAnsi="Arial"/>
          <w:sz w:val="22"/>
          <w:szCs w:val="22"/>
          <w:color w:val="auto"/>
        </w:rPr>
        <w:t>and a Revolving Lender</w:t>
      </w:r>
    </w:p>
    <w:p>
      <w:pPr>
        <w:spacing w:after="0" w:line="167" w:lineRule="exact"/>
        <w:rPr>
          <w:sz w:val="20"/>
          <w:szCs w:val="20"/>
          <w:color w:val="auto"/>
        </w:rPr>
      </w:pPr>
    </w:p>
    <w:p>
      <w:pPr>
        <w:ind w:left="1880"/>
        <w:spacing w:after="0"/>
        <w:tabs>
          <w:tab w:leader="none" w:pos="2440" w:val="left"/>
        </w:tabs>
        <w:rPr>
          <w:sz w:val="20"/>
          <w:szCs w:val="20"/>
          <w:color w:val="auto"/>
        </w:rPr>
      </w:pPr>
      <w:r>
        <w:rPr>
          <w:rFonts w:ascii="Arial" w:cs="Arial" w:eastAsia="Arial" w:hAnsi="Arial"/>
          <w:sz w:val="22"/>
          <w:szCs w:val="22"/>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-5715</wp:posOffset>
            </wp:positionV>
            <wp:extent cx="956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1880"/>
        <w:spacing w:after="0" w:line="237" w:lineRule="auto"/>
        <w:tabs>
          <w:tab w:leader="none" w:pos="2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King</w:t>
      </w:r>
    </w:p>
    <w:p>
      <w:pPr>
        <w:ind w:left="1880"/>
        <w:spacing w:after="0"/>
        <w:tabs>
          <w:tab w:leader="none" w:pos="2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120"/>
          </w:cols>
          <w:pgMar w:left="1440" w:top="139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color w:val="auto"/>
        </w:rPr>
        <w:t>SCHEDULE 1</w:t>
      </w:r>
    </w:p>
    <w:p>
      <w:pPr>
        <w:jc w:val="center"/>
        <w:spacing w:after="0"/>
        <w:rPr>
          <w:sz w:val="20"/>
          <w:szCs w:val="20"/>
          <w:color w:val="auto"/>
        </w:rPr>
      </w:pPr>
      <w:r>
        <w:rPr>
          <w:rFonts w:ascii="Arial" w:cs="Arial" w:eastAsia="Arial" w:hAnsi="Arial"/>
          <w:sz w:val="22"/>
          <w:szCs w:val="22"/>
          <w:b w:val="1"/>
          <w:bCs w:val="1"/>
          <w:color w:val="auto"/>
        </w:rPr>
        <w:t>2023 Incremental Revolving Commitments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80" w:type="dxa"/>
            <w:vAlign w:val="bottom"/>
            <w:tcBorders>
              <w:top w:val="single" w:sz="8" w:color="auto"/>
              <w:left w:val="single" w:sz="8" w:color="auto"/>
              <w:right w:val="single" w:sz="8" w:color="auto"/>
            </w:tcBorders>
            <w:shd w:val="clear" w:color="auto" w:fill="BFBFBF"/>
          </w:tcPr>
          <w:p>
            <w:pPr>
              <w:ind w:left="240"/>
              <w:spacing w:after="0" w:line="216" w:lineRule="exact"/>
              <w:rPr>
                <w:sz w:val="20"/>
                <w:szCs w:val="20"/>
                <w:color w:val="auto"/>
              </w:rPr>
            </w:pPr>
            <w:r>
              <w:rPr>
                <w:rFonts w:ascii="Arial" w:cs="Arial" w:eastAsia="Arial" w:hAnsi="Arial"/>
                <w:sz w:val="22"/>
                <w:szCs w:val="22"/>
                <w:b w:val="1"/>
                <w:bCs w:val="1"/>
                <w:color w:val="auto"/>
                <w:w w:val="94"/>
              </w:rPr>
              <w:t>Name of 2023 Incremental Revolving</w:t>
            </w:r>
          </w:p>
        </w:tc>
        <w:tc>
          <w:tcPr>
            <w:tcW w:w="4080" w:type="dxa"/>
            <w:vAlign w:val="bottom"/>
            <w:tcBorders>
              <w:top w:val="single" w:sz="8" w:color="auto"/>
              <w:right w:val="single" w:sz="8" w:color="auto"/>
            </w:tcBorders>
            <w:shd w:val="clear" w:color="auto" w:fill="BFBFBF"/>
          </w:tcPr>
          <w:p>
            <w:pPr>
              <w:ind w:left="60"/>
              <w:spacing w:after="0" w:line="216" w:lineRule="exact"/>
              <w:rPr>
                <w:sz w:val="20"/>
                <w:szCs w:val="20"/>
                <w:color w:val="auto"/>
              </w:rPr>
            </w:pPr>
            <w:r>
              <w:rPr>
                <w:rFonts w:ascii="Arial" w:cs="Arial" w:eastAsia="Arial" w:hAnsi="Arial"/>
                <w:sz w:val="22"/>
                <w:szCs w:val="22"/>
                <w:b w:val="1"/>
                <w:bCs w:val="1"/>
                <w:color w:val="auto"/>
                <w:w w:val="89"/>
              </w:rPr>
              <w:t>2023 Incremental Revolving Commitments</w:t>
            </w:r>
          </w:p>
        </w:tc>
        <w:tc>
          <w:tcPr>
            <w:tcW w:w="3280" w:type="dxa"/>
            <w:vAlign w:val="bottom"/>
            <w:tcBorders>
              <w:top w:val="single" w:sz="8" w:color="auto"/>
              <w:right w:val="single" w:sz="8" w:color="auto"/>
            </w:tcBorders>
            <w:shd w:val="clear" w:color="auto" w:fill="BFBFBF"/>
          </w:tcPr>
          <w:p>
            <w:pPr>
              <w:ind w:left="1120"/>
              <w:spacing w:after="0" w:line="216" w:lineRule="exact"/>
              <w:rPr>
                <w:sz w:val="20"/>
                <w:szCs w:val="20"/>
                <w:color w:val="auto"/>
              </w:rPr>
            </w:pPr>
            <w:r>
              <w:rPr>
                <w:rFonts w:ascii="Arial" w:cs="Arial" w:eastAsia="Arial" w:hAnsi="Arial"/>
                <w:sz w:val="22"/>
                <w:szCs w:val="22"/>
                <w:b w:val="1"/>
                <w:bCs w:val="1"/>
                <w:color w:val="auto"/>
              </w:rPr>
              <w:t>Percentage</w:t>
            </w:r>
          </w:p>
        </w:tc>
      </w:tr>
      <w:tr>
        <w:trPr>
          <w:trHeight w:val="282"/>
        </w:trPr>
        <w:tc>
          <w:tcPr>
            <w:tcW w:w="3880" w:type="dxa"/>
            <w:vAlign w:val="bottom"/>
            <w:tcBorders>
              <w:left w:val="single" w:sz="8" w:color="auto"/>
              <w:bottom w:val="single" w:sz="8" w:color="auto"/>
              <w:right w:val="single" w:sz="8" w:color="auto"/>
            </w:tcBorders>
            <w:shd w:val="clear" w:color="auto" w:fill="BFBFBF"/>
          </w:tcPr>
          <w:p>
            <w:pPr>
              <w:ind w:left="1600"/>
              <w:spacing w:after="0"/>
              <w:rPr>
                <w:sz w:val="20"/>
                <w:szCs w:val="20"/>
                <w:color w:val="auto"/>
              </w:rPr>
            </w:pPr>
            <w:r>
              <w:rPr>
                <w:rFonts w:ascii="Arial" w:cs="Arial" w:eastAsia="Arial" w:hAnsi="Arial"/>
                <w:sz w:val="22"/>
                <w:szCs w:val="22"/>
                <w:b w:val="1"/>
                <w:bCs w:val="1"/>
                <w:color w:val="auto"/>
              </w:rPr>
              <w:t>Lender</w:t>
            </w:r>
          </w:p>
        </w:tc>
        <w:tc>
          <w:tcPr>
            <w:tcW w:w="40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6"/>
              </w:rPr>
              <w:t>($)</w:t>
            </w:r>
          </w:p>
        </w:tc>
        <w:tc>
          <w:tcPr>
            <w:tcW w:w="328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65"/>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Citibank, N.A.</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w:t>
            </w:r>
          </w:p>
        </w:tc>
      </w:tr>
      <w:tr>
        <w:trPr>
          <w:trHeight w:val="264"/>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Banco Santander, S.A., Paris Branch</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w:t>
            </w:r>
          </w:p>
        </w:tc>
      </w:tr>
      <w:tr>
        <w:trPr>
          <w:trHeight w:val="263"/>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HSBC Continental Europe</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w:t>
            </w:r>
          </w:p>
        </w:tc>
      </w:tr>
      <w:tr>
        <w:trPr>
          <w:trHeight w:val="202"/>
        </w:trPr>
        <w:tc>
          <w:tcPr>
            <w:tcW w:w="38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JPMorgan Chase Bank, N.A., London</w:t>
            </w:r>
          </w:p>
        </w:tc>
        <w:tc>
          <w:tcPr>
            <w:tcW w:w="40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7"/>
              </w:rPr>
              <w:t>$40,000,000.00</w:t>
            </w:r>
          </w:p>
        </w:tc>
        <w:tc>
          <w:tcPr>
            <w:tcW w:w="3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6"/>
              </w:rPr>
              <w:t>20%</w:t>
            </w:r>
          </w:p>
        </w:tc>
      </w:tr>
      <w:tr>
        <w:trPr>
          <w:trHeight w:val="276"/>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Branch</w:t>
            </w:r>
          </w:p>
        </w:tc>
        <w:tc>
          <w:tcPr>
            <w:tcW w:w="408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r>
      <w:tr>
        <w:trPr>
          <w:trHeight w:val="265"/>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Morgan Stanley Senior Funding, Inc.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w:t>
            </w:r>
          </w:p>
        </w:tc>
      </w:tr>
      <w:tr>
        <w:trPr>
          <w:trHeight w:val="264"/>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Total</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r>
    </w:tbl>
    <w:p>
      <w:pPr>
        <w:sectPr>
          <w:pgSz w:w="11900" w:h="16838" w:orient="portrait"/>
          <w:cols w:equalWidth="0" w:num="1">
            <w:col w:w="11240"/>
          </w:cols>
          <w:pgMar w:left="320" w:top="1382" w:right="339" w:bottom="1440" w:gutter="0" w:footer="0" w:header="0"/>
        </w:sectPr>
      </w:pPr>
    </w:p>
    <w:bookmarkStart w:id="51" w:name="page52"/>
    <w:bookmarkEnd w:id="51"/>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2.01 – COMMITMENTS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 Revolving Commitments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60" w:type="dxa"/>
            <w:vAlign w:val="bottom"/>
            <w:tcBorders>
              <w:top w:val="single" w:sz="8" w:color="auto"/>
              <w:left w:val="single" w:sz="8" w:color="auto"/>
              <w:bottom w:val="single" w:sz="8" w:color="auto"/>
              <w:right w:val="single" w:sz="8" w:color="auto"/>
            </w:tcBorders>
            <w:shd w:val="clear" w:color="auto" w:fill="D9D9D9"/>
          </w:tcPr>
          <w:p>
            <w:pPr>
              <w:ind w:left="1060"/>
              <w:spacing w:after="0"/>
              <w:rPr>
                <w:sz w:val="20"/>
                <w:szCs w:val="20"/>
                <w:color w:val="auto"/>
              </w:rPr>
            </w:pPr>
            <w:r>
              <w:rPr>
                <w:rFonts w:ascii="Arial" w:cs="Arial" w:eastAsia="Arial" w:hAnsi="Arial"/>
                <w:sz w:val="22"/>
                <w:szCs w:val="22"/>
                <w:b w:val="1"/>
                <w:bCs w:val="1"/>
                <w:color w:val="auto"/>
              </w:rPr>
              <w:t>Revolving Lender</w:t>
            </w:r>
          </w:p>
        </w:tc>
        <w:tc>
          <w:tcPr>
            <w:tcW w:w="37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Initial Revolving Commitments</w:t>
            </w:r>
          </w:p>
        </w:tc>
        <w:tc>
          <w:tcPr>
            <w:tcW w:w="3740" w:type="dxa"/>
            <w:vAlign w:val="bottom"/>
            <w:tcBorders>
              <w:top w:val="single" w:sz="8" w:color="auto"/>
              <w:bottom w:val="single" w:sz="8" w:color="auto"/>
              <w:right w:val="single" w:sz="8" w:color="auto"/>
            </w:tcBorders>
            <w:shd w:val="clear" w:color="auto" w:fill="D9D9D9"/>
          </w:tcPr>
          <w:p>
            <w:pPr>
              <w:ind w:left="1360"/>
              <w:spacing w:after="0"/>
              <w:rPr>
                <w:sz w:val="20"/>
                <w:szCs w:val="20"/>
                <w:color w:val="auto"/>
              </w:rPr>
            </w:pPr>
            <w:r>
              <w:rPr>
                <w:rFonts w:ascii="Arial" w:cs="Arial" w:eastAsia="Arial" w:hAnsi="Arial"/>
                <w:sz w:val="22"/>
                <w:szCs w:val="22"/>
                <w:b w:val="1"/>
                <w:bCs w:val="1"/>
                <w:color w:val="auto"/>
              </w:rPr>
              <w:t>Percentage</w:t>
            </w:r>
          </w:p>
        </w:tc>
      </w:tr>
      <w:tr>
        <w:trPr>
          <w:trHeight w:val="26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CITIBANK, N.A.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USD $100,000,000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20%</w:t>
            </w:r>
          </w:p>
        </w:tc>
      </w:tr>
      <w:tr>
        <w:trPr>
          <w:trHeight w:val="202"/>
        </w:trPr>
        <w:tc>
          <w:tcPr>
            <w:tcW w:w="37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22"/>
                <w:szCs w:val="22"/>
                <w:color w:val="auto"/>
              </w:rPr>
              <w:t>BANCO SANTANDER, S.A., PARIS</w:t>
            </w:r>
          </w:p>
        </w:tc>
        <w:tc>
          <w:tcPr>
            <w:tcW w:w="3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9"/>
              </w:rPr>
              <w:t>USD $100,000,000</w:t>
            </w:r>
          </w:p>
        </w:tc>
        <w:tc>
          <w:tcPr>
            <w:tcW w:w="3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90"/>
              </w:rPr>
              <w:t>20%</w:t>
            </w:r>
          </w:p>
        </w:tc>
      </w:tr>
      <w:tr>
        <w:trPr>
          <w:trHeight w:val="276"/>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BRANCH</w:t>
            </w: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65"/>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HSBC CONTINENTAL EUROPE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USD $100,000,000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20%</w:t>
            </w:r>
          </w:p>
        </w:tc>
      </w:tr>
      <w:tr>
        <w:trPr>
          <w:trHeight w:val="202"/>
        </w:trPr>
        <w:tc>
          <w:tcPr>
            <w:tcW w:w="37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22"/>
                <w:szCs w:val="22"/>
                <w:color w:val="auto"/>
              </w:rPr>
              <w:t>JPMORGAN CHASE BANK, N.A.,</w:t>
            </w:r>
          </w:p>
        </w:tc>
        <w:tc>
          <w:tcPr>
            <w:tcW w:w="3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9"/>
              </w:rPr>
              <w:t>USD $100,000,000</w:t>
            </w:r>
          </w:p>
        </w:tc>
        <w:tc>
          <w:tcPr>
            <w:tcW w:w="3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90"/>
              </w:rPr>
              <w:t>20%</w:t>
            </w:r>
          </w:p>
        </w:tc>
      </w:tr>
      <w:tr>
        <w:trPr>
          <w:trHeight w:val="276"/>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LONDON BRANCH</w:t>
            </w: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03"/>
        </w:trPr>
        <w:tc>
          <w:tcPr>
            <w:tcW w:w="376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22"/>
                <w:szCs w:val="22"/>
                <w:color w:val="auto"/>
              </w:rPr>
              <w:t>MORGAN STANLEY SENIOR</w:t>
            </w:r>
          </w:p>
        </w:tc>
        <w:tc>
          <w:tcPr>
            <w:tcW w:w="374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2"/>
                <w:szCs w:val="22"/>
                <w:color w:val="auto"/>
                <w:w w:val="89"/>
              </w:rPr>
              <w:t>USD $100,000,000</w:t>
            </w:r>
          </w:p>
        </w:tc>
        <w:tc>
          <w:tcPr>
            <w:tcW w:w="374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2"/>
                <w:szCs w:val="22"/>
                <w:color w:val="auto"/>
                <w:w w:val="90"/>
              </w:rPr>
              <w:t>20%</w:t>
            </w:r>
          </w:p>
        </w:tc>
      </w:tr>
      <w:tr>
        <w:trPr>
          <w:trHeight w:val="276"/>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FUNDING, INC.</w:t>
            </w: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65"/>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USD $500,000,000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6"/>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1)"/>
      <w:numFmt w:val="lowerLetter"/>
      <w:start w:val="4"/>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5"/>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lowerLetter"/>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2023-07-28T15:25:25Z</dcterms:created>
  <dcterms:modified xsi:type="dcterms:W3CDTF">2023-07-28T15:25:25Z</dcterms:modified>
</cp:coreProperties>
</file>