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AllianceBernstein L.P.</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13-4064930</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[X]</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2,138,730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2,544,919</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15,448</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2,560,367</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[X]</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4.7%</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40" w:hanging="613"/>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540" w:hanging="613"/>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SOUTH COUNTY BUSINESS PARK, LEOPARDSTOWN, DUBLIN 18</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13"/>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300" w:hanging="613"/>
        <w:spacing w:after="0" w:line="335"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5" w:lineRule="exact"/>
        <w:rPr>
          <w:rFonts w:ascii="Arial" w:cs="Arial" w:eastAsia="Arial" w:hAnsi="Arial"/>
          <w:sz w:val="19"/>
          <w:szCs w:val="19"/>
          <w:b w:val="1"/>
          <w:bCs w:val="1"/>
          <w:color w:val="auto"/>
        </w:rPr>
      </w:pPr>
    </w:p>
    <w:p>
      <w:pPr>
        <w:ind w:left="1540" w:right="300"/>
        <w:spacing w:after="0" w:line="251"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Andrea Prochniak at AllianceBernstein (212-756-4542) with any questions. All other questions can be directed to Section13USFilings@alliancebernstein.com.</w:t>
      </w:r>
    </w:p>
    <w:p>
      <w:pPr>
        <w:spacing w:after="0" w:line="86" w:lineRule="exact"/>
        <w:rPr>
          <w:rFonts w:ascii="Arial" w:cs="Arial" w:eastAsia="Arial" w:hAnsi="Arial"/>
          <w:sz w:val="19"/>
          <w:szCs w:val="19"/>
          <w:b w:val="1"/>
          <w:bCs w:val="1"/>
          <w:color w:val="auto"/>
        </w:rPr>
      </w:pPr>
    </w:p>
    <w:p>
      <w:pPr>
        <w:ind w:left="1540" w:right="8660" w:hanging="613"/>
        <w:spacing w:after="0" w:line="335"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540" w:right="7320" w:hanging="613"/>
        <w:spacing w:after="0" w:line="335"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40" w:right="8240" w:hanging="613"/>
        <w:spacing w:after="0" w:line="335"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2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80"/>
            <w:col w:w="888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40" w:hanging="613"/>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140"/>
        <w:spacing w:after="0" w:line="251" w:lineRule="auto"/>
        <w:rPr>
          <w:rFonts w:ascii="Arial" w:cs="Arial" w:eastAsia="Arial" w:hAnsi="Arial"/>
          <w:sz w:val="22"/>
          <w:szCs w:val="22"/>
          <w:color w:val="auto"/>
        </w:rPr>
      </w:pPr>
      <w:r>
        <w:rPr>
          <w:rFonts w:ascii="Arial" w:cs="Arial" w:eastAsia="Arial" w:hAnsi="Arial"/>
          <w:sz w:val="22"/>
          <w:szCs w:val="22"/>
          <w:color w:val="auto"/>
        </w:rPr>
        <w:t>2,560,367 shares acquired solely for investment purposes on behalf of client discretionary investment advisory accounts.*</w:t>
      </w:r>
    </w:p>
    <w:p>
      <w:pPr>
        <w:sectPr>
          <w:pgSz w:w="11900" w:h="16838" w:orient="portrait"/>
          <w:cols w:equalWidth="0" w:num="1">
            <w:col w:w="11260"/>
          </w:cols>
          <w:pgMar w:left="320" w:top="423" w:right="319" w:bottom="0" w:gutter="0" w:footer="0" w:header="0"/>
          <w:type w:val="continuous"/>
        </w:sectPr>
      </w:pPr>
    </w:p>
    <w:p>
      <w:pPr>
        <w:spacing w:after="0" w:line="92" w:lineRule="exact"/>
        <w:rPr>
          <w:sz w:val="20"/>
          <w:szCs w:val="20"/>
          <w:color w:val="auto"/>
        </w:rPr>
      </w:pPr>
    </w:p>
    <w:p>
      <w:pPr>
        <w:ind w:left="1540" w:hanging="613"/>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40"/>
        <w:spacing w:after="0"/>
        <w:rPr>
          <w:rFonts w:ascii="Arial" w:cs="Arial" w:eastAsia="Arial" w:hAnsi="Arial"/>
          <w:sz w:val="22"/>
          <w:szCs w:val="22"/>
          <w:color w:val="auto"/>
        </w:rPr>
      </w:pPr>
      <w:r>
        <w:rPr>
          <w:rFonts w:ascii="Arial" w:cs="Arial" w:eastAsia="Arial" w:hAnsi="Arial"/>
          <w:sz w:val="22"/>
          <w:szCs w:val="22"/>
          <w:color w:val="auto"/>
        </w:rPr>
        <w:t>4.7%</w:t>
      </w:r>
    </w:p>
    <w:p>
      <w:pPr>
        <w:spacing w:after="0" w:line="125" w:lineRule="exact"/>
        <w:rPr>
          <w:rFonts w:ascii="Arial" w:cs="Arial" w:eastAsia="Arial" w:hAnsi="Arial"/>
          <w:sz w:val="22"/>
          <w:szCs w:val="22"/>
          <w:color w:val="auto"/>
        </w:rPr>
      </w:pPr>
    </w:p>
    <w:p>
      <w:pPr>
        <w:ind w:left="1540" w:hanging="613"/>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80" w:hanging="831"/>
        <w:spacing w:after="0"/>
        <w:tabs>
          <w:tab w:leader="none" w:pos="23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80" w:hanging="831"/>
        <w:spacing w:after="0"/>
        <w:tabs>
          <w:tab w:leader="none" w:pos="23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80" w:hanging="831"/>
        <w:spacing w:after="0" w:line="183" w:lineRule="auto"/>
        <w:tabs>
          <w:tab w:leader="none" w:pos="23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80" w:right="780" w:hanging="831"/>
        <w:spacing w:after="0" w:line="183" w:lineRule="auto"/>
        <w:tabs>
          <w:tab w:leader="none" w:pos="23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2,138,730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2,544,919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15,448</w:t>
      </w:r>
    </w:p>
    <w:p>
      <w:pPr>
        <w:spacing w:after="0" w:line="246" w:lineRule="exact"/>
        <w:rPr>
          <w:sz w:val="20"/>
          <w:szCs w:val="20"/>
          <w:color w:val="auto"/>
        </w:rPr>
      </w:pPr>
    </w:p>
    <w:p>
      <w:pPr>
        <w:sectPr>
          <w:pgSz w:w="11900" w:h="16838" w:orient="portrait"/>
          <w:cols w:equalWidth="0" w:num="2">
            <w:col w:w="6560" w:space="340"/>
            <w:col w:w="4360"/>
          </w:cols>
          <w:pgMar w:left="320" w:top="423" w:right="319" w:bottom="0" w:gutter="0" w:footer="0" w:header="0"/>
          <w:type w:val="continuous"/>
        </w:sectPr>
      </w:pPr>
    </w:p>
    <w:p>
      <w:pPr>
        <w:spacing w:after="0"/>
        <w:rPr>
          <w:sz w:val="20"/>
          <w:szCs w:val="20"/>
          <w:color w:val="auto"/>
        </w:rPr>
      </w:pPr>
      <w:r>
        <w:rPr>
          <w:rFonts w:ascii="Arial" w:cs="Arial" w:eastAsia="Arial" w:hAnsi="Arial"/>
          <w:sz w:val="19"/>
          <w:szCs w:val="19"/>
          <w:color w:val="auto"/>
        </w:rPr>
        <w:t>*AllianceBernstein L.P. is a majority owned subsidiary of AXA Financial, Inc. and an indirect majority owned subsidiary of</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line="238" w:lineRule="auto"/>
        <w:rPr>
          <w:sz w:val="20"/>
          <w:szCs w:val="20"/>
          <w:color w:val="auto"/>
        </w:rPr>
      </w:pPr>
      <w:r>
        <w:rPr>
          <w:rFonts w:ascii="Arial" w:cs="Arial" w:eastAsia="Arial" w:hAnsi="Arial"/>
          <w:sz w:val="22"/>
          <w:szCs w:val="22"/>
          <w:color w:val="auto"/>
        </w:rPr>
        <w:t>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13"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AllianceBernstein may be deemed to share beneficial ownership with AXA reporting persons by virtue of 15,448 shares of common stock acquired on behalf of the general and special accounts of the affiliated entities for which AllianceBernstein serves as a subadvisor. Each of AllianceBernstein and the AXA entities reporting herein acquired their shares of common stock for investment purposes in the ordinary course of their investment management and insurance businesses.</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4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56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1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20"/>
          </w:cols>
          <w:pgMar w:left="320" w:top="118"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Date: February 14, 2018</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Name: Laurence Bertan</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Title: SVP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2019-12-06T12:19:02Z</dcterms:created>
  <dcterms:modified xsi:type="dcterms:W3CDTF">2019-12-06T12:19:02Z</dcterms:modified>
</cp:coreProperties>
</file>