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28, 2015 - ICON Reports Second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28,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Second Quarter 2015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680"/>
        <w:spacing w:after="0" w:line="256" w:lineRule="auto"/>
        <w:rPr>
          <w:sz w:val="20"/>
          <w:szCs w:val="20"/>
          <w:color w:val="auto"/>
        </w:rPr>
      </w:pPr>
      <w:r>
        <w:rPr>
          <w:rFonts w:ascii="Arial" w:cs="Arial" w:eastAsia="Arial" w:hAnsi="Arial"/>
          <w:sz w:val="22"/>
          <w:szCs w:val="22"/>
          <w:b w:val="1"/>
          <w:bCs w:val="1"/>
          <w:color w:val="auto"/>
        </w:rPr>
        <w:t>Gross business wins of $571 million, representing a gross book to bill of 1.47. Net business wins of $486 million, representing a net book to bill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260"/>
        <w:spacing w:after="0" w:line="256" w:lineRule="auto"/>
        <w:rPr>
          <w:sz w:val="20"/>
          <w:szCs w:val="20"/>
          <w:color w:val="auto"/>
        </w:rPr>
      </w:pPr>
      <w:r>
        <w:rPr>
          <w:rFonts w:ascii="Arial" w:cs="Arial" w:eastAsia="Arial" w:hAnsi="Arial"/>
          <w:sz w:val="22"/>
          <w:szCs w:val="22"/>
          <w:b w:val="1"/>
          <w:bCs w:val="1"/>
          <w:color w:val="auto"/>
        </w:rPr>
        <w:t>Quarter 2 net revenue of $389 million, a 3.4% increase year on year and a 4% increase on a constant dollar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up 41% year on year to $68.1 million or 17.5%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of 95 cents, up 48%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Earnings guidance revised up 8% from a range of $3.60 - $3.70 to a range of $3.90 - $4.00 and revenue revised from a range of $1,600 - $1,650 million to a range of $1,570 - $1,600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Announces expanded share repurchase programme of up to $400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DUBLIN--(BUSINESS WIRE)--July 28, 2015--</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second quarter ended June 30, 2015.</w:t>
      </w:r>
    </w:p>
    <w:p>
      <w:pPr>
        <w:spacing w:after="0" w:line="18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In the second quarter net revenue grew 3.4% year on year to $388.7 million from $376 million in the same quarter last year. This represented 9% constant currency growth and 4% constant dollar organic growth year on year.</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Income from operations increased by 41% to $68.1 million or 17.5% of revenue compared to $48.3 million or 12.8% for the same quarter last year.</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Net income increased by 44% to $58.6 million or 95 cents per share on a diluted basis, compared with $40.8 million or 64 cents per share for the same quarter last year.</w:t>
      </w:r>
    </w:p>
    <w:p>
      <w:pPr>
        <w:spacing w:after="0" w:line="173"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Revenue in the first half of 2015 increased by 7.1 % to $776.9 million from $725.7 million in 2014. This represented 12.4% constant currency growth and 6.7% constant dollar organic growth year on year.</w:t>
      </w:r>
    </w:p>
    <w:p>
      <w:pPr>
        <w:spacing w:after="0" w:line="173"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Income from operations in the first half of 2015, increased by 48% to $134.8 million or 17.4% of revenue, compared with $91.3 million or 12.6% of revenue in the previous year.</w:t>
      </w:r>
    </w:p>
    <w:p>
      <w:pPr>
        <w:spacing w:after="0" w:line="17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Net income in the first half of 2015 increased by 49% to $114.5 million, compared with $77 million last year. Year to date earnings increased by 52% from $1.85 per share on a diluted basis compared to $1.22 per diluted share last year.</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Guidance for the full year 2015 has been updated with earnings increased from a range of $3.60 - $3.70 to a range of $3.90 - $4.00 and revenue reduced from a range $1,600 - $1,650 million to a range of $1,570 - $1,600 million.</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45 days at June 30, 2015, compared with 47 days at the end of March 2015.</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For the quarter ended June 30, 2015, cash generated from operating activities was $28.1 million and capital expenditure was $13.4 million and $58 million of shares were repurchased. As a result, the company’s net cash amounted to $132 million at June 30, 2015, compared to net cash of $172 million at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500"/>
        <w:spacing w:after="0" w:line="329" w:lineRule="auto"/>
        <w:rPr>
          <w:sz w:val="20"/>
          <w:szCs w:val="20"/>
          <w:color w:val="auto"/>
        </w:rPr>
      </w:pPr>
      <w:r>
        <w:rPr>
          <w:rFonts w:ascii="Arial" w:cs="Arial" w:eastAsia="Arial" w:hAnsi="Arial"/>
          <w:sz w:val="19"/>
          <w:szCs w:val="19"/>
          <w:color w:val="auto"/>
        </w:rPr>
        <w:t>In addition to the $58 million of shares repurchased year to date, the company’s board has approved a further expansion of the share repurchase programme of up to $400 million which will be funded using committed financing and cash on hand.</w:t>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“In quarter two we achieved a record level of net new business awards of $486 million, a book to</w:t>
      </w:r>
      <w:r>
        <w:rPr>
          <w:rFonts w:ascii="Arial" w:cs="Arial" w:eastAsia="Arial" w:hAnsi="Arial"/>
          <w:sz w:val="21"/>
          <w:szCs w:val="21"/>
          <w:color w:val="auto"/>
        </w:rPr>
        <w:t xml:space="preserve"> </w:t>
      </w:r>
      <w:r>
        <w:rPr>
          <w:rFonts w:ascii="Arial" w:cs="Arial" w:eastAsia="Arial" w:hAnsi="Arial"/>
          <w:sz w:val="21"/>
          <w:szCs w:val="21"/>
          <w:i w:val="1"/>
          <w:iCs w:val="1"/>
          <w:color w:val="auto"/>
        </w:rPr>
        <w:t>bill of 1.25 and grew our backlog by 8% over last year. Our operating margin expanded to 17.5% and EPS was 95c an increase of 48% over last year. We expect this margin performance to continue, and are raising 2015 earnings guidance by 8%, from a range of $3.60 - $3.70 to a range of $3.90 - $4.00. Our backlog conversion is lower than forecast so we expect 2015 revenue to be in the range of $1,570 - $1,600 million compared with our previous range of $1,600 - $1,650 million. With our balance sheet capacity we will continue our recent policy of increasing shareholder value through the use of share buyback programmes and we are expanding our share repurchase programme by up to $400 million”.</w:t>
      </w:r>
    </w:p>
    <w:p>
      <w:pPr>
        <w:spacing w:after="0" w:line="178"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ICON will hold its second quarter conference call today, July 28, 2015 at 9:00 EST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81 locations in 37 countries and has approximately 11,300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2015 and June 30,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85"/>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r>
      <w:tr>
        <w:trPr>
          <w:trHeight w:val="164"/>
        </w:trPr>
        <w:tc>
          <w:tcPr>
            <w:tcW w:w="58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5860" w:type="dxa"/>
            <w:vAlign w:val="bottom"/>
            <w:gridSpan w:val="2"/>
          </w:tcPr>
          <w:p>
            <w:pPr>
              <w:spacing w:after="0"/>
              <w:rPr>
                <w:sz w:val="20"/>
                <w:szCs w:val="20"/>
                <w:color w:val="auto"/>
              </w:rPr>
            </w:pPr>
            <w:r>
              <w:rPr>
                <w:rFonts w:ascii="Arial" w:cs="Arial" w:eastAsia="Arial" w:hAnsi="Arial"/>
                <w:sz w:val="14"/>
                <w:szCs w:val="14"/>
                <w:color w:val="auto"/>
              </w:rPr>
              <w:t>Gross revenue</w:t>
            </w: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$524,098</w:t>
            </w:r>
          </w:p>
        </w:tc>
        <w:tc>
          <w:tcPr>
            <w:tcW w:w="1440" w:type="dxa"/>
            <w:vAlign w:val="bottom"/>
            <w:gridSpan w:val="4"/>
          </w:tcPr>
          <w:p>
            <w:pPr>
              <w:jc w:val="center"/>
              <w:ind w:left="268"/>
              <w:spacing w:after="0"/>
              <w:rPr>
                <w:sz w:val="20"/>
                <w:szCs w:val="20"/>
                <w:color w:val="auto"/>
              </w:rPr>
            </w:pPr>
            <w:r>
              <w:rPr>
                <w:rFonts w:ascii="Arial" w:cs="Arial" w:eastAsia="Arial" w:hAnsi="Arial"/>
                <w:sz w:val="14"/>
                <w:szCs w:val="14"/>
                <w:color w:val="auto"/>
                <w:w w:val="92"/>
              </w:rPr>
              <w:t>$506,404</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4"/>
              </w:rPr>
              <w:t>$1,027,464</w:t>
            </w:r>
          </w:p>
        </w:tc>
        <w:tc>
          <w:tcPr>
            <w:tcW w:w="1480" w:type="dxa"/>
            <w:vAlign w:val="bottom"/>
            <w:gridSpan w:val="4"/>
          </w:tcPr>
          <w:p>
            <w:pPr>
              <w:jc w:val="center"/>
              <w:ind w:left="268"/>
              <w:spacing w:after="0"/>
              <w:rPr>
                <w:sz w:val="20"/>
                <w:szCs w:val="20"/>
                <w:color w:val="auto"/>
              </w:rPr>
            </w:pPr>
            <w:r>
              <w:rPr>
                <w:rFonts w:ascii="Arial" w:cs="Arial" w:eastAsia="Arial" w:hAnsi="Arial"/>
                <w:sz w:val="14"/>
                <w:szCs w:val="14"/>
                <w:color w:val="auto"/>
                <w:w w:val="92"/>
              </w:rPr>
              <w:t>$982,948</w:t>
            </w:r>
          </w:p>
        </w:tc>
        <w:tc>
          <w:tcPr>
            <w:tcW w:w="120" w:type="dxa"/>
            <w:vAlign w:val="bottom"/>
          </w:tcPr>
          <w:p>
            <w:pPr>
              <w:spacing w:after="0"/>
              <w:rPr>
                <w:sz w:val="15"/>
                <w:szCs w:val="15"/>
                <w:color w:val="auto"/>
              </w:rPr>
            </w:pPr>
          </w:p>
        </w:tc>
      </w:tr>
      <w:tr>
        <w:trPr>
          <w:trHeight w:val="181"/>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(135,441)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(130,384)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(250,576)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(257,294)</w:t>
            </w:r>
          </w:p>
        </w:tc>
        <w:tc>
          <w:tcPr>
            <w:tcW w:w="120" w:type="dxa"/>
            <w:vAlign w:val="bottom"/>
          </w:tcPr>
          <w:p>
            <w:pPr>
              <w:spacing w:after="0"/>
              <w:rPr>
                <w:sz w:val="15"/>
                <w:szCs w:val="15"/>
                <w:color w:val="auto"/>
              </w:rPr>
            </w:pPr>
          </w:p>
        </w:tc>
      </w:tr>
      <w:tr>
        <w:trPr>
          <w:trHeight w:val="346"/>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Net revenue</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388,657</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4"/>
              </w:rPr>
              <w:t>376,020</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0"/>
              </w:rPr>
              <w:t>776,888</w:t>
            </w:r>
          </w:p>
        </w:tc>
        <w:tc>
          <w:tcPr>
            <w:tcW w:w="1480" w:type="dxa"/>
            <w:vAlign w:val="bottom"/>
            <w:gridSpan w:val="4"/>
          </w:tcPr>
          <w:p>
            <w:pPr>
              <w:jc w:val="center"/>
              <w:ind w:left="268"/>
              <w:spacing w:after="0"/>
              <w:rPr>
                <w:sz w:val="20"/>
                <w:szCs w:val="20"/>
                <w:color w:val="auto"/>
              </w:rPr>
            </w:pPr>
            <w:r>
              <w:rPr>
                <w:rFonts w:ascii="Arial" w:cs="Arial" w:eastAsia="Arial" w:hAnsi="Arial"/>
                <w:sz w:val="14"/>
                <w:szCs w:val="14"/>
                <w:color w:val="auto"/>
                <w:w w:val="90"/>
              </w:rPr>
              <w:t>725,654</w:t>
            </w:r>
          </w:p>
        </w:tc>
        <w:tc>
          <w:tcPr>
            <w:tcW w:w="120" w:type="dxa"/>
            <w:vAlign w:val="bottom"/>
          </w:tcPr>
          <w:p>
            <w:pPr>
              <w:spacing w:after="0"/>
              <w:rPr>
                <w:sz w:val="24"/>
                <w:szCs w:val="24"/>
                <w:color w:val="auto"/>
              </w:rPr>
            </w:pPr>
          </w:p>
        </w:tc>
      </w:tr>
      <w:tr>
        <w:trPr>
          <w:trHeight w:val="344"/>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6"/>
        </w:trPr>
        <w:tc>
          <w:tcPr>
            <w:tcW w:w="5860" w:type="dxa"/>
            <w:vAlign w:val="bottom"/>
            <w:gridSpan w:val="2"/>
          </w:tcPr>
          <w:p>
            <w:pPr>
              <w:spacing w:after="0"/>
              <w:rPr>
                <w:sz w:val="20"/>
                <w:szCs w:val="20"/>
                <w:color w:val="auto"/>
              </w:rPr>
            </w:pPr>
            <w:r>
              <w:rPr>
                <w:rFonts w:ascii="Arial" w:cs="Arial" w:eastAsia="Arial" w:hAnsi="Arial"/>
                <w:sz w:val="14"/>
                <w:szCs w:val="14"/>
                <w:color w:val="auto"/>
              </w:rPr>
              <w:t>Direct costs</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224,961</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4"/>
              </w:rPr>
              <w:t>227,188</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0"/>
              </w:rPr>
              <w:t>453,039</w:t>
            </w:r>
          </w:p>
        </w:tc>
        <w:tc>
          <w:tcPr>
            <w:tcW w:w="1480" w:type="dxa"/>
            <w:vAlign w:val="bottom"/>
            <w:gridSpan w:val="4"/>
          </w:tcPr>
          <w:p>
            <w:pPr>
              <w:jc w:val="center"/>
              <w:ind w:left="268"/>
              <w:spacing w:after="0"/>
              <w:rPr>
                <w:sz w:val="20"/>
                <w:szCs w:val="20"/>
                <w:color w:val="auto"/>
              </w:rPr>
            </w:pPr>
            <w:r>
              <w:rPr>
                <w:rFonts w:ascii="Arial" w:cs="Arial" w:eastAsia="Arial" w:hAnsi="Arial"/>
                <w:sz w:val="14"/>
                <w:szCs w:val="14"/>
                <w:color w:val="auto"/>
                <w:w w:val="90"/>
              </w:rPr>
              <w:t>443,328</w:t>
            </w:r>
          </w:p>
        </w:tc>
        <w:tc>
          <w:tcPr>
            <w:tcW w:w="120" w:type="dxa"/>
            <w:vAlign w:val="bottom"/>
          </w:tcPr>
          <w:p>
            <w:pPr>
              <w:spacing w:after="0"/>
              <w:rPr>
                <w:sz w:val="15"/>
                <w:szCs w:val="15"/>
                <w:color w:val="auto"/>
              </w:rPr>
            </w:pPr>
          </w:p>
        </w:tc>
      </w:tr>
      <w:tr>
        <w:trPr>
          <w:trHeight w:val="176"/>
        </w:trPr>
        <w:tc>
          <w:tcPr>
            <w:tcW w:w="58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81,321</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3"/>
              </w:rPr>
              <w:t>87,622</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0"/>
              </w:rPr>
              <w:t>160,875</w:t>
            </w:r>
          </w:p>
        </w:tc>
        <w:tc>
          <w:tcPr>
            <w:tcW w:w="1480" w:type="dxa"/>
            <w:vAlign w:val="bottom"/>
            <w:gridSpan w:val="4"/>
          </w:tcPr>
          <w:p>
            <w:pPr>
              <w:jc w:val="center"/>
              <w:ind w:left="268"/>
              <w:spacing w:after="0"/>
              <w:rPr>
                <w:sz w:val="20"/>
                <w:szCs w:val="20"/>
                <w:color w:val="auto"/>
              </w:rPr>
            </w:pPr>
            <w:r>
              <w:rPr>
                <w:rFonts w:ascii="Arial" w:cs="Arial" w:eastAsia="Arial" w:hAnsi="Arial"/>
                <w:sz w:val="14"/>
                <w:szCs w:val="14"/>
                <w:color w:val="auto"/>
                <w:w w:val="90"/>
              </w:rPr>
              <w:t>166,570</w:t>
            </w:r>
          </w:p>
        </w:tc>
        <w:tc>
          <w:tcPr>
            <w:tcW w:w="120" w:type="dxa"/>
            <w:vAlign w:val="bottom"/>
          </w:tcPr>
          <w:p>
            <w:pPr>
              <w:spacing w:after="0"/>
              <w:rPr>
                <w:sz w:val="15"/>
                <w:szCs w:val="15"/>
                <w:color w:val="auto"/>
              </w:rPr>
            </w:pPr>
          </w:p>
        </w:tc>
      </w:tr>
      <w:tr>
        <w:trPr>
          <w:trHeight w:val="181"/>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14,244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12,922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28,169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24,470</w:t>
            </w:r>
          </w:p>
        </w:tc>
        <w:tc>
          <w:tcPr>
            <w:tcW w:w="120" w:type="dxa"/>
            <w:vAlign w:val="bottom"/>
          </w:tcPr>
          <w:p>
            <w:pPr>
              <w:spacing w:after="0"/>
              <w:rPr>
                <w:sz w:val="15"/>
                <w:szCs w:val="15"/>
                <w:color w:val="auto"/>
              </w:rPr>
            </w:pPr>
          </w:p>
        </w:tc>
      </w:tr>
      <w:tr>
        <w:trPr>
          <w:trHeight w:val="345"/>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320,526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327,732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642,083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634,368</w:t>
            </w:r>
          </w:p>
        </w:tc>
        <w:tc>
          <w:tcPr>
            <w:tcW w:w="120" w:type="dxa"/>
            <w:vAlign w:val="bottom"/>
          </w:tcPr>
          <w:p>
            <w:pPr>
              <w:spacing w:after="0"/>
              <w:rPr>
                <w:sz w:val="24"/>
                <w:szCs w:val="24"/>
                <w:color w:val="auto"/>
              </w:rPr>
            </w:pPr>
          </w:p>
        </w:tc>
      </w:tr>
      <w:tr>
        <w:trPr>
          <w:trHeight w:val="346"/>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Income from operations</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68,131</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3"/>
              </w:rPr>
              <w:t>48,288</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0"/>
              </w:rPr>
              <w:t>134,805</w:t>
            </w:r>
          </w:p>
        </w:tc>
        <w:tc>
          <w:tcPr>
            <w:tcW w:w="1480" w:type="dxa"/>
            <w:vAlign w:val="bottom"/>
            <w:gridSpan w:val="4"/>
          </w:tcPr>
          <w:p>
            <w:pPr>
              <w:jc w:val="center"/>
              <w:ind w:left="248"/>
              <w:spacing w:after="0"/>
              <w:rPr>
                <w:sz w:val="20"/>
                <w:szCs w:val="20"/>
                <w:color w:val="auto"/>
              </w:rPr>
            </w:pPr>
            <w:r>
              <w:rPr>
                <w:rFonts w:ascii="Arial" w:cs="Arial" w:eastAsia="Arial" w:hAnsi="Arial"/>
                <w:sz w:val="14"/>
                <w:szCs w:val="14"/>
                <w:color w:val="auto"/>
                <w:w w:val="93"/>
              </w:rPr>
              <w:t>91,286</w:t>
            </w:r>
          </w:p>
        </w:tc>
        <w:tc>
          <w:tcPr>
            <w:tcW w:w="120" w:type="dxa"/>
            <w:vAlign w:val="bottom"/>
          </w:tcPr>
          <w:p>
            <w:pPr>
              <w:spacing w:after="0"/>
              <w:rPr>
                <w:sz w:val="24"/>
                <w:szCs w:val="24"/>
                <w:color w:val="auto"/>
              </w:rPr>
            </w:pPr>
          </w:p>
        </w:tc>
      </w:tr>
      <w:tr>
        <w:trPr>
          <w:trHeight w:val="350"/>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(13)</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53</w:t>
            </w:r>
          </w:p>
        </w:tc>
        <w:tc>
          <w:tcPr>
            <w:tcW w:w="120" w:type="dxa"/>
            <w:vAlign w:val="bottom"/>
          </w:tcPr>
          <w:p>
            <w:pPr>
              <w:spacing w:after="0"/>
              <w:rPr>
                <w:sz w:val="24"/>
                <w:szCs w:val="24"/>
                <w:color w:val="auto"/>
              </w:rPr>
            </w:pPr>
          </w:p>
        </w:tc>
      </w:tr>
      <w:tr>
        <w:trPr>
          <w:trHeight w:val="346"/>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68,121</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3"/>
              </w:rPr>
              <w:t>48,250</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0"/>
              </w:rPr>
              <w:t>134,792</w:t>
            </w:r>
          </w:p>
        </w:tc>
        <w:tc>
          <w:tcPr>
            <w:tcW w:w="1480" w:type="dxa"/>
            <w:vAlign w:val="bottom"/>
            <w:gridSpan w:val="4"/>
          </w:tcPr>
          <w:p>
            <w:pPr>
              <w:jc w:val="center"/>
              <w:ind w:left="248"/>
              <w:spacing w:after="0"/>
              <w:rPr>
                <w:sz w:val="20"/>
                <w:szCs w:val="20"/>
                <w:color w:val="auto"/>
              </w:rPr>
            </w:pPr>
            <w:r>
              <w:rPr>
                <w:rFonts w:ascii="Arial" w:cs="Arial" w:eastAsia="Arial" w:hAnsi="Arial"/>
                <w:sz w:val="14"/>
                <w:szCs w:val="14"/>
                <w:color w:val="auto"/>
                <w:w w:val="93"/>
              </w:rPr>
              <w:t>91,339</w:t>
            </w:r>
          </w:p>
        </w:tc>
        <w:tc>
          <w:tcPr>
            <w:tcW w:w="120" w:type="dxa"/>
            <w:vAlign w:val="bottom"/>
          </w:tcPr>
          <w:p>
            <w:pPr>
              <w:spacing w:after="0"/>
              <w:rPr>
                <w:sz w:val="24"/>
                <w:szCs w:val="24"/>
                <w:color w:val="auto"/>
              </w:rPr>
            </w:pPr>
          </w:p>
        </w:tc>
      </w:tr>
      <w:tr>
        <w:trPr>
          <w:trHeight w:val="350"/>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(9,537)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(7,467)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(20,338)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(14,361)</w:t>
            </w:r>
          </w:p>
        </w:tc>
        <w:tc>
          <w:tcPr>
            <w:tcW w:w="120" w:type="dxa"/>
            <w:vAlign w:val="bottom"/>
          </w:tcPr>
          <w:p>
            <w:pPr>
              <w:spacing w:after="0"/>
              <w:rPr>
                <w:sz w:val="24"/>
                <w:szCs w:val="24"/>
                <w:color w:val="auto"/>
              </w:rPr>
            </w:pPr>
          </w:p>
        </w:tc>
      </w:tr>
      <w:tr>
        <w:trPr>
          <w:trHeight w:val="345"/>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$58,584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$40,783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$114,454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$76,978</w:t>
            </w:r>
          </w:p>
        </w:tc>
        <w:tc>
          <w:tcPr>
            <w:tcW w:w="120" w:type="dxa"/>
            <w:vAlign w:val="bottom"/>
          </w:tcPr>
          <w:p>
            <w:pPr>
              <w:spacing w:after="0"/>
              <w:rPr>
                <w:sz w:val="24"/>
                <w:szCs w:val="24"/>
                <w:color w:val="auto"/>
              </w:rPr>
            </w:pPr>
          </w:p>
        </w:tc>
      </w:tr>
      <w:tr>
        <w:trPr>
          <w:trHeight w:val="346"/>
        </w:trPr>
        <w:tc>
          <w:tcPr>
            <w:tcW w:w="5860" w:type="dxa"/>
            <w:vAlign w:val="bottom"/>
            <w:gridSpan w:val="2"/>
          </w:tcPr>
          <w:p>
            <w:pPr>
              <w:spacing w:after="0"/>
              <w:rPr>
                <w:sz w:val="20"/>
                <w:szCs w:val="20"/>
                <w:color w:val="auto"/>
              </w:rPr>
            </w:pPr>
            <w:r>
              <w:rPr>
                <w:rFonts w:ascii="Arial" w:cs="Arial" w:eastAsia="Arial" w:hAnsi="Arial"/>
                <w:sz w:val="14"/>
                <w:szCs w:val="14"/>
                <w:color w:val="auto"/>
              </w:rPr>
              <w:t>Net income per Ordinary Share:</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$0.66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$1.90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$1.24</w:t>
            </w:r>
          </w:p>
        </w:tc>
        <w:tc>
          <w:tcPr>
            <w:tcW w:w="120" w:type="dxa"/>
            <w:vAlign w:val="bottom"/>
          </w:tcPr>
          <w:p>
            <w:pPr>
              <w:spacing w:after="0"/>
              <w:rPr>
                <w:sz w:val="24"/>
                <w:szCs w:val="24"/>
                <w:color w:val="auto"/>
              </w:rPr>
            </w:pPr>
          </w:p>
        </w:tc>
      </w:tr>
      <w:tr>
        <w:trPr>
          <w:trHeight w:val="345"/>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$0.95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$0.64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$1.85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$1.22</w:t>
            </w:r>
          </w:p>
        </w:tc>
        <w:tc>
          <w:tcPr>
            <w:tcW w:w="120" w:type="dxa"/>
            <w:vAlign w:val="bottom"/>
          </w:tcPr>
          <w:p>
            <w:pPr>
              <w:spacing w:after="0"/>
              <w:rPr>
                <w:sz w:val="24"/>
                <w:szCs w:val="24"/>
                <w:color w:val="auto"/>
              </w:rPr>
            </w:pPr>
          </w:p>
        </w:tc>
      </w:tr>
      <w:tr>
        <w:trPr>
          <w:trHeight w:val="346"/>
        </w:trPr>
        <w:tc>
          <w:tcPr>
            <w:tcW w:w="5860" w:type="dxa"/>
            <w:vAlign w:val="bottom"/>
            <w:gridSpan w:val="2"/>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0"/>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60,244,982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61,934,923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60,263,021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61,855,783</w:t>
            </w:r>
          </w:p>
        </w:tc>
        <w:tc>
          <w:tcPr>
            <w:tcW w:w="120" w:type="dxa"/>
            <w:vAlign w:val="bottom"/>
          </w:tcPr>
          <w:p>
            <w:pPr>
              <w:spacing w:after="0"/>
              <w:rPr>
                <w:sz w:val="24"/>
                <w:szCs w:val="24"/>
                <w:color w:val="auto"/>
              </w:rPr>
            </w:pPr>
          </w:p>
        </w:tc>
      </w:tr>
      <w:tr>
        <w:trPr>
          <w:trHeight w:val="345"/>
        </w:trPr>
        <w:tc>
          <w:tcPr>
            <w:tcW w:w="586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61,801,687</w:t>
            </w:r>
          </w:p>
        </w:tc>
        <w:tc>
          <w:tcPr>
            <w:tcW w:w="1440" w:type="dxa"/>
            <w:vAlign w:val="bottom"/>
            <w:gridSpan w:val="4"/>
          </w:tcPr>
          <w:p>
            <w:pPr>
              <w:jc w:val="center"/>
              <w:ind w:left="248"/>
              <w:spacing w:after="0"/>
              <w:rPr>
                <w:sz w:val="20"/>
                <w:szCs w:val="20"/>
                <w:color w:val="auto"/>
              </w:rPr>
            </w:pPr>
            <w:r>
              <w:rPr>
                <w:rFonts w:ascii="Arial" w:cs="Arial" w:eastAsia="Arial" w:hAnsi="Arial"/>
                <w:sz w:val="14"/>
                <w:szCs w:val="14"/>
                <w:color w:val="auto"/>
                <w:w w:val="91"/>
              </w:rPr>
              <w:t>63,343,269</w:t>
            </w:r>
          </w:p>
        </w:tc>
        <w:tc>
          <w:tcPr>
            <w:tcW w:w="1420" w:type="dxa"/>
            <w:vAlign w:val="bottom"/>
            <w:gridSpan w:val="4"/>
          </w:tcPr>
          <w:p>
            <w:pPr>
              <w:jc w:val="center"/>
              <w:ind w:left="248"/>
              <w:spacing w:after="0"/>
              <w:rPr>
                <w:sz w:val="20"/>
                <w:szCs w:val="20"/>
                <w:color w:val="auto"/>
              </w:rPr>
            </w:pPr>
            <w:r>
              <w:rPr>
                <w:rFonts w:ascii="Arial" w:cs="Arial" w:eastAsia="Arial" w:hAnsi="Arial"/>
                <w:sz w:val="14"/>
                <w:szCs w:val="14"/>
                <w:color w:val="auto"/>
                <w:w w:val="94"/>
              </w:rPr>
              <w:t>61,849,326</w:t>
            </w:r>
          </w:p>
        </w:tc>
        <w:tc>
          <w:tcPr>
            <w:tcW w:w="1480" w:type="dxa"/>
            <w:vAlign w:val="bottom"/>
            <w:gridSpan w:val="4"/>
          </w:tcPr>
          <w:p>
            <w:pPr>
              <w:jc w:val="center"/>
              <w:ind w:left="248"/>
              <w:spacing w:after="0"/>
              <w:rPr>
                <w:sz w:val="20"/>
                <w:szCs w:val="20"/>
                <w:color w:val="auto"/>
              </w:rPr>
            </w:pPr>
            <w:r>
              <w:rPr>
                <w:rFonts w:ascii="Arial" w:cs="Arial" w:eastAsia="Arial" w:hAnsi="Arial"/>
                <w:sz w:val="14"/>
                <w:szCs w:val="14"/>
                <w:color w:val="auto"/>
                <w:w w:val="91"/>
              </w:rPr>
              <w:t>63,290,292</w:t>
            </w:r>
          </w:p>
        </w:tc>
        <w:tc>
          <w:tcPr>
            <w:tcW w:w="120" w:type="dxa"/>
            <w:vAlign w:val="bottom"/>
          </w:tcPr>
          <w:p>
            <w:pPr>
              <w:spacing w:after="0"/>
              <w:rPr>
                <w:sz w:val="24"/>
                <w:szCs w:val="24"/>
                <w:color w:val="auto"/>
              </w:rPr>
            </w:pPr>
          </w:p>
        </w:tc>
      </w:tr>
      <w:tr>
        <w:trPr>
          <w:trHeight w:val="129"/>
        </w:trPr>
        <w:tc>
          <w:tcPr>
            <w:tcW w:w="576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1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12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1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14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r>
      <w:tr>
        <w:trPr>
          <w:trHeight w:val="21"/>
        </w:trPr>
        <w:tc>
          <w:tcPr>
            <w:tcW w:w="5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ind w:right="-1059"/>
        <w:spacing w:after="0"/>
        <w:rPr>
          <w:sz w:val="20"/>
          <w:szCs w:val="20"/>
          <w:color w:val="auto"/>
        </w:rPr>
      </w:pPr>
      <w:r>
        <w:rPr>
          <w:rFonts w:ascii="Arial" w:cs="Arial" w:eastAsia="Arial" w:hAnsi="Arial"/>
          <w:sz w:val="14"/>
          <w:szCs w:val="14"/>
          <w:b w:val="1"/>
          <w:bCs w:val="1"/>
          <w:color w:val="auto"/>
        </w:rPr>
        <w:t>ICON plc</w:t>
      </w:r>
    </w:p>
    <w:p>
      <w:pPr>
        <w:jc w:val="center"/>
        <w:ind w:right="-105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1059"/>
        <w:spacing w:after="0" w:line="222" w:lineRule="auto"/>
        <w:rPr>
          <w:sz w:val="20"/>
          <w:szCs w:val="20"/>
          <w:color w:val="auto"/>
        </w:rPr>
      </w:pPr>
      <w:r>
        <w:rPr>
          <w:rFonts w:ascii="Arial" w:cs="Arial" w:eastAsia="Arial" w:hAnsi="Arial"/>
          <w:sz w:val="14"/>
          <w:szCs w:val="14"/>
          <w:b w:val="1"/>
          <w:bCs w:val="1"/>
          <w:color w:val="auto"/>
        </w:rPr>
        <w:t>June 30, 2015 and March 31, 2015</w:t>
      </w:r>
    </w:p>
    <w:p>
      <w:pPr>
        <w:jc w:val="center"/>
        <w:ind w:right="-1059"/>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4240" w:type="dxa"/>
            <w:vAlign w:val="bottom"/>
          </w:tcPr>
          <w:p>
            <w:pPr>
              <w:jc w:val="center"/>
              <w:ind w:left="1528"/>
              <w:spacing w:after="0"/>
              <w:rPr>
                <w:sz w:val="20"/>
                <w:szCs w:val="20"/>
                <w:color w:val="auto"/>
              </w:rPr>
            </w:pPr>
            <w:r>
              <w:rPr>
                <w:rFonts w:ascii="Arial" w:cs="Arial" w:eastAsia="Arial" w:hAnsi="Arial"/>
                <w:sz w:val="14"/>
                <w:szCs w:val="14"/>
                <w:b w:val="1"/>
                <w:bCs w:val="1"/>
                <w:color w:val="auto"/>
                <w:w w:val="92"/>
              </w:rPr>
              <w:t>June 30,</w:t>
            </w:r>
          </w:p>
        </w:tc>
        <w:tc>
          <w:tcPr>
            <w:tcW w:w="1680" w:type="dxa"/>
            <w:vAlign w:val="bottom"/>
          </w:tcPr>
          <w:p>
            <w:pPr>
              <w:jc w:val="center"/>
              <w:ind w:left="848"/>
              <w:spacing w:after="0"/>
              <w:rPr>
                <w:sz w:val="20"/>
                <w:szCs w:val="20"/>
                <w:color w:val="auto"/>
              </w:rPr>
            </w:pPr>
            <w:r>
              <w:rPr>
                <w:rFonts w:ascii="Arial" w:cs="Arial" w:eastAsia="Arial" w:hAnsi="Arial"/>
                <w:sz w:val="14"/>
                <w:szCs w:val="14"/>
                <w:b w:val="1"/>
                <w:bCs w:val="1"/>
                <w:color w:val="auto"/>
                <w:w w:val="99"/>
              </w:rPr>
              <w:t>March 31,</w:t>
            </w:r>
          </w:p>
        </w:tc>
      </w:tr>
      <w:tr>
        <w:trPr>
          <w:trHeight w:val="176"/>
        </w:trPr>
        <w:tc>
          <w:tcPr>
            <w:tcW w:w="4440" w:type="dxa"/>
            <w:vAlign w:val="bottom"/>
          </w:tcPr>
          <w:p>
            <w:pPr>
              <w:spacing w:after="0"/>
              <w:rPr>
                <w:sz w:val="15"/>
                <w:szCs w:val="15"/>
                <w:color w:val="auto"/>
              </w:rPr>
            </w:pPr>
          </w:p>
        </w:tc>
        <w:tc>
          <w:tcPr>
            <w:tcW w:w="4240" w:type="dxa"/>
            <w:vAlign w:val="bottom"/>
          </w:tcPr>
          <w:p>
            <w:pPr>
              <w:jc w:val="center"/>
              <w:ind w:left="1548"/>
              <w:spacing w:after="0"/>
              <w:rPr>
                <w:sz w:val="20"/>
                <w:szCs w:val="20"/>
                <w:color w:val="auto"/>
              </w:rPr>
            </w:pPr>
            <w:r>
              <w:rPr>
                <w:rFonts w:ascii="Arial" w:cs="Arial" w:eastAsia="Arial" w:hAnsi="Arial"/>
                <w:sz w:val="14"/>
                <w:szCs w:val="14"/>
                <w:b w:val="1"/>
                <w:bCs w:val="1"/>
                <w:color w:val="auto"/>
                <w:w w:val="96"/>
              </w:rPr>
              <w:t>2015</w:t>
            </w:r>
          </w:p>
        </w:tc>
        <w:tc>
          <w:tcPr>
            <w:tcW w:w="1680" w:type="dxa"/>
            <w:vAlign w:val="bottom"/>
          </w:tcPr>
          <w:p>
            <w:pPr>
              <w:jc w:val="center"/>
              <w:ind w:left="868"/>
              <w:spacing w:after="0"/>
              <w:rPr>
                <w:sz w:val="20"/>
                <w:szCs w:val="20"/>
                <w:color w:val="auto"/>
              </w:rPr>
            </w:pPr>
            <w:r>
              <w:rPr>
                <w:rFonts w:ascii="Arial" w:cs="Arial" w:eastAsia="Arial" w:hAnsi="Arial"/>
                <w:sz w:val="14"/>
                <w:szCs w:val="14"/>
                <w:b w:val="1"/>
                <w:bCs w:val="1"/>
                <w:color w:val="auto"/>
                <w:w w:val="96"/>
              </w:rPr>
              <w:t>2015</w:t>
            </w:r>
          </w:p>
        </w:tc>
      </w:tr>
      <w:tr>
        <w:trPr>
          <w:trHeight w:val="186"/>
        </w:trPr>
        <w:tc>
          <w:tcPr>
            <w:tcW w:w="4440" w:type="dxa"/>
            <w:vAlign w:val="bottom"/>
          </w:tcPr>
          <w:p>
            <w:pPr>
              <w:spacing w:after="0"/>
              <w:rPr>
                <w:sz w:val="16"/>
                <w:szCs w:val="16"/>
                <w:color w:val="auto"/>
              </w:rPr>
            </w:pPr>
          </w:p>
        </w:tc>
        <w:tc>
          <w:tcPr>
            <w:tcW w:w="4240" w:type="dxa"/>
            <w:vAlign w:val="bottom"/>
          </w:tcPr>
          <w:p>
            <w:pPr>
              <w:jc w:val="center"/>
              <w:ind w:left="1528"/>
              <w:spacing w:after="0"/>
              <w:rPr>
                <w:sz w:val="20"/>
                <w:szCs w:val="20"/>
                <w:color w:val="auto"/>
              </w:rPr>
            </w:pPr>
            <w:r>
              <w:rPr>
                <w:rFonts w:ascii="Arial" w:cs="Arial" w:eastAsia="Arial" w:hAnsi="Arial"/>
                <w:sz w:val="14"/>
                <w:szCs w:val="14"/>
                <w:b w:val="1"/>
                <w:bCs w:val="1"/>
                <w:color w:val="auto"/>
                <w:w w:val="97"/>
              </w:rPr>
              <w:t>(Unaudited)</w:t>
            </w:r>
          </w:p>
        </w:tc>
        <w:tc>
          <w:tcPr>
            <w:tcW w:w="168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(Unaudited)</w:t>
            </w:r>
          </w:p>
        </w:tc>
      </w:tr>
      <w:tr>
        <w:trPr>
          <w:trHeight w:val="520"/>
        </w:trPr>
        <w:tc>
          <w:tcPr>
            <w:tcW w:w="44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192,196</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191,675</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Debt</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5"/>
              </w:rPr>
              <w:t>(60,000)</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5"/>
              </w:rPr>
              <w:t>(20,000)</w:t>
            </w: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Net (debt)/cash</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132,196</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171,675</w:t>
            </w:r>
          </w:p>
        </w:tc>
      </w:tr>
      <w:tr>
        <w:trPr>
          <w:trHeight w:val="344"/>
        </w:trPr>
        <w:tc>
          <w:tcPr>
            <w:tcW w:w="4440" w:type="dxa"/>
            <w:vAlign w:val="bottom"/>
          </w:tcPr>
          <w:p>
            <w:pPr>
              <w:spacing w:after="0"/>
              <w:rPr>
                <w:sz w:val="20"/>
                <w:szCs w:val="20"/>
                <w:color w:val="auto"/>
              </w:rPr>
            </w:pPr>
            <w:r>
              <w:rPr>
                <w:rFonts w:ascii="Arial" w:cs="Arial" w:eastAsia="Arial" w:hAnsi="Arial"/>
                <w:sz w:val="14"/>
                <w:szCs w:val="14"/>
                <w:color w:val="auto"/>
              </w:rPr>
              <w:t>Accounts receivable</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358,008</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361,780</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Unbilled revenue</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173,614</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156,595</w:t>
            </w: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Payments on account</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6"/>
              </w:rPr>
              <w:t>(268,494)</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6"/>
              </w:rPr>
              <w:t>(253,043)</w:t>
            </w: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Total</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263,128</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265,332</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Working Capital</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0"/>
              </w:rPr>
              <w:t>260,485</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253,048</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Total Assets</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3"/>
              </w:rPr>
              <w:t>1,636,254</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3"/>
              </w:rPr>
              <w:t>1,604,901</w:t>
            </w:r>
          </w:p>
        </w:tc>
      </w:tr>
      <w:tr>
        <w:trPr>
          <w:trHeight w:val="351"/>
        </w:trPr>
        <w:tc>
          <w:tcPr>
            <w:tcW w:w="4440" w:type="dxa"/>
            <w:vAlign w:val="bottom"/>
          </w:tcPr>
          <w:p>
            <w:pPr>
              <w:spacing w:after="0"/>
              <w:rPr>
                <w:sz w:val="20"/>
                <w:szCs w:val="20"/>
                <w:color w:val="auto"/>
              </w:rPr>
            </w:pPr>
            <w:r>
              <w:rPr>
                <w:rFonts w:ascii="Arial" w:cs="Arial" w:eastAsia="Arial" w:hAnsi="Arial"/>
                <w:sz w:val="14"/>
                <w:szCs w:val="14"/>
                <w:color w:val="auto"/>
              </w:rPr>
              <w:t>Shareholder's Equity</w:t>
            </w:r>
          </w:p>
        </w:tc>
        <w:tc>
          <w:tcPr>
            <w:tcW w:w="4240" w:type="dxa"/>
            <w:vAlign w:val="bottom"/>
          </w:tcPr>
          <w:p>
            <w:pPr>
              <w:jc w:val="center"/>
              <w:ind w:left="1548"/>
              <w:spacing w:after="0"/>
              <w:rPr>
                <w:sz w:val="20"/>
                <w:szCs w:val="20"/>
                <w:color w:val="auto"/>
              </w:rPr>
            </w:pPr>
            <w:r>
              <w:rPr>
                <w:rFonts w:ascii="Arial" w:cs="Arial" w:eastAsia="Arial" w:hAnsi="Arial"/>
                <w:sz w:val="14"/>
                <w:szCs w:val="14"/>
                <w:color w:val="auto"/>
                <w:w w:val="93"/>
              </w:rPr>
              <w:t>1,022,212</w:t>
            </w:r>
          </w:p>
        </w:tc>
        <w:tc>
          <w:tcPr>
            <w:tcW w:w="1680" w:type="dxa"/>
            <w:vAlign w:val="bottom"/>
          </w:tcPr>
          <w:p>
            <w:pPr>
              <w:jc w:val="center"/>
              <w:ind w:left="868"/>
              <w:spacing w:after="0"/>
              <w:rPr>
                <w:sz w:val="20"/>
                <w:szCs w:val="20"/>
                <w:color w:val="auto"/>
              </w:rPr>
            </w:pPr>
            <w:r>
              <w:rPr>
                <w:rFonts w:ascii="Arial" w:cs="Arial" w:eastAsia="Arial" w:hAnsi="Arial"/>
                <w:sz w:val="14"/>
                <w:szCs w:val="14"/>
                <w:color w:val="auto"/>
                <w:w w:val="90"/>
              </w:rPr>
              <w:t>999,269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86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0360"/>
      </w:cols>
      <w:pgMar w:left="240" w:top="13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2019-12-07T04:32:26Z</dcterms:created>
  <dcterms:modified xsi:type="dcterms:W3CDTF">2019-12-07T04:32:26Z</dcterms:modified>
</cp:coreProperties>
</file>