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ICON plc</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9"/>
          <w:szCs w:val="19"/>
          <w:color w:val="auto"/>
        </w:rPr>
        <w:t>This communication is filed pursuant to Rule 425 under the United States Securities Act of 1933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Subject Company: PRA Health Sciences, Inc.</w:t>
      </w:r>
    </w:p>
    <w:p>
      <w:pPr>
        <w:ind w:left="714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8000"/>
        <w:spacing w:after="0"/>
        <w:rPr>
          <w:sz w:val="20"/>
          <w:szCs w:val="20"/>
          <w:color w:val="auto"/>
        </w:rPr>
      </w:pPr>
      <w:r>
        <w:rPr>
          <w:rFonts w:ascii="Arial" w:cs="Arial" w:eastAsia="Arial" w:hAnsi="Arial"/>
          <w:sz w:val="19"/>
          <w:szCs w:val="19"/>
          <w:color w:val="auto"/>
        </w:rPr>
        <w:t>Date: February 24, 2021</w:t>
      </w:r>
    </w:p>
    <w:p>
      <w:pPr>
        <w:sectPr>
          <w:pgSz w:w="11900" w:h="16838" w:orient="portrait"/>
          <w:cols w:equalWidth="0" w:num="1">
            <w:col w:w="10120"/>
          </w:cols>
          <w:pgMar w:left="1440" w:top="631" w:right="33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038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038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5"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ind w:left="60"/>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term “ICON” may refer to ICON public limited company, one or more of its consolidated subsidiaries, or to all of them taken as a whole. The term “PRA”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2021-02-24T16:26:47Z</dcterms:created>
  <dcterms:modified xsi:type="dcterms:W3CDTF">2021-02-24T16:26:47Z</dcterms:modified>
</cp:coreProperties>
</file>