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For the month ended February, 2022</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280"/>
        <w:spacing w:after="0"/>
        <w:tabs>
          <w:tab w:leader="none" w:pos="65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2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2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2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February 22, 2022 - ICON Reports Fourth Quarter and Full Year 2021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760" w:right="2800" w:hanging="6749"/>
        <w:spacing w:after="0" w:line="290" w:lineRule="auto"/>
        <w:tabs>
          <w:tab w:leader="none" w:pos="6740" w:val="left"/>
        </w:tabs>
        <w:rPr>
          <w:sz w:val="20"/>
          <w:szCs w:val="20"/>
          <w:color w:val="auto"/>
        </w:rPr>
      </w:pPr>
      <w:r>
        <w:rPr>
          <w:rFonts w:ascii="Arial" w:cs="Arial" w:eastAsia="Arial" w:hAnsi="Arial"/>
          <w:sz w:val="18"/>
          <w:szCs w:val="18"/>
          <w:color w:val="auto"/>
        </w:rPr>
        <w:t>Date: February 22, 2022</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Fourth Quarter and Full Year 2021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right="300"/>
        <w:spacing w:after="0" w:line="241" w:lineRule="auto"/>
        <w:rPr>
          <w:sz w:val="20"/>
          <w:szCs w:val="20"/>
          <w:color w:val="auto"/>
        </w:rPr>
      </w:pPr>
      <w:r>
        <w:rPr>
          <w:rFonts w:ascii="Arial" w:cs="Arial" w:eastAsia="Arial" w:hAnsi="Arial"/>
          <w:sz w:val="22"/>
          <w:szCs w:val="22"/>
          <w:b w:val="1"/>
          <w:bCs w:val="1"/>
          <w:color w:val="auto"/>
        </w:rPr>
        <w:t>Record net business wins in the quarter of $2,378 million; a net book to bill of 1.26. Full year net business wins of $6,958 million; a net book to bill of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40"/>
        <w:spacing w:after="0" w:line="230" w:lineRule="auto"/>
        <w:rPr>
          <w:sz w:val="20"/>
          <w:szCs w:val="20"/>
          <w:color w:val="auto"/>
        </w:rPr>
      </w:pPr>
      <w:r>
        <w:rPr>
          <w:rFonts w:ascii="Arial" w:cs="Arial" w:eastAsia="Arial" w:hAnsi="Arial"/>
          <w:sz w:val="22"/>
          <w:szCs w:val="22"/>
          <w:b w:val="1"/>
          <w:bCs w:val="1"/>
          <w:color w:val="auto"/>
        </w:rPr>
        <w:t>Closing backlog of $19.1 billion, an increase of 2.6% on Q3 2021 or an increase of 9.5% year over year on a Combined Company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66" w:lineRule="auto"/>
        <w:rPr>
          <w:sz w:val="20"/>
          <w:szCs w:val="20"/>
          <w:color w:val="auto"/>
        </w:rPr>
      </w:pPr>
      <w:r>
        <w:rPr>
          <w:rFonts w:ascii="Arial" w:cs="Arial" w:eastAsia="Arial" w:hAnsi="Arial"/>
          <w:sz w:val="19"/>
          <w:szCs w:val="19"/>
          <w:b w:val="1"/>
          <w:bCs w:val="1"/>
          <w:color w:val="auto"/>
        </w:rPr>
        <w:t>Quarter 4 adjusted revenue of $1,881.1 million representing a year on year increase of 147.4%. Full year revenue of $5,480.8 million representing a 95.9% increase on the prior year. On a Combined Company basis, Quarter 4 adjusted revenue increased 15.1% year over year, and full year 2021 revenue increased 24.8% year over year. Adjusted EBITDA of $332.5 million or 17.7% of adjusted revenue, a year on year increase of 130.7%. Full year adjusted EBITDA of $970.0 million representing a year on year increase of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-718820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-255905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100"/>
        <w:spacing w:after="0" w:line="230" w:lineRule="auto"/>
        <w:rPr>
          <w:sz w:val="20"/>
          <w:szCs w:val="20"/>
          <w:color w:val="auto"/>
        </w:rPr>
      </w:pPr>
      <w:r>
        <w:rPr>
          <w:rFonts w:ascii="Arial" w:cs="Arial" w:eastAsia="Arial" w:hAnsi="Arial"/>
          <w:sz w:val="22"/>
          <w:szCs w:val="22"/>
          <w:b w:val="1"/>
          <w:bCs w:val="1"/>
          <w:color w:val="auto"/>
        </w:rPr>
        <w:t>Adjusted net income attributable to the Group was $218.0 million or $2.63 per diluted share. Full year adjusted net income attributable to the Group of $666.4 million or $9.65 per diluted share. Full year 2021 adjusted earnings per share increased 31.2%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40"/>
        <w:spacing w:after="0" w:line="241" w:lineRule="auto"/>
        <w:rPr>
          <w:sz w:val="20"/>
          <w:szCs w:val="20"/>
          <w:color w:val="auto"/>
        </w:rPr>
      </w:pPr>
      <w:r>
        <w:rPr>
          <w:rFonts w:ascii="Arial" w:cs="Arial" w:eastAsia="Arial" w:hAnsi="Arial"/>
          <w:sz w:val="21"/>
          <w:szCs w:val="21"/>
          <w:b w:val="1"/>
          <w:bCs w:val="1"/>
          <w:color w:val="auto"/>
        </w:rPr>
        <w:t>GAAP revenue for Quarter 4 was $1,885.1 million and for the full year was $5,480.8 million. GAAP net income attributable to the Group for Quarter 4 of $76.5 million and for the full year of $153.2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b w:val="1"/>
          <w:bCs w:val="1"/>
          <w:color w:val="auto"/>
        </w:rPr>
        <w:t>Days sales outstanding reduced to 31 days from 57 days at December 31, 2020 on a comparable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60"/>
        <w:spacing w:after="0" w:line="230" w:lineRule="auto"/>
        <w:rPr>
          <w:sz w:val="20"/>
          <w:szCs w:val="20"/>
          <w:color w:val="auto"/>
        </w:rPr>
      </w:pPr>
      <w:r>
        <w:rPr>
          <w:rFonts w:ascii="Arial" w:cs="Arial" w:eastAsia="Arial" w:hAnsi="Arial"/>
          <w:sz w:val="22"/>
          <w:szCs w:val="22"/>
          <w:b w:val="1"/>
          <w:bCs w:val="1"/>
          <w:color w:val="auto"/>
        </w:rPr>
        <w:t>$500 million early repayment made on Term Loan B debt. Net debt balance of $4.682 billion with Net Debt to Adjusted EBITDA of 3.4x.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b w:val="1"/>
          <w:bCs w:val="1"/>
          <w:color w:val="auto"/>
        </w:rPr>
        <w:t>Board of Directors authorized share repurchase programme up to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40"/>
        <w:spacing w:after="0" w:line="230" w:lineRule="auto"/>
        <w:rPr>
          <w:sz w:val="20"/>
          <w:szCs w:val="20"/>
          <w:color w:val="auto"/>
        </w:rPr>
      </w:pPr>
      <w:r>
        <w:rPr>
          <w:rFonts w:ascii="Arial" w:cs="Arial" w:eastAsia="Arial" w:hAnsi="Arial"/>
          <w:sz w:val="22"/>
          <w:szCs w:val="22"/>
          <w:b w:val="1"/>
          <w:bCs w:val="1"/>
          <w:color w:val="auto"/>
        </w:rPr>
        <w:t>Full year 2022 revenue guidance reaffirmed in the range of $7,770 - $8,050 million, representing a year over year increase of 41.8% - 46.9%.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0"/>
        <w:spacing w:after="0" w:line="234" w:lineRule="auto"/>
        <w:rPr>
          <w:sz w:val="20"/>
          <w:szCs w:val="20"/>
          <w:color w:val="auto"/>
        </w:rPr>
      </w:pPr>
      <w:r>
        <w:rPr>
          <w:rFonts w:ascii="Arial" w:cs="Arial" w:eastAsia="Arial" w:hAnsi="Arial"/>
          <w:sz w:val="22"/>
          <w:szCs w:val="22"/>
          <w:b w:val="1"/>
          <w:bCs w:val="1"/>
          <w:color w:val="auto"/>
        </w:rPr>
        <w:t>Full year 2022 adjusted earnings per share guidance reaffirmed in the range of $11.55 - $11.95. Adjusted earnings per share to exclude amortization, stock compensation, foreign exchange and transaction-related / integration-related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-419735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ind w:right="160"/>
        <w:spacing w:after="0" w:line="334" w:lineRule="auto"/>
        <w:rPr>
          <w:sz w:val="20"/>
          <w:szCs w:val="20"/>
          <w:color w:val="auto"/>
        </w:rPr>
      </w:pPr>
      <w:r>
        <w:rPr>
          <w:rFonts w:ascii="Arial" w:cs="Arial" w:eastAsia="Arial" w:hAnsi="Arial"/>
          <w:sz w:val="19"/>
          <w:szCs w:val="19"/>
          <w:color w:val="auto"/>
        </w:rPr>
        <w:t>DUBLIN--(BUSINESS WIRE)--February 22, 2022--</w:t>
      </w:r>
      <w:r>
        <w:rPr>
          <w:rFonts w:ascii="Arial" w:cs="Arial" w:eastAsia="Arial" w:hAnsi="Arial"/>
          <w:sz w:val="19"/>
          <w:szCs w:val="19"/>
          <w:b w:val="1"/>
          <w:bCs w:val="1"/>
          <w:color w:val="auto"/>
        </w:rPr>
        <w:t>ICON plc (NASDAQ:ICLR),</w:t>
      </w:r>
      <w:r>
        <w:rPr>
          <w:rFonts w:ascii="Arial" w:cs="Arial" w:eastAsia="Arial" w:hAnsi="Arial"/>
          <w:sz w:val="19"/>
          <w:szCs w:val="19"/>
          <w:color w:val="auto"/>
        </w:rPr>
        <w:t xml:space="preserve"> a world-leading healthcare intelligence and clinical research organisation, today reported its financial results for the fourth quarter and full year ended December 31, 2021.</w:t>
      </w:r>
    </w:p>
    <w:p>
      <w:pPr>
        <w:spacing w:after="0" w:line="100"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 xml:space="preserve">CEO Dr. Steve Cutler commented, </w:t>
      </w:r>
      <w:r>
        <w:rPr>
          <w:rFonts w:ascii="Arial" w:cs="Arial" w:eastAsia="Arial" w:hAnsi="Arial"/>
          <w:sz w:val="22"/>
          <w:szCs w:val="22"/>
          <w:i w:val="1"/>
          <w:iCs w:val="1"/>
          <w:color w:val="auto"/>
        </w:rPr>
        <w:t>“ICON had an outstanding year in 2021, with exceptional growth across our business as we</w:t>
      </w:r>
      <w:r>
        <w:rPr>
          <w:rFonts w:ascii="Arial" w:cs="Arial" w:eastAsia="Arial" w:hAnsi="Arial"/>
          <w:sz w:val="22"/>
          <w:szCs w:val="22"/>
          <w:color w:val="auto"/>
        </w:rPr>
        <w:t xml:space="preserve"> </w:t>
      </w:r>
      <w:r>
        <w:rPr>
          <w:rFonts w:ascii="Arial" w:cs="Arial" w:eastAsia="Arial" w:hAnsi="Arial"/>
          <w:sz w:val="22"/>
          <w:szCs w:val="22"/>
          <w:i w:val="1"/>
          <w:iCs w:val="1"/>
          <w:color w:val="auto"/>
        </w:rPr>
        <w:t>continue to transform into the world’s largest and most comprehensive healthcare intelligence organisation. Our world class team aided in the development of 30 customer drug and device approvals in the year, including breakthrough COVID vaccines and therapies. In the first six months as the new ICON, we have already made significant progress against our initial transaction targets, with a $500m debt repayment on our Term Loan B facility, and an expectation to realize approximately 50% cost synergies by the end of 2022.</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 xml:space="preserve">Dr. Cutler added </w:t>
      </w:r>
      <w:r>
        <w:rPr>
          <w:rFonts w:ascii="Arial" w:cs="Arial" w:eastAsia="Arial" w:hAnsi="Arial"/>
          <w:sz w:val="19"/>
          <w:szCs w:val="19"/>
          <w:i w:val="1"/>
          <w:iCs w:val="1"/>
          <w:color w:val="auto"/>
        </w:rPr>
        <w:t>, “We continue to see a healthy industry environment and strong customer demand, demonstrated by another</w:t>
      </w:r>
      <w:r>
        <w:rPr>
          <w:rFonts w:ascii="Arial" w:cs="Arial" w:eastAsia="Arial" w:hAnsi="Arial"/>
          <w:sz w:val="19"/>
          <w:szCs w:val="19"/>
          <w:color w:val="auto"/>
        </w:rPr>
        <w:t xml:space="preserve"> </w:t>
      </w:r>
      <w:r>
        <w:rPr>
          <w:rFonts w:ascii="Arial" w:cs="Arial" w:eastAsia="Arial" w:hAnsi="Arial"/>
          <w:sz w:val="19"/>
          <w:szCs w:val="19"/>
          <w:i w:val="1"/>
          <w:iCs w:val="1"/>
          <w:color w:val="auto"/>
        </w:rPr>
        <w:t>record level of bookings in the fourth quarter, representing a book to bill of 1.26x, and 1.27x for the full year 2021. Additionally, a number of discussions have continued with customers contemplating an expanded or new strategic relationship with ICON, as the increased scale, innovative solutions and best in class performance of new ICON address unmet industry needs. Given this momentum entering the year, we are reaffirming our full year 2022 revenue and adjusted earnings per share guidance, representing growth of 42 – 47% in revenue and 20 – 24% in adjusted earnings per share over full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Fourth Quarter 2021 Results</w:t>
      </w:r>
    </w:p>
    <w:p>
      <w:pPr>
        <w:spacing w:after="0" w:line="212"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Gross business wins in the fourth quarter were $2,791 million and cancellations were $413 million. This resulted in net business wins of $2,378 million and a book to bill of 1.26.</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GAAP revenue for Quarter 4 was $1,885.1 million. Adjusted revenue for Quarter 4 was $1,881.1 million. This represents a year on year increase of 147.4% or 148.7% on a constant currency basis.</w:t>
      </w:r>
    </w:p>
    <w:p>
      <w:pPr>
        <w:spacing w:after="0" w:line="175"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GAAP net income attributable to the Group was $76.5 million. Adjusted net income attributable to the Group for the quarter was $218.0 million resulting in an adjusted diluted earnings per share of $2.63 compared to $2.10 per share for Quarter 4 2020.</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Adjusted EBITDA for Quarter 4 was $332.5 million or 17.7% of revenue, a year on year increase of 130.7%.</w:t>
      </w:r>
    </w:p>
    <w:p>
      <w:pPr>
        <w:spacing w:after="0" w:line="206"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Cash generated from operating activities for the quarter was $289.8 million. During the quarter, $47.7 million was spent on capital expenditure. At December 31, 2021, the Group had cash and cash equivalents of $752.2 million, compared to cash and cash equivalents of $1,008.5 million at September 30, 2021 and $840.3 million at the end of December 2020. During the quarter, a $500 million Term Loan B early repayment was made resulting in a net indebtedness balance of $4.682 billion at year end. Additionally, as of February 18, 2022, the Board of Directors authorized a share repurchase programme up to $100 million to opportunistically buy back shares.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2021 Results</w:t>
      </w:r>
    </w:p>
    <w:p>
      <w:pPr>
        <w:spacing w:after="0" w:line="212"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Gross business wins were $8,121 million and cancellations were $1,163 million. This resulted in net business wins of $6,958 million and a book to bill of 1.27.</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Full year revenue was $5,480.8 million. This represents a year on year increase of 95.9% or 94.5% on a constant currency basis.</w:t>
      </w:r>
    </w:p>
    <w:p>
      <w:pPr>
        <w:spacing w:after="0" w:line="241" w:lineRule="exact"/>
        <w:rPr>
          <w:sz w:val="20"/>
          <w:szCs w:val="20"/>
          <w:color w:val="auto"/>
        </w:rPr>
      </w:pPr>
    </w:p>
    <w:p>
      <w:pPr>
        <w:jc w:val="both"/>
        <w:ind w:right="440"/>
        <w:spacing w:after="0"/>
        <w:rPr>
          <w:sz w:val="20"/>
          <w:szCs w:val="20"/>
          <w:color w:val="auto"/>
        </w:rPr>
      </w:pPr>
      <w:r>
        <w:rPr>
          <w:rFonts w:ascii="Arial" w:cs="Arial" w:eastAsia="Arial" w:hAnsi="Arial"/>
          <w:sz w:val="22"/>
          <w:szCs w:val="22"/>
          <w:color w:val="auto"/>
        </w:rPr>
        <w:t>GAAP net income attributable to the Group was $153.2 million. Adjusted net income attributable to the Group was $666.4 million resulting in an adjusted diluted earnings per share of $9.65 compared to $7.36 per share for the equivalent prior year period.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Adjusted EBITDA was $970.0 million or 17.7% of revenue, a year on year increase of 90.6%.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In addition to the financial measures prepared in accordance with generally accepted accounting principles (GAAP), this press release contains certain non-GAAP financial measures, including adjusted revenue, adjusted EBITDA, adjusted net income attributable to the Group and adjusted diluted earnings per share attributable to the Group. Adjusted EBITDA, adjusted net income and adjusted diluted earnings per share exclude amortization, stock compensation, foreign exchange gains and losses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91"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To assist investors and analysts with year-over-year comparability for the merged business, we have included Combined Company information. These measures include financial information that combines the stand-alone ICON plc and PRA Health Sciences, Inc. information for revenue and Adjusted EBITDA, and other metrics as if the merger had taken place on January 1, 2020, with conforming adjustments to the current year presentation. Specifically, these financials represent the simple addition of the historical adjusted financials of each company. These combined financials are not intended to represent pro forma financial statements prepared in accordance with GAAP or Regulation S-X.</w:t>
      </w:r>
    </w:p>
    <w:p>
      <w:pPr>
        <w:spacing w:after="0" w:line="177"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For the year ended 31 December 2020, GAAP earnings per share attributable to the Group has been computed by dividing net income attributable to the Group plus a GAAP charge associated with non-controlling interest in MeDiNova Research (“MeDiNova”) by the weighted average number of shares outstanding. ICON purchased a majority shareholding in MeDiNova on May 23, 2019. ICON exercised its call on the outstanding shares in MeDiNova and derecognised the non-controlling interest effective from March 2020.</w:t>
      </w:r>
    </w:p>
    <w:p>
      <w:pPr>
        <w:spacing w:after="0" w:line="187"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ICON will hold a conference call today, February 22nd, 2022 at 09:00 EST [14:00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Our full-year 2022 guidance measures (other than revenue) are provided on a non-GAAP basis without a reconciliation to the most directly comparable GAAP measure because the company is unable to predict with a reasonable degree of certainty certain items contained in the GAAP measures without unreasonable efforts. Such items include, but are not limited to, transaction-related / integration-related expenses, restructuring and related expenses, and other items not reflective of the company's ongoing operations.</w:t>
      </w:r>
    </w:p>
    <w:p>
      <w:pPr>
        <w:spacing w:after="0" w:line="187"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38,330 employees in 142 locations in 53 countries as at December 31, 2021. For further information about ICON, visit: www.iconplc.com.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6" w:name="page7"/>
    <w:bookmarkEnd w:id="6"/>
    <w:p>
      <w:pPr>
        <w:ind w:left="5240"/>
        <w:spacing w:after="0"/>
        <w:rPr>
          <w:sz w:val="20"/>
          <w:szCs w:val="20"/>
          <w:color w:val="auto"/>
        </w:rPr>
      </w:pPr>
      <w:r>
        <w:rPr>
          <w:rFonts w:ascii="Arial" w:cs="Arial" w:eastAsia="Arial" w:hAnsi="Arial"/>
          <w:sz w:val="18"/>
          <w:szCs w:val="18"/>
          <w:b w:val="1"/>
          <w:bCs w:val="1"/>
          <w:color w:val="auto"/>
        </w:rPr>
        <w:t>ICON plc</w:t>
      </w:r>
    </w:p>
    <w:p>
      <w:pPr>
        <w:spacing w:after="0" w:line="36"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THREE AND TWELVE MONTHS ENDED DECEMBER 31, 2021 AND DECEMBER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7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Twelve Months Ended</w:t>
            </w:r>
          </w:p>
        </w:tc>
      </w:tr>
      <w:tr>
        <w:trPr>
          <w:trHeight w:val="225"/>
        </w:trPr>
        <w:tc>
          <w:tcPr>
            <w:tcW w:w="5040" w:type="dxa"/>
            <w:vAlign w:val="bottom"/>
          </w:tcPr>
          <w:p>
            <w:pPr>
              <w:spacing w:after="0"/>
              <w:rPr>
                <w:sz w:val="19"/>
                <w:szCs w:val="19"/>
                <w:color w:val="auto"/>
              </w:rPr>
            </w:pPr>
          </w:p>
        </w:tc>
        <w:tc>
          <w:tcPr>
            <w:tcW w:w="194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December 31,</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December 31,</w:t>
            </w:r>
          </w:p>
        </w:tc>
        <w:tc>
          <w:tcPr>
            <w:tcW w:w="2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486"/>
        </w:trPr>
        <w:tc>
          <w:tcPr>
            <w:tcW w:w="5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60" w:type="dxa"/>
            <w:vAlign w:val="bottom"/>
            <w:gridSpan w:val="7"/>
          </w:tcPr>
          <w:p>
            <w:pPr>
              <w:jc w:val="right"/>
              <w:ind w:right="890"/>
              <w:spacing w:after="0"/>
              <w:rPr>
                <w:sz w:val="20"/>
                <w:szCs w:val="20"/>
                <w:color w:val="auto"/>
              </w:rPr>
            </w:pPr>
            <w:r>
              <w:rPr>
                <w:rFonts w:ascii="Arial" w:cs="Arial" w:eastAsia="Arial" w:hAnsi="Arial"/>
                <w:sz w:val="18"/>
                <w:szCs w:val="18"/>
                <w:b w:val="1"/>
                <w:bCs w:val="1"/>
                <w:color w:val="auto"/>
              </w:rPr>
              <w:t>(in thousands except share and per share data)</w:t>
            </w:r>
          </w:p>
        </w:tc>
      </w:tr>
      <w:tr>
        <w:trPr>
          <w:trHeight w:val="486"/>
        </w:trPr>
        <w:tc>
          <w:tcPr>
            <w:tcW w:w="5040" w:type="dxa"/>
            <w:vAlign w:val="bottom"/>
          </w:tcPr>
          <w:p>
            <w:pPr>
              <w:spacing w:after="0"/>
              <w:rPr>
                <w:sz w:val="20"/>
                <w:szCs w:val="20"/>
                <w:color w:val="auto"/>
              </w:rPr>
            </w:pPr>
            <w:r>
              <w:rPr>
                <w:rFonts w:ascii="Arial" w:cs="Arial" w:eastAsia="Arial" w:hAnsi="Arial"/>
                <w:sz w:val="18"/>
                <w:szCs w:val="18"/>
                <w:color w:val="auto"/>
              </w:rPr>
              <w:t>Revenue</w:t>
            </w:r>
          </w:p>
        </w:tc>
        <w:tc>
          <w:tcPr>
            <w:tcW w:w="940" w:type="dxa"/>
            <w:vAlign w:val="bottom"/>
          </w:tcPr>
          <w:p>
            <w:pPr>
              <w:ind w:left="8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1,885,121</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760,229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5,480,826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2,797,288</w:t>
            </w:r>
          </w:p>
        </w:tc>
      </w:tr>
      <w:tr>
        <w:trPr>
          <w:trHeight w:val="486"/>
        </w:trPr>
        <w:tc>
          <w:tcPr>
            <w:tcW w:w="5040" w:type="dxa"/>
            <w:vAlign w:val="bottom"/>
          </w:tcPr>
          <w:p>
            <w:pPr>
              <w:spacing w:after="0"/>
              <w:rPr>
                <w:sz w:val="20"/>
                <w:szCs w:val="20"/>
                <w:color w:val="auto"/>
              </w:rPr>
            </w:pPr>
            <w:r>
              <w:rPr>
                <w:rFonts w:ascii="Arial" w:cs="Arial" w:eastAsia="Arial" w:hAnsi="Arial"/>
                <w:sz w:val="18"/>
                <w:szCs w:val="18"/>
                <w:color w:val="auto"/>
              </w:rPr>
              <w:t>Costs and expenses:</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Direct costs (excluding depreciation and amortization)</w:t>
            </w:r>
          </w:p>
        </w:tc>
        <w:tc>
          <w:tcPr>
            <w:tcW w:w="9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1,357,303</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535,347</w:t>
            </w:r>
          </w:p>
        </w:tc>
        <w:tc>
          <w:tcPr>
            <w:tcW w:w="2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3,972,612</w:t>
            </w:r>
          </w:p>
        </w:tc>
        <w:tc>
          <w:tcPr>
            <w:tcW w:w="28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1,979,883</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w:t>
            </w:r>
          </w:p>
        </w:tc>
        <w:tc>
          <w:tcPr>
            <w:tcW w:w="9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202,716</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88,140</w:t>
            </w:r>
          </w:p>
        </w:tc>
        <w:tc>
          <w:tcPr>
            <w:tcW w:w="2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585,330</w:t>
            </w:r>
          </w:p>
        </w:tc>
        <w:tc>
          <w:tcPr>
            <w:tcW w:w="28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342,449</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139,670</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17,145</w:t>
            </w:r>
          </w:p>
        </w:tc>
        <w:tc>
          <w:tcPr>
            <w:tcW w:w="2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314,987</w:t>
            </w:r>
          </w:p>
        </w:tc>
        <w:tc>
          <w:tcPr>
            <w:tcW w:w="28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66,126</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Transaction and integration-related expenses (credit)</w:t>
            </w:r>
          </w:p>
        </w:tc>
        <w:tc>
          <w:tcPr>
            <w:tcW w:w="9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15,954</w:t>
            </w:r>
          </w:p>
        </w:tc>
        <w:tc>
          <w:tcPr>
            <w:tcW w:w="26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198,263</w:t>
            </w:r>
          </w:p>
        </w:tc>
        <w:tc>
          <w:tcPr>
            <w:tcW w:w="28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(759)</w:t>
            </w:r>
          </w:p>
        </w:tc>
      </w:tr>
      <w:tr>
        <w:trPr>
          <w:trHeight w:val="250"/>
        </w:trPr>
        <w:tc>
          <w:tcPr>
            <w:tcW w:w="5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Restructuring</w:t>
            </w: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24,943</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31,105</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18,089</w:t>
            </w:r>
          </w:p>
        </w:tc>
      </w:tr>
      <w:tr>
        <w:trPr>
          <w:trHeight w:val="479"/>
        </w:trPr>
        <w:tc>
          <w:tcPr>
            <w:tcW w:w="5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1,740,586</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640,370</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5,102,297</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2,405,788</w:t>
            </w:r>
          </w:p>
        </w:tc>
      </w:tr>
      <w:tr>
        <w:trPr>
          <w:trHeight w:val="473"/>
        </w:trPr>
        <w:tc>
          <w:tcPr>
            <w:tcW w:w="50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9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144,535</w:t>
            </w:r>
          </w:p>
        </w:tc>
        <w:tc>
          <w:tcPr>
            <w:tcW w:w="26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119,859</w:t>
            </w:r>
          </w:p>
        </w:tc>
        <w:tc>
          <w:tcPr>
            <w:tcW w:w="22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378,529</w:t>
            </w:r>
          </w:p>
        </w:tc>
        <w:tc>
          <w:tcPr>
            <w:tcW w:w="280" w:type="dxa"/>
            <w:vAlign w:val="bottom"/>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391,500</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2,724</w:t>
            </w:r>
          </w:p>
        </w:tc>
      </w:tr>
      <w:tr>
        <w:trPr>
          <w:trHeight w:val="25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(52,839)</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(3,379)</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(182,423)</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(13,019)</w:t>
            </w:r>
          </w:p>
        </w:tc>
      </w:tr>
      <w:tr>
        <w:trPr>
          <w:trHeight w:val="473"/>
        </w:trPr>
        <w:tc>
          <w:tcPr>
            <w:tcW w:w="50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9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91,774</w:t>
            </w:r>
          </w:p>
        </w:tc>
        <w:tc>
          <w:tcPr>
            <w:tcW w:w="26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116,686</w:t>
            </w:r>
          </w:p>
        </w:tc>
        <w:tc>
          <w:tcPr>
            <w:tcW w:w="22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196,680</w:t>
            </w:r>
          </w:p>
        </w:tc>
        <w:tc>
          <w:tcPr>
            <w:tcW w:w="280" w:type="dxa"/>
            <w:vAlign w:val="bottom"/>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381,205</w:t>
            </w:r>
          </w:p>
        </w:tc>
      </w:tr>
      <w:tr>
        <w:trPr>
          <w:trHeight w:val="25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(14,616)</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(15,169)</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(41,334)</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(47,875)</w:t>
            </w:r>
          </w:p>
        </w:tc>
      </w:tr>
      <w:tr>
        <w:trPr>
          <w:trHeight w:val="473"/>
        </w:trPr>
        <w:tc>
          <w:tcPr>
            <w:tcW w:w="5040" w:type="dxa"/>
            <w:vAlign w:val="bottom"/>
          </w:tcPr>
          <w:p>
            <w:pPr>
              <w:spacing w:after="0"/>
              <w:rPr>
                <w:sz w:val="20"/>
                <w:szCs w:val="20"/>
                <w:color w:val="auto"/>
              </w:rPr>
            </w:pPr>
            <w:r>
              <w:rPr>
                <w:rFonts w:ascii="Arial" w:cs="Arial" w:eastAsia="Arial" w:hAnsi="Arial"/>
                <w:sz w:val="18"/>
                <w:szCs w:val="18"/>
                <w:color w:val="auto"/>
              </w:rPr>
              <w:t>Income before share of earnings from equity method</w:t>
            </w:r>
          </w:p>
        </w:tc>
        <w:tc>
          <w:tcPr>
            <w:tcW w:w="9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77,158</w:t>
            </w:r>
          </w:p>
        </w:tc>
        <w:tc>
          <w:tcPr>
            <w:tcW w:w="26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101,517</w:t>
            </w:r>
          </w:p>
        </w:tc>
        <w:tc>
          <w:tcPr>
            <w:tcW w:w="22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155,346</w:t>
            </w:r>
          </w:p>
        </w:tc>
        <w:tc>
          <w:tcPr>
            <w:tcW w:w="280" w:type="dxa"/>
            <w:vAlign w:val="bottom"/>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333,330</w:t>
            </w:r>
          </w:p>
        </w:tc>
      </w:tr>
      <w:tr>
        <w:trPr>
          <w:trHeight w:val="25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of equity method investments</w:t>
            </w: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(283)</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(2,161)</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(366)</w:t>
            </w:r>
          </w:p>
        </w:tc>
      </w:tr>
      <w:tr>
        <w:trPr>
          <w:trHeight w:val="473"/>
        </w:trPr>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76,468</w:t>
            </w:r>
          </w:p>
        </w:tc>
        <w:tc>
          <w:tcPr>
            <w:tcW w:w="26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101,234</w:t>
            </w:r>
          </w:p>
        </w:tc>
        <w:tc>
          <w:tcPr>
            <w:tcW w:w="22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153,185</w:t>
            </w:r>
          </w:p>
        </w:tc>
        <w:tc>
          <w:tcPr>
            <w:tcW w:w="280" w:type="dxa"/>
            <w:vAlign w:val="bottom"/>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332,964</w:t>
            </w:r>
          </w:p>
        </w:tc>
      </w:tr>
      <w:tr>
        <w:trPr>
          <w:trHeight w:val="250"/>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9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(633)</w:t>
            </w:r>
          </w:p>
        </w:tc>
      </w:tr>
      <w:tr>
        <w:trPr>
          <w:trHeight w:val="23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Group</w:t>
            </w:r>
          </w:p>
        </w:tc>
        <w:tc>
          <w:tcPr>
            <w:tcW w:w="9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76,468</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101,234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153,185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332,331</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59"/>
        </w:trPr>
        <w:tc>
          <w:tcPr>
            <w:tcW w:w="504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93"/>
        </w:trPr>
        <w:tc>
          <w:tcPr>
            <w:tcW w:w="5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0.94</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6.20</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5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0.92</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6.15</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59"/>
        </w:trPr>
        <w:tc>
          <w:tcPr>
            <w:tcW w:w="504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93"/>
        </w:trPr>
        <w:tc>
          <w:tcPr>
            <w:tcW w:w="5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81,488,189</w:t>
            </w:r>
          </w:p>
        </w:tc>
        <w:tc>
          <w:tcPr>
            <w:tcW w:w="12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52,783,886</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67,110,186</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52,859,911</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66"/>
        </w:trPr>
        <w:tc>
          <w:tcPr>
            <w:tcW w:w="5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82,827,674</w:t>
            </w:r>
          </w:p>
        </w:tc>
        <w:tc>
          <w:tcPr>
            <w:tcW w:w="12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53,291,849</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68,068,311</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53,283,585</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50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3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AS AT DECEMBER 31, 2021 AND DECEMBER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c>
          <w:tcPr>
            <w:tcW w:w="16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43"/>
        </w:trPr>
        <w:tc>
          <w:tcPr>
            <w:tcW w:w="71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1"/>
                <w:szCs w:val="21"/>
                <w:color w:val="auto"/>
              </w:rPr>
            </w:pPr>
          </w:p>
        </w:tc>
      </w:tr>
      <w:tr>
        <w:trPr>
          <w:trHeight w:val="243"/>
        </w:trPr>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752,213</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840,305</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Available for sale investments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1,712</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1,729</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Accounts receivable, net of allowance for credit losses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1,342,770</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715,271</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Unbilled revenue</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623,121</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428,684</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56,760</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35,394</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Prepayments and other current assets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114,323</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53,477</w:t>
            </w:r>
          </w:p>
        </w:tc>
      </w:tr>
      <w:tr>
        <w:trPr>
          <w:trHeight w:val="250"/>
        </w:trPr>
        <w:tc>
          <w:tcPr>
            <w:tcW w:w="7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Income taxes receivable</w:t>
            </w:r>
          </w:p>
        </w:tc>
        <w:tc>
          <w:tcPr>
            <w:tcW w:w="1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50,299</w:t>
            </w:r>
          </w:p>
        </w:tc>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28,118</w:t>
            </w:r>
          </w:p>
        </w:tc>
      </w:tr>
      <w:tr>
        <w:trPr>
          <w:trHeight w:val="230"/>
        </w:trPr>
        <w:tc>
          <w:tcPr>
            <w:tcW w:w="712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1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2,941,198</w:t>
            </w:r>
          </w:p>
        </w:tc>
        <w:tc>
          <w:tcPr>
            <w:tcW w:w="6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w w:val="92"/>
              </w:rPr>
              <w:t>2,102,978</w:t>
            </w:r>
          </w:p>
        </w:tc>
      </w:tr>
      <w:tr>
        <w:trPr>
          <w:trHeight w:val="485"/>
        </w:trPr>
        <w:tc>
          <w:tcPr>
            <w:tcW w:w="7120" w:type="dxa"/>
            <w:vAlign w:val="bottom"/>
          </w:tcPr>
          <w:p>
            <w:pPr>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Property, plant and equipment, net</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336,444</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174,343</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9,037,931</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936,257</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Operating right-of-use assets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198,123</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84,561</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Other non-current assets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70,557</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20,773</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Non-current income taxes receivable</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18,637</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17,230</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Deferred tax asset</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48,392</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12,705</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Equity method investments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2,373</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4,534</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Investments in equity-long term</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22,592</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15,765</w:t>
            </w:r>
          </w:p>
        </w:tc>
      </w:tr>
      <w:tr>
        <w:trPr>
          <w:trHeight w:val="250"/>
        </w:trPr>
        <w:tc>
          <w:tcPr>
            <w:tcW w:w="7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Intangible assets</w:t>
            </w:r>
          </w:p>
        </w:tc>
        <w:tc>
          <w:tcPr>
            <w:tcW w:w="1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4,710,843</w:t>
            </w:r>
          </w:p>
        </w:tc>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66,460</w:t>
            </w:r>
          </w:p>
        </w:tc>
      </w:tr>
      <w:tr>
        <w:trPr>
          <w:trHeight w:val="237"/>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17,387,090</w:t>
            </w: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3,435,606</w:t>
            </w: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8"/>
        </w:trPr>
        <w:tc>
          <w:tcPr>
            <w:tcW w:w="7120" w:type="dxa"/>
            <w:vAlign w:val="bottom"/>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90,764</w:t>
            </w: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51,113</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1,323,961</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660,883</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949,629</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399,769</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59,433</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12,178</w:t>
            </w:r>
          </w:p>
        </w:tc>
      </w:tr>
      <w:tr>
        <w:trPr>
          <w:trHeight w:val="250"/>
        </w:trPr>
        <w:tc>
          <w:tcPr>
            <w:tcW w:w="7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Current bank credit lines and loan facilities</w:t>
            </w:r>
          </w:p>
        </w:tc>
        <w:tc>
          <w:tcPr>
            <w:tcW w:w="1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55,150</w:t>
            </w:r>
          </w:p>
        </w:tc>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1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2,478,937</w:t>
            </w:r>
          </w:p>
        </w:tc>
        <w:tc>
          <w:tcPr>
            <w:tcW w:w="6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w w:val="92"/>
              </w:rPr>
              <w:t>1,123,943</w:t>
            </w:r>
          </w:p>
        </w:tc>
      </w:tr>
      <w:tr>
        <w:trPr>
          <w:trHeight w:val="242"/>
        </w:trPr>
        <w:tc>
          <w:tcPr>
            <w:tcW w:w="7120" w:type="dxa"/>
            <w:vAlign w:val="bottom"/>
          </w:tcPr>
          <w:p>
            <w:pPr>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Non-current bank credit lines and loan facilities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5,381,162</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348,477</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Non-current operating lease liabilities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159,483</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60,801</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Non-current other liabilities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41,861</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26,366</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Non-current government grants</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735</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838</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Non-current income taxes payable</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172,109</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14,539</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Non-current deferred tax liability</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1,085,976</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10,406</w:t>
            </w:r>
          </w:p>
        </w:tc>
      </w:tr>
      <w:tr>
        <w:trPr>
          <w:trHeight w:val="250"/>
        </w:trPr>
        <w:tc>
          <w:tcPr>
            <w:tcW w:w="7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Commitments and contingencies</w:t>
            </w:r>
          </w:p>
        </w:tc>
        <w:tc>
          <w:tcPr>
            <w:tcW w:w="1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7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9,320,263</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1,585,370</w:t>
            </w:r>
          </w:p>
        </w:tc>
      </w:tr>
      <w:tr>
        <w:trPr>
          <w:trHeight w:val="472"/>
        </w:trPr>
        <w:tc>
          <w:tcPr>
            <w:tcW w:w="7120" w:type="dxa"/>
            <w:vAlign w:val="bottom"/>
          </w:tcPr>
          <w:p>
            <w:pPr>
              <w:spacing w:after="0"/>
              <w:rPr>
                <w:sz w:val="20"/>
                <w:szCs w:val="20"/>
                <w:color w:val="auto"/>
              </w:rPr>
            </w:pPr>
            <w:r>
              <w:rPr>
                <w:rFonts w:ascii="Arial" w:cs="Arial" w:eastAsia="Arial" w:hAnsi="Arial"/>
                <w:sz w:val="18"/>
                <w:szCs w:val="18"/>
                <w:color w:val="auto"/>
              </w:rPr>
              <w:t>Shareholders' Equity:</w:t>
            </w: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Ordinary shares, par value 6 euro cents per share; 100,000,000 shares authorised,</w:t>
            </w:r>
          </w:p>
        </w:tc>
        <w:tc>
          <w:tcPr>
            <w:tcW w:w="1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81,554,683 shares issued and outstanding at December 31, 2021 and</w:t>
            </w:r>
          </w:p>
        </w:tc>
        <w:tc>
          <w:tcPr>
            <w:tcW w:w="1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52,788,093 shares issued and outstanding at December 31, 2020</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6,640</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4,580</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6,733,910</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617,104</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Other undenominated capital</w:t>
            </w:r>
          </w:p>
        </w:tc>
        <w:tc>
          <w:tcPr>
            <w:tcW w:w="11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1,134</w:t>
            </w:r>
          </w:p>
        </w:tc>
        <w:tc>
          <w:tcPr>
            <w:tcW w:w="6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1,134</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(90,937)</w:t>
            </w:r>
          </w:p>
        </w:tc>
        <w:tc>
          <w:tcPr>
            <w:tcW w:w="6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(35,477)</w:t>
            </w:r>
          </w:p>
        </w:tc>
      </w:tr>
      <w:tr>
        <w:trPr>
          <w:trHeight w:val="250"/>
        </w:trPr>
        <w:tc>
          <w:tcPr>
            <w:tcW w:w="7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Retained earnings</w:t>
            </w:r>
          </w:p>
        </w:tc>
        <w:tc>
          <w:tcPr>
            <w:tcW w:w="1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1,416,080</w:t>
            </w:r>
          </w:p>
        </w:tc>
        <w:tc>
          <w:tcPr>
            <w:tcW w:w="6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1,262,895</w:t>
            </w:r>
          </w:p>
        </w:tc>
      </w:tr>
      <w:tr>
        <w:trPr>
          <w:trHeight w:val="237"/>
        </w:trPr>
        <w:tc>
          <w:tcPr>
            <w:tcW w:w="7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Shareholders' Equity</w:t>
            </w:r>
          </w:p>
        </w:tc>
        <w:tc>
          <w:tcPr>
            <w:tcW w:w="1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8,066,827</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1,850,236</w:t>
            </w:r>
          </w:p>
        </w:tc>
      </w:tr>
      <w:tr>
        <w:trPr>
          <w:trHeight w:val="237"/>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17,387,090</w:t>
            </w: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3,435,606</w:t>
            </w: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9"/>
        </w:trPr>
        <w:tc>
          <w:tcPr>
            <w:tcW w:w="7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35" w:right="339" w:bottom="1440" w:gutter="0" w:footer="0" w:header="0"/>
        </w:sectPr>
      </w:pPr>
    </w:p>
    <w:bookmarkStart w:id="8" w:name="page9"/>
    <w:bookmarkEnd w:id="8"/>
    <w:p>
      <w:pPr>
        <w:ind w:left="5240"/>
        <w:spacing w:after="0"/>
        <w:rPr>
          <w:sz w:val="20"/>
          <w:szCs w:val="20"/>
          <w:color w:val="auto"/>
        </w:rPr>
      </w:pPr>
      <w:r>
        <w:rPr>
          <w:rFonts w:ascii="Arial" w:cs="Arial" w:eastAsia="Arial" w:hAnsi="Arial"/>
          <w:sz w:val="18"/>
          <w:szCs w:val="18"/>
          <w:b w:val="1"/>
          <w:bCs w:val="1"/>
          <w:color w:val="auto"/>
        </w:rPr>
        <w:t>ICON plc</w:t>
      </w:r>
    </w:p>
    <w:p>
      <w:pPr>
        <w:spacing w:after="0" w:line="36"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FOR THE TWELVE MONTHS ENDED DECEMBER 31, 2021 AND DECEMBER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6"/>
              </w:rPr>
              <w:t>Twelve Months Ended</w:t>
            </w:r>
          </w:p>
        </w:tc>
        <w:tc>
          <w:tcPr>
            <w:tcW w:w="1180" w:type="dxa"/>
            <w:vAlign w:val="bottom"/>
          </w:tcPr>
          <w:p>
            <w:pPr>
              <w:spacing w:after="0"/>
              <w:rPr>
                <w:sz w:val="20"/>
                <w:szCs w:val="20"/>
                <w:color w:val="auto"/>
              </w:rPr>
            </w:pPr>
          </w:p>
        </w:tc>
      </w:tr>
      <w:tr>
        <w:trPr>
          <w:trHeight w:val="225"/>
        </w:trPr>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December 31,</w:t>
            </w: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December 31,</w:t>
            </w:r>
          </w:p>
        </w:tc>
        <w:tc>
          <w:tcPr>
            <w:tcW w:w="1180" w:type="dxa"/>
            <w:vAlign w:val="bottom"/>
          </w:tcPr>
          <w:p>
            <w:pPr>
              <w:spacing w:after="0"/>
              <w:rPr>
                <w:sz w:val="19"/>
                <w:szCs w:val="19"/>
                <w:color w:val="auto"/>
              </w:rPr>
            </w:pPr>
          </w:p>
        </w:tc>
      </w:tr>
      <w:tr>
        <w:trPr>
          <w:trHeight w:val="234"/>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180" w:type="dxa"/>
            <w:vAlign w:val="bottom"/>
          </w:tcPr>
          <w:p>
            <w:pPr>
              <w:spacing w:after="0"/>
              <w:rPr>
                <w:sz w:val="20"/>
                <w:szCs w:val="20"/>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153,185</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332,964</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314,987</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66,126</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Impairment of long lived assets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20,037</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5,411</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Reduction in carrying value of operating right-of-use assets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45,339</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28,480</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Unrealised foreign exchange (gain)/loss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(6,054)</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5,979</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73,894</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Loss on equity method investments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2,161</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Stock compensation expense</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133,844</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26,271</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Charge/(credit) on interest rate hedge</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891</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Amortization of financing costs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12,890</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Deferred tax (benefit)/expense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(60,616)</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927</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Other non-cash items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3,589</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(6,949)</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w w:val="89"/>
              </w:rPr>
              <w:t>Changes in operating assets and liabilities, net of acquired assets and assumed liabilities: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113,513</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(175,040)</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260"/>
              <w:spacing w:after="0"/>
              <w:rPr>
                <w:sz w:val="20"/>
                <w:szCs w:val="20"/>
                <w:color w:val="auto"/>
              </w:rPr>
            </w:pPr>
            <w:r>
              <w:rPr>
                <w:rFonts w:ascii="Arial" w:cs="Arial" w:eastAsia="Arial" w:hAnsi="Arial"/>
                <w:sz w:val="18"/>
                <w:szCs w:val="18"/>
                <w:color w:val="auto"/>
              </w:rPr>
              <w:t>Unbilled revenue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(17,656)</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(5,748)</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260"/>
              <w:spacing w:after="0"/>
              <w:rPr>
                <w:sz w:val="20"/>
                <w:szCs w:val="20"/>
                <w:color w:val="auto"/>
              </w:rPr>
            </w:pPr>
            <w:r>
              <w:rPr>
                <w:rFonts w:ascii="Arial" w:cs="Arial" w:eastAsia="Arial" w:hAnsi="Arial"/>
                <w:sz w:val="18"/>
                <w:szCs w:val="18"/>
                <w:color w:val="auto"/>
              </w:rPr>
              <w:t>Unearned revenue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(69,121)</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291,844</w:t>
            </w:r>
          </w:p>
        </w:tc>
        <w:tc>
          <w:tcPr>
            <w:tcW w:w="1180" w:type="dxa"/>
            <w:vAlign w:val="bottom"/>
          </w:tcPr>
          <w:p>
            <w:pPr>
              <w:spacing w:after="0"/>
              <w:rPr>
                <w:sz w:val="21"/>
                <w:szCs w:val="21"/>
                <w:color w:val="auto"/>
              </w:rPr>
            </w:pPr>
          </w:p>
        </w:tc>
      </w:tr>
      <w:tr>
        <w:trPr>
          <w:trHeight w:val="250"/>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net assets</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108,259</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1180" w:type="dxa"/>
            <w:vAlign w:val="bottom"/>
          </w:tcPr>
          <w:p>
            <w:pPr>
              <w:spacing w:after="0"/>
              <w:rPr>
                <w:sz w:val="21"/>
                <w:szCs w:val="21"/>
                <w:color w:val="auto"/>
              </w:rPr>
            </w:pPr>
          </w:p>
        </w:tc>
      </w:tr>
      <w:tr>
        <w:trPr>
          <w:trHeight w:val="230"/>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829,142</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568,035</w:t>
            </w:r>
          </w:p>
        </w:tc>
        <w:tc>
          <w:tcPr>
            <w:tcW w:w="1180" w:type="dxa"/>
            <w:vAlign w:val="bottom"/>
          </w:tcPr>
          <w:p>
            <w:pPr>
              <w:spacing w:after="0"/>
              <w:rPr>
                <w:sz w:val="20"/>
                <w:szCs w:val="20"/>
                <w:color w:val="auto"/>
              </w:rPr>
            </w:pPr>
          </w:p>
        </w:tc>
      </w:tr>
      <w:tr>
        <w:trPr>
          <w:trHeight w:val="242"/>
        </w:trPr>
        <w:tc>
          <w:tcPr>
            <w:tcW w:w="1200" w:type="dxa"/>
            <w:vAlign w:val="bottom"/>
          </w:tcPr>
          <w:p>
            <w:pPr>
              <w:spacing w:after="0"/>
              <w:rPr>
                <w:sz w:val="21"/>
                <w:szCs w:val="21"/>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Purchase of property, plant and equipment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(93,750)</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(40,885)</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Purchase of subsidiary undertakings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(5,914,475)</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(47,931)</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Investment in equity method investments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(2,450)</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(2,450)</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Loan to equity method investment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Sale of available for sale investments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47,902</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Purchase of available for sale investments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r>
      <w:tr>
        <w:trPr>
          <w:trHeight w:val="250"/>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Purchase of investments in equity - long term</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180" w:type="dxa"/>
            <w:vAlign w:val="bottom"/>
          </w:tcPr>
          <w:p>
            <w:pPr>
              <w:spacing w:after="0"/>
              <w:rPr>
                <w:sz w:val="21"/>
                <w:szCs w:val="21"/>
                <w:color w:val="auto"/>
              </w:rPr>
            </w:pPr>
          </w:p>
        </w:tc>
      </w:tr>
      <w:tr>
        <w:trPr>
          <w:trHeight w:val="230"/>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(6,024,235)</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(46,576)</w:t>
            </w:r>
          </w:p>
        </w:tc>
        <w:tc>
          <w:tcPr>
            <w:tcW w:w="1180" w:type="dxa"/>
            <w:vAlign w:val="bottom"/>
          </w:tcPr>
          <w:p>
            <w:pPr>
              <w:spacing w:after="0"/>
              <w:rPr>
                <w:sz w:val="20"/>
                <w:szCs w:val="20"/>
                <w:color w:val="auto"/>
              </w:rPr>
            </w:pPr>
          </w:p>
        </w:tc>
      </w:tr>
      <w:tr>
        <w:trPr>
          <w:trHeight w:val="242"/>
        </w:trPr>
        <w:tc>
          <w:tcPr>
            <w:tcW w:w="1200" w:type="dxa"/>
            <w:vAlign w:val="bottom"/>
          </w:tcPr>
          <w:p>
            <w:pPr>
              <w:spacing w:after="0"/>
              <w:rPr>
                <w:sz w:val="21"/>
                <w:szCs w:val="21"/>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Financing costs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(30,328)</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(1,554)</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Drawdown of credit lines and facilities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5,905,100</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Repayment of credit lines and facilities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(877,780)</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(350,000)</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Purchase of noncontrolling interest</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(43,923)</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Proceeds from exercise of equity compensation</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118,589</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13,203</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Share issue costs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Repurchase of ordinary shares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(175,000)</w:t>
            </w:r>
          </w:p>
        </w:tc>
        <w:tc>
          <w:tcPr>
            <w:tcW w:w="1180" w:type="dxa"/>
            <w:vAlign w:val="bottom"/>
          </w:tcPr>
          <w:p>
            <w:pPr>
              <w:spacing w:after="0"/>
              <w:rPr>
                <w:sz w:val="21"/>
                <w:szCs w:val="21"/>
                <w:color w:val="auto"/>
              </w:rPr>
            </w:pPr>
          </w:p>
        </w:tc>
      </w:tr>
      <w:tr>
        <w:trPr>
          <w:trHeight w:val="243"/>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Share repurchase costs</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c>
          <w:tcPr>
            <w:tcW w:w="1180" w:type="dxa"/>
            <w:vAlign w:val="bottom"/>
          </w:tcPr>
          <w:p>
            <w:pPr>
              <w:spacing w:after="0"/>
              <w:rPr>
                <w:sz w:val="21"/>
                <w:szCs w:val="21"/>
                <w:color w:val="auto"/>
              </w:rPr>
            </w:pPr>
          </w:p>
        </w:tc>
      </w:tr>
      <w:tr>
        <w:trPr>
          <w:trHeight w:val="250"/>
        </w:trPr>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Settlement of interest rate hedge</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180" w:type="dxa"/>
            <w:vAlign w:val="bottom"/>
          </w:tcPr>
          <w:p>
            <w:pPr>
              <w:spacing w:after="0"/>
              <w:rPr>
                <w:sz w:val="21"/>
                <w:szCs w:val="21"/>
                <w:color w:val="auto"/>
              </w:rPr>
            </w:pPr>
          </w:p>
        </w:tc>
      </w:tr>
      <w:tr>
        <w:trPr>
          <w:trHeight w:val="230"/>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5,114,728</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(208,333)</w:t>
            </w:r>
          </w:p>
        </w:tc>
        <w:tc>
          <w:tcPr>
            <w:tcW w:w="1180" w:type="dxa"/>
            <w:vAlign w:val="bottom"/>
          </w:tcPr>
          <w:p>
            <w:pPr>
              <w:spacing w:after="0"/>
              <w:rPr>
                <w:sz w:val="20"/>
                <w:szCs w:val="20"/>
                <w:color w:val="auto"/>
              </w:rPr>
            </w:pPr>
          </w:p>
        </w:tc>
      </w:tr>
      <w:tr>
        <w:trPr>
          <w:trHeight w:val="249"/>
        </w:trPr>
        <w:tc>
          <w:tcPr>
            <w:tcW w:w="1200" w:type="dxa"/>
            <w:vAlign w:val="bottom"/>
          </w:tcPr>
          <w:p>
            <w:pPr>
              <w:spacing w:after="0"/>
              <w:rPr>
                <w:sz w:val="21"/>
                <w:szCs w:val="21"/>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movements on cash</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6,870</w:t>
            </w:r>
          </w:p>
        </w:tc>
        <w:tc>
          <w:tcPr>
            <w:tcW w:w="1180" w:type="dxa"/>
            <w:vAlign w:val="bottom"/>
          </w:tcPr>
          <w:p>
            <w:pPr>
              <w:spacing w:after="0"/>
              <w:rPr>
                <w:sz w:val="21"/>
                <w:szCs w:val="21"/>
                <w:color w:val="auto"/>
              </w:rPr>
            </w:pPr>
          </w:p>
        </w:tc>
      </w:tr>
      <w:tr>
        <w:trPr>
          <w:trHeight w:val="234"/>
        </w:trPr>
        <w:tc>
          <w:tcPr>
            <w:tcW w:w="120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(88,092)</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319,996</w:t>
            </w:r>
          </w:p>
        </w:tc>
        <w:tc>
          <w:tcPr>
            <w:tcW w:w="1180" w:type="dxa"/>
            <w:vAlign w:val="bottom"/>
          </w:tcPr>
          <w:p>
            <w:pPr>
              <w:spacing w:after="0"/>
              <w:rPr>
                <w:sz w:val="20"/>
                <w:szCs w:val="20"/>
                <w:color w:val="auto"/>
              </w:rPr>
            </w:pPr>
          </w:p>
        </w:tc>
      </w:tr>
      <w:tr>
        <w:trPr>
          <w:trHeight w:val="245"/>
        </w:trPr>
        <w:tc>
          <w:tcPr>
            <w:tcW w:w="1200" w:type="dxa"/>
            <w:vAlign w:val="bottom"/>
          </w:tcPr>
          <w:p>
            <w:pPr>
              <w:spacing w:after="0"/>
              <w:rPr>
                <w:sz w:val="21"/>
                <w:szCs w:val="21"/>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840,305</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520,309</w:t>
            </w:r>
          </w:p>
        </w:tc>
        <w:tc>
          <w:tcPr>
            <w:tcW w:w="1180" w:type="dxa"/>
            <w:vAlign w:val="bottom"/>
          </w:tcPr>
          <w:p>
            <w:pPr>
              <w:spacing w:after="0"/>
              <w:rPr>
                <w:sz w:val="21"/>
                <w:szCs w:val="21"/>
                <w:color w:val="auto"/>
              </w:rPr>
            </w:pPr>
          </w:p>
        </w:tc>
      </w:tr>
      <w:tr>
        <w:trPr>
          <w:trHeight w:val="239"/>
        </w:trPr>
        <w:tc>
          <w:tcPr>
            <w:tcW w:w="1200" w:type="dxa"/>
            <w:vAlign w:val="bottom"/>
          </w:tcPr>
          <w:p>
            <w:pPr>
              <w:spacing w:after="0"/>
              <w:rPr>
                <w:sz w:val="20"/>
                <w:szCs w:val="20"/>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752,213</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840,305</w:t>
            </w:r>
          </w:p>
        </w:tc>
        <w:tc>
          <w:tcPr>
            <w:tcW w:w="1180" w:type="dxa"/>
            <w:vAlign w:val="bottom"/>
          </w:tcPr>
          <w:p>
            <w:pPr>
              <w:spacing w:after="0"/>
              <w:rPr>
                <w:sz w:val="20"/>
                <w:szCs w:val="20"/>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3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ICON plc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TWELVE MONTHS ENDED DECEMBER 31, 2021 AND DECEMBER 31, 2020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5"/>
              </w:rPr>
              <w:t>Three Months Ended</w:t>
            </w:r>
          </w:p>
        </w:tc>
        <w:tc>
          <w:tcPr>
            <w:tcW w:w="120" w:type="dxa"/>
            <w:vAlign w:val="bottom"/>
          </w:tcPr>
          <w:p>
            <w:pPr>
              <w:spacing w:after="0"/>
              <w:rPr>
                <w:sz w:val="20"/>
                <w:szCs w:val="20"/>
                <w:color w:val="auto"/>
              </w:rPr>
            </w:pPr>
          </w:p>
        </w:tc>
        <w:tc>
          <w:tcPr>
            <w:tcW w:w="25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Twelve Months Ended</w:t>
            </w:r>
          </w:p>
        </w:tc>
      </w:tr>
      <w:tr>
        <w:trPr>
          <w:trHeight w:val="225"/>
        </w:trPr>
        <w:tc>
          <w:tcPr>
            <w:tcW w:w="646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December</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December</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December</w:t>
            </w:r>
          </w:p>
        </w:tc>
        <w:tc>
          <w:tcPr>
            <w:tcW w:w="17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December</w:t>
            </w:r>
          </w:p>
        </w:tc>
      </w:tr>
      <w:tr>
        <w:trPr>
          <w:trHeight w:val="234"/>
        </w:trPr>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31, 2021</w:t>
            </w:r>
          </w:p>
        </w:tc>
        <w:tc>
          <w:tcPr>
            <w:tcW w:w="1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31, 2020</w:t>
            </w:r>
          </w:p>
        </w:tc>
        <w:tc>
          <w:tcPr>
            <w:tcW w:w="12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31, 2021</w:t>
            </w:r>
          </w:p>
        </w:tc>
        <w:tc>
          <w:tcPr>
            <w:tcW w:w="17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31, 2020</w:t>
            </w:r>
          </w:p>
        </w:tc>
      </w:tr>
      <w:tr>
        <w:trPr>
          <w:trHeight w:val="486"/>
        </w:trPr>
        <w:tc>
          <w:tcPr>
            <w:tcW w:w="6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gridSpan w:val="7"/>
          </w:tcPr>
          <w:p>
            <w:pPr>
              <w:jc w:val="right"/>
              <w:ind w:right="490"/>
              <w:spacing w:after="0"/>
              <w:rPr>
                <w:sz w:val="20"/>
                <w:szCs w:val="20"/>
                <w:color w:val="auto"/>
              </w:rPr>
            </w:pPr>
            <w:r>
              <w:rPr>
                <w:rFonts w:ascii="Arial" w:cs="Arial" w:eastAsia="Arial" w:hAnsi="Arial"/>
                <w:sz w:val="18"/>
                <w:szCs w:val="18"/>
                <w:b w:val="1"/>
                <w:bCs w:val="1"/>
                <w:color w:val="auto"/>
                <w:w w:val="99"/>
              </w:rPr>
              <w:t>(in thousands except share and per share data)</w:t>
            </w:r>
          </w:p>
        </w:tc>
      </w:tr>
      <w:tr>
        <w:trPr>
          <w:trHeight w:val="486"/>
        </w:trPr>
        <w:tc>
          <w:tcPr>
            <w:tcW w:w="6460" w:type="dxa"/>
            <w:vAlign w:val="bottom"/>
          </w:tcPr>
          <w:p>
            <w:pPr>
              <w:spacing w:after="0"/>
              <w:rPr>
                <w:sz w:val="20"/>
                <w:szCs w:val="20"/>
                <w:color w:val="auto"/>
              </w:rPr>
            </w:pPr>
            <w:r>
              <w:rPr>
                <w:rFonts w:ascii="Arial" w:cs="Arial" w:eastAsia="Arial" w:hAnsi="Arial"/>
                <w:sz w:val="18"/>
                <w:szCs w:val="18"/>
                <w:b w:val="1"/>
                <w:bCs w:val="1"/>
                <w:color w:val="auto"/>
              </w:rPr>
              <w:t>Adjusted revenue</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Revenue, as reported</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1,885,121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760,229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5,480,826</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$2,797,288</w:t>
            </w:r>
          </w:p>
        </w:tc>
        <w:tc>
          <w:tcPr>
            <w:tcW w:w="880" w:type="dxa"/>
            <w:vAlign w:val="bottom"/>
          </w:tcPr>
          <w:p>
            <w:pPr>
              <w:spacing w:after="0"/>
              <w:rPr>
                <w:sz w:val="21"/>
                <w:szCs w:val="21"/>
                <w:color w:val="auto"/>
              </w:rPr>
            </w:pPr>
          </w:p>
        </w:tc>
      </w:tr>
      <w:tr>
        <w:trPr>
          <w:trHeight w:val="256"/>
        </w:trPr>
        <w:tc>
          <w:tcPr>
            <w:tcW w:w="6460" w:type="dxa"/>
            <w:vAlign w:val="bottom"/>
            <w:tcBorders>
              <w:bottom w:val="single" w:sz="8" w:color="auto"/>
            </w:tcBorders>
          </w:tcPr>
          <w:p>
            <w:pPr>
              <w:spacing w:after="0" w:line="256" w:lineRule="exact"/>
              <w:rPr>
                <w:sz w:val="20"/>
                <w:szCs w:val="20"/>
                <w:color w:val="auto"/>
              </w:rPr>
            </w:pPr>
            <w:r>
              <w:rPr>
                <w:rFonts w:ascii="Arial" w:cs="Arial" w:eastAsia="Arial" w:hAnsi="Arial"/>
                <w:sz w:val="18"/>
                <w:szCs w:val="18"/>
                <w:color w:val="auto"/>
              </w:rPr>
              <w:t xml:space="preserve">Acquisition related deferred revenue adjustment </w:t>
            </w:r>
            <w:r>
              <w:rPr>
                <w:rFonts w:ascii="Arial" w:cs="Arial" w:eastAsia="Arial" w:hAnsi="Arial"/>
                <w:sz w:val="29"/>
                <w:szCs w:val="29"/>
                <w:color w:val="auto"/>
                <w:vertAlign w:val="superscript"/>
              </w:rPr>
              <w:t>(a)</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1,881,121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760,229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5,480,826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2,797,288</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7"/>
        </w:trPr>
        <w:tc>
          <w:tcPr>
            <w:tcW w:w="64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76,468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101,234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153,185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332,331</w:t>
            </w: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2,161</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14,616</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15,169</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41,334</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47,875</w:t>
            </w:r>
          </w:p>
        </w:tc>
      </w:tr>
      <w:tr>
        <w:trPr>
          <w:trHeight w:val="256"/>
        </w:trPr>
        <w:tc>
          <w:tcPr>
            <w:tcW w:w="6460" w:type="dxa"/>
            <w:vAlign w:val="bottom"/>
          </w:tcPr>
          <w:p>
            <w:pPr>
              <w:spacing w:after="0" w:line="255" w:lineRule="exact"/>
              <w:rPr>
                <w:sz w:val="20"/>
                <w:szCs w:val="20"/>
                <w:color w:val="auto"/>
              </w:rPr>
            </w:pPr>
            <w:r>
              <w:rPr>
                <w:rFonts w:ascii="Arial" w:cs="Arial" w:eastAsia="Arial" w:hAnsi="Arial"/>
                <w:sz w:val="18"/>
                <w:szCs w:val="18"/>
                <w:color w:val="auto"/>
              </w:rPr>
              <w:t xml:space="preserve">Net interest expense </w:t>
            </w:r>
            <w:r>
              <w:rPr>
                <w:rFonts w:ascii="Arial" w:cs="Arial" w:eastAsia="Arial" w:hAnsi="Arial"/>
                <w:sz w:val="29"/>
                <w:szCs w:val="29"/>
                <w:color w:val="auto"/>
                <w:vertAlign w:val="superscript"/>
              </w:rPr>
              <w:t>(b)</w:t>
            </w:r>
          </w:p>
        </w:tc>
        <w:tc>
          <w:tcPr>
            <w:tcW w:w="1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52,761</w:t>
            </w:r>
          </w:p>
        </w:tc>
        <w:tc>
          <w:tcPr>
            <w:tcW w:w="1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181,849</w:t>
            </w:r>
          </w:p>
        </w:tc>
        <w:tc>
          <w:tcPr>
            <w:tcW w:w="8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10,295</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139,670</w:t>
            </w:r>
          </w:p>
        </w:tc>
        <w:tc>
          <w:tcPr>
            <w:tcW w:w="1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17,145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314,987</w:t>
            </w:r>
          </w:p>
        </w:tc>
        <w:tc>
          <w:tcPr>
            <w:tcW w:w="8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66,126</w:t>
            </w:r>
          </w:p>
        </w:tc>
      </w:tr>
      <w:tr>
        <w:trPr>
          <w:trHeight w:val="246"/>
        </w:trPr>
        <w:tc>
          <w:tcPr>
            <w:tcW w:w="646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(c)</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19,410</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6,402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61,397</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27,833</w:t>
            </w:r>
          </w:p>
        </w:tc>
      </w:tr>
      <w:tr>
        <w:trPr>
          <w:trHeight w:val="243"/>
        </w:trPr>
        <w:tc>
          <w:tcPr>
            <w:tcW w:w="646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(d)</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(7,968)</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(14,314)</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5,979</w:t>
            </w:r>
          </w:p>
        </w:tc>
      </w:tr>
      <w:tr>
        <w:trPr>
          <w:trHeight w:val="243"/>
        </w:trPr>
        <w:tc>
          <w:tcPr>
            <w:tcW w:w="646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(e)</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24,943</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31,105</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18,089</w:t>
            </w:r>
          </w:p>
        </w:tc>
      </w:tr>
      <w:tr>
        <w:trPr>
          <w:trHeight w:val="243"/>
        </w:trPr>
        <w:tc>
          <w:tcPr>
            <w:tcW w:w="6460" w:type="dxa"/>
            <w:vAlign w:val="bottom"/>
          </w:tcPr>
          <w:p>
            <w:pPr>
              <w:spacing w:after="0" w:line="243" w:lineRule="exact"/>
              <w:rPr>
                <w:sz w:val="20"/>
                <w:szCs w:val="20"/>
                <w:color w:val="auto"/>
              </w:rPr>
            </w:pPr>
            <w:r>
              <w:rPr>
                <w:rFonts w:ascii="Arial" w:cs="Arial" w:eastAsia="Arial" w:hAnsi="Arial"/>
                <w:sz w:val="17"/>
                <w:szCs w:val="17"/>
                <w:color w:val="auto"/>
              </w:rPr>
              <w:t xml:space="preserve">Acquisition related deferred revenue adjustment </w:t>
            </w:r>
            <w:r>
              <w:rPr>
                <w:rFonts w:ascii="Arial" w:cs="Arial" w:eastAsia="Arial" w:hAnsi="Arial"/>
                <w:sz w:val="28"/>
                <w:szCs w:val="28"/>
                <w:color w:val="auto"/>
                <w:vertAlign w:val="superscript"/>
              </w:rPr>
              <w:t>(a)</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646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Transaction-related / integration-related costs </w:t>
            </w:r>
            <w:r>
              <w:rPr>
                <w:rFonts w:ascii="Arial" w:cs="Arial" w:eastAsia="Arial" w:hAnsi="Arial"/>
                <w:sz w:val="29"/>
                <w:szCs w:val="29"/>
                <w:color w:val="auto"/>
                <w:vertAlign w:val="superscript"/>
              </w:rPr>
              <w:t>(f)</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15,954</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198,263</w:t>
            </w:r>
          </w:p>
        </w:tc>
        <w:tc>
          <w:tcPr>
            <w:tcW w:w="8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32"/>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332,544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144,145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969,967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508,768</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39"/>
        </w:trPr>
        <w:tc>
          <w:tcPr>
            <w:tcW w:w="6460" w:type="dxa"/>
            <w:vAlign w:val="bottom"/>
          </w:tcPr>
          <w:p>
            <w:pPr>
              <w:spacing w:after="0"/>
              <w:rPr>
                <w:sz w:val="20"/>
                <w:szCs w:val="20"/>
                <w:color w:val="auto"/>
              </w:rPr>
            </w:pPr>
            <w:r>
              <w:rPr>
                <w:rFonts w:ascii="Arial" w:cs="Arial" w:eastAsia="Arial" w:hAnsi="Arial"/>
                <w:sz w:val="18"/>
                <w:szCs w:val="18"/>
                <w:b w:val="1"/>
                <w:bCs w:val="1"/>
                <w:color w:val="auto"/>
                <w:w w:val="91"/>
              </w:rPr>
              <w:t>Adjusted net income attributable to the Group and adjusted diluted net income per</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Ordinary Share attributable to the Group</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76,468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101,234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153,185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332,331</w:t>
            </w: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14,616</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15,169</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41,334</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47,875</w:t>
            </w: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Amortisation</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114,888</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239,503</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19,234</w:t>
            </w:r>
          </w:p>
        </w:tc>
      </w:tr>
      <w:tr>
        <w:trPr>
          <w:trHeight w:val="246"/>
        </w:trPr>
        <w:tc>
          <w:tcPr>
            <w:tcW w:w="646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(c)</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19,410</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6,402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61,397</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27,833</w:t>
            </w:r>
          </w:p>
        </w:tc>
      </w:tr>
      <w:tr>
        <w:trPr>
          <w:trHeight w:val="243"/>
        </w:trPr>
        <w:tc>
          <w:tcPr>
            <w:tcW w:w="646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(d)</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(7,968)</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(14,314)</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5,979</w:t>
            </w:r>
          </w:p>
        </w:tc>
      </w:tr>
      <w:tr>
        <w:trPr>
          <w:trHeight w:val="243"/>
        </w:trPr>
        <w:tc>
          <w:tcPr>
            <w:tcW w:w="646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(e)</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24,943</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31,105</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18,089</w:t>
            </w:r>
          </w:p>
        </w:tc>
      </w:tr>
      <w:tr>
        <w:trPr>
          <w:trHeight w:val="243"/>
        </w:trPr>
        <w:tc>
          <w:tcPr>
            <w:tcW w:w="6460" w:type="dxa"/>
            <w:vAlign w:val="bottom"/>
          </w:tcPr>
          <w:p>
            <w:pPr>
              <w:spacing w:after="0" w:line="243" w:lineRule="exact"/>
              <w:rPr>
                <w:sz w:val="20"/>
                <w:szCs w:val="20"/>
                <w:color w:val="auto"/>
              </w:rPr>
            </w:pPr>
            <w:r>
              <w:rPr>
                <w:rFonts w:ascii="Arial" w:cs="Arial" w:eastAsia="Arial" w:hAnsi="Arial"/>
                <w:sz w:val="17"/>
                <w:szCs w:val="17"/>
                <w:color w:val="auto"/>
              </w:rPr>
              <w:t xml:space="preserve">Acquisition related deferred revenue adjustment </w:t>
            </w:r>
            <w:r>
              <w:rPr>
                <w:rFonts w:ascii="Arial" w:cs="Arial" w:eastAsia="Arial" w:hAnsi="Arial"/>
                <w:sz w:val="28"/>
                <w:szCs w:val="28"/>
                <w:color w:val="auto"/>
                <w:vertAlign w:val="superscript"/>
              </w:rPr>
              <w:t>(a)</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6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 integration-related costs </w:t>
            </w:r>
            <w:r>
              <w:rPr>
                <w:rFonts w:ascii="Arial" w:cs="Arial" w:eastAsia="Arial" w:hAnsi="Arial"/>
                <w:sz w:val="28"/>
                <w:szCs w:val="28"/>
                <w:color w:val="auto"/>
                <w:vertAlign w:val="superscript"/>
              </w:rPr>
              <w:t>(f)</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15,954</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198,263</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43"/>
        </w:trPr>
        <w:tc>
          <w:tcPr>
            <w:tcW w:w="6460" w:type="dxa"/>
            <w:vAlign w:val="bottom"/>
          </w:tcPr>
          <w:p>
            <w:pPr>
              <w:spacing w:after="0" w:line="243" w:lineRule="exact"/>
              <w:rPr>
                <w:sz w:val="20"/>
                <w:szCs w:val="20"/>
                <w:color w:val="auto"/>
              </w:rPr>
            </w:pPr>
            <w:r>
              <w:rPr>
                <w:rFonts w:ascii="Arial" w:cs="Arial" w:eastAsia="Arial" w:hAnsi="Arial"/>
                <w:sz w:val="17"/>
                <w:szCs w:val="17"/>
                <w:color w:val="auto"/>
              </w:rPr>
              <w:t xml:space="preserve">Transaction-related financing costs </w:t>
            </w:r>
            <w:r>
              <w:rPr>
                <w:rFonts w:ascii="Arial" w:cs="Arial" w:eastAsia="Arial" w:hAnsi="Arial"/>
                <w:sz w:val="28"/>
                <w:szCs w:val="28"/>
                <w:color w:val="auto"/>
                <w:vertAlign w:val="superscript"/>
              </w:rPr>
              <w:t>(g)</w:t>
            </w: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8,484</w:t>
            </w:r>
          </w:p>
        </w:tc>
        <w:tc>
          <w:tcPr>
            <w:tcW w:w="1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86,736</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646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Adjusted tax expense </w:t>
            </w:r>
            <w:r>
              <w:rPr>
                <w:rFonts w:ascii="Arial" w:cs="Arial" w:eastAsia="Arial" w:hAnsi="Arial"/>
                <w:sz w:val="29"/>
                <w:szCs w:val="29"/>
                <w:color w:val="auto"/>
                <w:vertAlign w:val="superscript"/>
              </w:rPr>
              <w:t>(h)</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(44,798)</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(16,675)</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(130,791)</w:t>
            </w:r>
          </w:p>
        </w:tc>
        <w:tc>
          <w:tcPr>
            <w:tcW w:w="8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r>
      <w:tr>
        <w:trPr>
          <w:trHeight w:val="232"/>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Adjusted net income attributable to the Group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217,997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111,675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392,082</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7"/>
        </w:trPr>
        <w:tc>
          <w:tcPr>
            <w:tcW w:w="6460" w:type="dxa"/>
            <w:vAlign w:val="bottom"/>
          </w:tcPr>
          <w:p>
            <w:pPr>
              <w:spacing w:after="0"/>
              <w:rPr>
                <w:sz w:val="20"/>
                <w:szCs w:val="20"/>
                <w:color w:val="auto"/>
              </w:rPr>
            </w:pPr>
            <w:r>
              <w:rPr>
                <w:rFonts w:ascii="Arial" w:cs="Arial" w:eastAsia="Arial" w:hAnsi="Arial"/>
                <w:sz w:val="18"/>
                <w:szCs w:val="18"/>
                <w:color w:val="auto"/>
              </w:rPr>
              <w:t>Diluted weighted average number of Ordinary Shares outstanding</w:t>
            </w:r>
          </w:p>
        </w:tc>
        <w:tc>
          <w:tcPr>
            <w:tcW w:w="1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82,827,674</w:t>
            </w:r>
          </w:p>
        </w:tc>
        <w:tc>
          <w:tcPr>
            <w:tcW w:w="1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53,291,849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53,283,585</w:t>
            </w:r>
          </w:p>
        </w:tc>
      </w:tr>
      <w:tr>
        <w:trPr>
          <w:trHeight w:val="257"/>
        </w:trPr>
        <w:tc>
          <w:tcPr>
            <w:tcW w:w="6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36"/>
        </w:trPr>
        <w:tc>
          <w:tcPr>
            <w:tcW w:w="6460" w:type="dxa"/>
            <w:vAlign w:val="bottom"/>
            <w:tcBorders>
              <w:bottom w:val="single" w:sz="8" w:color="auto"/>
            </w:tcBorders>
          </w:tcPr>
          <w:p>
            <w:pPr>
              <w:spacing w:after="0" w:line="236" w:lineRule="exact"/>
              <w:rPr>
                <w:sz w:val="20"/>
                <w:szCs w:val="20"/>
                <w:color w:val="auto"/>
              </w:rPr>
            </w:pPr>
            <w:r>
              <w:rPr>
                <w:rFonts w:ascii="Arial" w:cs="Arial" w:eastAsia="Arial" w:hAnsi="Arial"/>
                <w:sz w:val="17"/>
                <w:szCs w:val="17"/>
                <w:b w:val="1"/>
                <w:bCs w:val="1"/>
                <w:color w:val="auto"/>
              </w:rPr>
              <w:t xml:space="preserve">Adjusted diluted net income per Ordinary Share attributable to the Group </w:t>
            </w:r>
            <w:r>
              <w:rPr>
                <w:rFonts w:ascii="Arial" w:cs="Arial" w:eastAsia="Arial" w:hAnsi="Arial"/>
                <w:sz w:val="27"/>
                <w:szCs w:val="27"/>
                <w:b w:val="1"/>
                <w:bCs w:val="1"/>
                <w:color w:val="auto"/>
                <w:vertAlign w:val="superscript"/>
              </w:rPr>
              <w:t>(i)</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3"/>
        </w:trPr>
        <w:tc>
          <w:tcPr>
            <w:tcW w:w="6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ICON plc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 (COMBINED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TWELVE MONTHS ENDED DECEMBER 31, 2021 AND DECEMBER 31, 2020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6"/>
              </w:rPr>
              <w:t>Three Months Ended</w:t>
            </w: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Twelve Months Ended</w:t>
            </w:r>
          </w:p>
        </w:tc>
        <w:tc>
          <w:tcPr>
            <w:tcW w:w="1160" w:type="dxa"/>
            <w:vAlign w:val="bottom"/>
          </w:tcPr>
          <w:p>
            <w:pPr>
              <w:spacing w:after="0"/>
              <w:rPr>
                <w:sz w:val="20"/>
                <w:szCs w:val="20"/>
                <w:color w:val="auto"/>
              </w:rPr>
            </w:pPr>
          </w:p>
        </w:tc>
      </w:tr>
      <w:tr>
        <w:trPr>
          <w:trHeight w:val="225"/>
        </w:trPr>
        <w:tc>
          <w:tcPr>
            <w:tcW w:w="1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w:t>
            </w: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December</w:t>
            </w: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w:t>
            </w: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December</w:t>
            </w:r>
          </w:p>
        </w:tc>
        <w:tc>
          <w:tcPr>
            <w:tcW w:w="11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31, 2021</w:t>
            </w:r>
          </w:p>
        </w:tc>
        <w:tc>
          <w:tcPr>
            <w:tcW w:w="14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31, 2020</w:t>
            </w:r>
          </w:p>
        </w:tc>
        <w:tc>
          <w:tcPr>
            <w:tcW w:w="1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31, 2021</w:t>
            </w:r>
          </w:p>
        </w:tc>
        <w:tc>
          <w:tcPr>
            <w:tcW w:w="12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31, 2020</w:t>
            </w:r>
          </w:p>
        </w:tc>
        <w:tc>
          <w:tcPr>
            <w:tcW w:w="1160" w:type="dxa"/>
            <w:vAlign w:val="bottom"/>
          </w:tcPr>
          <w:p>
            <w:pPr>
              <w:spacing w:after="0"/>
              <w:rPr>
                <w:sz w:val="20"/>
                <w:szCs w:val="20"/>
                <w:color w:val="auto"/>
              </w:rPr>
            </w:pPr>
          </w:p>
        </w:tc>
      </w:tr>
      <w:tr>
        <w:trPr>
          <w:trHeight w:val="486"/>
        </w:trPr>
        <w:tc>
          <w:tcPr>
            <w:tcW w:w="11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760" w:type="dxa"/>
            <w:vAlign w:val="bottom"/>
            <w:gridSpan w:val="8"/>
          </w:tcPr>
          <w:p>
            <w:pPr>
              <w:jc w:val="right"/>
              <w:spacing w:after="0"/>
              <w:rPr>
                <w:sz w:val="20"/>
                <w:szCs w:val="20"/>
                <w:color w:val="auto"/>
              </w:rPr>
            </w:pPr>
            <w:r>
              <w:rPr>
                <w:rFonts w:ascii="Arial" w:cs="Arial" w:eastAsia="Arial" w:hAnsi="Arial"/>
                <w:sz w:val="18"/>
                <w:szCs w:val="18"/>
                <w:b w:val="1"/>
                <w:bCs w:val="1"/>
                <w:color w:val="auto"/>
                <w:w w:val="90"/>
              </w:rPr>
              <w:t>(in thousands except share and per share data)</w:t>
            </w:r>
          </w:p>
        </w:tc>
        <w:tc>
          <w:tcPr>
            <w:tcW w:w="1160" w:type="dxa"/>
            <w:vAlign w:val="bottom"/>
          </w:tcPr>
          <w:p>
            <w:pPr>
              <w:spacing w:after="0"/>
              <w:rPr>
                <w:sz w:val="24"/>
                <w:szCs w:val="24"/>
                <w:color w:val="auto"/>
              </w:rPr>
            </w:pPr>
          </w:p>
        </w:tc>
      </w:tr>
      <w:tr>
        <w:trPr>
          <w:trHeight w:val="486"/>
        </w:trPr>
        <w:tc>
          <w:tcPr>
            <w:tcW w:w="11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Combined Company adjusted revenue</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Revenue, as reported</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1,885,121</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760,229</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5,480,826</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2,797,288</w:t>
            </w:r>
          </w:p>
        </w:tc>
        <w:tc>
          <w:tcPr>
            <w:tcW w:w="116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Pre-merger PRA Health Sciences Revenue</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873,458</w:t>
            </w: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1,981,173</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3,183,365</w:t>
            </w:r>
          </w:p>
        </w:tc>
        <w:tc>
          <w:tcPr>
            <w:tcW w:w="1160" w:type="dxa"/>
            <w:vAlign w:val="bottom"/>
          </w:tcPr>
          <w:p>
            <w:pPr>
              <w:spacing w:after="0"/>
              <w:rPr>
                <w:sz w:val="21"/>
                <w:szCs w:val="21"/>
                <w:color w:val="auto"/>
              </w:rPr>
            </w:pPr>
          </w:p>
        </w:tc>
      </w:tr>
      <w:tr>
        <w:trPr>
          <w:trHeight w:val="230"/>
        </w:trPr>
        <w:tc>
          <w:tcPr>
            <w:tcW w:w="11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Combined Company Revenue, before adjustments</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1,885,121</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1,633,687</w:t>
            </w:r>
          </w:p>
        </w:tc>
        <w:tc>
          <w:tcPr>
            <w:tcW w:w="1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7,461,999</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5,980,653</w:t>
            </w:r>
          </w:p>
        </w:tc>
        <w:tc>
          <w:tcPr>
            <w:tcW w:w="1160" w:type="dxa"/>
            <w:vAlign w:val="bottom"/>
          </w:tcPr>
          <w:p>
            <w:pPr>
              <w:spacing w:after="0"/>
              <w:rPr>
                <w:sz w:val="20"/>
                <w:szCs w:val="20"/>
                <w:color w:val="auto"/>
              </w:rPr>
            </w:pPr>
          </w:p>
        </w:tc>
      </w:tr>
      <w:tr>
        <w:trPr>
          <w:trHeight w:val="256"/>
        </w:trPr>
        <w:tc>
          <w:tcPr>
            <w:tcW w:w="1160" w:type="dxa"/>
            <w:vAlign w:val="bottom"/>
          </w:tcPr>
          <w:p>
            <w:pPr>
              <w:spacing w:after="0"/>
              <w:rPr>
                <w:sz w:val="22"/>
                <w:szCs w:val="22"/>
                <w:color w:val="auto"/>
              </w:rPr>
            </w:pPr>
          </w:p>
        </w:tc>
        <w:tc>
          <w:tcPr>
            <w:tcW w:w="5160" w:type="dxa"/>
            <w:vAlign w:val="bottom"/>
            <w:tcBorders>
              <w:bottom w:val="single" w:sz="8" w:color="auto"/>
            </w:tcBorders>
          </w:tcPr>
          <w:p>
            <w:pPr>
              <w:spacing w:after="0" w:line="255" w:lineRule="exact"/>
              <w:rPr>
                <w:sz w:val="20"/>
                <w:szCs w:val="20"/>
                <w:color w:val="auto"/>
              </w:rPr>
            </w:pPr>
            <w:r>
              <w:rPr>
                <w:rFonts w:ascii="Arial" w:cs="Arial" w:eastAsia="Arial" w:hAnsi="Arial"/>
                <w:sz w:val="18"/>
                <w:szCs w:val="18"/>
                <w:color w:val="auto"/>
              </w:rPr>
              <w:t xml:space="preserve">Acquisition related deferred revenue adjustment </w:t>
            </w:r>
            <w:r>
              <w:rPr>
                <w:rFonts w:ascii="Arial" w:cs="Arial" w:eastAsia="Arial" w:hAnsi="Arial"/>
                <w:sz w:val="29"/>
                <w:szCs w:val="29"/>
                <w:color w:val="auto"/>
                <w:vertAlign w:val="superscript"/>
              </w:rPr>
              <w:t>(a)</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2"/>
                <w:szCs w:val="22"/>
                <w:color w:val="auto"/>
              </w:rPr>
            </w:pPr>
          </w:p>
        </w:tc>
      </w:tr>
      <w:tr>
        <w:trPr>
          <w:trHeight w:val="232"/>
        </w:trPr>
        <w:tc>
          <w:tcPr>
            <w:tcW w:w="116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Combined Company adjusted revenue</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1,881,121</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1,633,687</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7,461,999</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5,980,653</w:t>
            </w:r>
          </w:p>
        </w:tc>
        <w:tc>
          <w:tcPr>
            <w:tcW w:w="116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57"/>
        </w:trPr>
        <w:tc>
          <w:tcPr>
            <w:tcW w:w="116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Combined Company adjusted EBITDA</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attributable to the Group</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76,468</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101,234</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153,185</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332,331</w:t>
            </w:r>
          </w:p>
        </w:tc>
        <w:tc>
          <w:tcPr>
            <w:tcW w:w="1160" w:type="dxa"/>
            <w:vAlign w:val="bottom"/>
          </w:tcPr>
          <w:p>
            <w:pPr>
              <w:spacing w:after="0"/>
              <w:rPr>
                <w:sz w:val="21"/>
                <w:szCs w:val="21"/>
                <w:color w:val="auto"/>
              </w:rPr>
            </w:pPr>
          </w:p>
        </w:tc>
      </w:tr>
      <w:tr>
        <w:trPr>
          <w:trHeight w:val="250"/>
        </w:trPr>
        <w:tc>
          <w:tcPr>
            <w:tcW w:w="1160" w:type="dxa"/>
            <w:vAlign w:val="bottom"/>
          </w:tcPr>
          <w:p>
            <w:pPr>
              <w:spacing w:after="0"/>
              <w:rPr>
                <w:sz w:val="21"/>
                <w:szCs w:val="21"/>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Pre-merger PRA Health Sciences Net income attributable to the Group</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51,257</w:t>
            </w: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128,008</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197,043</w:t>
            </w:r>
          </w:p>
        </w:tc>
        <w:tc>
          <w:tcPr>
            <w:tcW w:w="1160" w:type="dxa"/>
            <w:vAlign w:val="bottom"/>
          </w:tcPr>
          <w:p>
            <w:pPr>
              <w:spacing w:after="0"/>
              <w:rPr>
                <w:sz w:val="21"/>
                <w:szCs w:val="21"/>
                <w:color w:val="auto"/>
              </w:rPr>
            </w:pPr>
          </w:p>
        </w:tc>
      </w:tr>
      <w:tr>
        <w:trPr>
          <w:trHeight w:val="230"/>
        </w:trPr>
        <w:tc>
          <w:tcPr>
            <w:tcW w:w="11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Combined Company Net income attributable to the Group</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76,468</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152,491</w:t>
            </w:r>
          </w:p>
        </w:tc>
        <w:tc>
          <w:tcPr>
            <w:tcW w:w="1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281,194</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529,374</w:t>
            </w:r>
          </w:p>
        </w:tc>
        <w:tc>
          <w:tcPr>
            <w:tcW w:w="1160" w:type="dxa"/>
            <w:vAlign w:val="bottom"/>
          </w:tcPr>
          <w:p>
            <w:pPr>
              <w:spacing w:after="0"/>
              <w:rPr>
                <w:sz w:val="20"/>
                <w:szCs w:val="20"/>
                <w:color w:val="auto"/>
              </w:rPr>
            </w:pPr>
          </w:p>
        </w:tc>
      </w:tr>
      <w:tr>
        <w:trPr>
          <w:trHeight w:val="242"/>
        </w:trPr>
        <w:tc>
          <w:tcPr>
            <w:tcW w:w="11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w:t>
            </w:r>
          </w:p>
        </w:tc>
        <w:tc>
          <w:tcPr>
            <w:tcW w:w="1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w:t>
            </w:r>
          </w:p>
        </w:tc>
        <w:tc>
          <w:tcPr>
            <w:tcW w:w="1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14,616</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40,094</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48,034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109,841</w:t>
            </w:r>
          </w:p>
        </w:tc>
        <w:tc>
          <w:tcPr>
            <w:tcW w:w="1160" w:type="dxa"/>
            <w:vAlign w:val="bottom"/>
          </w:tcPr>
          <w:p>
            <w:pPr>
              <w:spacing w:after="0"/>
              <w:rPr>
                <w:sz w:val="21"/>
                <w:szCs w:val="21"/>
                <w:color w:val="auto"/>
              </w:rPr>
            </w:pPr>
          </w:p>
        </w:tc>
      </w:tr>
      <w:tr>
        <w:trPr>
          <w:trHeight w:val="256"/>
        </w:trPr>
        <w:tc>
          <w:tcPr>
            <w:tcW w:w="1160" w:type="dxa"/>
            <w:vAlign w:val="bottom"/>
          </w:tcPr>
          <w:p>
            <w:pPr>
              <w:spacing w:after="0"/>
              <w:rPr>
                <w:sz w:val="22"/>
                <w:szCs w:val="22"/>
                <w:color w:val="auto"/>
              </w:rPr>
            </w:pPr>
          </w:p>
        </w:tc>
        <w:tc>
          <w:tcPr>
            <w:tcW w:w="5160" w:type="dxa"/>
            <w:vAlign w:val="bottom"/>
          </w:tcPr>
          <w:p>
            <w:pPr>
              <w:spacing w:after="0" w:line="255" w:lineRule="exact"/>
              <w:rPr>
                <w:sz w:val="20"/>
                <w:szCs w:val="20"/>
                <w:color w:val="auto"/>
              </w:rPr>
            </w:pPr>
            <w:r>
              <w:rPr>
                <w:rFonts w:ascii="Arial" w:cs="Arial" w:eastAsia="Arial" w:hAnsi="Arial"/>
                <w:sz w:val="18"/>
                <w:szCs w:val="18"/>
                <w:color w:val="auto"/>
              </w:rPr>
              <w:t xml:space="preserve">Net interest expense </w:t>
            </w:r>
            <w:r>
              <w:rPr>
                <w:rFonts w:ascii="Arial" w:cs="Arial" w:eastAsia="Arial" w:hAnsi="Arial"/>
                <w:sz w:val="29"/>
                <w:szCs w:val="29"/>
                <w:color w:val="auto"/>
                <w:vertAlign w:val="superscript"/>
              </w:rPr>
              <w:t>(b)</w:t>
            </w:r>
          </w:p>
        </w:tc>
        <w:tc>
          <w:tcPr>
            <w:tcW w:w="14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52,761</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10,651</w:t>
            </w:r>
          </w:p>
        </w:tc>
        <w:tc>
          <w:tcPr>
            <w:tcW w:w="12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191,740</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53,875</w:t>
            </w:r>
          </w:p>
        </w:tc>
        <w:tc>
          <w:tcPr>
            <w:tcW w:w="1160" w:type="dxa"/>
            <w:vAlign w:val="bottom"/>
          </w:tcPr>
          <w:p>
            <w:pPr>
              <w:spacing w:after="0"/>
              <w:rPr>
                <w:sz w:val="22"/>
                <w:szCs w:val="22"/>
                <w:color w:val="auto"/>
              </w:rPr>
            </w:pPr>
          </w:p>
        </w:tc>
      </w:tr>
      <w:tr>
        <w:trPr>
          <w:trHeight w:val="230"/>
        </w:trPr>
        <w:tc>
          <w:tcPr>
            <w:tcW w:w="11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139,670</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50,697</w:t>
            </w:r>
          </w:p>
        </w:tc>
        <w:tc>
          <w:tcPr>
            <w:tcW w:w="1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380,730</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197,756</w:t>
            </w:r>
          </w:p>
        </w:tc>
        <w:tc>
          <w:tcPr>
            <w:tcW w:w="1160" w:type="dxa"/>
            <w:vAlign w:val="bottom"/>
          </w:tcPr>
          <w:p>
            <w:pPr>
              <w:spacing w:after="0"/>
              <w:rPr>
                <w:sz w:val="20"/>
                <w:szCs w:val="20"/>
                <w:color w:val="auto"/>
              </w:rPr>
            </w:pPr>
          </w:p>
        </w:tc>
      </w:tr>
      <w:tr>
        <w:trPr>
          <w:trHeight w:val="246"/>
        </w:trPr>
        <w:tc>
          <w:tcPr>
            <w:tcW w:w="1160" w:type="dxa"/>
            <w:vAlign w:val="bottom"/>
          </w:tcPr>
          <w:p>
            <w:pPr>
              <w:spacing w:after="0"/>
              <w:rPr>
                <w:sz w:val="21"/>
                <w:szCs w:val="21"/>
                <w:color w:val="auto"/>
              </w:rPr>
            </w:pPr>
          </w:p>
        </w:tc>
        <w:tc>
          <w:tcPr>
            <w:tcW w:w="5160" w:type="dxa"/>
            <w:vAlign w:val="bottom"/>
          </w:tcPr>
          <w:p>
            <w:pPr>
              <w:spacing w:after="0" w:line="246" w:lineRule="exact"/>
              <w:rPr>
                <w:sz w:val="20"/>
                <w:szCs w:val="20"/>
                <w:color w:val="auto"/>
              </w:rPr>
            </w:pPr>
            <w:r>
              <w:rPr>
                <w:rFonts w:ascii="Arial" w:cs="Arial" w:eastAsia="Arial" w:hAnsi="Arial"/>
                <w:sz w:val="17"/>
                <w:szCs w:val="17"/>
                <w:color w:val="auto"/>
              </w:rPr>
              <w:t xml:space="preserve">Stock-based compensation expense </w:t>
            </w:r>
            <w:r>
              <w:rPr>
                <w:rFonts w:ascii="Arial" w:cs="Arial" w:eastAsia="Arial" w:hAnsi="Arial"/>
                <w:sz w:val="28"/>
                <w:szCs w:val="28"/>
                <w:color w:val="auto"/>
                <w:vertAlign w:val="superscript"/>
              </w:rPr>
              <w:t>(c)</w:t>
            </w:r>
          </w:p>
        </w:tc>
        <w:tc>
          <w:tcPr>
            <w:tcW w:w="1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19,410</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25,202</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98,901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97,246</w:t>
            </w:r>
          </w:p>
        </w:tc>
        <w:tc>
          <w:tcPr>
            <w:tcW w:w="1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Arial" w:cs="Arial" w:eastAsia="Arial" w:hAnsi="Arial"/>
                <w:sz w:val="17"/>
                <w:szCs w:val="17"/>
                <w:color w:val="auto"/>
              </w:rPr>
              <w:t xml:space="preserve">Foreign currency losses (gains), net </w:t>
            </w:r>
            <w:r>
              <w:rPr>
                <w:rFonts w:ascii="Arial" w:cs="Arial" w:eastAsia="Arial" w:hAnsi="Arial"/>
                <w:sz w:val="28"/>
                <w:szCs w:val="28"/>
                <w:color w:val="auto"/>
                <w:vertAlign w:val="superscript"/>
              </w:rPr>
              <w:t>(d)</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(7,968)</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14,464</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(20,586)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31,478</w:t>
            </w:r>
          </w:p>
        </w:tc>
        <w:tc>
          <w:tcPr>
            <w:tcW w:w="1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8"/>
                <w:szCs w:val="28"/>
                <w:color w:val="auto"/>
                <w:vertAlign w:val="superscript"/>
              </w:rPr>
              <w:t>(e)</w:t>
            </w:r>
          </w:p>
        </w:tc>
        <w:tc>
          <w:tcPr>
            <w:tcW w:w="1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24,943</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31,105</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18,089</w:t>
            </w:r>
          </w:p>
        </w:tc>
        <w:tc>
          <w:tcPr>
            <w:tcW w:w="1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5160" w:type="dxa"/>
            <w:vAlign w:val="bottom"/>
          </w:tcPr>
          <w:p>
            <w:pPr>
              <w:spacing w:after="0" w:line="243" w:lineRule="exact"/>
              <w:rPr>
                <w:sz w:val="20"/>
                <w:szCs w:val="20"/>
                <w:color w:val="auto"/>
              </w:rPr>
            </w:pPr>
            <w:r>
              <w:rPr>
                <w:rFonts w:ascii="Arial" w:cs="Arial" w:eastAsia="Arial" w:hAnsi="Arial"/>
                <w:sz w:val="17"/>
                <w:szCs w:val="17"/>
                <w:color w:val="auto"/>
              </w:rPr>
              <w:t xml:space="preserve">Acquisition related deferred revenue adjustment </w:t>
            </w:r>
            <w:r>
              <w:rPr>
                <w:rFonts w:ascii="Arial" w:cs="Arial" w:eastAsia="Arial" w:hAnsi="Arial"/>
                <w:sz w:val="28"/>
                <w:szCs w:val="28"/>
                <w:color w:val="auto"/>
                <w:vertAlign w:val="superscript"/>
              </w:rPr>
              <w:t>(a)</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r>
      <w:tr>
        <w:trPr>
          <w:trHeight w:val="254"/>
        </w:trPr>
        <w:tc>
          <w:tcPr>
            <w:tcW w:w="1160" w:type="dxa"/>
            <w:vAlign w:val="bottom"/>
          </w:tcPr>
          <w:p>
            <w:pPr>
              <w:spacing w:after="0"/>
              <w:rPr>
                <w:sz w:val="22"/>
                <w:szCs w:val="22"/>
                <w:color w:val="auto"/>
              </w:rPr>
            </w:pPr>
          </w:p>
        </w:tc>
        <w:tc>
          <w:tcPr>
            <w:tcW w:w="5160" w:type="dxa"/>
            <w:vAlign w:val="bottom"/>
            <w:tcBorders>
              <w:bottom w:val="single" w:sz="8" w:color="auto"/>
            </w:tcBorders>
          </w:tcPr>
          <w:p>
            <w:pPr>
              <w:spacing w:after="0" w:line="253" w:lineRule="exact"/>
              <w:rPr>
                <w:sz w:val="20"/>
                <w:szCs w:val="20"/>
                <w:color w:val="auto"/>
              </w:rPr>
            </w:pPr>
            <w:r>
              <w:rPr>
                <w:rFonts w:ascii="Arial" w:cs="Arial" w:eastAsia="Arial" w:hAnsi="Arial"/>
                <w:sz w:val="18"/>
                <w:szCs w:val="18"/>
                <w:color w:val="auto"/>
              </w:rPr>
              <w:t xml:space="preserve">Transaction-related / integration-related costs </w:t>
            </w:r>
            <w:r>
              <w:rPr>
                <w:rFonts w:ascii="Arial" w:cs="Arial" w:eastAsia="Arial" w:hAnsi="Arial"/>
                <w:sz w:val="29"/>
                <w:szCs w:val="29"/>
                <w:color w:val="auto"/>
                <w:vertAlign w:val="superscript"/>
              </w:rPr>
              <w:t>(f)</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15,954</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235,115</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(42,219)</w:t>
            </w:r>
          </w:p>
        </w:tc>
        <w:tc>
          <w:tcPr>
            <w:tcW w:w="1160" w:type="dxa"/>
            <w:vAlign w:val="bottom"/>
          </w:tcPr>
          <w:p>
            <w:pPr>
              <w:spacing w:after="0"/>
              <w:rPr>
                <w:sz w:val="22"/>
                <w:szCs w:val="22"/>
                <w:color w:val="auto"/>
              </w:rPr>
            </w:pPr>
          </w:p>
        </w:tc>
      </w:tr>
      <w:tr>
        <w:trPr>
          <w:trHeight w:val="232"/>
        </w:trPr>
        <w:tc>
          <w:tcPr>
            <w:tcW w:w="116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Combined Company adjusted EBITDA</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332,545</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295,049</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1,248,394</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996,439</w:t>
            </w:r>
          </w:p>
        </w:tc>
        <w:tc>
          <w:tcPr>
            <w:tcW w:w="116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7"/>
        </w:trPr>
        <w:tc>
          <w:tcPr>
            <w:tcW w:w="116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35" w:right="339" w:bottom="1440" w:gutter="0" w:footer="0" w:header="0"/>
        </w:sectPr>
      </w:pPr>
    </w:p>
    <w:bookmarkStart w:id="11" w:name="page12"/>
    <w:bookmarkEnd w:id="11"/>
    <w:p>
      <w:pPr>
        <w:ind w:left="260" w:right="20" w:hanging="239"/>
        <w:spacing w:after="0" w:line="276" w:lineRule="auto"/>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Q3 2021, an acquisition related deferred revenue adjustment was reflected representing non-cash adjustments resulting from the revaluation of deferred revenue and the subsequent charge to revenue in connection with business combinations. In Q4 2021, the charge to revenue was reversed as the company has taken the option to early adopt amendments to the relevant accounting standard.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(b)Net interest expense includes losses on modification or extinguishment of debt.</w:t>
      </w:r>
    </w:p>
    <w:p>
      <w:pPr>
        <w:spacing w:after="0" w:line="36" w:lineRule="exact"/>
        <w:rPr>
          <w:sz w:val="20"/>
          <w:szCs w:val="20"/>
          <w:color w:val="auto"/>
        </w:rPr>
      </w:pPr>
    </w:p>
    <w:p>
      <w:pPr>
        <w:ind w:left="260" w:right="220" w:hanging="239"/>
        <w:spacing w:after="0" w:line="266"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Stock-based compensation expense represents the amount of recurring non-cash expense related to the Company’s equity compensation programs (inclusive of employer related taxes).</w:t>
      </w:r>
    </w:p>
    <w:p>
      <w:pPr>
        <w:ind w:left="260" w:right="160" w:hanging="229"/>
        <w:spacing w:after="0" w:line="260" w:lineRule="auto"/>
        <w:rPr>
          <w:sz w:val="20"/>
          <w:szCs w:val="20"/>
          <w:color w:val="auto"/>
        </w:rPr>
      </w:pPr>
      <w:r>
        <w:rPr>
          <w:rFonts w:ascii="Arial" w:cs="Arial" w:eastAsia="Arial" w:hAnsi="Arial"/>
          <w:sz w:val="18"/>
          <w:szCs w:val="18"/>
          <w:color w:val="auto"/>
        </w:rPr>
        <w:t>(d)Foreign currency losses (gains), net relates to gains or losses that arise in connection with the revaluation of non-US dollar denominated assets and liabilities. We exclude these gains and losses from adjusted EBITDA and adjusted net income because fluctuations from period- to- period do not necessarily correspond to changes in our operating results.</w:t>
      </w:r>
    </w:p>
    <w:p>
      <w:pPr>
        <w:spacing w:after="0" w:line="2" w:lineRule="exact"/>
        <w:rPr>
          <w:sz w:val="20"/>
          <w:szCs w:val="20"/>
          <w:color w:val="auto"/>
        </w:rPr>
      </w:pPr>
    </w:p>
    <w:p>
      <w:pPr>
        <w:ind w:left="260" w:right="160" w:hanging="239"/>
        <w:spacing w:after="0" w:line="266"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charges incurred relate to charges incurred in connection with the termination of leases at locations that are no longer being used and amounts incurred in connection with the elimination of redundant positions within the organisation.</w:t>
      </w:r>
    </w:p>
    <w:p>
      <w:pPr>
        <w:ind w:left="260" w:hanging="239"/>
        <w:spacing w:after="0" w:line="260"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Transaction-related / integration-related costs include expenses/credits associated with our acquisitions, share-based compensation expense related to the acceleration of share-based compensation awards and replacement share-based awards, contingent consideration valuation adjustments, and any other costs incurred directly related to the integration of these acquisitions.</w:t>
      </w:r>
    </w:p>
    <w:p>
      <w:pPr>
        <w:spacing w:after="0" w:line="2" w:lineRule="exact"/>
        <w:rPr>
          <w:sz w:val="20"/>
          <w:szCs w:val="20"/>
          <w:color w:val="auto"/>
        </w:rPr>
      </w:pPr>
    </w:p>
    <w:p>
      <w:pPr>
        <w:jc w:val="both"/>
        <w:ind w:left="260" w:right="60" w:hanging="229"/>
        <w:spacing w:after="0" w:line="260" w:lineRule="auto"/>
        <w:rPr>
          <w:sz w:val="20"/>
          <w:szCs w:val="20"/>
          <w:color w:val="auto"/>
        </w:rPr>
      </w:pPr>
      <w:r>
        <w:rPr>
          <w:rFonts w:ascii="Arial" w:cs="Arial" w:eastAsia="Arial" w:hAnsi="Arial"/>
          <w:sz w:val="18"/>
          <w:szCs w:val="18"/>
          <w:color w:val="auto"/>
        </w:rPr>
        <w:t>(g)Transaction-related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(h)Represents the tax effect of adjusted pre-tax income at our estimated effective tax rate.</w:t>
      </w:r>
    </w:p>
    <w:p>
      <w:pPr>
        <w:spacing w:after="0" w:line="36" w:lineRule="exact"/>
        <w:rPr>
          <w:sz w:val="20"/>
          <w:szCs w:val="20"/>
          <w:color w:val="auto"/>
        </w:rPr>
      </w:pPr>
    </w:p>
    <w:p>
      <w:pPr>
        <w:ind w:left="260" w:right="100" w:hanging="239"/>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share for FY 2021 reflects sum of earnings per share for the four quarters of 2021. FY 2021 EPS calculated using the diluted weighted average number of Ordinary Shares in 2021 would be higher at $9.79.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+1888 381 7923 or</w:t>
      </w:r>
    </w:p>
    <w:p>
      <w:pPr>
        <w:spacing w:after="0" w:line="238" w:lineRule="auto"/>
        <w:rPr>
          <w:sz w:val="20"/>
          <w:szCs w:val="20"/>
          <w:color w:val="auto"/>
        </w:rPr>
      </w:pPr>
      <w:r>
        <w:rPr>
          <w:rFonts w:ascii="Arial" w:cs="Arial" w:eastAsia="Arial" w:hAnsi="Arial"/>
          <w:sz w:val="22"/>
          <w:szCs w:val="22"/>
          <w:color w:val="auto"/>
        </w:rPr>
        <w:t>Brendan Brennan Chief Financial Officer +353 1 291 2000</w:t>
      </w:r>
    </w:p>
    <w:p>
      <w:pPr>
        <w:spacing w:after="0" w:line="230" w:lineRule="auto"/>
        <w:rPr>
          <w:sz w:val="20"/>
          <w:szCs w:val="20"/>
          <w:color w:val="auto"/>
        </w:rPr>
      </w:pPr>
      <w:r>
        <w:rPr>
          <w:rFonts w:ascii="Arial" w:cs="Arial" w:eastAsia="Arial" w:hAnsi="Arial"/>
          <w:sz w:val="22"/>
          <w:szCs w:val="22"/>
          <w:color w:val="auto"/>
        </w:rPr>
        <w:t>Kate Haven Vice President Investor Relations +1888 381 7923</w:t>
      </w:r>
    </w:p>
    <w:p>
      <w:pPr>
        <w:spacing w:after="0" w:line="231" w:lineRule="auto"/>
        <w:rPr>
          <w:sz w:val="20"/>
          <w:szCs w:val="20"/>
          <w:color w:val="auto"/>
        </w:rPr>
      </w:pPr>
      <w:r>
        <w:rPr>
          <w:rFonts w:ascii="Arial" w:cs="Arial" w:eastAsia="Arial" w:hAnsi="Arial"/>
          <w:sz w:val="22"/>
          <w:szCs w:val="22"/>
          <w:color w:val="auto"/>
        </w:rPr>
        <w:t>All at ICON.</w:t>
      </w:r>
    </w:p>
    <w:p>
      <w:pPr>
        <w:spacing w:after="0"/>
        <w:rPr>
          <w:sz w:val="20"/>
          <w:szCs w:val="20"/>
          <w:color w:val="auto"/>
        </w:rPr>
      </w:pPr>
      <w:r>
        <w:rPr>
          <w:rFonts w:ascii="Arial" w:cs="Arial" w:eastAsia="Arial" w:hAnsi="Arial"/>
          <w:sz w:val="22"/>
          <w:szCs w:val="22"/>
          <w:color w:val="auto"/>
        </w:rPr>
        <w:t>http://www.iconplc.com</w:t>
      </w:r>
    </w:p>
    <w:sectPr>
      <w:pgSz w:w="11900" w:h="16838" w:orient="portrait"/>
      <w:cols w:equalWidth="0" w:num="1">
        <w:col w:w="10980"/>
      </w:cols>
      <w:pgMar w:left="320" w:top="13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2022-02-22T06:46:47Z</dcterms:created>
  <dcterms:modified xsi:type="dcterms:W3CDTF">2022-02-22T06:46:47Z</dcterms:modified>
</cp:coreProperties>
</file>