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olor w:val="000000"/>
        </w:rPr>
      </w:pPr>
      <w:bookmarkStart w:id="0" w:name="a53889044.htm"/>
      <w:bookmarkStart w:id="1" w:name="ksa53889044"/>
      <w:bookmarkEnd w:id="0"/>
      <w:bookmarkEnd w:id="1"/>
      <w:r>
        <w:rPr>
          <w:color w:val="000000"/>
        </w:rPr>
        <w:t> </w:t>
      </w:r>
      <w:r>
        <w:rPr>
          <w:rFonts w:ascii="Times New Roman;Times;serif" w:hAnsi="Times New Roman;Times;serif"/>
          <w:b/>
          <w:color w:val="000000"/>
          <w:sz w:val="20"/>
        </w:rPr>
        <w:t>FORM 6-K</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AND EXCHANGE COMMISSION</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under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w:t>
      </w:r>
      <w:r>
        <w:rPr>
          <w:rFonts w:ascii="Times New Roman;Times;serif" w:hAnsi="Times New Roman;Times;serif"/>
          <w:b/>
          <w:color w:val="000000"/>
          <w:sz w:val="20"/>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For the month of January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ICON plc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333-08704</w:t>
      </w:r>
    </w:p>
    <w:p>
      <w:pPr>
        <w:pStyle w:val="TextBody"/>
        <w:bidi w:val="0"/>
        <w:spacing w:before="0" w:after="0"/>
        <w:jc w:val="center"/>
        <w:rPr>
          <w:color w:val="000000"/>
        </w:rPr>
      </w:pPr>
      <w:r>
        <w:rPr>
          <w:color w:val="000000"/>
        </w:rPr>
        <w:t> </w:t>
      </w:r>
      <w:r>
        <w:rPr>
          <w:rFonts w:ascii="Times New Roman;Times;serif" w:hAnsi="Times New Roman;Times;serif"/>
          <w:color w:val="000000"/>
          <w:sz w:val="20"/>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South County Business Park, Leopardstown, Dublin 18, Ireland</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038bed55508c45beae3ae239d7bb5b7d"/>
      <w:bookmarkStart w:id="3" w:name="z038bed55508c45beae3ae239d7bb5b7d"/>
      <w:bookmarkEnd w:id="3"/>
    </w:p>
    <w:tbl>
      <w:tblPr>
        <w:tblW w:w="10205" w:type="dxa"/>
        <w:jc w:val="left"/>
        <w:tblInd w:w="0" w:type="dxa"/>
        <w:tblLayout w:type="fixed"/>
        <w:tblCellMar>
          <w:top w:w="0" w:type="dxa"/>
          <w:left w:w="0" w:type="dxa"/>
          <w:bottom w:w="0" w:type="dxa"/>
          <w:right w:w="0" w:type="dxa"/>
        </w:tblCellMar>
      </w:tblPr>
      <w:tblGrid>
        <w:gridCol w:w="210"/>
        <w:gridCol w:w="5075"/>
        <w:gridCol w:w="4920"/>
      </w:tblGrid>
      <w:tr>
        <w:trPr/>
        <w:tc>
          <w:tcPr>
            <w:tcW w:w="10205" w:type="dxa"/>
            <w:gridSpan w:val="3"/>
            <w:tcBorders/>
            <w:vAlign w:val="center"/>
          </w:tcPr>
          <w:p>
            <w:pPr>
              <w:pStyle w:val="TableContents"/>
              <w:bidi w:val="0"/>
              <w:spacing w:before="0" w:after="0"/>
              <w:jc w:val="left"/>
              <w:rPr/>
            </w:pPr>
            <w:r>
              <w:rPr/>
              <w:t>Indicate by check mark whether the registrant files or will file annual reports under cover Form 20-F or Form 40-F.</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Form 20-F __</w:t>
            </w:r>
            <w:r>
              <w:rPr>
                <w:b/>
              </w:rPr>
              <w:t>X</w:t>
            </w:r>
            <w:r>
              <w:rPr/>
              <w:t>___</w:t>
            </w:r>
          </w:p>
        </w:tc>
        <w:tc>
          <w:tcPr>
            <w:tcW w:w="4920" w:type="dxa"/>
            <w:tcBorders/>
            <w:vAlign w:val="center"/>
          </w:tcPr>
          <w:p>
            <w:pPr>
              <w:pStyle w:val="TableContents"/>
              <w:bidi w:val="0"/>
              <w:spacing w:before="0" w:after="0"/>
              <w:jc w:val="left"/>
              <w:rPr/>
            </w:pPr>
            <w:r>
              <w:rPr/>
              <w:t>Form 40-F ______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101(b)(1):</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101(b)(7):</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LIST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2e8ae905ddc34443887afcb7434ec21d"/>
      <w:bookmarkStart w:id="5" w:name="z2e8ae905ddc34443887afcb7434ec21d"/>
      <w:bookmarkEnd w:id="5"/>
    </w:p>
    <w:tbl>
      <w:tblPr>
        <w:tblW w:w="8575" w:type="dxa"/>
        <w:jc w:val="left"/>
        <w:tblInd w:w="0" w:type="dxa"/>
        <w:tblLayout w:type="fixed"/>
        <w:tblCellMar>
          <w:top w:w="0" w:type="dxa"/>
          <w:left w:w="0" w:type="dxa"/>
          <w:bottom w:w="0" w:type="dxa"/>
          <w:right w:w="0" w:type="dxa"/>
        </w:tblCellMar>
      </w:tblPr>
      <w:tblGrid>
        <w:gridCol w:w="710"/>
        <w:gridCol w:w="7865"/>
      </w:tblGrid>
      <w:tr>
        <w:trPr/>
        <w:tc>
          <w:tcPr>
            <w:tcW w:w="710" w:type="dxa"/>
            <w:tcBorders/>
            <w:vAlign w:val="center"/>
          </w:tcPr>
          <w:p>
            <w:pPr>
              <w:pStyle w:val="TableContents"/>
              <w:bidi w:val="0"/>
              <w:spacing w:before="0" w:after="0"/>
              <w:jc w:val="left"/>
              <w:rPr>
                <w:u w:val="single"/>
              </w:rPr>
            </w:pPr>
            <w:r>
              <w:rPr>
                <w:u w:val="single"/>
              </w:rPr>
              <w:t>Exhibit</w:t>
            </w:r>
          </w:p>
        </w:tc>
        <w:tc>
          <w:tcPr>
            <w:tcW w:w="7865" w:type="dxa"/>
            <w:tcBorders/>
            <w:vAlign w:val="center"/>
          </w:tcPr>
          <w:p>
            <w:pPr>
              <w:pStyle w:val="TableContents"/>
              <w:bidi w:val="0"/>
              <w:spacing w:before="0" w:after="0"/>
              <w:jc w:val="left"/>
              <w:rPr>
                <w:u w:val="single"/>
              </w:rPr>
            </w:pPr>
            <w:r>
              <w:rPr>
                <w:u w:val="single"/>
              </w:rPr>
              <w:t>Description</w:t>
            </w:r>
          </w:p>
        </w:tc>
      </w:tr>
      <w:tr>
        <w:trPr/>
        <w:tc>
          <w:tcPr>
            <w:tcW w:w="710" w:type="dxa"/>
            <w:tcBorders/>
            <w:vAlign w:val="center"/>
          </w:tcPr>
          <w:p>
            <w:pPr>
              <w:pStyle w:val="TableContents"/>
              <w:bidi w:val="0"/>
              <w:spacing w:before="0" w:after="0"/>
              <w:jc w:val="left"/>
              <w:rPr/>
            </w:pPr>
            <w:r>
              <w:rPr/>
              <w:t> </w:t>
            </w:r>
          </w:p>
        </w:tc>
        <w:tc>
          <w:tcPr>
            <w:tcW w:w="7865"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0"/>
              <w:jc w:val="left"/>
              <w:rPr/>
            </w:pPr>
            <w:hyperlink w:anchor="a53889044ex99_1.htm">
              <w:r>
                <w:rPr>
                  <w:rStyle w:val="InternetLink"/>
                </w:rPr>
                <w:t>99.1</w:t>
              </w:r>
            </w:hyperlink>
          </w:p>
        </w:tc>
        <w:tc>
          <w:tcPr>
            <w:tcW w:w="7865" w:type="dxa"/>
            <w:tcBorders/>
            <w:vAlign w:val="center"/>
          </w:tcPr>
          <w:p>
            <w:pPr>
              <w:pStyle w:val="TableContents"/>
              <w:bidi w:val="0"/>
              <w:spacing w:before="0" w:after="0"/>
              <w:jc w:val="left"/>
              <w:rPr/>
            </w:pPr>
            <w:hyperlink w:anchor="a53889044ex99_1.htm">
              <w:r>
                <w:rPr>
                  <w:rStyle w:val="InternetLink"/>
                </w:rPr>
                <w:t>ICON plc Schedules Fourth Quarter and Full Year 2023 Earnings Conference Call</w:t>
              </w:r>
            </w:hyperlink>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4668626baa644bd4a1dd4dabfe89cb67"/>
      <w:bookmarkStart w:id="7" w:name="z4668626baa644bd4a1dd4dabfe89cb67"/>
      <w:bookmarkEnd w:id="7"/>
    </w:p>
    <w:tbl>
      <w:tblPr>
        <w:tblW w:w="4495" w:type="dxa"/>
        <w:jc w:val="left"/>
        <w:tblInd w:w="0" w:type="dxa"/>
        <w:tblLayout w:type="fixed"/>
        <w:tblCellMar>
          <w:top w:w="0" w:type="dxa"/>
          <w:left w:w="0" w:type="dxa"/>
          <w:bottom w:w="0" w:type="dxa"/>
          <w:right w:w="0" w:type="dxa"/>
        </w:tblCellMar>
      </w:tblPr>
      <w:tblGrid>
        <w:gridCol w:w="2225"/>
        <w:gridCol w:w="60"/>
        <w:gridCol w:w="2210"/>
      </w:tblGrid>
      <w:tr>
        <w:trPr/>
        <w:tc>
          <w:tcPr>
            <w:tcW w:w="22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b/>
              </w:rPr>
            </w:pPr>
            <w:r>
              <w:rPr>
                <w:b/>
              </w:rPr>
              <w:t>ICON plc</w:t>
            </w:r>
          </w:p>
        </w:tc>
      </w:tr>
      <w:tr>
        <w:trPr/>
        <w:tc>
          <w:tcPr>
            <w:tcW w:w="22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Brendan Brennan</w:t>
            </w:r>
          </w:p>
        </w:tc>
      </w:tr>
      <w:tr>
        <w:trPr/>
        <w:tc>
          <w:tcPr>
            <w:tcW w:w="2225" w:type="dxa"/>
            <w:tcBorders/>
            <w:vAlign w:val="center"/>
          </w:tcPr>
          <w:p>
            <w:pPr>
              <w:pStyle w:val="TableContents"/>
              <w:bidi w:val="0"/>
              <w:spacing w:before="0" w:after="0"/>
              <w:jc w:val="left"/>
              <w:rPr/>
            </w:pPr>
            <w:r>
              <w:rPr/>
              <w:t>Date: January 30, 2024</w:t>
            </w:r>
          </w:p>
        </w:tc>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Brendan Brennan</w:t>
            </w:r>
          </w:p>
          <w:p>
            <w:pPr>
              <w:pStyle w:val="TableContents"/>
              <w:bidi w:val="0"/>
              <w:spacing w:before="0" w:after="0"/>
              <w:jc w:val="left"/>
              <w:rPr/>
            </w:pPr>
            <w:r>
              <w:rPr/>
              <w:t>Chief Financial Officer</w:t>
            </w:r>
          </w:p>
        </w:tc>
      </w:tr>
    </w:tbl>
    <w:p>
      <w:pPr>
        <w:pStyle w:val="TextBody"/>
        <w:bidi w:val="0"/>
        <w:jc w:val="left"/>
        <w:rPr/>
      </w:pPr>
      <w:r>
        <w:rPr/>
      </w:r>
    </w:p>
    <w:p>
      <w:pPr>
        <w:pStyle w:val="TextBody"/>
        <w:bidi w:val="0"/>
        <w:spacing w:before="0" w:after="0"/>
        <w:jc w:val="right"/>
        <w:rPr>
          <w:rFonts w:ascii="Times New Roman;Times;serif" w:hAnsi="Times New Roman;Times;serif"/>
          <w:b/>
          <w:color w:val="000000"/>
          <w:sz w:val="20"/>
        </w:rPr>
      </w:pPr>
      <w:bookmarkStart w:id="8" w:name="a53889044ex99_1.htm"/>
      <w:bookmarkStart w:id="9" w:name="ksa53889044ex99_1"/>
      <w:bookmarkEnd w:id="8"/>
      <w:bookmarkEnd w:id="9"/>
      <w:r>
        <w:rPr>
          <w:rFonts w:ascii="Times New Roman;Times;serif" w:hAnsi="Times New Roman;Times;serif"/>
          <w:b/>
          <w:color w:val="000000"/>
          <w:sz w:val="20"/>
        </w:rPr>
        <w:t>Exhibit 99.1</w:t>
      </w:r>
      <w:r>
        <w:br w:type="page"/>
      </w:r>
    </w:p>
    <w:p>
      <w:pPr>
        <w:pStyle w:val="TextBody"/>
        <w:bidi w:val="0"/>
        <w:jc w:val="right"/>
        <w:rPr>
          <w:b/>
        </w:rPr>
      </w:pPr>
      <w:r>
        <w:rPr>
          <w:b/>
        </w:rPr>
      </w:r>
    </w:p>
    <w:p>
      <w:pPr>
        <w:pStyle w:val="Heading1"/>
        <w:bidi w:val="0"/>
        <w:jc w:val="center"/>
        <w:rPr>
          <w:color w:val="000000"/>
        </w:rPr>
      </w:pPr>
      <w:r>
        <w:rPr>
          <w:color w:val="000000"/>
        </w:rPr>
        <w:t> </w:t>
      </w:r>
      <w:r>
        <w:rPr>
          <w:rFonts w:ascii="Times New Roman;Times;serif" w:hAnsi="Times New Roman;Times;serif"/>
          <w:b/>
          <w:color w:val="000000"/>
          <w:sz w:val="28"/>
        </w:rPr>
        <w:t>ICON plc Schedules Fourth Quarter and Full Year 2023 Earnings Conference Call</w:t>
      </w:r>
      <w:r>
        <w:rPr>
          <w:rFonts w:ascii="Times New Roman;Times;serif" w:hAnsi="Times New Roman;Times;serif"/>
          <w:color w:val="000000"/>
          <w:sz w:val="28"/>
        </w:rPr>
        <w:t xml:space="preserve"> </w:t>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t xml:space="preserve">DUBLIN--(BUSINESS WIRE)--January 30, 2024--ICON plc, </w:t>
      </w:r>
      <w:r>
        <w:rPr>
          <w:rFonts w:ascii="Times New Roman;Times;serif" w:hAnsi="Times New Roman;Times;serif"/>
          <w:b/>
          <w:color w:val="000000"/>
          <w:sz w:val="20"/>
        </w:rPr>
        <w:t>(NASDAQ: ICLR)</w:t>
      </w:r>
      <w:r>
        <w:rPr>
          <w:rFonts w:ascii="Times New Roman;Times;serif" w:hAnsi="Times New Roman;Times;serif"/>
          <w:color w:val="000000"/>
          <w:sz w:val="20"/>
        </w:rPr>
        <w:t xml:space="preserve"> a world-leading healthcare intelligence and clinical research organization, today announced that it will release its financial results for the fourth quarter and full year 2023 results after the market closes on Wednesday, February 21, 2024. The company will hold a conference call and webcast to discuss its financial results and performance on Thursday, February 22, 2024 at 8:00am ET. </w:t>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t xml:space="preserve">Any changes to these events and links to the live webcasts (where available) will be posted on the Investor section of our website under “Events”. A webcast replay of the conference call will be available approximately one hour following the conclusion of the call. </w:t>
      </w:r>
    </w:p>
    <w:p>
      <w:pPr>
        <w:pStyle w:val="TextBody"/>
        <w:bidi w:val="0"/>
        <w:jc w:val="left"/>
        <w:rPr>
          <w:rFonts w:ascii="Times New Roman;Times;serif" w:hAnsi="Times New Roman;Times;serif"/>
          <w:color w:val="000000"/>
          <w:sz w:val="20"/>
        </w:rPr>
      </w:pPr>
      <w:r>
        <w:rPr>
          <w:rFonts w:ascii="Times New Roman;Times;serif" w:hAnsi="Times New Roman;Times;serif"/>
          <w:b/>
          <w:color w:val="000000"/>
          <w:sz w:val="20"/>
        </w:rPr>
        <w:t>About ICON plc</w:t>
      </w:r>
      <w:r>
        <w:rPr>
          <w:rFonts w:ascii="Times New Roman;Times;serif" w:hAnsi="Times New Roman;Times;serif"/>
          <w:color w:val="000000"/>
          <w:sz w:val="20"/>
        </w:rPr>
        <w:t xml:space="preserve"> </w:t>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t xml:space="preserve">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 </w:t>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jc w:val="left"/>
        <w:rPr>
          <w:rFonts w:ascii="Times New Roman;Times;serif" w:hAnsi="Times New Roman;Times;serif"/>
          <w:color w:val="000000"/>
          <w:sz w:val="20"/>
        </w:rPr>
      </w:pPr>
      <w:r>
        <w:rPr>
          <w:rFonts w:ascii="Times New Roman;Times;serif" w:hAnsi="Times New Roman;Times;serif"/>
          <w:b/>
          <w:color w:val="000000"/>
          <w:sz w:val="20"/>
        </w:rPr>
        <w:t>ICON/ICLR-G</w:t>
      </w:r>
      <w:r>
        <w:rPr>
          <w:rFonts w:ascii="Times New Roman;Times;serif" w:hAnsi="Times New Roman;Times;serif"/>
          <w:color w:val="000000"/>
          <w:sz w:val="20"/>
        </w:rPr>
        <w:t xml:space="preserve"> </w:t>
      </w:r>
    </w:p>
    <w:p>
      <w:pPr>
        <w:pStyle w:val="Heading2"/>
        <w:bidi w:val="0"/>
        <w:jc w:val="left"/>
        <w:rPr>
          <w:rFonts w:ascii="Times New Roman;Times;serif" w:hAnsi="Times New Roman;Times;serif"/>
          <w:color w:val="000000"/>
          <w:sz w:val="28"/>
        </w:rPr>
      </w:pPr>
      <w:r>
        <w:rPr>
          <w:rFonts w:ascii="Times New Roman;Times;serif" w:hAnsi="Times New Roman;Times;serif"/>
          <w:color w:val="000000"/>
          <w:sz w:val="28"/>
        </w:rPr>
        <w:t>Contacts</w:t>
      </w:r>
    </w:p>
    <w:p>
      <w:pPr>
        <w:pStyle w:val="TextBody"/>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Kate Haven, </w:t>
        <w:br/>
        <w:t xml:space="preserve">Vice President Investor Relations </w:t>
        <w:br/>
        <w:t xml:space="preserve">+1888 381 7923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674</Words>
  <Characters>3866</Characters>
  <CharactersWithSpaces>4532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